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10611E" w:rsidRDefault="00382C47" w:rsidP="00C7556C">
      <w:pPr>
        <w:jc w:val="center"/>
      </w:pPr>
      <w:r w:rsidRPr="0010611E">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10611E"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10611E" w:rsidTr="002E5576">
        <w:tc>
          <w:tcPr>
            <w:tcW w:w="4518" w:type="dxa"/>
          </w:tcPr>
          <w:p w:rsidR="00BF25F3" w:rsidRPr="0010611E" w:rsidRDefault="00BF25F3" w:rsidP="00BF25F3">
            <w:pPr>
              <w:tabs>
                <w:tab w:val="left" w:pos="6075"/>
              </w:tabs>
              <w:jc w:val="center"/>
              <w:rPr>
                <w:b/>
                <w:sz w:val="32"/>
                <w:szCs w:val="32"/>
              </w:rPr>
            </w:pPr>
            <w:r w:rsidRPr="0010611E">
              <w:rPr>
                <w:b/>
                <w:sz w:val="32"/>
                <w:szCs w:val="32"/>
              </w:rPr>
              <w:t>SUPREME COURT OF CANADA</w:t>
            </w:r>
          </w:p>
        </w:tc>
        <w:tc>
          <w:tcPr>
            <w:tcW w:w="630" w:type="dxa"/>
          </w:tcPr>
          <w:p w:rsidR="00BF25F3" w:rsidRPr="0010611E" w:rsidRDefault="00BF25F3" w:rsidP="00BF25F3">
            <w:pPr>
              <w:tabs>
                <w:tab w:val="left" w:pos="6075"/>
              </w:tabs>
              <w:jc w:val="center"/>
              <w:rPr>
                <w:sz w:val="32"/>
                <w:szCs w:val="32"/>
              </w:rPr>
            </w:pPr>
          </w:p>
        </w:tc>
        <w:tc>
          <w:tcPr>
            <w:tcW w:w="4428" w:type="dxa"/>
          </w:tcPr>
          <w:p w:rsidR="00BF25F3" w:rsidRPr="0010611E" w:rsidRDefault="00BF25F3" w:rsidP="00BF25F3">
            <w:pPr>
              <w:tabs>
                <w:tab w:val="left" w:pos="6075"/>
              </w:tabs>
              <w:jc w:val="center"/>
              <w:rPr>
                <w:b/>
                <w:sz w:val="32"/>
                <w:szCs w:val="32"/>
                <w:lang w:val="fr-CA"/>
              </w:rPr>
            </w:pPr>
            <w:r w:rsidRPr="0010611E">
              <w:rPr>
                <w:b/>
                <w:sz w:val="32"/>
                <w:szCs w:val="32"/>
                <w:lang w:val="fr-CA"/>
              </w:rPr>
              <w:t>COUR SUPRÊME DU CANADA</w:t>
            </w:r>
          </w:p>
        </w:tc>
      </w:tr>
      <w:tr w:rsidR="00BF25F3" w:rsidRPr="0010611E" w:rsidTr="002E5576">
        <w:tc>
          <w:tcPr>
            <w:tcW w:w="4518" w:type="dxa"/>
          </w:tcPr>
          <w:p w:rsidR="00BF25F3" w:rsidRPr="0010611E" w:rsidRDefault="00BF25F3" w:rsidP="00BF25F3">
            <w:pPr>
              <w:tabs>
                <w:tab w:val="left" w:pos="6075"/>
              </w:tabs>
            </w:pPr>
          </w:p>
          <w:p w:rsidR="001B5C23" w:rsidRPr="0010611E" w:rsidRDefault="001B5C23" w:rsidP="00BF25F3">
            <w:pPr>
              <w:tabs>
                <w:tab w:val="left" w:pos="6075"/>
              </w:tabs>
            </w:pPr>
          </w:p>
          <w:p w:rsidR="001B5C23" w:rsidRPr="0010611E" w:rsidRDefault="001B5C23" w:rsidP="00BF25F3">
            <w:pPr>
              <w:tabs>
                <w:tab w:val="left" w:pos="6075"/>
              </w:tabs>
            </w:pPr>
          </w:p>
        </w:tc>
        <w:tc>
          <w:tcPr>
            <w:tcW w:w="630" w:type="dxa"/>
          </w:tcPr>
          <w:p w:rsidR="00BF25F3" w:rsidRPr="0010611E" w:rsidRDefault="00BF25F3" w:rsidP="00BF25F3">
            <w:pPr>
              <w:tabs>
                <w:tab w:val="left" w:pos="6075"/>
              </w:tabs>
            </w:pPr>
          </w:p>
        </w:tc>
        <w:tc>
          <w:tcPr>
            <w:tcW w:w="4428" w:type="dxa"/>
          </w:tcPr>
          <w:p w:rsidR="00BF25F3" w:rsidRPr="0010611E" w:rsidRDefault="00BF25F3" w:rsidP="00BF25F3">
            <w:pPr>
              <w:tabs>
                <w:tab w:val="left" w:pos="6075"/>
              </w:tabs>
              <w:rPr>
                <w:lang w:val="fr-CA"/>
              </w:rPr>
            </w:pPr>
          </w:p>
        </w:tc>
      </w:tr>
      <w:tr w:rsidR="00BF25F3" w:rsidRPr="0010611E" w:rsidTr="002E5576">
        <w:tc>
          <w:tcPr>
            <w:tcW w:w="4518" w:type="dxa"/>
          </w:tcPr>
          <w:p w:rsidR="001B5C23" w:rsidRPr="0010611E" w:rsidRDefault="00BF25F3" w:rsidP="00BF25F3">
            <w:pPr>
              <w:tabs>
                <w:tab w:val="left" w:pos="6075"/>
              </w:tabs>
              <w:jc w:val="center"/>
              <w:rPr>
                <w:sz w:val="28"/>
                <w:szCs w:val="28"/>
              </w:rPr>
            </w:pPr>
            <w:r w:rsidRPr="0010611E">
              <w:rPr>
                <w:sz w:val="28"/>
                <w:szCs w:val="28"/>
              </w:rPr>
              <w:t>BULLETIN OF</w:t>
            </w:r>
          </w:p>
          <w:p w:rsidR="00BF25F3" w:rsidRPr="0010611E" w:rsidRDefault="00BF25F3" w:rsidP="00BF25F3">
            <w:pPr>
              <w:tabs>
                <w:tab w:val="left" w:pos="6075"/>
              </w:tabs>
              <w:jc w:val="center"/>
              <w:rPr>
                <w:sz w:val="28"/>
                <w:szCs w:val="28"/>
              </w:rPr>
            </w:pPr>
            <w:r w:rsidRPr="0010611E">
              <w:rPr>
                <w:sz w:val="28"/>
                <w:szCs w:val="28"/>
              </w:rPr>
              <w:t xml:space="preserve"> PROCEEDINGS</w:t>
            </w:r>
          </w:p>
        </w:tc>
        <w:tc>
          <w:tcPr>
            <w:tcW w:w="630" w:type="dxa"/>
          </w:tcPr>
          <w:p w:rsidR="00BF25F3" w:rsidRPr="0010611E" w:rsidRDefault="00BF25F3" w:rsidP="00BF25F3">
            <w:pPr>
              <w:tabs>
                <w:tab w:val="left" w:pos="6075"/>
              </w:tabs>
            </w:pPr>
          </w:p>
        </w:tc>
        <w:tc>
          <w:tcPr>
            <w:tcW w:w="4428" w:type="dxa"/>
          </w:tcPr>
          <w:p w:rsidR="001B5C23" w:rsidRPr="0010611E" w:rsidRDefault="00BF25F3" w:rsidP="00BF25F3">
            <w:pPr>
              <w:tabs>
                <w:tab w:val="left" w:pos="6075"/>
              </w:tabs>
              <w:jc w:val="center"/>
              <w:rPr>
                <w:sz w:val="28"/>
                <w:szCs w:val="28"/>
                <w:lang w:val="fr-CA"/>
              </w:rPr>
            </w:pPr>
            <w:r w:rsidRPr="0010611E">
              <w:rPr>
                <w:sz w:val="28"/>
                <w:szCs w:val="28"/>
                <w:lang w:val="fr-CA"/>
              </w:rPr>
              <w:t>BULLETIN DES</w:t>
            </w:r>
          </w:p>
          <w:p w:rsidR="00BF25F3" w:rsidRPr="0010611E" w:rsidRDefault="00BF25F3" w:rsidP="00BF25F3">
            <w:pPr>
              <w:tabs>
                <w:tab w:val="left" w:pos="6075"/>
              </w:tabs>
              <w:jc w:val="center"/>
              <w:rPr>
                <w:sz w:val="28"/>
                <w:szCs w:val="28"/>
                <w:lang w:val="fr-CA"/>
              </w:rPr>
            </w:pPr>
            <w:r w:rsidRPr="0010611E">
              <w:rPr>
                <w:sz w:val="28"/>
                <w:szCs w:val="28"/>
                <w:lang w:val="fr-CA"/>
              </w:rPr>
              <w:t xml:space="preserve"> PROCÉDURES</w:t>
            </w:r>
          </w:p>
        </w:tc>
      </w:tr>
      <w:tr w:rsidR="00BF25F3" w:rsidRPr="0010611E" w:rsidTr="002E5576">
        <w:tc>
          <w:tcPr>
            <w:tcW w:w="4518" w:type="dxa"/>
          </w:tcPr>
          <w:p w:rsidR="00BF25F3" w:rsidRPr="0010611E" w:rsidRDefault="00BF25F3" w:rsidP="00BF25F3">
            <w:pPr>
              <w:tabs>
                <w:tab w:val="left" w:pos="6075"/>
              </w:tabs>
            </w:pPr>
          </w:p>
          <w:p w:rsidR="001B5C23" w:rsidRPr="0010611E" w:rsidRDefault="001B5C23" w:rsidP="00BF25F3">
            <w:pPr>
              <w:tabs>
                <w:tab w:val="left" w:pos="6075"/>
              </w:tabs>
            </w:pPr>
          </w:p>
        </w:tc>
        <w:tc>
          <w:tcPr>
            <w:tcW w:w="630" w:type="dxa"/>
          </w:tcPr>
          <w:p w:rsidR="00BF25F3" w:rsidRPr="0010611E" w:rsidRDefault="00BF25F3" w:rsidP="00BF25F3">
            <w:pPr>
              <w:tabs>
                <w:tab w:val="left" w:pos="6075"/>
              </w:tabs>
            </w:pPr>
          </w:p>
        </w:tc>
        <w:tc>
          <w:tcPr>
            <w:tcW w:w="4428" w:type="dxa"/>
          </w:tcPr>
          <w:p w:rsidR="00BF25F3" w:rsidRPr="0010611E" w:rsidRDefault="00BF25F3" w:rsidP="00BF25F3">
            <w:pPr>
              <w:tabs>
                <w:tab w:val="left" w:pos="6075"/>
              </w:tabs>
              <w:rPr>
                <w:lang w:val="fr-CA"/>
              </w:rPr>
            </w:pPr>
          </w:p>
        </w:tc>
      </w:tr>
      <w:tr w:rsidR="00BF25F3" w:rsidRPr="00644959" w:rsidTr="002E5576">
        <w:tc>
          <w:tcPr>
            <w:tcW w:w="4518" w:type="dxa"/>
          </w:tcPr>
          <w:p w:rsidR="00BF25F3" w:rsidRPr="0010611E" w:rsidRDefault="00BF25F3" w:rsidP="00BF25F3">
            <w:pPr>
              <w:tabs>
                <w:tab w:val="left" w:pos="6075"/>
              </w:tabs>
              <w:jc w:val="both"/>
              <w:rPr>
                <w:rFonts w:ascii="Arial" w:hAnsi="Arial" w:cs="Arial"/>
                <w:i/>
                <w:sz w:val="20"/>
                <w:szCs w:val="20"/>
              </w:rPr>
            </w:pPr>
            <w:r w:rsidRPr="0010611E">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10611E" w:rsidRDefault="00BF25F3" w:rsidP="00BF25F3">
            <w:pPr>
              <w:tabs>
                <w:tab w:val="left" w:pos="6075"/>
              </w:tabs>
              <w:jc w:val="both"/>
              <w:rPr>
                <w:rFonts w:ascii="Arial" w:hAnsi="Arial" w:cs="Arial"/>
                <w:i/>
                <w:sz w:val="20"/>
                <w:szCs w:val="20"/>
              </w:rPr>
            </w:pPr>
          </w:p>
        </w:tc>
        <w:tc>
          <w:tcPr>
            <w:tcW w:w="4428" w:type="dxa"/>
          </w:tcPr>
          <w:p w:rsidR="00BF25F3" w:rsidRPr="0010611E" w:rsidRDefault="00BF25F3" w:rsidP="00BF25F3">
            <w:pPr>
              <w:tabs>
                <w:tab w:val="left" w:pos="6075"/>
              </w:tabs>
              <w:jc w:val="both"/>
              <w:rPr>
                <w:rFonts w:ascii="Arial" w:hAnsi="Arial" w:cs="Arial"/>
                <w:i/>
                <w:sz w:val="20"/>
                <w:szCs w:val="20"/>
                <w:lang w:val="fr-CA"/>
              </w:rPr>
            </w:pPr>
            <w:r w:rsidRPr="0010611E">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644959" w:rsidTr="002E5576">
        <w:tc>
          <w:tcPr>
            <w:tcW w:w="4518" w:type="dxa"/>
          </w:tcPr>
          <w:p w:rsidR="00BF25F3" w:rsidRPr="0010611E" w:rsidRDefault="00BF25F3" w:rsidP="00BF25F3">
            <w:pPr>
              <w:tabs>
                <w:tab w:val="left" w:pos="6075"/>
              </w:tabs>
              <w:rPr>
                <w:lang w:val="fr-CA"/>
              </w:rPr>
            </w:pPr>
          </w:p>
          <w:p w:rsidR="00D862C1" w:rsidRPr="0010611E" w:rsidRDefault="00D862C1" w:rsidP="00BF25F3">
            <w:pPr>
              <w:tabs>
                <w:tab w:val="left" w:pos="6075"/>
              </w:tabs>
              <w:rPr>
                <w:lang w:val="fr-CA"/>
              </w:rPr>
            </w:pPr>
          </w:p>
        </w:tc>
        <w:tc>
          <w:tcPr>
            <w:tcW w:w="630" w:type="dxa"/>
          </w:tcPr>
          <w:p w:rsidR="00BF25F3" w:rsidRPr="0010611E" w:rsidRDefault="00BF25F3" w:rsidP="00BF25F3">
            <w:pPr>
              <w:tabs>
                <w:tab w:val="left" w:pos="6075"/>
              </w:tabs>
              <w:rPr>
                <w:lang w:val="fr-CA"/>
              </w:rPr>
            </w:pPr>
          </w:p>
        </w:tc>
        <w:tc>
          <w:tcPr>
            <w:tcW w:w="4428" w:type="dxa"/>
          </w:tcPr>
          <w:p w:rsidR="00BF25F3" w:rsidRPr="0010611E" w:rsidRDefault="00BF25F3" w:rsidP="00BF25F3">
            <w:pPr>
              <w:tabs>
                <w:tab w:val="left" w:pos="6075"/>
              </w:tabs>
              <w:rPr>
                <w:lang w:val="fr-CA"/>
              </w:rPr>
            </w:pPr>
          </w:p>
        </w:tc>
      </w:tr>
      <w:tr w:rsidR="00BF25F3" w:rsidRPr="00644959" w:rsidTr="002E5576">
        <w:tc>
          <w:tcPr>
            <w:tcW w:w="4518" w:type="dxa"/>
          </w:tcPr>
          <w:p w:rsidR="00BF25F3" w:rsidRPr="0010611E" w:rsidRDefault="00BF25F3" w:rsidP="009F3024">
            <w:pPr>
              <w:tabs>
                <w:tab w:val="left" w:pos="6075"/>
              </w:tabs>
              <w:jc w:val="both"/>
              <w:rPr>
                <w:rFonts w:ascii="Arial" w:hAnsi="Arial" w:cs="Arial"/>
                <w:i/>
                <w:sz w:val="20"/>
                <w:szCs w:val="20"/>
              </w:rPr>
            </w:pPr>
            <w:r w:rsidRPr="0010611E">
              <w:rPr>
                <w:rFonts w:ascii="Arial" w:hAnsi="Arial" w:cs="Arial"/>
                <w:i/>
                <w:sz w:val="20"/>
                <w:szCs w:val="20"/>
              </w:rPr>
              <w:t xml:space="preserve">During Court sessions </w:t>
            </w:r>
            <w:r w:rsidR="009F3024" w:rsidRPr="0010611E">
              <w:rPr>
                <w:rFonts w:ascii="Arial" w:hAnsi="Arial" w:cs="Arial"/>
                <w:i/>
                <w:sz w:val="20"/>
                <w:szCs w:val="20"/>
              </w:rPr>
              <w:t xml:space="preserve">the Bulletin </w:t>
            </w:r>
            <w:r w:rsidRPr="0010611E">
              <w:rPr>
                <w:rFonts w:ascii="Arial" w:hAnsi="Arial" w:cs="Arial"/>
                <w:i/>
                <w:sz w:val="20"/>
                <w:szCs w:val="20"/>
              </w:rPr>
              <w:t>is usually issued weekly.</w:t>
            </w:r>
          </w:p>
        </w:tc>
        <w:tc>
          <w:tcPr>
            <w:tcW w:w="630" w:type="dxa"/>
          </w:tcPr>
          <w:p w:rsidR="00BF25F3" w:rsidRPr="0010611E" w:rsidRDefault="00BF25F3" w:rsidP="00BF25F3">
            <w:pPr>
              <w:tabs>
                <w:tab w:val="left" w:pos="6075"/>
              </w:tabs>
              <w:jc w:val="both"/>
              <w:rPr>
                <w:rFonts w:ascii="Arial" w:hAnsi="Arial" w:cs="Arial"/>
                <w:i/>
                <w:sz w:val="20"/>
                <w:szCs w:val="20"/>
              </w:rPr>
            </w:pPr>
          </w:p>
        </w:tc>
        <w:tc>
          <w:tcPr>
            <w:tcW w:w="4428" w:type="dxa"/>
          </w:tcPr>
          <w:p w:rsidR="00BF25F3" w:rsidRPr="0010611E" w:rsidRDefault="00BF25F3" w:rsidP="00BF25F3">
            <w:pPr>
              <w:tabs>
                <w:tab w:val="left" w:pos="6075"/>
              </w:tabs>
              <w:jc w:val="both"/>
              <w:rPr>
                <w:rFonts w:ascii="Arial" w:hAnsi="Arial" w:cs="Arial"/>
                <w:i/>
                <w:sz w:val="20"/>
                <w:szCs w:val="20"/>
                <w:lang w:val="fr-CA"/>
              </w:rPr>
            </w:pPr>
            <w:r w:rsidRPr="0010611E">
              <w:rPr>
                <w:rFonts w:ascii="Arial" w:hAnsi="Arial" w:cs="Arial"/>
                <w:i/>
                <w:sz w:val="20"/>
                <w:szCs w:val="20"/>
                <w:lang w:val="fr-CA"/>
              </w:rPr>
              <w:t>Le Bulletin paraît en principe toutes les semaines pendant les sessions de la Cour.</w:t>
            </w:r>
          </w:p>
        </w:tc>
      </w:tr>
      <w:tr w:rsidR="00BF25F3" w:rsidRPr="00644959" w:rsidTr="002E5576">
        <w:tc>
          <w:tcPr>
            <w:tcW w:w="4518" w:type="dxa"/>
          </w:tcPr>
          <w:p w:rsidR="00BF25F3" w:rsidRPr="0010611E" w:rsidRDefault="00BF25F3" w:rsidP="00BF25F3">
            <w:pPr>
              <w:tabs>
                <w:tab w:val="left" w:pos="6075"/>
              </w:tabs>
              <w:rPr>
                <w:lang w:val="fr-CA"/>
              </w:rPr>
            </w:pPr>
          </w:p>
          <w:p w:rsidR="00D862C1" w:rsidRPr="0010611E" w:rsidRDefault="00D862C1" w:rsidP="00BF25F3">
            <w:pPr>
              <w:tabs>
                <w:tab w:val="left" w:pos="6075"/>
              </w:tabs>
              <w:rPr>
                <w:lang w:val="fr-CA"/>
              </w:rPr>
            </w:pPr>
          </w:p>
        </w:tc>
        <w:tc>
          <w:tcPr>
            <w:tcW w:w="630" w:type="dxa"/>
          </w:tcPr>
          <w:p w:rsidR="00BF25F3" w:rsidRPr="0010611E" w:rsidRDefault="00BF25F3" w:rsidP="00BF25F3">
            <w:pPr>
              <w:tabs>
                <w:tab w:val="left" w:pos="6075"/>
              </w:tabs>
              <w:rPr>
                <w:lang w:val="fr-CA"/>
              </w:rPr>
            </w:pPr>
          </w:p>
        </w:tc>
        <w:tc>
          <w:tcPr>
            <w:tcW w:w="4428" w:type="dxa"/>
          </w:tcPr>
          <w:p w:rsidR="00BF25F3" w:rsidRPr="0010611E" w:rsidRDefault="00BF25F3" w:rsidP="00BF25F3">
            <w:pPr>
              <w:tabs>
                <w:tab w:val="left" w:pos="6075"/>
              </w:tabs>
              <w:rPr>
                <w:lang w:val="fr-CA"/>
              </w:rPr>
            </w:pPr>
          </w:p>
        </w:tc>
      </w:tr>
      <w:tr w:rsidR="00BF25F3" w:rsidRPr="00644959" w:rsidTr="002E5576">
        <w:tc>
          <w:tcPr>
            <w:tcW w:w="4518" w:type="dxa"/>
          </w:tcPr>
          <w:p w:rsidR="00BF25F3" w:rsidRPr="0010611E" w:rsidRDefault="000E27A5" w:rsidP="00BF25F3">
            <w:pPr>
              <w:tabs>
                <w:tab w:val="left" w:pos="6075"/>
              </w:tabs>
              <w:jc w:val="both"/>
              <w:rPr>
                <w:rFonts w:ascii="Arial" w:hAnsi="Arial" w:cs="Arial"/>
                <w:i/>
                <w:sz w:val="20"/>
                <w:szCs w:val="20"/>
              </w:rPr>
            </w:pPr>
            <w:r w:rsidRPr="0010611E">
              <w:rPr>
                <w:rFonts w:ascii="Arial" w:hAnsi="Arial" w:cs="Arial"/>
                <w:i/>
                <w:sz w:val="20"/>
                <w:szCs w:val="20"/>
              </w:rPr>
              <w:fldChar w:fldCharType="begin"/>
            </w:r>
            <w:r w:rsidR="00BF25F3" w:rsidRPr="0010611E">
              <w:rPr>
                <w:rFonts w:ascii="Arial" w:hAnsi="Arial" w:cs="Arial"/>
                <w:i/>
                <w:sz w:val="20"/>
                <w:szCs w:val="20"/>
              </w:rPr>
              <w:instrText xml:space="preserve"> SEQ CHAPTER \h \r 1</w:instrText>
            </w:r>
            <w:r w:rsidRPr="0010611E">
              <w:rPr>
                <w:rFonts w:ascii="Arial" w:hAnsi="Arial" w:cs="Arial"/>
                <w:i/>
                <w:sz w:val="20"/>
                <w:szCs w:val="20"/>
              </w:rPr>
              <w:fldChar w:fldCharType="end"/>
            </w:r>
            <w:r w:rsidR="00BF25F3" w:rsidRPr="0010611E">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10611E" w:rsidRDefault="00BF25F3" w:rsidP="00BF25F3">
            <w:pPr>
              <w:tabs>
                <w:tab w:val="left" w:pos="6075"/>
              </w:tabs>
              <w:jc w:val="both"/>
              <w:rPr>
                <w:rFonts w:ascii="Arial" w:hAnsi="Arial" w:cs="Arial"/>
                <w:i/>
                <w:sz w:val="20"/>
                <w:szCs w:val="20"/>
              </w:rPr>
            </w:pPr>
          </w:p>
        </w:tc>
        <w:tc>
          <w:tcPr>
            <w:tcW w:w="4428" w:type="dxa"/>
          </w:tcPr>
          <w:p w:rsidR="00BF25F3" w:rsidRPr="0010611E" w:rsidRDefault="000E27A5" w:rsidP="00BF25F3">
            <w:pPr>
              <w:tabs>
                <w:tab w:val="left" w:pos="6075"/>
              </w:tabs>
              <w:jc w:val="both"/>
              <w:rPr>
                <w:rFonts w:ascii="Arial" w:hAnsi="Arial" w:cs="Arial"/>
                <w:i/>
                <w:sz w:val="20"/>
                <w:szCs w:val="20"/>
                <w:lang w:val="fr-CA"/>
              </w:rPr>
            </w:pPr>
            <w:r w:rsidRPr="0010611E">
              <w:rPr>
                <w:rFonts w:ascii="Arial" w:hAnsi="Arial" w:cs="Arial"/>
                <w:i/>
                <w:sz w:val="20"/>
                <w:szCs w:val="20"/>
                <w:lang w:val="fr-CA"/>
              </w:rPr>
              <w:fldChar w:fldCharType="begin"/>
            </w:r>
            <w:r w:rsidR="00BF25F3" w:rsidRPr="0010611E">
              <w:rPr>
                <w:rFonts w:ascii="Arial" w:hAnsi="Arial" w:cs="Arial"/>
                <w:i/>
                <w:sz w:val="20"/>
                <w:szCs w:val="20"/>
                <w:lang w:val="fr-CA"/>
              </w:rPr>
              <w:instrText xml:space="preserve"> SEQ CHAPTER \h \r 1</w:instrText>
            </w:r>
            <w:r w:rsidRPr="0010611E">
              <w:rPr>
                <w:rFonts w:ascii="Arial" w:hAnsi="Arial" w:cs="Arial"/>
                <w:i/>
                <w:sz w:val="20"/>
                <w:szCs w:val="20"/>
                <w:lang w:val="fr-CA"/>
              </w:rPr>
              <w:fldChar w:fldCharType="end"/>
            </w:r>
            <w:r w:rsidR="00BF25F3" w:rsidRPr="0010611E">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644959" w:rsidTr="002E5576">
        <w:tc>
          <w:tcPr>
            <w:tcW w:w="4518" w:type="dxa"/>
          </w:tcPr>
          <w:p w:rsidR="009F3024" w:rsidRPr="0010611E" w:rsidRDefault="009F3024" w:rsidP="009F3024">
            <w:pPr>
              <w:tabs>
                <w:tab w:val="left" w:pos="6075"/>
              </w:tabs>
              <w:rPr>
                <w:rFonts w:cs="Times New Roman"/>
                <w:szCs w:val="24"/>
                <w:lang w:val="fr-CA"/>
              </w:rPr>
            </w:pPr>
          </w:p>
          <w:p w:rsidR="009F3024" w:rsidRPr="0010611E" w:rsidRDefault="009F3024" w:rsidP="009F3024">
            <w:pPr>
              <w:tabs>
                <w:tab w:val="left" w:pos="6075"/>
              </w:tabs>
              <w:rPr>
                <w:rFonts w:cs="Times New Roman"/>
                <w:szCs w:val="24"/>
                <w:lang w:val="fr-CA"/>
              </w:rPr>
            </w:pPr>
          </w:p>
        </w:tc>
        <w:tc>
          <w:tcPr>
            <w:tcW w:w="630" w:type="dxa"/>
          </w:tcPr>
          <w:p w:rsidR="009F3024" w:rsidRPr="0010611E" w:rsidRDefault="009F3024" w:rsidP="009F3024">
            <w:pPr>
              <w:tabs>
                <w:tab w:val="left" w:pos="6075"/>
              </w:tabs>
              <w:rPr>
                <w:rFonts w:cs="Times New Roman"/>
                <w:szCs w:val="24"/>
                <w:lang w:val="fr-CA"/>
              </w:rPr>
            </w:pPr>
          </w:p>
        </w:tc>
        <w:tc>
          <w:tcPr>
            <w:tcW w:w="4428" w:type="dxa"/>
          </w:tcPr>
          <w:p w:rsidR="009F3024" w:rsidRPr="0010611E" w:rsidRDefault="009F3024" w:rsidP="009F3024">
            <w:pPr>
              <w:tabs>
                <w:tab w:val="left" w:pos="6075"/>
              </w:tabs>
              <w:rPr>
                <w:rFonts w:cs="Times New Roman"/>
                <w:szCs w:val="24"/>
                <w:lang w:val="fr-CA"/>
              </w:rPr>
            </w:pPr>
          </w:p>
        </w:tc>
      </w:tr>
      <w:tr w:rsidR="009F3024" w:rsidRPr="00644959" w:rsidTr="002E5576">
        <w:tc>
          <w:tcPr>
            <w:tcW w:w="4518" w:type="dxa"/>
          </w:tcPr>
          <w:p w:rsidR="009F3024" w:rsidRPr="0010611E" w:rsidRDefault="009F3024" w:rsidP="00E414CA">
            <w:pPr>
              <w:tabs>
                <w:tab w:val="left" w:pos="6075"/>
              </w:tabs>
              <w:jc w:val="both"/>
              <w:rPr>
                <w:rFonts w:ascii="Arial" w:hAnsi="Arial" w:cs="Arial"/>
                <w:i/>
                <w:sz w:val="20"/>
                <w:szCs w:val="20"/>
              </w:rPr>
            </w:pPr>
            <w:r w:rsidRPr="0010611E">
              <w:rPr>
                <w:rFonts w:ascii="Arial" w:hAnsi="Arial" w:cs="Arial"/>
                <w:i/>
                <w:sz w:val="20"/>
                <w:szCs w:val="20"/>
              </w:rPr>
              <w:t xml:space="preserve">Consult the Supreme Court of Canada website at </w:t>
            </w:r>
            <w:hyperlink r:id="rId8" w:history="1">
              <w:r w:rsidR="00E414CA" w:rsidRPr="0010611E">
                <w:rPr>
                  <w:rStyle w:val="Hyperlink"/>
                  <w:rFonts w:ascii="Arial" w:hAnsi="Arial" w:cs="Arial"/>
                  <w:i/>
                  <w:sz w:val="20"/>
                  <w:szCs w:val="20"/>
                </w:rPr>
                <w:t>www.scc-csc.ca</w:t>
              </w:r>
            </w:hyperlink>
            <w:r w:rsidRPr="0010611E">
              <w:rPr>
                <w:rFonts w:ascii="Arial" w:hAnsi="Arial" w:cs="Arial"/>
                <w:i/>
                <w:sz w:val="20"/>
                <w:szCs w:val="20"/>
              </w:rPr>
              <w:t xml:space="preserve"> for more information.</w:t>
            </w:r>
          </w:p>
        </w:tc>
        <w:tc>
          <w:tcPr>
            <w:tcW w:w="630" w:type="dxa"/>
          </w:tcPr>
          <w:p w:rsidR="009F3024" w:rsidRPr="0010611E" w:rsidRDefault="009F3024" w:rsidP="00BF25F3">
            <w:pPr>
              <w:tabs>
                <w:tab w:val="left" w:pos="6075"/>
              </w:tabs>
              <w:jc w:val="both"/>
              <w:rPr>
                <w:rFonts w:ascii="Arial" w:hAnsi="Arial" w:cs="Arial"/>
                <w:i/>
                <w:sz w:val="20"/>
                <w:szCs w:val="20"/>
              </w:rPr>
            </w:pPr>
          </w:p>
        </w:tc>
        <w:tc>
          <w:tcPr>
            <w:tcW w:w="4428" w:type="dxa"/>
          </w:tcPr>
          <w:p w:rsidR="009F3024" w:rsidRPr="0010611E" w:rsidRDefault="009F3024" w:rsidP="00E414CA">
            <w:pPr>
              <w:tabs>
                <w:tab w:val="left" w:pos="6075"/>
              </w:tabs>
              <w:jc w:val="both"/>
              <w:rPr>
                <w:rFonts w:ascii="Arial" w:hAnsi="Arial" w:cs="Arial"/>
                <w:i/>
                <w:sz w:val="20"/>
                <w:szCs w:val="20"/>
                <w:lang w:val="fr-CA"/>
              </w:rPr>
            </w:pPr>
            <w:r w:rsidRPr="0010611E">
              <w:rPr>
                <w:rFonts w:ascii="Arial" w:hAnsi="Arial" w:cs="Arial"/>
                <w:i/>
                <w:sz w:val="20"/>
                <w:szCs w:val="20"/>
                <w:lang w:val="fr-CA"/>
              </w:rPr>
              <w:t xml:space="preserve">Pour de plus amples informations, consulter le site Web de la Cour suprême du Canada à l’adresse suivante : </w:t>
            </w:r>
            <w:hyperlink r:id="rId9" w:history="1">
              <w:r w:rsidR="0081473A" w:rsidRPr="0010611E">
                <w:rPr>
                  <w:rStyle w:val="Hyperlink"/>
                  <w:rFonts w:ascii="Arial" w:hAnsi="Arial" w:cs="Arial"/>
                  <w:i/>
                  <w:sz w:val="20"/>
                  <w:szCs w:val="20"/>
                  <w:lang w:val="fr-CA"/>
                </w:rPr>
                <w:t>www.scc-csc.ca</w:t>
              </w:r>
            </w:hyperlink>
            <w:r w:rsidRPr="0010611E">
              <w:rPr>
                <w:rFonts w:ascii="Arial" w:hAnsi="Arial" w:cs="Arial"/>
                <w:i/>
                <w:sz w:val="20"/>
                <w:szCs w:val="20"/>
                <w:lang w:val="fr-CA"/>
              </w:rPr>
              <w:t xml:space="preserve"> </w:t>
            </w:r>
          </w:p>
        </w:tc>
      </w:tr>
    </w:tbl>
    <w:p w:rsidR="00BF25F3" w:rsidRPr="0010611E" w:rsidRDefault="00BF25F3" w:rsidP="00BF25F3">
      <w:pPr>
        <w:tabs>
          <w:tab w:val="left" w:pos="6075"/>
        </w:tabs>
        <w:rPr>
          <w:lang w:val="fr-CA"/>
        </w:rPr>
      </w:pPr>
    </w:p>
    <w:p w:rsidR="00440E24" w:rsidRPr="0010611E" w:rsidRDefault="00440E24" w:rsidP="00440E24">
      <w:pPr>
        <w:pBdr>
          <w:bottom w:val="single" w:sz="6" w:space="1" w:color="auto"/>
        </w:pBdr>
        <w:tabs>
          <w:tab w:val="left" w:pos="6075"/>
        </w:tabs>
        <w:rPr>
          <w:lang w:val="fr-CA"/>
        </w:rPr>
      </w:pPr>
    </w:p>
    <w:p w:rsidR="00440E24" w:rsidRPr="0010611E" w:rsidRDefault="00440E24" w:rsidP="00440E24">
      <w:pPr>
        <w:rPr>
          <w:lang w:val="fr-CA"/>
        </w:rPr>
      </w:pPr>
    </w:p>
    <w:p w:rsidR="00600252" w:rsidRPr="0010611E" w:rsidRDefault="00A20D2D" w:rsidP="00F0068D">
      <w:pPr>
        <w:pBdr>
          <w:bottom w:val="single" w:sz="6" w:space="1" w:color="auto"/>
        </w:pBdr>
        <w:tabs>
          <w:tab w:val="center" w:pos="4680"/>
          <w:tab w:val="right" w:pos="9360"/>
        </w:tabs>
        <w:rPr>
          <w:lang w:val="fr-CA"/>
        </w:rPr>
      </w:pPr>
      <w:r w:rsidRPr="0010611E">
        <w:rPr>
          <w:lang w:val="fr-CA"/>
        </w:rPr>
        <w:t>April 20</w:t>
      </w:r>
      <w:r w:rsidR="00440E24" w:rsidRPr="0010611E">
        <w:rPr>
          <w:lang w:val="fr-CA"/>
        </w:rPr>
        <w:t>, 201</w:t>
      </w:r>
      <w:r w:rsidR="00DC0577" w:rsidRPr="0010611E">
        <w:rPr>
          <w:lang w:val="fr-CA"/>
        </w:rPr>
        <w:t>8</w:t>
      </w:r>
      <w:r w:rsidR="00F0068D" w:rsidRPr="0010611E">
        <w:rPr>
          <w:lang w:val="fr-CA"/>
        </w:rPr>
        <w:tab/>
      </w:r>
      <w:r w:rsidR="00352818" w:rsidRPr="0010611E">
        <w:rPr>
          <w:lang w:val="fr-CA"/>
        </w:rPr>
        <w:t>462</w:t>
      </w:r>
      <w:r w:rsidR="00F0068D" w:rsidRPr="0010611E">
        <w:rPr>
          <w:lang w:val="fr-CA"/>
        </w:rPr>
        <w:t xml:space="preserve"> - </w:t>
      </w:r>
      <w:r w:rsidR="008B340A" w:rsidRPr="0010611E">
        <w:rPr>
          <w:lang w:val="fr-CA"/>
        </w:rPr>
        <w:t>509</w:t>
      </w:r>
      <w:r w:rsidR="00440E24" w:rsidRPr="0010611E">
        <w:rPr>
          <w:lang w:val="fr-CA"/>
        </w:rPr>
        <w:tab/>
        <w:t>Le</w:t>
      </w:r>
      <w:r w:rsidR="00C73D06" w:rsidRPr="0010611E">
        <w:rPr>
          <w:lang w:val="fr-CA"/>
        </w:rPr>
        <w:t xml:space="preserve"> </w:t>
      </w:r>
      <w:r w:rsidRPr="0010611E">
        <w:rPr>
          <w:lang w:val="fr-CA"/>
        </w:rPr>
        <w:t>20 avril</w:t>
      </w:r>
      <w:r w:rsidR="00440E24" w:rsidRPr="0010611E">
        <w:rPr>
          <w:lang w:val="fr-CA"/>
        </w:rPr>
        <w:t xml:space="preserve"> 201</w:t>
      </w:r>
      <w:r w:rsidR="00DC0577" w:rsidRPr="0010611E">
        <w:rPr>
          <w:lang w:val="fr-CA"/>
        </w:rPr>
        <w:t>8</w:t>
      </w:r>
    </w:p>
    <w:p w:rsidR="00440E24" w:rsidRPr="0010611E" w:rsidRDefault="00440E24" w:rsidP="00440E24">
      <w:pPr>
        <w:pBdr>
          <w:bottom w:val="single" w:sz="6" w:space="1" w:color="auto"/>
        </w:pBdr>
        <w:tabs>
          <w:tab w:val="right" w:pos="9360"/>
        </w:tabs>
        <w:rPr>
          <w:lang w:val="fr-CA"/>
        </w:rPr>
      </w:pPr>
    </w:p>
    <w:p w:rsidR="00440E24" w:rsidRPr="0010611E" w:rsidRDefault="00440E24" w:rsidP="00440E24">
      <w:pPr>
        <w:pBdr>
          <w:bottom w:val="single" w:sz="6" w:space="1" w:color="auto"/>
        </w:pBdr>
        <w:tabs>
          <w:tab w:val="right" w:pos="9360"/>
        </w:tabs>
        <w:rPr>
          <w:sz w:val="18"/>
          <w:szCs w:val="18"/>
          <w:lang w:val="fr-CA"/>
        </w:rPr>
      </w:pPr>
      <w:r w:rsidRPr="0010611E">
        <w:rPr>
          <w:sz w:val="18"/>
          <w:szCs w:val="18"/>
          <w:lang w:val="fr-CA"/>
        </w:rPr>
        <w:t>© Supreme Court of Canada (</w:t>
      </w:r>
      <w:r w:rsidR="0030050B" w:rsidRPr="0010611E">
        <w:rPr>
          <w:sz w:val="18"/>
          <w:szCs w:val="18"/>
          <w:lang w:val="fr-CA"/>
        </w:rPr>
        <w:t>201</w:t>
      </w:r>
      <w:r w:rsidR="00A20D2D" w:rsidRPr="0010611E">
        <w:rPr>
          <w:sz w:val="18"/>
          <w:szCs w:val="18"/>
          <w:lang w:val="fr-CA"/>
        </w:rPr>
        <w:t>8</w:t>
      </w:r>
      <w:r w:rsidRPr="0010611E">
        <w:rPr>
          <w:sz w:val="18"/>
          <w:szCs w:val="18"/>
          <w:lang w:val="fr-CA"/>
        </w:rPr>
        <w:t>)</w:t>
      </w:r>
      <w:r w:rsidRPr="0010611E">
        <w:rPr>
          <w:sz w:val="18"/>
          <w:szCs w:val="18"/>
          <w:lang w:val="fr-CA"/>
        </w:rPr>
        <w:tab/>
        <w:t>© Cour suprême du Canada (</w:t>
      </w:r>
      <w:r w:rsidR="0030050B" w:rsidRPr="0010611E">
        <w:rPr>
          <w:sz w:val="18"/>
          <w:szCs w:val="18"/>
          <w:lang w:val="fr-CA"/>
        </w:rPr>
        <w:t>201</w:t>
      </w:r>
      <w:r w:rsidR="00A20D2D" w:rsidRPr="0010611E">
        <w:rPr>
          <w:sz w:val="18"/>
          <w:szCs w:val="18"/>
          <w:lang w:val="fr-CA"/>
        </w:rPr>
        <w:t>8</w:t>
      </w:r>
      <w:r w:rsidRPr="0010611E">
        <w:rPr>
          <w:sz w:val="18"/>
          <w:szCs w:val="18"/>
          <w:lang w:val="fr-CA"/>
        </w:rPr>
        <w:t>)</w:t>
      </w:r>
    </w:p>
    <w:p w:rsidR="00440E24" w:rsidRPr="0010611E" w:rsidRDefault="00440E24" w:rsidP="00440E24">
      <w:pPr>
        <w:pBdr>
          <w:bottom w:val="single" w:sz="6" w:space="1" w:color="auto"/>
        </w:pBdr>
        <w:tabs>
          <w:tab w:val="right" w:pos="9360"/>
        </w:tabs>
        <w:rPr>
          <w:sz w:val="18"/>
          <w:szCs w:val="18"/>
          <w:lang w:val="fr-CA"/>
        </w:rPr>
      </w:pPr>
      <w:r w:rsidRPr="0010611E">
        <w:rPr>
          <w:sz w:val="18"/>
          <w:szCs w:val="18"/>
          <w:lang w:val="fr-CA"/>
        </w:rPr>
        <w:t>ISSN 1918-8358 (Online)</w:t>
      </w:r>
      <w:r w:rsidRPr="0010611E">
        <w:rPr>
          <w:sz w:val="18"/>
          <w:szCs w:val="18"/>
          <w:lang w:val="fr-CA"/>
        </w:rPr>
        <w:tab/>
        <w:t>ISSN 1918-8358 (En ligne)</w:t>
      </w:r>
    </w:p>
    <w:p w:rsidR="00600252" w:rsidRPr="0010611E" w:rsidRDefault="00600252" w:rsidP="00BF25F3">
      <w:pPr>
        <w:pBdr>
          <w:bottom w:val="single" w:sz="6" w:space="1" w:color="auto"/>
        </w:pBdr>
        <w:tabs>
          <w:tab w:val="left" w:pos="6075"/>
        </w:tabs>
        <w:rPr>
          <w:lang w:val="fr-CA"/>
        </w:rPr>
      </w:pPr>
    </w:p>
    <w:p w:rsidR="0030050B" w:rsidRPr="0010611E"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10611E" w:rsidTr="00245129">
        <w:tc>
          <w:tcPr>
            <w:tcW w:w="4290" w:type="dxa"/>
            <w:shd w:val="clear" w:color="auto" w:fill="auto"/>
            <w:tcMar>
              <w:left w:w="0" w:type="dxa"/>
              <w:right w:w="0" w:type="dxa"/>
            </w:tcMar>
          </w:tcPr>
          <w:p w:rsidR="00245129" w:rsidRPr="0010611E" w:rsidRDefault="00245129" w:rsidP="00245129">
            <w:pPr>
              <w:jc w:val="both"/>
              <w:rPr>
                <w:rFonts w:eastAsia="Times New Roman" w:cs="Times New Roman"/>
                <w:b/>
                <w:sz w:val="20"/>
                <w:szCs w:val="20"/>
                <w:lang w:eastAsia="en-CA"/>
              </w:rPr>
            </w:pPr>
            <w:r w:rsidRPr="0010611E">
              <w:rPr>
                <w:b/>
              </w:rPr>
              <w:lastRenderedPageBreak/>
              <w:t>CONTENTS</w:t>
            </w:r>
          </w:p>
        </w:tc>
        <w:tc>
          <w:tcPr>
            <w:tcW w:w="1200" w:type="dxa"/>
            <w:shd w:val="clear" w:color="auto" w:fill="auto"/>
            <w:tcMar>
              <w:left w:w="0" w:type="dxa"/>
              <w:right w:w="0" w:type="dxa"/>
            </w:tcMar>
          </w:tcPr>
          <w:p w:rsidR="00245129" w:rsidRPr="0010611E" w:rsidRDefault="00245129" w:rsidP="00245129">
            <w:pPr>
              <w:jc w:val="center"/>
              <w:rPr>
                <w:rFonts w:eastAsia="Times New Roman" w:cs="Times New Roman"/>
                <w:b/>
                <w:sz w:val="20"/>
                <w:szCs w:val="20"/>
                <w:lang w:eastAsia="en-CA"/>
              </w:rPr>
            </w:pPr>
          </w:p>
          <w:p w:rsidR="00245129" w:rsidRPr="0010611E"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10611E" w:rsidRDefault="00245129" w:rsidP="00245129">
            <w:pPr>
              <w:rPr>
                <w:rFonts w:eastAsia="Times New Roman" w:cs="Times New Roman"/>
                <w:b/>
                <w:sz w:val="20"/>
                <w:szCs w:val="20"/>
                <w:lang w:val="fr-CA" w:eastAsia="en-CA"/>
              </w:rPr>
            </w:pPr>
            <w:r w:rsidRPr="0010611E">
              <w:rPr>
                <w:b/>
                <w:lang w:val="fr-CA"/>
              </w:rPr>
              <w:t>TABLE DES MATIÈRES</w:t>
            </w:r>
          </w:p>
        </w:tc>
      </w:tr>
    </w:tbl>
    <w:p w:rsidR="0095096B" w:rsidRPr="0010611E"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10611E" w:rsidTr="00164E6D">
        <w:tc>
          <w:tcPr>
            <w:tcW w:w="3708" w:type="dxa"/>
          </w:tcPr>
          <w:p w:rsidR="0095096B" w:rsidRPr="0010611E" w:rsidRDefault="0095096B" w:rsidP="0095096B">
            <w:pPr>
              <w:tabs>
                <w:tab w:val="right" w:pos="9360"/>
              </w:tabs>
              <w:rPr>
                <w:rFonts w:cs="Times New Roman"/>
                <w:sz w:val="20"/>
                <w:szCs w:val="20"/>
              </w:rPr>
            </w:pPr>
            <w:r w:rsidRPr="0010611E">
              <w:rPr>
                <w:rFonts w:cs="Times New Roman"/>
                <w:sz w:val="20"/>
                <w:szCs w:val="20"/>
              </w:rPr>
              <w:t xml:space="preserve">Applications for leave to appeal </w:t>
            </w:r>
          </w:p>
          <w:p w:rsidR="0095096B" w:rsidRPr="0010611E" w:rsidRDefault="0095096B" w:rsidP="0095096B">
            <w:pPr>
              <w:tabs>
                <w:tab w:val="right" w:pos="9360"/>
              </w:tabs>
              <w:rPr>
                <w:rFonts w:cs="Times New Roman"/>
                <w:sz w:val="20"/>
                <w:szCs w:val="20"/>
              </w:rPr>
            </w:pPr>
            <w:r w:rsidRPr="0010611E">
              <w:rPr>
                <w:rFonts w:cs="Times New Roman"/>
                <w:sz w:val="20"/>
                <w:szCs w:val="20"/>
              </w:rPr>
              <w:t>filed</w:t>
            </w:r>
          </w:p>
          <w:p w:rsidR="0095096B" w:rsidRPr="0010611E" w:rsidRDefault="0095096B" w:rsidP="0095096B">
            <w:pPr>
              <w:tabs>
                <w:tab w:val="right" w:pos="9360"/>
              </w:tabs>
              <w:rPr>
                <w:rFonts w:cs="Times New Roman"/>
                <w:sz w:val="20"/>
                <w:szCs w:val="20"/>
              </w:rPr>
            </w:pPr>
          </w:p>
          <w:p w:rsidR="0095096B" w:rsidRPr="0010611E" w:rsidRDefault="0095096B" w:rsidP="0095096B">
            <w:pPr>
              <w:tabs>
                <w:tab w:val="right" w:pos="9360"/>
              </w:tabs>
              <w:rPr>
                <w:rFonts w:cs="Times New Roman"/>
                <w:sz w:val="20"/>
                <w:szCs w:val="20"/>
              </w:rPr>
            </w:pPr>
            <w:r w:rsidRPr="0010611E">
              <w:rPr>
                <w:rFonts w:cs="Times New Roman"/>
                <w:sz w:val="20"/>
                <w:szCs w:val="20"/>
              </w:rPr>
              <w:t xml:space="preserve">Applications for leave submitted </w:t>
            </w:r>
          </w:p>
          <w:p w:rsidR="0095096B" w:rsidRPr="0010611E" w:rsidRDefault="0095096B" w:rsidP="0095096B">
            <w:pPr>
              <w:tabs>
                <w:tab w:val="right" w:pos="9360"/>
              </w:tabs>
              <w:rPr>
                <w:rFonts w:cs="Times New Roman"/>
                <w:sz w:val="20"/>
                <w:szCs w:val="20"/>
              </w:rPr>
            </w:pPr>
            <w:r w:rsidRPr="0010611E">
              <w:rPr>
                <w:rFonts w:cs="Times New Roman"/>
                <w:sz w:val="20"/>
                <w:szCs w:val="20"/>
              </w:rPr>
              <w:t>to Court since last issue</w:t>
            </w:r>
          </w:p>
          <w:p w:rsidR="0095096B" w:rsidRPr="0010611E" w:rsidRDefault="0095096B" w:rsidP="0095096B">
            <w:pPr>
              <w:tabs>
                <w:tab w:val="right" w:pos="9360"/>
              </w:tabs>
              <w:rPr>
                <w:rFonts w:cs="Times New Roman"/>
                <w:sz w:val="20"/>
                <w:szCs w:val="20"/>
              </w:rPr>
            </w:pPr>
          </w:p>
          <w:p w:rsidR="0095096B" w:rsidRPr="0010611E" w:rsidRDefault="0095096B" w:rsidP="0095096B">
            <w:pPr>
              <w:tabs>
                <w:tab w:val="right" w:pos="9360"/>
              </w:tabs>
              <w:rPr>
                <w:rFonts w:cs="Times New Roman"/>
                <w:sz w:val="20"/>
                <w:szCs w:val="20"/>
              </w:rPr>
            </w:pPr>
            <w:r w:rsidRPr="0010611E">
              <w:rPr>
                <w:rFonts w:cs="Times New Roman"/>
                <w:sz w:val="20"/>
                <w:szCs w:val="20"/>
              </w:rPr>
              <w:t xml:space="preserve">Judgments on applications for </w:t>
            </w:r>
          </w:p>
          <w:p w:rsidR="0095096B" w:rsidRPr="0010611E" w:rsidRDefault="0095096B" w:rsidP="0095096B">
            <w:pPr>
              <w:tabs>
                <w:tab w:val="right" w:pos="9360"/>
              </w:tabs>
              <w:rPr>
                <w:rFonts w:cs="Times New Roman"/>
                <w:sz w:val="20"/>
                <w:szCs w:val="20"/>
              </w:rPr>
            </w:pPr>
            <w:r w:rsidRPr="0010611E">
              <w:rPr>
                <w:rFonts w:cs="Times New Roman"/>
                <w:sz w:val="20"/>
                <w:szCs w:val="20"/>
              </w:rPr>
              <w:t>leave</w:t>
            </w:r>
          </w:p>
          <w:p w:rsidR="0095096B" w:rsidRPr="0010611E" w:rsidRDefault="0095096B" w:rsidP="0095096B">
            <w:pPr>
              <w:tabs>
                <w:tab w:val="right" w:pos="9360"/>
              </w:tabs>
              <w:rPr>
                <w:rFonts w:cs="Times New Roman"/>
                <w:sz w:val="20"/>
                <w:szCs w:val="20"/>
              </w:rPr>
            </w:pPr>
          </w:p>
          <w:p w:rsidR="0095096B" w:rsidRPr="0010611E" w:rsidRDefault="0095096B" w:rsidP="0095096B">
            <w:pPr>
              <w:tabs>
                <w:tab w:val="right" w:pos="9360"/>
              </w:tabs>
              <w:rPr>
                <w:rFonts w:cs="Times New Roman"/>
                <w:sz w:val="20"/>
                <w:szCs w:val="20"/>
              </w:rPr>
            </w:pPr>
            <w:r w:rsidRPr="0010611E">
              <w:rPr>
                <w:rFonts w:cs="Times New Roman"/>
                <w:sz w:val="20"/>
                <w:szCs w:val="20"/>
              </w:rPr>
              <w:t>Motions</w:t>
            </w:r>
          </w:p>
          <w:p w:rsidR="0095096B" w:rsidRPr="0010611E" w:rsidRDefault="0095096B" w:rsidP="0095096B">
            <w:pPr>
              <w:tabs>
                <w:tab w:val="right" w:pos="9360"/>
              </w:tabs>
              <w:rPr>
                <w:rFonts w:cs="Times New Roman"/>
                <w:sz w:val="20"/>
                <w:szCs w:val="20"/>
              </w:rPr>
            </w:pPr>
          </w:p>
          <w:p w:rsidR="0095096B" w:rsidRPr="0010611E" w:rsidRDefault="0095096B" w:rsidP="0095096B">
            <w:pPr>
              <w:tabs>
                <w:tab w:val="right" w:pos="9360"/>
              </w:tabs>
              <w:rPr>
                <w:rFonts w:cs="Times New Roman"/>
                <w:sz w:val="20"/>
                <w:szCs w:val="20"/>
              </w:rPr>
            </w:pPr>
            <w:r w:rsidRPr="0010611E">
              <w:rPr>
                <w:rFonts w:cs="Times New Roman"/>
                <w:sz w:val="20"/>
                <w:szCs w:val="20"/>
              </w:rPr>
              <w:t>Appeals heard since last issue and disposition</w:t>
            </w:r>
          </w:p>
          <w:p w:rsidR="0095096B" w:rsidRPr="0010611E" w:rsidRDefault="0095096B" w:rsidP="0095096B">
            <w:pPr>
              <w:tabs>
                <w:tab w:val="right" w:pos="9360"/>
              </w:tabs>
              <w:rPr>
                <w:rFonts w:cs="Times New Roman"/>
                <w:sz w:val="20"/>
                <w:szCs w:val="20"/>
              </w:rPr>
            </w:pPr>
          </w:p>
          <w:p w:rsidR="0095096B" w:rsidRPr="0010611E" w:rsidRDefault="0095096B" w:rsidP="0095096B">
            <w:pPr>
              <w:tabs>
                <w:tab w:val="right" w:pos="9360"/>
              </w:tabs>
              <w:rPr>
                <w:rFonts w:cs="Times New Roman"/>
                <w:sz w:val="20"/>
                <w:szCs w:val="20"/>
              </w:rPr>
            </w:pPr>
            <w:r w:rsidRPr="0010611E">
              <w:rPr>
                <w:rFonts w:cs="Times New Roman"/>
                <w:sz w:val="20"/>
                <w:szCs w:val="20"/>
              </w:rPr>
              <w:t>Pronouncements of appeals reserved</w:t>
            </w:r>
          </w:p>
          <w:p w:rsidR="0095096B" w:rsidRPr="0010611E" w:rsidRDefault="0095096B" w:rsidP="0095096B">
            <w:pPr>
              <w:tabs>
                <w:tab w:val="right" w:pos="9360"/>
              </w:tabs>
              <w:rPr>
                <w:rFonts w:cs="Times New Roman"/>
                <w:sz w:val="20"/>
                <w:szCs w:val="20"/>
              </w:rPr>
            </w:pPr>
          </w:p>
          <w:p w:rsidR="00A7685F" w:rsidRPr="0010611E" w:rsidRDefault="00A7685F" w:rsidP="0095096B">
            <w:pPr>
              <w:tabs>
                <w:tab w:val="right" w:pos="9360"/>
              </w:tabs>
              <w:rPr>
                <w:rFonts w:cs="Times New Roman"/>
                <w:sz w:val="20"/>
                <w:szCs w:val="20"/>
              </w:rPr>
            </w:pPr>
          </w:p>
          <w:p w:rsidR="0095096B" w:rsidRPr="0010611E" w:rsidRDefault="0095096B" w:rsidP="0095096B">
            <w:pPr>
              <w:tabs>
                <w:tab w:val="right" w:pos="9360"/>
              </w:tabs>
              <w:rPr>
                <w:rFonts w:cs="Times New Roman"/>
                <w:sz w:val="20"/>
                <w:szCs w:val="20"/>
              </w:rPr>
            </w:pPr>
            <w:r w:rsidRPr="0010611E">
              <w:rPr>
                <w:rFonts w:cs="Times New Roman"/>
                <w:sz w:val="20"/>
                <w:szCs w:val="20"/>
              </w:rPr>
              <w:t>Headnotes of recent judgments</w:t>
            </w:r>
          </w:p>
          <w:p w:rsidR="00A87207" w:rsidRPr="0010611E" w:rsidRDefault="00A87207" w:rsidP="00691525">
            <w:pPr>
              <w:tabs>
                <w:tab w:val="right" w:pos="9360"/>
              </w:tabs>
              <w:rPr>
                <w:rFonts w:cs="Times New Roman"/>
                <w:sz w:val="20"/>
                <w:szCs w:val="20"/>
              </w:rPr>
            </w:pPr>
          </w:p>
        </w:tc>
        <w:tc>
          <w:tcPr>
            <w:tcW w:w="1980" w:type="dxa"/>
          </w:tcPr>
          <w:p w:rsidR="0095096B" w:rsidRPr="0010611E" w:rsidRDefault="00691525" w:rsidP="0095096B">
            <w:pPr>
              <w:jc w:val="center"/>
              <w:rPr>
                <w:rFonts w:cs="Times New Roman"/>
                <w:sz w:val="20"/>
                <w:szCs w:val="20"/>
              </w:rPr>
            </w:pPr>
            <w:r w:rsidRPr="0010611E">
              <w:rPr>
                <w:rFonts w:cs="Times New Roman"/>
                <w:sz w:val="20"/>
                <w:szCs w:val="20"/>
              </w:rPr>
              <w:t xml:space="preserve">462 </w:t>
            </w:r>
            <w:r w:rsidR="000E27A5" w:rsidRPr="0010611E">
              <w:rPr>
                <w:rFonts w:cs="Times New Roman"/>
                <w:sz w:val="20"/>
                <w:szCs w:val="20"/>
              </w:rPr>
              <w:fldChar w:fldCharType="begin"/>
            </w:r>
            <w:r w:rsidR="0095096B" w:rsidRPr="0010611E">
              <w:rPr>
                <w:rFonts w:cs="Times New Roman"/>
                <w:sz w:val="20"/>
                <w:szCs w:val="20"/>
              </w:rPr>
              <w:instrText xml:space="preserve"> SEQ CHAPTER \h \r 1</w:instrText>
            </w:r>
            <w:r w:rsidR="000E27A5" w:rsidRPr="0010611E">
              <w:rPr>
                <w:rFonts w:cs="Times New Roman"/>
                <w:sz w:val="20"/>
                <w:szCs w:val="20"/>
              </w:rPr>
              <w:fldChar w:fldCharType="end"/>
            </w:r>
            <w:r w:rsidR="0095096B" w:rsidRPr="0010611E">
              <w:rPr>
                <w:rFonts w:cs="Times New Roman"/>
                <w:sz w:val="20"/>
                <w:szCs w:val="20"/>
              </w:rPr>
              <w:t>-</w:t>
            </w:r>
            <w:r w:rsidRPr="0010611E">
              <w:rPr>
                <w:rFonts w:cs="Times New Roman"/>
                <w:sz w:val="20"/>
                <w:szCs w:val="20"/>
              </w:rPr>
              <w:t xml:space="preserve"> 463</w:t>
            </w:r>
          </w:p>
          <w:p w:rsidR="0095096B" w:rsidRPr="0010611E" w:rsidRDefault="0095096B" w:rsidP="0095096B">
            <w:pPr>
              <w:jc w:val="center"/>
              <w:rPr>
                <w:rFonts w:cs="Times New Roman"/>
                <w:sz w:val="20"/>
                <w:szCs w:val="20"/>
              </w:rPr>
            </w:pPr>
          </w:p>
          <w:p w:rsidR="0095096B" w:rsidRPr="0010611E" w:rsidRDefault="0095096B" w:rsidP="0095096B">
            <w:pPr>
              <w:jc w:val="center"/>
              <w:rPr>
                <w:rFonts w:cs="Times New Roman"/>
                <w:sz w:val="20"/>
                <w:szCs w:val="20"/>
              </w:rPr>
            </w:pPr>
          </w:p>
          <w:p w:rsidR="0095096B" w:rsidRPr="0010611E" w:rsidRDefault="00691525" w:rsidP="0095096B">
            <w:pPr>
              <w:jc w:val="center"/>
              <w:rPr>
                <w:rFonts w:cs="Times New Roman"/>
                <w:sz w:val="20"/>
                <w:szCs w:val="20"/>
              </w:rPr>
            </w:pPr>
            <w:r w:rsidRPr="0010611E">
              <w:rPr>
                <w:rFonts w:cs="Times New Roman"/>
                <w:sz w:val="20"/>
                <w:szCs w:val="20"/>
              </w:rPr>
              <w:t>464</w:t>
            </w:r>
          </w:p>
          <w:p w:rsidR="0095096B" w:rsidRPr="0010611E" w:rsidRDefault="0095096B" w:rsidP="0095096B">
            <w:pPr>
              <w:jc w:val="center"/>
              <w:rPr>
                <w:rFonts w:cs="Times New Roman"/>
                <w:sz w:val="20"/>
                <w:szCs w:val="20"/>
              </w:rPr>
            </w:pPr>
          </w:p>
          <w:p w:rsidR="0095096B" w:rsidRPr="0010611E" w:rsidRDefault="0095096B" w:rsidP="0095096B">
            <w:pPr>
              <w:jc w:val="center"/>
              <w:rPr>
                <w:rFonts w:cs="Times New Roman"/>
                <w:sz w:val="20"/>
                <w:szCs w:val="20"/>
              </w:rPr>
            </w:pPr>
          </w:p>
          <w:p w:rsidR="0095096B" w:rsidRPr="0010611E" w:rsidRDefault="00691525" w:rsidP="0095096B">
            <w:pPr>
              <w:jc w:val="center"/>
              <w:rPr>
                <w:rFonts w:cs="Times New Roman"/>
                <w:sz w:val="20"/>
                <w:szCs w:val="20"/>
              </w:rPr>
            </w:pPr>
            <w:r w:rsidRPr="0010611E">
              <w:rPr>
                <w:rFonts w:cs="Times New Roman"/>
                <w:sz w:val="20"/>
                <w:szCs w:val="20"/>
              </w:rPr>
              <w:t xml:space="preserve">465 </w:t>
            </w:r>
            <w:r w:rsidR="0095096B" w:rsidRPr="0010611E">
              <w:rPr>
                <w:rFonts w:cs="Times New Roman"/>
                <w:sz w:val="20"/>
                <w:szCs w:val="20"/>
              </w:rPr>
              <w:t>-</w:t>
            </w:r>
            <w:r w:rsidRPr="0010611E">
              <w:rPr>
                <w:rFonts w:cs="Times New Roman"/>
                <w:sz w:val="20"/>
                <w:szCs w:val="20"/>
              </w:rPr>
              <w:t xml:space="preserve"> 472</w:t>
            </w:r>
          </w:p>
          <w:p w:rsidR="0095096B" w:rsidRPr="0010611E" w:rsidRDefault="0095096B" w:rsidP="0095096B">
            <w:pPr>
              <w:jc w:val="center"/>
              <w:rPr>
                <w:rFonts w:cs="Times New Roman"/>
                <w:sz w:val="20"/>
                <w:szCs w:val="20"/>
              </w:rPr>
            </w:pPr>
          </w:p>
          <w:p w:rsidR="00691525" w:rsidRPr="0010611E" w:rsidRDefault="00691525" w:rsidP="0095096B">
            <w:pPr>
              <w:jc w:val="center"/>
              <w:rPr>
                <w:rFonts w:cs="Times New Roman"/>
                <w:sz w:val="20"/>
                <w:szCs w:val="20"/>
              </w:rPr>
            </w:pPr>
          </w:p>
          <w:p w:rsidR="0095096B" w:rsidRPr="0010611E" w:rsidRDefault="00691525" w:rsidP="0095096B">
            <w:pPr>
              <w:jc w:val="center"/>
              <w:rPr>
                <w:rFonts w:cs="Times New Roman"/>
                <w:sz w:val="20"/>
                <w:szCs w:val="20"/>
              </w:rPr>
            </w:pPr>
            <w:r w:rsidRPr="0010611E">
              <w:rPr>
                <w:rFonts w:cs="Times New Roman"/>
                <w:sz w:val="20"/>
                <w:szCs w:val="20"/>
              </w:rPr>
              <w:t xml:space="preserve">473 </w:t>
            </w:r>
            <w:r w:rsidR="0095096B" w:rsidRPr="0010611E">
              <w:rPr>
                <w:rFonts w:cs="Times New Roman"/>
                <w:sz w:val="20"/>
                <w:szCs w:val="20"/>
              </w:rPr>
              <w:t>-</w:t>
            </w:r>
            <w:r w:rsidRPr="0010611E">
              <w:rPr>
                <w:rFonts w:cs="Times New Roman"/>
                <w:sz w:val="20"/>
                <w:szCs w:val="20"/>
              </w:rPr>
              <w:t xml:space="preserve"> 479</w:t>
            </w:r>
          </w:p>
          <w:p w:rsidR="0095096B" w:rsidRPr="0010611E" w:rsidRDefault="0095096B" w:rsidP="0095096B">
            <w:pPr>
              <w:jc w:val="center"/>
              <w:rPr>
                <w:rFonts w:cs="Times New Roman"/>
                <w:sz w:val="20"/>
                <w:szCs w:val="20"/>
              </w:rPr>
            </w:pPr>
          </w:p>
          <w:p w:rsidR="0095096B" w:rsidRPr="0010611E" w:rsidRDefault="00691525" w:rsidP="0095096B">
            <w:pPr>
              <w:jc w:val="center"/>
              <w:rPr>
                <w:rFonts w:cs="Times New Roman"/>
                <w:sz w:val="20"/>
                <w:szCs w:val="20"/>
              </w:rPr>
            </w:pPr>
            <w:r w:rsidRPr="0010611E">
              <w:rPr>
                <w:rFonts w:cs="Times New Roman"/>
                <w:sz w:val="20"/>
                <w:szCs w:val="20"/>
              </w:rPr>
              <w:t xml:space="preserve">480 </w:t>
            </w:r>
            <w:r w:rsidR="0095096B" w:rsidRPr="0010611E">
              <w:rPr>
                <w:rFonts w:cs="Times New Roman"/>
                <w:sz w:val="20"/>
                <w:szCs w:val="20"/>
              </w:rPr>
              <w:t>-</w:t>
            </w:r>
            <w:r w:rsidRPr="0010611E">
              <w:rPr>
                <w:rFonts w:cs="Times New Roman"/>
                <w:sz w:val="20"/>
                <w:szCs w:val="20"/>
              </w:rPr>
              <w:t xml:space="preserve"> 482</w:t>
            </w:r>
          </w:p>
          <w:p w:rsidR="0095096B" w:rsidRPr="0010611E" w:rsidRDefault="0095096B" w:rsidP="0095096B">
            <w:pPr>
              <w:jc w:val="center"/>
              <w:rPr>
                <w:rFonts w:cs="Times New Roman"/>
                <w:sz w:val="20"/>
                <w:szCs w:val="20"/>
              </w:rPr>
            </w:pPr>
          </w:p>
          <w:p w:rsidR="0095096B" w:rsidRPr="0010611E" w:rsidRDefault="0095096B" w:rsidP="0095096B">
            <w:pPr>
              <w:jc w:val="center"/>
              <w:rPr>
                <w:rFonts w:cs="Times New Roman"/>
                <w:sz w:val="20"/>
                <w:szCs w:val="20"/>
              </w:rPr>
            </w:pPr>
          </w:p>
          <w:p w:rsidR="0095096B" w:rsidRPr="0010611E" w:rsidRDefault="00691525" w:rsidP="0095096B">
            <w:pPr>
              <w:jc w:val="center"/>
              <w:rPr>
                <w:rFonts w:cs="Times New Roman"/>
                <w:sz w:val="20"/>
                <w:szCs w:val="20"/>
              </w:rPr>
            </w:pPr>
            <w:r w:rsidRPr="0010611E">
              <w:rPr>
                <w:rFonts w:cs="Times New Roman"/>
                <w:sz w:val="20"/>
                <w:szCs w:val="20"/>
              </w:rPr>
              <w:t>483</w:t>
            </w:r>
            <w:r w:rsidR="00DB0B98" w:rsidRPr="0010611E">
              <w:rPr>
                <w:rFonts w:cs="Times New Roman"/>
                <w:sz w:val="20"/>
                <w:szCs w:val="20"/>
              </w:rPr>
              <w:t xml:space="preserve"> - 484</w:t>
            </w:r>
          </w:p>
          <w:p w:rsidR="00691525" w:rsidRPr="0010611E" w:rsidRDefault="00691525" w:rsidP="0095096B">
            <w:pPr>
              <w:jc w:val="center"/>
              <w:rPr>
                <w:rFonts w:cs="Times New Roman"/>
                <w:sz w:val="20"/>
                <w:szCs w:val="20"/>
              </w:rPr>
            </w:pPr>
          </w:p>
          <w:p w:rsidR="00691525" w:rsidRPr="0010611E" w:rsidRDefault="00691525" w:rsidP="0095096B">
            <w:pPr>
              <w:jc w:val="center"/>
              <w:rPr>
                <w:rFonts w:cs="Times New Roman"/>
                <w:sz w:val="20"/>
                <w:szCs w:val="20"/>
              </w:rPr>
            </w:pPr>
          </w:p>
          <w:p w:rsidR="00A87207" w:rsidRPr="0010611E" w:rsidRDefault="00DB0B98" w:rsidP="00691525">
            <w:pPr>
              <w:jc w:val="center"/>
              <w:rPr>
                <w:rFonts w:cs="Times New Roman"/>
                <w:sz w:val="20"/>
                <w:szCs w:val="20"/>
              </w:rPr>
            </w:pPr>
            <w:r w:rsidRPr="0010611E">
              <w:rPr>
                <w:rFonts w:cs="Times New Roman"/>
                <w:sz w:val="20"/>
                <w:szCs w:val="20"/>
              </w:rPr>
              <w:t>485</w:t>
            </w:r>
            <w:r w:rsidR="00691525" w:rsidRPr="0010611E">
              <w:rPr>
                <w:rFonts w:cs="Times New Roman"/>
                <w:sz w:val="20"/>
                <w:szCs w:val="20"/>
              </w:rPr>
              <w:t xml:space="preserve"> </w:t>
            </w:r>
            <w:r w:rsidR="0095096B" w:rsidRPr="0010611E">
              <w:rPr>
                <w:rFonts w:cs="Times New Roman"/>
                <w:sz w:val="20"/>
                <w:szCs w:val="20"/>
              </w:rPr>
              <w:t>-</w:t>
            </w:r>
            <w:r w:rsidR="008B340A" w:rsidRPr="0010611E">
              <w:rPr>
                <w:rFonts w:cs="Times New Roman"/>
                <w:sz w:val="20"/>
                <w:szCs w:val="20"/>
              </w:rPr>
              <w:t xml:space="preserve"> 509</w:t>
            </w:r>
          </w:p>
        </w:tc>
        <w:tc>
          <w:tcPr>
            <w:tcW w:w="3888" w:type="dxa"/>
          </w:tcPr>
          <w:p w:rsidR="0095096B" w:rsidRPr="0010611E" w:rsidRDefault="000E27A5" w:rsidP="0095096B">
            <w:pPr>
              <w:rPr>
                <w:rFonts w:cs="Times New Roman"/>
                <w:sz w:val="20"/>
                <w:szCs w:val="20"/>
                <w:lang w:val="fr-CA"/>
              </w:rPr>
            </w:pPr>
            <w:r w:rsidRPr="0010611E">
              <w:rPr>
                <w:rFonts w:cs="Times New Roman"/>
                <w:sz w:val="20"/>
                <w:szCs w:val="20"/>
                <w:lang w:val="fr-CA"/>
              </w:rPr>
              <w:fldChar w:fldCharType="begin"/>
            </w:r>
            <w:r w:rsidR="0095096B" w:rsidRPr="0010611E">
              <w:rPr>
                <w:rFonts w:cs="Times New Roman"/>
                <w:sz w:val="20"/>
                <w:szCs w:val="20"/>
                <w:lang w:val="fr-CA"/>
              </w:rPr>
              <w:instrText xml:space="preserve"> SEQ CHAPTER \h \r 1</w:instrText>
            </w:r>
            <w:r w:rsidRPr="0010611E">
              <w:rPr>
                <w:rFonts w:cs="Times New Roman"/>
                <w:sz w:val="20"/>
                <w:szCs w:val="20"/>
                <w:lang w:val="fr-CA"/>
              </w:rPr>
              <w:fldChar w:fldCharType="end"/>
            </w:r>
            <w:r w:rsidR="0095096B" w:rsidRPr="0010611E">
              <w:rPr>
                <w:rFonts w:cs="Times New Roman"/>
                <w:sz w:val="20"/>
                <w:szCs w:val="20"/>
                <w:lang w:val="fr-CA"/>
              </w:rPr>
              <w:t>Demandes d</w:t>
            </w:r>
            <w:r w:rsidR="004137A0" w:rsidRPr="0010611E">
              <w:rPr>
                <w:rFonts w:cs="Times New Roman"/>
                <w:sz w:val="20"/>
                <w:szCs w:val="20"/>
                <w:lang w:val="fr-CA"/>
              </w:rPr>
              <w:t>’</w:t>
            </w:r>
            <w:r w:rsidR="0095096B" w:rsidRPr="0010611E">
              <w:rPr>
                <w:rFonts w:cs="Times New Roman"/>
                <w:sz w:val="20"/>
                <w:szCs w:val="20"/>
                <w:lang w:val="fr-CA"/>
              </w:rPr>
              <w:t>autorisation d</w:t>
            </w:r>
            <w:r w:rsidR="004137A0" w:rsidRPr="0010611E">
              <w:rPr>
                <w:rFonts w:cs="Times New Roman"/>
                <w:sz w:val="20"/>
                <w:szCs w:val="20"/>
                <w:lang w:val="fr-CA"/>
              </w:rPr>
              <w:t>’</w:t>
            </w:r>
            <w:r w:rsidR="0095096B" w:rsidRPr="0010611E">
              <w:rPr>
                <w:rFonts w:cs="Times New Roman"/>
                <w:sz w:val="20"/>
                <w:szCs w:val="20"/>
                <w:lang w:val="fr-CA"/>
              </w:rPr>
              <w:t xml:space="preserve">appel </w:t>
            </w:r>
          </w:p>
          <w:p w:rsidR="0095096B" w:rsidRPr="0010611E" w:rsidRDefault="0095096B" w:rsidP="0095096B">
            <w:pPr>
              <w:rPr>
                <w:rFonts w:cs="Times New Roman"/>
                <w:sz w:val="20"/>
                <w:szCs w:val="20"/>
                <w:lang w:val="fr-CA"/>
              </w:rPr>
            </w:pPr>
            <w:r w:rsidRPr="0010611E">
              <w:rPr>
                <w:rFonts w:cs="Times New Roman"/>
                <w:sz w:val="20"/>
                <w:szCs w:val="20"/>
                <w:lang w:val="fr-CA"/>
              </w:rPr>
              <w:t>déposées</w:t>
            </w:r>
          </w:p>
          <w:p w:rsidR="0095096B" w:rsidRPr="0010611E" w:rsidRDefault="0095096B" w:rsidP="0095096B">
            <w:pPr>
              <w:rPr>
                <w:rFonts w:cs="Times New Roman"/>
                <w:sz w:val="20"/>
                <w:szCs w:val="20"/>
                <w:lang w:val="fr-CA"/>
              </w:rPr>
            </w:pPr>
          </w:p>
          <w:p w:rsidR="0095096B" w:rsidRPr="0010611E" w:rsidRDefault="0095096B" w:rsidP="0095096B">
            <w:pPr>
              <w:rPr>
                <w:rFonts w:cs="Times New Roman"/>
                <w:sz w:val="20"/>
                <w:szCs w:val="20"/>
                <w:lang w:val="fr-CA"/>
              </w:rPr>
            </w:pPr>
            <w:r w:rsidRPr="0010611E">
              <w:rPr>
                <w:rFonts w:cs="Times New Roman"/>
                <w:sz w:val="20"/>
                <w:szCs w:val="20"/>
                <w:lang w:val="fr-CA"/>
              </w:rPr>
              <w:t xml:space="preserve">Demandes soumises à la Cour depuis la </w:t>
            </w:r>
          </w:p>
          <w:p w:rsidR="0095096B" w:rsidRPr="0010611E" w:rsidRDefault="0095096B" w:rsidP="0095096B">
            <w:pPr>
              <w:rPr>
                <w:rFonts w:cs="Times New Roman"/>
                <w:sz w:val="20"/>
                <w:szCs w:val="20"/>
                <w:lang w:val="fr-CA"/>
              </w:rPr>
            </w:pPr>
            <w:r w:rsidRPr="0010611E">
              <w:rPr>
                <w:rFonts w:cs="Times New Roman"/>
                <w:sz w:val="20"/>
                <w:szCs w:val="20"/>
                <w:lang w:val="fr-CA"/>
              </w:rPr>
              <w:t>dernière parution</w:t>
            </w:r>
          </w:p>
          <w:p w:rsidR="0095096B" w:rsidRPr="0010611E" w:rsidRDefault="0095096B" w:rsidP="0095096B">
            <w:pPr>
              <w:rPr>
                <w:rFonts w:cs="Times New Roman"/>
                <w:sz w:val="20"/>
                <w:szCs w:val="20"/>
                <w:lang w:val="fr-CA"/>
              </w:rPr>
            </w:pPr>
          </w:p>
          <w:p w:rsidR="0095096B" w:rsidRPr="0010611E" w:rsidRDefault="0095096B" w:rsidP="0095096B">
            <w:pPr>
              <w:rPr>
                <w:rFonts w:cs="Times New Roman"/>
                <w:sz w:val="20"/>
                <w:szCs w:val="20"/>
                <w:lang w:val="fr-CA"/>
              </w:rPr>
            </w:pPr>
            <w:r w:rsidRPr="0010611E">
              <w:rPr>
                <w:rFonts w:cs="Times New Roman"/>
                <w:sz w:val="20"/>
                <w:szCs w:val="20"/>
                <w:lang w:val="fr-CA"/>
              </w:rPr>
              <w:t xml:space="preserve">Jugements rendus sur les demandes </w:t>
            </w:r>
          </w:p>
          <w:p w:rsidR="0095096B" w:rsidRPr="0010611E" w:rsidRDefault="004137A0" w:rsidP="0095096B">
            <w:pPr>
              <w:rPr>
                <w:rFonts w:cs="Times New Roman"/>
                <w:sz w:val="20"/>
                <w:szCs w:val="20"/>
                <w:lang w:val="fr-CA"/>
              </w:rPr>
            </w:pPr>
            <w:r w:rsidRPr="0010611E">
              <w:rPr>
                <w:rFonts w:cs="Times New Roman"/>
                <w:sz w:val="20"/>
                <w:szCs w:val="20"/>
                <w:lang w:val="fr-CA"/>
              </w:rPr>
              <w:t>d’</w:t>
            </w:r>
            <w:r w:rsidR="0095096B" w:rsidRPr="0010611E">
              <w:rPr>
                <w:rFonts w:cs="Times New Roman"/>
                <w:sz w:val="20"/>
                <w:szCs w:val="20"/>
                <w:lang w:val="fr-CA"/>
              </w:rPr>
              <w:t>autorisation</w:t>
            </w:r>
          </w:p>
          <w:p w:rsidR="0095096B" w:rsidRPr="0010611E" w:rsidRDefault="0095096B" w:rsidP="0095096B">
            <w:pPr>
              <w:rPr>
                <w:rFonts w:cs="Times New Roman"/>
                <w:sz w:val="20"/>
                <w:szCs w:val="20"/>
                <w:lang w:val="fr-CA"/>
              </w:rPr>
            </w:pPr>
          </w:p>
          <w:p w:rsidR="0095096B" w:rsidRPr="0010611E" w:rsidRDefault="0095096B" w:rsidP="0095096B">
            <w:pPr>
              <w:rPr>
                <w:rFonts w:cs="Times New Roman"/>
                <w:sz w:val="20"/>
                <w:szCs w:val="20"/>
                <w:lang w:val="fr-CA"/>
              </w:rPr>
            </w:pPr>
            <w:r w:rsidRPr="0010611E">
              <w:rPr>
                <w:rFonts w:cs="Times New Roman"/>
                <w:sz w:val="20"/>
                <w:szCs w:val="20"/>
                <w:lang w:val="fr-CA"/>
              </w:rPr>
              <w:t>Requêtes</w:t>
            </w:r>
          </w:p>
          <w:p w:rsidR="0095096B" w:rsidRPr="0010611E" w:rsidRDefault="0095096B" w:rsidP="0095096B">
            <w:pPr>
              <w:rPr>
                <w:rFonts w:cs="Times New Roman"/>
                <w:sz w:val="20"/>
                <w:szCs w:val="20"/>
                <w:lang w:val="fr-CA"/>
              </w:rPr>
            </w:pPr>
          </w:p>
          <w:p w:rsidR="0095096B" w:rsidRPr="0010611E" w:rsidRDefault="0095096B" w:rsidP="0095096B">
            <w:pPr>
              <w:rPr>
                <w:rFonts w:cs="Times New Roman"/>
                <w:sz w:val="20"/>
                <w:szCs w:val="20"/>
                <w:lang w:val="fr-CA"/>
              </w:rPr>
            </w:pPr>
            <w:r w:rsidRPr="0010611E">
              <w:rPr>
                <w:rFonts w:cs="Times New Roman"/>
                <w:sz w:val="20"/>
                <w:szCs w:val="20"/>
                <w:lang w:val="fr-CA"/>
              </w:rPr>
              <w:t xml:space="preserve">Appels entendus depuis la dernière </w:t>
            </w:r>
          </w:p>
          <w:p w:rsidR="0095096B" w:rsidRPr="0010611E" w:rsidRDefault="0095096B" w:rsidP="0095096B">
            <w:pPr>
              <w:rPr>
                <w:rFonts w:cs="Times New Roman"/>
                <w:sz w:val="20"/>
                <w:szCs w:val="20"/>
                <w:lang w:val="fr-CA"/>
              </w:rPr>
            </w:pPr>
            <w:r w:rsidRPr="0010611E">
              <w:rPr>
                <w:rFonts w:cs="Times New Roman"/>
                <w:sz w:val="20"/>
                <w:szCs w:val="20"/>
                <w:lang w:val="fr-CA"/>
              </w:rPr>
              <w:t>parution et résultat</w:t>
            </w:r>
          </w:p>
          <w:p w:rsidR="0095096B" w:rsidRPr="0010611E" w:rsidRDefault="0095096B" w:rsidP="0095096B">
            <w:pPr>
              <w:rPr>
                <w:rFonts w:cs="Times New Roman"/>
                <w:sz w:val="20"/>
                <w:szCs w:val="20"/>
                <w:lang w:val="fr-CA"/>
              </w:rPr>
            </w:pPr>
          </w:p>
          <w:p w:rsidR="0095096B" w:rsidRPr="0010611E" w:rsidRDefault="0095096B" w:rsidP="0095096B">
            <w:pPr>
              <w:rPr>
                <w:rFonts w:cs="Times New Roman"/>
                <w:sz w:val="20"/>
                <w:szCs w:val="20"/>
                <w:lang w:val="fr-CA"/>
              </w:rPr>
            </w:pPr>
            <w:r w:rsidRPr="0010611E">
              <w:rPr>
                <w:rFonts w:cs="Times New Roman"/>
                <w:sz w:val="20"/>
                <w:szCs w:val="20"/>
                <w:lang w:val="fr-CA"/>
              </w:rPr>
              <w:t xml:space="preserve">Jugements rendus sur les appels en </w:t>
            </w:r>
          </w:p>
          <w:p w:rsidR="0095096B" w:rsidRPr="0010611E" w:rsidRDefault="0095096B" w:rsidP="0095096B">
            <w:pPr>
              <w:rPr>
                <w:rFonts w:cs="Times New Roman"/>
                <w:sz w:val="20"/>
                <w:szCs w:val="20"/>
                <w:lang w:val="fr-CA"/>
              </w:rPr>
            </w:pPr>
            <w:r w:rsidRPr="0010611E">
              <w:rPr>
                <w:rFonts w:cs="Times New Roman"/>
                <w:sz w:val="20"/>
                <w:szCs w:val="20"/>
                <w:lang w:val="fr-CA"/>
              </w:rPr>
              <w:t>délibéré</w:t>
            </w:r>
          </w:p>
          <w:p w:rsidR="0095096B" w:rsidRPr="0010611E" w:rsidRDefault="0095096B" w:rsidP="0095096B">
            <w:pPr>
              <w:rPr>
                <w:rFonts w:cs="Times New Roman"/>
                <w:sz w:val="20"/>
                <w:szCs w:val="20"/>
                <w:lang w:val="fr-CA"/>
              </w:rPr>
            </w:pPr>
          </w:p>
          <w:p w:rsidR="0095096B" w:rsidRPr="0010611E" w:rsidRDefault="0095096B" w:rsidP="0095096B">
            <w:pPr>
              <w:rPr>
                <w:rFonts w:cs="Times New Roman"/>
                <w:sz w:val="20"/>
                <w:szCs w:val="20"/>
                <w:lang w:val="fr-CA"/>
              </w:rPr>
            </w:pPr>
            <w:r w:rsidRPr="0010611E">
              <w:rPr>
                <w:rFonts w:cs="Times New Roman"/>
                <w:sz w:val="20"/>
                <w:szCs w:val="20"/>
                <w:lang w:val="fr-CA"/>
              </w:rPr>
              <w:t xml:space="preserve">Sommaires de </w:t>
            </w:r>
            <w:r w:rsidR="00C50A5C" w:rsidRPr="0010611E">
              <w:rPr>
                <w:rFonts w:cs="Times New Roman"/>
                <w:sz w:val="20"/>
                <w:szCs w:val="20"/>
                <w:lang w:val="fr-CA"/>
              </w:rPr>
              <w:t>jugements récents</w:t>
            </w:r>
          </w:p>
          <w:p w:rsidR="00A87207" w:rsidRPr="0010611E" w:rsidRDefault="00A87207" w:rsidP="002B4190">
            <w:pPr>
              <w:tabs>
                <w:tab w:val="right" w:pos="9360"/>
              </w:tabs>
              <w:rPr>
                <w:rFonts w:cs="Times New Roman"/>
                <w:sz w:val="20"/>
                <w:szCs w:val="20"/>
                <w:lang w:val="fr-CA"/>
              </w:rPr>
            </w:pPr>
          </w:p>
        </w:tc>
      </w:tr>
    </w:tbl>
    <w:p w:rsidR="0095096B" w:rsidRPr="0010611E"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644959" w:rsidTr="0079724F">
        <w:tc>
          <w:tcPr>
            <w:tcW w:w="9576" w:type="dxa"/>
          </w:tcPr>
          <w:p w:rsidR="0079724F" w:rsidRPr="0010611E" w:rsidRDefault="0079724F" w:rsidP="00215F7C">
            <w:pPr>
              <w:keepNext/>
              <w:tabs>
                <w:tab w:val="right" w:pos="9360"/>
              </w:tabs>
              <w:jc w:val="center"/>
              <w:rPr>
                <w:szCs w:val="24"/>
              </w:rPr>
            </w:pPr>
            <w:r w:rsidRPr="0010611E">
              <w:rPr>
                <w:szCs w:val="24"/>
              </w:rPr>
              <w:t>NOTICE</w:t>
            </w:r>
          </w:p>
          <w:p w:rsidR="0079724F" w:rsidRPr="0010611E" w:rsidRDefault="0079724F" w:rsidP="00215F7C">
            <w:pPr>
              <w:keepNext/>
              <w:tabs>
                <w:tab w:val="right" w:pos="9360"/>
              </w:tabs>
              <w:rPr>
                <w:szCs w:val="24"/>
              </w:rPr>
            </w:pPr>
          </w:p>
          <w:p w:rsidR="0079724F" w:rsidRPr="0010611E" w:rsidRDefault="0079724F" w:rsidP="00215F7C">
            <w:pPr>
              <w:keepNext/>
              <w:tabs>
                <w:tab w:val="right" w:pos="9360"/>
              </w:tabs>
              <w:jc w:val="both"/>
              <w:rPr>
                <w:szCs w:val="24"/>
              </w:rPr>
            </w:pPr>
            <w:r w:rsidRPr="0010611E">
              <w:rPr>
                <w:szCs w:val="24"/>
              </w:rPr>
              <w:t>Case summaries included in the Bulletin are prepared by the Office of the Registrar of the Supreme Court of Canada (Law Branch) for information purposes only.</w:t>
            </w:r>
          </w:p>
          <w:p w:rsidR="0079724F" w:rsidRPr="0010611E" w:rsidRDefault="0079724F" w:rsidP="00215F7C">
            <w:pPr>
              <w:keepNext/>
              <w:tabs>
                <w:tab w:val="right" w:pos="9360"/>
              </w:tabs>
              <w:rPr>
                <w:szCs w:val="24"/>
              </w:rPr>
            </w:pPr>
          </w:p>
          <w:p w:rsidR="0079724F" w:rsidRPr="0010611E" w:rsidRDefault="0079724F" w:rsidP="00215F7C">
            <w:pPr>
              <w:keepNext/>
              <w:tabs>
                <w:tab w:val="right" w:pos="9360"/>
              </w:tabs>
              <w:rPr>
                <w:szCs w:val="24"/>
              </w:rPr>
            </w:pPr>
          </w:p>
          <w:p w:rsidR="0079724F" w:rsidRPr="0010611E" w:rsidRDefault="0079724F" w:rsidP="00215F7C">
            <w:pPr>
              <w:keepNext/>
              <w:tabs>
                <w:tab w:val="right" w:pos="9360"/>
              </w:tabs>
              <w:jc w:val="center"/>
              <w:rPr>
                <w:szCs w:val="24"/>
                <w:lang w:val="fr-CA"/>
              </w:rPr>
            </w:pPr>
            <w:r w:rsidRPr="0010611E">
              <w:rPr>
                <w:szCs w:val="24"/>
                <w:lang w:val="fr-CA"/>
              </w:rPr>
              <w:t>AVIS</w:t>
            </w:r>
          </w:p>
          <w:p w:rsidR="0079724F" w:rsidRPr="0010611E" w:rsidRDefault="0079724F" w:rsidP="00215F7C">
            <w:pPr>
              <w:keepNext/>
              <w:tabs>
                <w:tab w:val="right" w:pos="9360"/>
              </w:tabs>
              <w:rPr>
                <w:szCs w:val="24"/>
                <w:lang w:val="fr-CA"/>
              </w:rPr>
            </w:pPr>
          </w:p>
          <w:p w:rsidR="0079724F" w:rsidRPr="0010611E" w:rsidRDefault="0079724F" w:rsidP="00215F7C">
            <w:pPr>
              <w:keepNext/>
              <w:tabs>
                <w:tab w:val="right" w:pos="9360"/>
              </w:tabs>
              <w:jc w:val="both"/>
              <w:rPr>
                <w:sz w:val="20"/>
                <w:szCs w:val="20"/>
                <w:lang w:val="fr-CA"/>
              </w:rPr>
            </w:pPr>
            <w:r w:rsidRPr="0010611E">
              <w:rPr>
                <w:szCs w:val="24"/>
                <w:lang w:val="fr-CA"/>
              </w:rPr>
              <w:t>Les résumés de dossiers publiés dans le bulletin sont préparés par le Bureau du registraire (Direction générale du droit) uniquement à titre d’information.</w:t>
            </w:r>
          </w:p>
        </w:tc>
      </w:tr>
    </w:tbl>
    <w:p w:rsidR="0095096B" w:rsidRPr="0010611E" w:rsidRDefault="0095096B" w:rsidP="0095096B">
      <w:pPr>
        <w:tabs>
          <w:tab w:val="right" w:pos="9360"/>
        </w:tabs>
        <w:rPr>
          <w:lang w:val="fr-CA"/>
        </w:rPr>
      </w:pPr>
    </w:p>
    <w:p w:rsidR="00C01FCB" w:rsidRPr="0010611E" w:rsidRDefault="00C01FCB" w:rsidP="0095096B">
      <w:pPr>
        <w:tabs>
          <w:tab w:val="right" w:pos="9360"/>
        </w:tabs>
        <w:rPr>
          <w:lang w:val="fr-CA"/>
        </w:rPr>
      </w:pPr>
    </w:p>
    <w:p w:rsidR="00C01FCB" w:rsidRPr="0010611E" w:rsidRDefault="00C01FCB" w:rsidP="0095096B">
      <w:pPr>
        <w:tabs>
          <w:tab w:val="right" w:pos="9360"/>
        </w:tabs>
        <w:rPr>
          <w:lang w:val="fr-CA"/>
        </w:rPr>
      </w:pPr>
    </w:p>
    <w:p w:rsidR="00A87207" w:rsidRPr="0010611E" w:rsidRDefault="00A87207" w:rsidP="0095096B">
      <w:pPr>
        <w:tabs>
          <w:tab w:val="right" w:pos="9360"/>
        </w:tabs>
        <w:rPr>
          <w:lang w:val="fr-CA"/>
        </w:rPr>
        <w:sectPr w:rsidR="00A87207" w:rsidRPr="0010611E"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10611E" w:rsidTr="00245129">
        <w:tc>
          <w:tcPr>
            <w:tcW w:w="4200" w:type="dxa"/>
            <w:shd w:val="clear" w:color="auto" w:fill="auto"/>
            <w:tcMar>
              <w:left w:w="0" w:type="dxa"/>
              <w:right w:w="0" w:type="dxa"/>
            </w:tcMar>
          </w:tcPr>
          <w:p w:rsidR="00A87207" w:rsidRPr="0010611E" w:rsidRDefault="00A87207" w:rsidP="00BA6468">
            <w:pPr>
              <w:rPr>
                <w:rFonts w:eastAsia="Times New Roman" w:cs="Times New Roman"/>
                <w:b/>
                <w:sz w:val="20"/>
                <w:szCs w:val="20"/>
                <w:lang w:eastAsia="en-CA"/>
              </w:rPr>
            </w:pPr>
            <w:r w:rsidRPr="0010611E">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10611E" w:rsidRDefault="00A87207" w:rsidP="002E2327">
            <w:pPr>
              <w:jc w:val="center"/>
              <w:rPr>
                <w:rFonts w:eastAsia="Times New Roman" w:cs="Times New Roman"/>
                <w:b/>
                <w:sz w:val="20"/>
                <w:szCs w:val="20"/>
                <w:lang w:eastAsia="en-CA"/>
              </w:rPr>
            </w:pPr>
          </w:p>
          <w:p w:rsidR="00A87207" w:rsidRPr="0010611E" w:rsidRDefault="00A87207" w:rsidP="002E2327">
            <w:pPr>
              <w:jc w:val="center"/>
              <w:rPr>
                <w:rFonts w:eastAsia="Times New Roman" w:cs="Times New Roman"/>
                <w:b/>
                <w:sz w:val="20"/>
                <w:szCs w:val="20"/>
                <w:lang w:eastAsia="en-CA"/>
              </w:rPr>
            </w:pPr>
          </w:p>
          <w:p w:rsidR="00A87207" w:rsidRPr="0010611E"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10611E" w:rsidRDefault="00A87207" w:rsidP="00A87207">
            <w:pPr>
              <w:rPr>
                <w:rFonts w:eastAsia="Times New Roman" w:cs="Times New Roman"/>
                <w:b/>
                <w:sz w:val="20"/>
                <w:szCs w:val="20"/>
                <w:lang w:val="fr-CA" w:eastAsia="en-CA"/>
              </w:rPr>
            </w:pPr>
            <w:r w:rsidRPr="0010611E">
              <w:rPr>
                <w:rFonts w:eastAsia="Times New Roman" w:cs="Times New Roman"/>
                <w:b/>
                <w:szCs w:val="20"/>
                <w:lang w:val="fr-CA" w:eastAsia="en-CA"/>
              </w:rPr>
              <w:t>DEMANDES D’AUTORISATION D’APPEL DÉPOSÉES</w:t>
            </w:r>
          </w:p>
        </w:tc>
      </w:tr>
    </w:tbl>
    <w:p w:rsidR="00A87207" w:rsidRPr="0010611E"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10611E" w:rsidTr="003B3977">
        <w:tc>
          <w:tcPr>
            <w:tcW w:w="4320" w:type="dxa"/>
            <w:shd w:val="clear" w:color="auto" w:fill="auto"/>
          </w:tcPr>
          <w:p w:rsidR="00C21644" w:rsidRPr="0010611E" w:rsidRDefault="00352818" w:rsidP="005F1ED8">
            <w:pPr>
              <w:rPr>
                <w:b/>
                <w:sz w:val="20"/>
                <w:szCs w:val="20"/>
              </w:rPr>
            </w:pPr>
            <w:proofErr w:type="spellStart"/>
            <w:r w:rsidRPr="0010611E">
              <w:rPr>
                <w:b/>
                <w:sz w:val="20"/>
                <w:szCs w:val="20"/>
              </w:rPr>
              <w:t>Hyunjin</w:t>
            </w:r>
            <w:proofErr w:type="spellEnd"/>
            <w:r w:rsidRPr="0010611E">
              <w:rPr>
                <w:b/>
                <w:sz w:val="20"/>
                <w:szCs w:val="20"/>
              </w:rPr>
              <w:t xml:space="preserve"> Chung also known as </w:t>
            </w:r>
            <w:proofErr w:type="spellStart"/>
            <w:r w:rsidRPr="0010611E">
              <w:rPr>
                <w:b/>
                <w:sz w:val="20"/>
                <w:szCs w:val="20"/>
              </w:rPr>
              <w:t>Hyunjin</w:t>
            </w:r>
            <w:proofErr w:type="spellEnd"/>
            <w:r w:rsidRPr="0010611E">
              <w:rPr>
                <w:b/>
                <w:sz w:val="20"/>
                <w:szCs w:val="20"/>
              </w:rPr>
              <w:t xml:space="preserve"> James Chung also known as James Chung</w:t>
            </w:r>
          </w:p>
          <w:p w:rsidR="00C21644" w:rsidRPr="0010611E" w:rsidRDefault="00C21644" w:rsidP="005F1ED8">
            <w:pPr>
              <w:tabs>
                <w:tab w:val="left" w:pos="-1440"/>
                <w:tab w:val="left" w:pos="-720"/>
              </w:tabs>
              <w:rPr>
                <w:sz w:val="20"/>
                <w:szCs w:val="20"/>
                <w:lang w:val="en-US"/>
              </w:rPr>
            </w:pPr>
            <w:r w:rsidRPr="0010611E">
              <w:rPr>
                <w:sz w:val="20"/>
                <w:szCs w:val="20"/>
              </w:rPr>
              <w:tab/>
            </w:r>
            <w:proofErr w:type="spellStart"/>
            <w:r w:rsidR="00352818" w:rsidRPr="0010611E">
              <w:rPr>
                <w:sz w:val="20"/>
                <w:szCs w:val="20"/>
              </w:rPr>
              <w:t>Hyunjin</w:t>
            </w:r>
            <w:proofErr w:type="spellEnd"/>
            <w:r w:rsidR="00352818" w:rsidRPr="0010611E">
              <w:rPr>
                <w:sz w:val="20"/>
                <w:szCs w:val="20"/>
              </w:rPr>
              <w:t xml:space="preserve"> Chung</w:t>
            </w:r>
          </w:p>
          <w:p w:rsidR="00C21644" w:rsidRPr="0010611E" w:rsidRDefault="00C21644" w:rsidP="005F1ED8">
            <w:pPr>
              <w:tabs>
                <w:tab w:val="left" w:pos="-1440"/>
                <w:tab w:val="left" w:pos="-720"/>
              </w:tabs>
              <w:rPr>
                <w:sz w:val="20"/>
                <w:szCs w:val="20"/>
                <w:lang w:val="en-US"/>
              </w:rPr>
            </w:pPr>
          </w:p>
          <w:p w:rsidR="00C21644" w:rsidRPr="0010611E" w:rsidRDefault="00352818" w:rsidP="005F1ED8">
            <w:pPr>
              <w:tabs>
                <w:tab w:val="left" w:pos="-1440"/>
                <w:tab w:val="left" w:pos="-720"/>
              </w:tabs>
              <w:rPr>
                <w:sz w:val="20"/>
                <w:szCs w:val="20"/>
                <w:lang w:val="en-US"/>
              </w:rPr>
            </w:pPr>
            <w:r w:rsidRPr="0010611E">
              <w:rPr>
                <w:sz w:val="20"/>
                <w:szCs w:val="20"/>
                <w:lang w:val="en-US"/>
              </w:rPr>
              <w:tab/>
              <w:t>v. (38035</w:t>
            </w:r>
            <w:r w:rsidR="00C21644" w:rsidRPr="0010611E">
              <w:rPr>
                <w:sz w:val="20"/>
                <w:szCs w:val="20"/>
                <w:lang w:val="en-US"/>
              </w:rPr>
              <w:t>)</w:t>
            </w:r>
          </w:p>
          <w:p w:rsidR="00C21644" w:rsidRPr="0010611E" w:rsidRDefault="00C21644" w:rsidP="005F1ED8">
            <w:pPr>
              <w:tabs>
                <w:tab w:val="left" w:pos="-1440"/>
                <w:tab w:val="left" w:pos="-720"/>
              </w:tabs>
              <w:rPr>
                <w:sz w:val="20"/>
                <w:szCs w:val="20"/>
                <w:lang w:val="en-US"/>
              </w:rPr>
            </w:pPr>
          </w:p>
          <w:p w:rsidR="00C21644" w:rsidRPr="0010611E" w:rsidRDefault="00352818" w:rsidP="005F1ED8">
            <w:pPr>
              <w:tabs>
                <w:tab w:val="left" w:pos="-1440"/>
                <w:tab w:val="left" w:pos="-720"/>
              </w:tabs>
              <w:rPr>
                <w:b/>
                <w:sz w:val="20"/>
                <w:szCs w:val="20"/>
              </w:rPr>
            </w:pPr>
            <w:r w:rsidRPr="0010611E">
              <w:rPr>
                <w:b/>
                <w:sz w:val="20"/>
                <w:szCs w:val="20"/>
                <w:lang w:val="en-US"/>
              </w:rPr>
              <w:t>Jung Yip Shin</w:t>
            </w:r>
            <w:r w:rsidR="00C21644" w:rsidRPr="0010611E">
              <w:rPr>
                <w:sz w:val="20"/>
                <w:szCs w:val="20"/>
                <w:lang w:val="en-US"/>
              </w:rPr>
              <w:t xml:space="preserve"> </w:t>
            </w:r>
            <w:r w:rsidR="00C21644" w:rsidRPr="0010611E">
              <w:rPr>
                <w:b/>
                <w:sz w:val="20"/>
                <w:szCs w:val="20"/>
              </w:rPr>
              <w:t>(</w:t>
            </w:r>
            <w:r w:rsidRPr="0010611E">
              <w:rPr>
                <w:b/>
                <w:sz w:val="20"/>
                <w:szCs w:val="20"/>
              </w:rPr>
              <w:t>B.C.</w:t>
            </w:r>
            <w:r w:rsidR="00C21644" w:rsidRPr="0010611E">
              <w:rPr>
                <w:b/>
                <w:sz w:val="20"/>
                <w:szCs w:val="20"/>
              </w:rPr>
              <w:t>)</w:t>
            </w:r>
          </w:p>
          <w:p w:rsidR="00C21644" w:rsidRPr="0010611E" w:rsidRDefault="00C21644" w:rsidP="005F1ED8">
            <w:pPr>
              <w:tabs>
                <w:tab w:val="left" w:pos="-1440"/>
                <w:tab w:val="left" w:pos="-720"/>
              </w:tabs>
              <w:rPr>
                <w:sz w:val="20"/>
                <w:szCs w:val="20"/>
              </w:rPr>
            </w:pPr>
            <w:r w:rsidRPr="0010611E">
              <w:rPr>
                <w:sz w:val="20"/>
                <w:szCs w:val="20"/>
              </w:rPr>
              <w:tab/>
            </w:r>
            <w:r w:rsidR="00352818" w:rsidRPr="0010611E">
              <w:rPr>
                <w:sz w:val="20"/>
                <w:szCs w:val="20"/>
              </w:rPr>
              <w:t>Lana L.K. Li</w:t>
            </w:r>
          </w:p>
          <w:p w:rsidR="00C21644" w:rsidRPr="0010611E" w:rsidRDefault="00C21644" w:rsidP="005F1ED8">
            <w:pPr>
              <w:tabs>
                <w:tab w:val="left" w:pos="-1440"/>
                <w:tab w:val="left" w:pos="-720"/>
              </w:tabs>
              <w:rPr>
                <w:sz w:val="20"/>
                <w:szCs w:val="20"/>
              </w:rPr>
            </w:pPr>
            <w:r w:rsidRPr="0010611E">
              <w:rPr>
                <w:sz w:val="20"/>
                <w:szCs w:val="20"/>
              </w:rPr>
              <w:tab/>
            </w:r>
            <w:proofErr w:type="spellStart"/>
            <w:r w:rsidR="00352818" w:rsidRPr="0010611E">
              <w:rPr>
                <w:sz w:val="20"/>
                <w:szCs w:val="20"/>
              </w:rPr>
              <w:t>Kornfeld</w:t>
            </w:r>
            <w:proofErr w:type="spellEnd"/>
            <w:r w:rsidR="00352818" w:rsidRPr="0010611E">
              <w:rPr>
                <w:sz w:val="20"/>
                <w:szCs w:val="20"/>
              </w:rPr>
              <w:t xml:space="preserve"> LLP</w:t>
            </w:r>
          </w:p>
          <w:p w:rsidR="00C21644" w:rsidRPr="0010611E" w:rsidRDefault="00C21644" w:rsidP="005F1ED8">
            <w:pPr>
              <w:tabs>
                <w:tab w:val="left" w:pos="-1440"/>
                <w:tab w:val="left" w:pos="-720"/>
              </w:tabs>
              <w:rPr>
                <w:sz w:val="20"/>
                <w:szCs w:val="20"/>
              </w:rPr>
            </w:pPr>
          </w:p>
          <w:p w:rsidR="00C21644" w:rsidRPr="0010611E" w:rsidRDefault="00C21644" w:rsidP="005F1ED8">
            <w:pPr>
              <w:rPr>
                <w:sz w:val="20"/>
                <w:szCs w:val="20"/>
              </w:rPr>
            </w:pPr>
            <w:r w:rsidRPr="0010611E">
              <w:rPr>
                <w:sz w:val="20"/>
                <w:szCs w:val="20"/>
              </w:rPr>
              <w:t xml:space="preserve">FILING DATE: </w:t>
            </w:r>
            <w:r w:rsidR="00E8544A" w:rsidRPr="0010611E">
              <w:rPr>
                <w:sz w:val="20"/>
                <w:szCs w:val="20"/>
              </w:rPr>
              <w:t>2</w:t>
            </w:r>
            <w:r w:rsidR="00352818" w:rsidRPr="0010611E">
              <w:rPr>
                <w:sz w:val="20"/>
                <w:szCs w:val="20"/>
              </w:rPr>
              <w:t>6</w:t>
            </w:r>
            <w:r w:rsidRPr="0010611E">
              <w:rPr>
                <w:sz w:val="20"/>
                <w:szCs w:val="20"/>
              </w:rPr>
              <w:t>.</w:t>
            </w:r>
            <w:r w:rsidR="00E8544A" w:rsidRPr="0010611E">
              <w:rPr>
                <w:sz w:val="20"/>
                <w:szCs w:val="20"/>
              </w:rPr>
              <w:t>01</w:t>
            </w:r>
            <w:r w:rsidRPr="0010611E">
              <w:rPr>
                <w:sz w:val="20"/>
                <w:szCs w:val="20"/>
              </w:rPr>
              <w:t>.201</w:t>
            </w:r>
            <w:r w:rsidR="00352818" w:rsidRPr="0010611E">
              <w:rPr>
                <w:sz w:val="20"/>
                <w:szCs w:val="20"/>
              </w:rPr>
              <w:t>8</w:t>
            </w:r>
          </w:p>
          <w:p w:rsidR="00C21644" w:rsidRPr="0010611E" w:rsidRDefault="00B35ED9"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10611E" w:rsidRDefault="00C21644" w:rsidP="00242AEE">
            <w:pPr>
              <w:jc w:val="center"/>
              <w:rPr>
                <w:sz w:val="20"/>
                <w:szCs w:val="20"/>
              </w:rPr>
            </w:pPr>
          </w:p>
          <w:p w:rsidR="00C21644" w:rsidRPr="0010611E" w:rsidRDefault="00C21644" w:rsidP="00242AEE">
            <w:pPr>
              <w:jc w:val="center"/>
              <w:rPr>
                <w:sz w:val="20"/>
                <w:szCs w:val="20"/>
              </w:rPr>
            </w:pPr>
          </w:p>
          <w:p w:rsidR="00C21644" w:rsidRPr="0010611E" w:rsidRDefault="00C21644" w:rsidP="00242AEE">
            <w:pPr>
              <w:jc w:val="center"/>
              <w:rPr>
                <w:sz w:val="20"/>
                <w:szCs w:val="20"/>
              </w:rPr>
            </w:pPr>
          </w:p>
          <w:p w:rsidR="00C21644" w:rsidRPr="0010611E" w:rsidRDefault="00C21644" w:rsidP="00242AEE">
            <w:pPr>
              <w:jc w:val="center"/>
              <w:rPr>
                <w:sz w:val="20"/>
                <w:szCs w:val="20"/>
              </w:rPr>
            </w:pPr>
          </w:p>
          <w:p w:rsidR="00C21644" w:rsidRPr="0010611E" w:rsidRDefault="00C21644" w:rsidP="00242AEE">
            <w:pPr>
              <w:jc w:val="center"/>
              <w:rPr>
                <w:sz w:val="20"/>
                <w:szCs w:val="20"/>
              </w:rPr>
            </w:pPr>
          </w:p>
          <w:p w:rsidR="00C21644" w:rsidRPr="0010611E" w:rsidRDefault="00C21644" w:rsidP="00242AEE">
            <w:pPr>
              <w:jc w:val="center"/>
              <w:rPr>
                <w:sz w:val="20"/>
                <w:szCs w:val="20"/>
              </w:rPr>
            </w:pPr>
          </w:p>
          <w:p w:rsidR="00C21644" w:rsidRPr="0010611E" w:rsidRDefault="00C21644" w:rsidP="00242AEE">
            <w:pPr>
              <w:jc w:val="center"/>
              <w:rPr>
                <w:sz w:val="20"/>
                <w:szCs w:val="20"/>
              </w:rPr>
            </w:pPr>
          </w:p>
          <w:p w:rsidR="00C21644" w:rsidRPr="0010611E" w:rsidRDefault="00C21644" w:rsidP="00242AEE">
            <w:pPr>
              <w:jc w:val="center"/>
              <w:rPr>
                <w:sz w:val="20"/>
                <w:szCs w:val="20"/>
              </w:rPr>
            </w:pPr>
          </w:p>
          <w:p w:rsidR="00C21644" w:rsidRPr="0010611E" w:rsidRDefault="00C21644" w:rsidP="00242AEE">
            <w:pPr>
              <w:jc w:val="center"/>
              <w:rPr>
                <w:sz w:val="20"/>
                <w:szCs w:val="20"/>
              </w:rPr>
            </w:pPr>
          </w:p>
          <w:p w:rsidR="00C21644" w:rsidRPr="0010611E" w:rsidRDefault="00C21644" w:rsidP="00242AEE">
            <w:pPr>
              <w:jc w:val="center"/>
              <w:rPr>
                <w:sz w:val="20"/>
                <w:szCs w:val="20"/>
              </w:rPr>
            </w:pPr>
          </w:p>
          <w:p w:rsidR="00C21644" w:rsidRPr="0010611E" w:rsidRDefault="00C21644" w:rsidP="00242AEE">
            <w:pPr>
              <w:jc w:val="center"/>
              <w:rPr>
                <w:sz w:val="20"/>
                <w:szCs w:val="20"/>
              </w:rPr>
            </w:pPr>
          </w:p>
          <w:p w:rsidR="00C21644" w:rsidRPr="0010611E" w:rsidRDefault="00C21644" w:rsidP="00242AEE">
            <w:pPr>
              <w:jc w:val="center"/>
              <w:rPr>
                <w:sz w:val="20"/>
                <w:szCs w:val="20"/>
              </w:rPr>
            </w:pPr>
          </w:p>
          <w:p w:rsidR="00C21644" w:rsidRPr="0010611E" w:rsidRDefault="00C21644" w:rsidP="00242AEE">
            <w:pPr>
              <w:jc w:val="center"/>
              <w:rPr>
                <w:sz w:val="20"/>
                <w:szCs w:val="20"/>
              </w:rPr>
            </w:pPr>
          </w:p>
        </w:tc>
        <w:tc>
          <w:tcPr>
            <w:tcW w:w="4320" w:type="dxa"/>
            <w:shd w:val="clear" w:color="auto" w:fill="auto"/>
          </w:tcPr>
          <w:p w:rsidR="00DB2759" w:rsidRPr="0010611E" w:rsidRDefault="00DB2759" w:rsidP="00DB2759">
            <w:pPr>
              <w:rPr>
                <w:b/>
                <w:sz w:val="20"/>
                <w:szCs w:val="20"/>
                <w:lang w:val="fr-CA"/>
              </w:rPr>
            </w:pPr>
            <w:r w:rsidRPr="0010611E">
              <w:rPr>
                <w:b/>
                <w:sz w:val="20"/>
                <w:szCs w:val="20"/>
                <w:lang w:val="fr-CA"/>
              </w:rPr>
              <w:t>Victor James Paul Davies</w:t>
            </w:r>
          </w:p>
          <w:p w:rsidR="00DB2759" w:rsidRPr="0010611E" w:rsidRDefault="00DB2759" w:rsidP="00DB2759">
            <w:pPr>
              <w:tabs>
                <w:tab w:val="left" w:pos="-1440"/>
                <w:tab w:val="left" w:pos="-720"/>
              </w:tabs>
              <w:rPr>
                <w:sz w:val="20"/>
                <w:szCs w:val="20"/>
                <w:lang w:val="fr-CA"/>
              </w:rPr>
            </w:pPr>
            <w:r w:rsidRPr="0010611E">
              <w:rPr>
                <w:sz w:val="20"/>
                <w:szCs w:val="20"/>
                <w:lang w:val="fr-CA"/>
              </w:rPr>
              <w:tab/>
              <w:t>Victor James Paul Davies</w:t>
            </w:r>
          </w:p>
          <w:p w:rsidR="00DB2759" w:rsidRPr="0010611E" w:rsidRDefault="00DB2759" w:rsidP="00DB2759">
            <w:pPr>
              <w:tabs>
                <w:tab w:val="left" w:pos="-1440"/>
                <w:tab w:val="left" w:pos="-720"/>
              </w:tabs>
              <w:rPr>
                <w:sz w:val="20"/>
                <w:szCs w:val="20"/>
                <w:lang w:val="fr-CA"/>
              </w:rPr>
            </w:pPr>
          </w:p>
          <w:p w:rsidR="00DB2759" w:rsidRPr="0010611E" w:rsidRDefault="00DB2759" w:rsidP="00DB2759">
            <w:pPr>
              <w:tabs>
                <w:tab w:val="left" w:pos="-1440"/>
                <w:tab w:val="left" w:pos="-720"/>
              </w:tabs>
              <w:rPr>
                <w:sz w:val="20"/>
                <w:szCs w:val="20"/>
                <w:lang w:val="en-US"/>
              </w:rPr>
            </w:pPr>
            <w:r w:rsidRPr="0010611E">
              <w:rPr>
                <w:sz w:val="20"/>
                <w:szCs w:val="20"/>
                <w:lang w:val="fr-CA"/>
              </w:rPr>
              <w:tab/>
            </w:r>
            <w:r w:rsidRPr="0010611E">
              <w:rPr>
                <w:sz w:val="20"/>
                <w:szCs w:val="20"/>
                <w:lang w:val="en-US"/>
              </w:rPr>
              <w:t>v. (37925)</w:t>
            </w:r>
          </w:p>
          <w:p w:rsidR="00DB2759" w:rsidRPr="0010611E" w:rsidRDefault="00DB2759" w:rsidP="00DB2759">
            <w:pPr>
              <w:tabs>
                <w:tab w:val="left" w:pos="-1440"/>
                <w:tab w:val="left" w:pos="-720"/>
              </w:tabs>
              <w:rPr>
                <w:sz w:val="20"/>
                <w:szCs w:val="20"/>
                <w:lang w:val="en-US"/>
              </w:rPr>
            </w:pPr>
          </w:p>
          <w:p w:rsidR="00DB2759" w:rsidRPr="0010611E" w:rsidRDefault="00DB2759" w:rsidP="00DB2759">
            <w:pPr>
              <w:tabs>
                <w:tab w:val="left" w:pos="-1440"/>
                <w:tab w:val="left" w:pos="-720"/>
              </w:tabs>
              <w:rPr>
                <w:b/>
                <w:sz w:val="20"/>
                <w:szCs w:val="20"/>
              </w:rPr>
            </w:pPr>
            <w:r w:rsidRPr="0010611E">
              <w:rPr>
                <w:b/>
                <w:sz w:val="20"/>
                <w:szCs w:val="20"/>
                <w:lang w:val="en-US"/>
              </w:rPr>
              <w:t>Her Majesty the Queen</w:t>
            </w:r>
            <w:r w:rsidRPr="0010611E">
              <w:rPr>
                <w:sz w:val="20"/>
                <w:szCs w:val="20"/>
                <w:lang w:val="en-US"/>
              </w:rPr>
              <w:t xml:space="preserve"> </w:t>
            </w:r>
            <w:r w:rsidRPr="0010611E">
              <w:rPr>
                <w:b/>
                <w:sz w:val="20"/>
                <w:szCs w:val="20"/>
              </w:rPr>
              <w:t>(Ont.)</w:t>
            </w:r>
          </w:p>
          <w:p w:rsidR="00DB2759" w:rsidRPr="0010611E" w:rsidRDefault="00DB2759" w:rsidP="00DB2759">
            <w:pPr>
              <w:tabs>
                <w:tab w:val="left" w:pos="-1440"/>
                <w:tab w:val="left" w:pos="-720"/>
              </w:tabs>
              <w:rPr>
                <w:sz w:val="20"/>
                <w:szCs w:val="20"/>
              </w:rPr>
            </w:pPr>
            <w:r w:rsidRPr="0010611E">
              <w:rPr>
                <w:sz w:val="20"/>
                <w:szCs w:val="20"/>
              </w:rPr>
              <w:tab/>
              <w:t>Shawn Porter</w:t>
            </w:r>
          </w:p>
          <w:p w:rsidR="00DB2759" w:rsidRPr="0010611E" w:rsidRDefault="00DB2759" w:rsidP="00DB2759">
            <w:pPr>
              <w:tabs>
                <w:tab w:val="left" w:pos="-1440"/>
                <w:tab w:val="left" w:pos="-720"/>
              </w:tabs>
              <w:rPr>
                <w:sz w:val="20"/>
                <w:szCs w:val="20"/>
              </w:rPr>
            </w:pPr>
            <w:r w:rsidRPr="0010611E">
              <w:rPr>
                <w:sz w:val="20"/>
                <w:szCs w:val="20"/>
              </w:rPr>
              <w:tab/>
              <w:t>A.G. of Ontario</w:t>
            </w:r>
          </w:p>
          <w:p w:rsidR="00DB2759" w:rsidRPr="0010611E" w:rsidRDefault="00DB2759" w:rsidP="00DB2759">
            <w:pPr>
              <w:tabs>
                <w:tab w:val="left" w:pos="-1440"/>
                <w:tab w:val="left" w:pos="-720"/>
              </w:tabs>
              <w:rPr>
                <w:sz w:val="20"/>
                <w:szCs w:val="20"/>
              </w:rPr>
            </w:pPr>
          </w:p>
          <w:p w:rsidR="00DB2759" w:rsidRPr="0010611E" w:rsidRDefault="00DB2759" w:rsidP="00DB2759">
            <w:pPr>
              <w:rPr>
                <w:sz w:val="20"/>
                <w:szCs w:val="20"/>
              </w:rPr>
            </w:pPr>
            <w:r w:rsidRPr="0010611E">
              <w:rPr>
                <w:sz w:val="20"/>
                <w:szCs w:val="20"/>
              </w:rPr>
              <w:t>FILING DATE: 31.10.2017</w:t>
            </w:r>
          </w:p>
          <w:p w:rsidR="00C21644" w:rsidRPr="0010611E" w:rsidRDefault="00B35ED9" w:rsidP="00DB2759">
            <w:pPr>
              <w:rPr>
                <w:sz w:val="20"/>
                <w:szCs w:val="20"/>
                <w:lang w:val="en-US"/>
              </w:rPr>
            </w:pPr>
            <w:r>
              <w:rPr>
                <w:sz w:val="20"/>
                <w:szCs w:val="20"/>
                <w:lang w:val="fr-CA"/>
              </w:rPr>
              <w:pict>
                <v:rect id="_x0000_i1026" style="width:108pt;height:1pt" o:hrpct="0" o:hralign="center" o:hrstd="t" o:hrnoshade="t" o:hr="t" fillcolor="black [3213]" stroked="f"/>
              </w:pict>
            </w:r>
          </w:p>
        </w:tc>
      </w:tr>
      <w:tr w:rsidR="00DB2759" w:rsidRPr="0010611E" w:rsidTr="003B3977">
        <w:tc>
          <w:tcPr>
            <w:tcW w:w="4320" w:type="dxa"/>
            <w:shd w:val="clear" w:color="auto" w:fill="auto"/>
          </w:tcPr>
          <w:p w:rsidR="00DB2759" w:rsidRPr="0010611E" w:rsidRDefault="00DB2759" w:rsidP="00DB2759">
            <w:pPr>
              <w:rPr>
                <w:b/>
                <w:sz w:val="20"/>
                <w:szCs w:val="20"/>
                <w:lang w:val="fr-CA"/>
              </w:rPr>
            </w:pPr>
            <w:r w:rsidRPr="0010611E">
              <w:rPr>
                <w:b/>
                <w:sz w:val="20"/>
                <w:szCs w:val="20"/>
                <w:lang w:val="fr-CA"/>
              </w:rPr>
              <w:t>Paul Abi-Mansour</w:t>
            </w:r>
          </w:p>
          <w:p w:rsidR="00DB2759" w:rsidRPr="0010611E" w:rsidRDefault="00DB2759" w:rsidP="00DB2759">
            <w:pPr>
              <w:tabs>
                <w:tab w:val="left" w:pos="-1440"/>
                <w:tab w:val="left" w:pos="-720"/>
              </w:tabs>
              <w:rPr>
                <w:sz w:val="20"/>
                <w:szCs w:val="20"/>
                <w:lang w:val="fr-CA"/>
              </w:rPr>
            </w:pPr>
            <w:r w:rsidRPr="0010611E">
              <w:rPr>
                <w:sz w:val="20"/>
                <w:szCs w:val="20"/>
                <w:lang w:val="fr-CA"/>
              </w:rPr>
              <w:tab/>
              <w:t>Paul Abi-Mansour</w:t>
            </w:r>
          </w:p>
          <w:p w:rsidR="00DB2759" w:rsidRPr="0010611E" w:rsidRDefault="00DB2759" w:rsidP="00DB2759">
            <w:pPr>
              <w:tabs>
                <w:tab w:val="left" w:pos="-1440"/>
                <w:tab w:val="left" w:pos="-720"/>
              </w:tabs>
              <w:rPr>
                <w:sz w:val="20"/>
                <w:szCs w:val="20"/>
                <w:lang w:val="fr-CA"/>
              </w:rPr>
            </w:pPr>
          </w:p>
          <w:p w:rsidR="00DB2759" w:rsidRPr="0010611E" w:rsidRDefault="00DB2759" w:rsidP="00DB2759">
            <w:pPr>
              <w:tabs>
                <w:tab w:val="left" w:pos="-1440"/>
                <w:tab w:val="left" w:pos="-720"/>
              </w:tabs>
              <w:rPr>
                <w:sz w:val="20"/>
                <w:szCs w:val="20"/>
                <w:lang w:val="en-US"/>
              </w:rPr>
            </w:pPr>
            <w:r w:rsidRPr="0010611E">
              <w:rPr>
                <w:sz w:val="20"/>
                <w:szCs w:val="20"/>
                <w:lang w:val="fr-CA"/>
              </w:rPr>
              <w:tab/>
            </w:r>
            <w:r w:rsidRPr="0010611E">
              <w:rPr>
                <w:sz w:val="20"/>
                <w:szCs w:val="20"/>
                <w:lang w:val="en-US"/>
              </w:rPr>
              <w:t>v. (37980)</w:t>
            </w:r>
          </w:p>
          <w:p w:rsidR="00DB2759" w:rsidRPr="0010611E" w:rsidRDefault="00DB2759" w:rsidP="00DB2759">
            <w:pPr>
              <w:tabs>
                <w:tab w:val="left" w:pos="-1440"/>
                <w:tab w:val="left" w:pos="-720"/>
              </w:tabs>
              <w:rPr>
                <w:sz w:val="20"/>
                <w:szCs w:val="20"/>
                <w:lang w:val="en-US"/>
              </w:rPr>
            </w:pPr>
          </w:p>
          <w:p w:rsidR="00DB2759" w:rsidRPr="0010611E" w:rsidRDefault="00DB2759" w:rsidP="00DB2759">
            <w:pPr>
              <w:tabs>
                <w:tab w:val="left" w:pos="-1440"/>
                <w:tab w:val="left" w:pos="-720"/>
              </w:tabs>
              <w:rPr>
                <w:b/>
                <w:sz w:val="20"/>
                <w:szCs w:val="20"/>
              </w:rPr>
            </w:pPr>
            <w:r w:rsidRPr="0010611E">
              <w:rPr>
                <w:b/>
                <w:sz w:val="20"/>
                <w:szCs w:val="20"/>
                <w:lang w:val="en-US"/>
              </w:rPr>
              <w:t>Attorney General of Canada</w:t>
            </w:r>
            <w:r w:rsidR="0097006A" w:rsidRPr="0010611E">
              <w:rPr>
                <w:b/>
                <w:sz w:val="20"/>
                <w:szCs w:val="20"/>
                <w:lang w:val="en-US"/>
              </w:rPr>
              <w:t xml:space="preserve"> et al.</w:t>
            </w:r>
            <w:r w:rsidRPr="0010611E">
              <w:rPr>
                <w:sz w:val="20"/>
                <w:szCs w:val="20"/>
                <w:lang w:val="en-US"/>
              </w:rPr>
              <w:t xml:space="preserve"> </w:t>
            </w:r>
            <w:r w:rsidRPr="0010611E">
              <w:rPr>
                <w:b/>
                <w:sz w:val="20"/>
                <w:szCs w:val="20"/>
              </w:rPr>
              <w:t>(F.C.)</w:t>
            </w:r>
          </w:p>
          <w:p w:rsidR="00DB2759" w:rsidRPr="0010611E" w:rsidRDefault="00DB2759" w:rsidP="00DB2759">
            <w:pPr>
              <w:tabs>
                <w:tab w:val="left" w:pos="-1440"/>
                <w:tab w:val="left" w:pos="-720"/>
              </w:tabs>
              <w:rPr>
                <w:sz w:val="20"/>
                <w:szCs w:val="20"/>
              </w:rPr>
            </w:pPr>
            <w:r w:rsidRPr="0010611E">
              <w:rPr>
                <w:sz w:val="20"/>
                <w:szCs w:val="20"/>
              </w:rPr>
              <w:tab/>
              <w:t xml:space="preserve">Christine </w:t>
            </w:r>
            <w:proofErr w:type="spellStart"/>
            <w:r w:rsidRPr="0010611E">
              <w:rPr>
                <w:sz w:val="20"/>
                <w:szCs w:val="20"/>
              </w:rPr>
              <w:t>Langill</w:t>
            </w:r>
            <w:proofErr w:type="spellEnd"/>
          </w:p>
          <w:p w:rsidR="00DB2759" w:rsidRPr="0010611E" w:rsidRDefault="00DB2759" w:rsidP="00DB2759">
            <w:pPr>
              <w:tabs>
                <w:tab w:val="left" w:pos="-1440"/>
                <w:tab w:val="left" w:pos="-720"/>
              </w:tabs>
              <w:rPr>
                <w:sz w:val="20"/>
                <w:szCs w:val="20"/>
              </w:rPr>
            </w:pPr>
            <w:r w:rsidRPr="0010611E">
              <w:rPr>
                <w:sz w:val="20"/>
                <w:szCs w:val="20"/>
              </w:rPr>
              <w:tab/>
              <w:t>Treasury Board of Canada</w:t>
            </w:r>
          </w:p>
          <w:p w:rsidR="00DB2759" w:rsidRPr="0010611E" w:rsidRDefault="00DB2759" w:rsidP="00DB2759">
            <w:pPr>
              <w:tabs>
                <w:tab w:val="left" w:pos="-1440"/>
                <w:tab w:val="left" w:pos="-720"/>
              </w:tabs>
              <w:rPr>
                <w:sz w:val="20"/>
                <w:szCs w:val="20"/>
              </w:rPr>
            </w:pPr>
          </w:p>
          <w:p w:rsidR="00DB2759" w:rsidRPr="0010611E" w:rsidRDefault="00DB2759" w:rsidP="00DB2759">
            <w:pPr>
              <w:rPr>
                <w:sz w:val="20"/>
                <w:szCs w:val="20"/>
              </w:rPr>
            </w:pPr>
            <w:r w:rsidRPr="0010611E">
              <w:rPr>
                <w:sz w:val="20"/>
                <w:szCs w:val="20"/>
              </w:rPr>
              <w:t>FILING DATE: 11.07.2017</w:t>
            </w:r>
          </w:p>
          <w:p w:rsidR="00DB2759" w:rsidRPr="0010611E" w:rsidRDefault="00B35ED9" w:rsidP="00DB2759">
            <w:pPr>
              <w:rPr>
                <w:sz w:val="20"/>
                <w:szCs w:val="20"/>
                <w:lang w:val="fr-CA"/>
              </w:rPr>
            </w:pPr>
            <w:r>
              <w:rPr>
                <w:sz w:val="20"/>
                <w:szCs w:val="20"/>
                <w:lang w:val="fr-CA"/>
              </w:rPr>
              <w:pict>
                <v:rect id="_x0000_i1027" style="width:108pt;height:1pt" o:hrpct="0" o:hralign="center" o:hrstd="t" o:hrnoshade="t" o:hr="t" fillcolor="black [3213]" stroked="f"/>
              </w:pict>
            </w:r>
          </w:p>
          <w:p w:rsidR="0097006A" w:rsidRPr="0010611E" w:rsidRDefault="0097006A" w:rsidP="00DB2759">
            <w:pPr>
              <w:rPr>
                <w:sz w:val="20"/>
                <w:szCs w:val="20"/>
                <w:lang w:val="fr-CA"/>
              </w:rPr>
            </w:pPr>
          </w:p>
          <w:p w:rsidR="0097006A" w:rsidRPr="0010611E" w:rsidRDefault="0097006A" w:rsidP="00DB2759">
            <w:pPr>
              <w:rPr>
                <w:sz w:val="20"/>
                <w:szCs w:val="20"/>
              </w:rPr>
            </w:pPr>
          </w:p>
        </w:tc>
        <w:tc>
          <w:tcPr>
            <w:tcW w:w="1181" w:type="dxa"/>
            <w:shd w:val="clear" w:color="auto" w:fill="auto"/>
          </w:tcPr>
          <w:p w:rsidR="00DB2759" w:rsidRPr="0010611E" w:rsidRDefault="00DB2759" w:rsidP="00242AEE">
            <w:pPr>
              <w:jc w:val="center"/>
              <w:rPr>
                <w:sz w:val="20"/>
                <w:szCs w:val="20"/>
              </w:rPr>
            </w:pPr>
          </w:p>
          <w:p w:rsidR="00DB2759" w:rsidRPr="0010611E" w:rsidRDefault="00DB2759" w:rsidP="00242AEE">
            <w:pPr>
              <w:jc w:val="center"/>
              <w:rPr>
                <w:sz w:val="20"/>
                <w:szCs w:val="20"/>
              </w:rPr>
            </w:pPr>
          </w:p>
          <w:p w:rsidR="00DB2759" w:rsidRPr="0010611E" w:rsidRDefault="00DB2759" w:rsidP="00242AEE">
            <w:pPr>
              <w:jc w:val="center"/>
              <w:rPr>
                <w:sz w:val="20"/>
                <w:szCs w:val="20"/>
              </w:rPr>
            </w:pPr>
          </w:p>
          <w:p w:rsidR="00DB2759" w:rsidRPr="0010611E" w:rsidRDefault="00DB2759" w:rsidP="00242AEE">
            <w:pPr>
              <w:jc w:val="center"/>
              <w:rPr>
                <w:sz w:val="20"/>
                <w:szCs w:val="20"/>
              </w:rPr>
            </w:pPr>
          </w:p>
          <w:p w:rsidR="00DB2759" w:rsidRPr="0010611E" w:rsidRDefault="00DB2759" w:rsidP="00242AEE">
            <w:pPr>
              <w:jc w:val="center"/>
              <w:rPr>
                <w:sz w:val="20"/>
                <w:szCs w:val="20"/>
              </w:rPr>
            </w:pPr>
          </w:p>
          <w:p w:rsidR="00DB2759" w:rsidRPr="0010611E" w:rsidRDefault="00DB2759" w:rsidP="00242AEE">
            <w:pPr>
              <w:jc w:val="center"/>
              <w:rPr>
                <w:sz w:val="20"/>
                <w:szCs w:val="20"/>
              </w:rPr>
            </w:pPr>
          </w:p>
          <w:p w:rsidR="00DB2759" w:rsidRPr="0010611E" w:rsidRDefault="00DB2759" w:rsidP="00242AEE">
            <w:pPr>
              <w:jc w:val="center"/>
              <w:rPr>
                <w:sz w:val="20"/>
                <w:szCs w:val="20"/>
              </w:rPr>
            </w:pPr>
          </w:p>
          <w:p w:rsidR="00DB2759" w:rsidRPr="0010611E" w:rsidRDefault="00DB2759" w:rsidP="00242AEE">
            <w:pPr>
              <w:jc w:val="center"/>
              <w:rPr>
                <w:sz w:val="20"/>
                <w:szCs w:val="20"/>
              </w:rPr>
            </w:pPr>
          </w:p>
          <w:p w:rsidR="00DB2759" w:rsidRPr="0010611E" w:rsidRDefault="00DB2759" w:rsidP="00242AEE">
            <w:pPr>
              <w:jc w:val="center"/>
              <w:rPr>
                <w:sz w:val="20"/>
                <w:szCs w:val="20"/>
              </w:rPr>
            </w:pPr>
          </w:p>
          <w:p w:rsidR="00DB2759" w:rsidRPr="0010611E" w:rsidRDefault="00DB2759" w:rsidP="00242AEE">
            <w:pPr>
              <w:jc w:val="center"/>
              <w:rPr>
                <w:sz w:val="20"/>
                <w:szCs w:val="20"/>
              </w:rPr>
            </w:pPr>
          </w:p>
          <w:p w:rsidR="00DB2759" w:rsidRPr="0010611E" w:rsidRDefault="00DB2759" w:rsidP="00242AEE">
            <w:pPr>
              <w:jc w:val="center"/>
              <w:rPr>
                <w:sz w:val="20"/>
                <w:szCs w:val="20"/>
              </w:rPr>
            </w:pPr>
          </w:p>
          <w:p w:rsidR="00DB2759" w:rsidRPr="0010611E" w:rsidRDefault="00DB2759" w:rsidP="00242AEE">
            <w:pPr>
              <w:jc w:val="center"/>
              <w:rPr>
                <w:sz w:val="20"/>
                <w:szCs w:val="20"/>
              </w:rPr>
            </w:pPr>
          </w:p>
          <w:p w:rsidR="00DB2759" w:rsidRPr="0010611E" w:rsidRDefault="00DB2759" w:rsidP="00242AEE">
            <w:pPr>
              <w:jc w:val="center"/>
              <w:rPr>
                <w:sz w:val="20"/>
                <w:szCs w:val="20"/>
              </w:rPr>
            </w:pPr>
          </w:p>
        </w:tc>
        <w:tc>
          <w:tcPr>
            <w:tcW w:w="4320" w:type="dxa"/>
            <w:shd w:val="clear" w:color="auto" w:fill="auto"/>
          </w:tcPr>
          <w:p w:rsidR="00D410AB" w:rsidRPr="0010611E" w:rsidRDefault="00D410AB" w:rsidP="00D410AB">
            <w:pPr>
              <w:rPr>
                <w:b/>
                <w:sz w:val="20"/>
                <w:szCs w:val="20"/>
                <w:lang w:val="en-US"/>
              </w:rPr>
            </w:pPr>
            <w:r w:rsidRPr="0010611E">
              <w:rPr>
                <w:b/>
                <w:sz w:val="20"/>
                <w:szCs w:val="20"/>
                <w:lang w:val="en-US"/>
              </w:rPr>
              <w:t>Kurt McKnight</w:t>
            </w:r>
          </w:p>
          <w:p w:rsidR="00D410AB" w:rsidRPr="0010611E" w:rsidRDefault="00D410AB" w:rsidP="00D410AB">
            <w:pPr>
              <w:tabs>
                <w:tab w:val="left" w:pos="-1440"/>
                <w:tab w:val="left" w:pos="-720"/>
              </w:tabs>
              <w:rPr>
                <w:sz w:val="20"/>
                <w:szCs w:val="20"/>
                <w:lang w:val="en-US"/>
              </w:rPr>
            </w:pPr>
            <w:r w:rsidRPr="0010611E">
              <w:rPr>
                <w:sz w:val="20"/>
                <w:szCs w:val="20"/>
                <w:lang w:val="en-US"/>
              </w:rPr>
              <w:tab/>
              <w:t>Kurt McKnight</w:t>
            </w:r>
          </w:p>
          <w:p w:rsidR="00D410AB" w:rsidRPr="0010611E" w:rsidRDefault="00D410AB" w:rsidP="00D410AB">
            <w:pPr>
              <w:tabs>
                <w:tab w:val="left" w:pos="-1440"/>
                <w:tab w:val="left" w:pos="-720"/>
              </w:tabs>
              <w:rPr>
                <w:sz w:val="20"/>
                <w:szCs w:val="20"/>
                <w:lang w:val="en-US"/>
              </w:rPr>
            </w:pPr>
          </w:p>
          <w:p w:rsidR="00D410AB" w:rsidRPr="0010611E" w:rsidRDefault="00D410AB" w:rsidP="00D410AB">
            <w:pPr>
              <w:tabs>
                <w:tab w:val="left" w:pos="-1440"/>
                <w:tab w:val="left" w:pos="-720"/>
              </w:tabs>
              <w:rPr>
                <w:sz w:val="20"/>
                <w:szCs w:val="20"/>
                <w:lang w:val="en-US"/>
              </w:rPr>
            </w:pPr>
            <w:r w:rsidRPr="0010611E">
              <w:rPr>
                <w:sz w:val="20"/>
                <w:szCs w:val="20"/>
                <w:lang w:val="en-US"/>
              </w:rPr>
              <w:tab/>
              <w:t>v. (38050)</w:t>
            </w:r>
          </w:p>
          <w:p w:rsidR="00D410AB" w:rsidRPr="0010611E" w:rsidRDefault="00D410AB" w:rsidP="00D410AB">
            <w:pPr>
              <w:tabs>
                <w:tab w:val="left" w:pos="-1440"/>
                <w:tab w:val="left" w:pos="-720"/>
              </w:tabs>
              <w:rPr>
                <w:sz w:val="20"/>
                <w:szCs w:val="20"/>
                <w:lang w:val="en-US"/>
              </w:rPr>
            </w:pPr>
          </w:p>
          <w:p w:rsidR="00D410AB" w:rsidRPr="0010611E" w:rsidRDefault="00D410AB" w:rsidP="00D410AB">
            <w:pPr>
              <w:tabs>
                <w:tab w:val="left" w:pos="-1440"/>
                <w:tab w:val="left" w:pos="-720"/>
              </w:tabs>
              <w:rPr>
                <w:b/>
                <w:sz w:val="20"/>
                <w:szCs w:val="20"/>
              </w:rPr>
            </w:pPr>
            <w:r w:rsidRPr="0010611E">
              <w:rPr>
                <w:b/>
                <w:sz w:val="20"/>
                <w:szCs w:val="20"/>
                <w:lang w:val="en-US"/>
              </w:rPr>
              <w:t>Bank of Nova Scotia Trust Company</w:t>
            </w:r>
            <w:r w:rsidRPr="0010611E">
              <w:rPr>
                <w:sz w:val="20"/>
                <w:szCs w:val="20"/>
                <w:lang w:val="en-US"/>
              </w:rPr>
              <w:t xml:space="preserve"> </w:t>
            </w:r>
            <w:r w:rsidRPr="0010611E">
              <w:rPr>
                <w:b/>
                <w:sz w:val="20"/>
                <w:szCs w:val="20"/>
              </w:rPr>
              <w:t>(Ont.)</w:t>
            </w:r>
          </w:p>
          <w:p w:rsidR="00D410AB" w:rsidRPr="0010611E" w:rsidRDefault="00D410AB" w:rsidP="00D410AB">
            <w:pPr>
              <w:tabs>
                <w:tab w:val="left" w:pos="-1440"/>
                <w:tab w:val="left" w:pos="-720"/>
              </w:tabs>
              <w:rPr>
                <w:sz w:val="20"/>
                <w:szCs w:val="20"/>
              </w:rPr>
            </w:pPr>
            <w:r w:rsidRPr="0010611E">
              <w:rPr>
                <w:sz w:val="20"/>
                <w:szCs w:val="20"/>
              </w:rPr>
              <w:tab/>
              <w:t>Caitlin Sainsbury</w:t>
            </w:r>
          </w:p>
          <w:p w:rsidR="00D410AB" w:rsidRPr="0010611E" w:rsidRDefault="00D410AB" w:rsidP="00D410AB">
            <w:pPr>
              <w:tabs>
                <w:tab w:val="left" w:pos="-1440"/>
                <w:tab w:val="left" w:pos="-720"/>
              </w:tabs>
              <w:rPr>
                <w:sz w:val="20"/>
                <w:szCs w:val="20"/>
              </w:rPr>
            </w:pPr>
            <w:r w:rsidRPr="0010611E">
              <w:rPr>
                <w:sz w:val="20"/>
                <w:szCs w:val="20"/>
              </w:rPr>
              <w:tab/>
              <w:t>Borden Ladner Gervais LLP</w:t>
            </w:r>
          </w:p>
          <w:p w:rsidR="00D410AB" w:rsidRPr="0010611E" w:rsidRDefault="00D410AB" w:rsidP="00D410AB">
            <w:pPr>
              <w:tabs>
                <w:tab w:val="left" w:pos="-1440"/>
                <w:tab w:val="left" w:pos="-720"/>
              </w:tabs>
              <w:rPr>
                <w:sz w:val="20"/>
                <w:szCs w:val="20"/>
              </w:rPr>
            </w:pPr>
          </w:p>
          <w:p w:rsidR="00D410AB" w:rsidRPr="0010611E" w:rsidRDefault="00D410AB" w:rsidP="00D410AB">
            <w:pPr>
              <w:rPr>
                <w:sz w:val="20"/>
                <w:szCs w:val="20"/>
              </w:rPr>
            </w:pPr>
            <w:r w:rsidRPr="0010611E">
              <w:rPr>
                <w:sz w:val="20"/>
                <w:szCs w:val="20"/>
              </w:rPr>
              <w:t>FILING DATE: 30.10.2017</w:t>
            </w:r>
          </w:p>
          <w:p w:rsidR="00DB2759" w:rsidRPr="0010611E" w:rsidRDefault="00B35ED9" w:rsidP="00D410AB">
            <w:pPr>
              <w:rPr>
                <w:sz w:val="20"/>
                <w:szCs w:val="20"/>
              </w:rPr>
            </w:pPr>
            <w:r>
              <w:rPr>
                <w:sz w:val="20"/>
                <w:szCs w:val="20"/>
                <w:lang w:val="fr-CA"/>
              </w:rPr>
              <w:pict>
                <v:rect id="_x0000_i1028" style="width:108pt;height:1pt" o:hrpct="0" o:hralign="center" o:hrstd="t" o:hrnoshade="t" o:hr="t" fillcolor="black [3213]" stroked="f"/>
              </w:pict>
            </w:r>
          </w:p>
        </w:tc>
      </w:tr>
      <w:tr w:rsidR="00DB2759" w:rsidRPr="0010611E" w:rsidTr="003B3977">
        <w:tc>
          <w:tcPr>
            <w:tcW w:w="4320" w:type="dxa"/>
            <w:shd w:val="clear" w:color="auto" w:fill="auto"/>
          </w:tcPr>
          <w:p w:rsidR="0097006A" w:rsidRPr="0010611E" w:rsidRDefault="0097006A" w:rsidP="0097006A">
            <w:pPr>
              <w:rPr>
                <w:b/>
                <w:sz w:val="20"/>
                <w:szCs w:val="20"/>
                <w:lang w:val="fr-CA"/>
              </w:rPr>
            </w:pPr>
            <w:proofErr w:type="spellStart"/>
            <w:r w:rsidRPr="0010611E">
              <w:rPr>
                <w:b/>
                <w:sz w:val="20"/>
                <w:szCs w:val="20"/>
                <w:lang w:val="fr-CA"/>
              </w:rPr>
              <w:t>Assessment</w:t>
            </w:r>
            <w:proofErr w:type="spellEnd"/>
            <w:r w:rsidRPr="0010611E">
              <w:rPr>
                <w:b/>
                <w:sz w:val="20"/>
                <w:szCs w:val="20"/>
                <w:lang w:val="fr-CA"/>
              </w:rPr>
              <w:t xml:space="preserve"> Direct Inc. et al.</w:t>
            </w:r>
          </w:p>
          <w:p w:rsidR="0097006A" w:rsidRPr="0010611E" w:rsidRDefault="0097006A" w:rsidP="0097006A">
            <w:pPr>
              <w:tabs>
                <w:tab w:val="left" w:pos="-1440"/>
                <w:tab w:val="left" w:pos="-720"/>
              </w:tabs>
              <w:rPr>
                <w:sz w:val="20"/>
                <w:szCs w:val="20"/>
                <w:lang w:val="en-US"/>
              </w:rPr>
            </w:pPr>
            <w:r w:rsidRPr="0010611E">
              <w:rPr>
                <w:sz w:val="20"/>
                <w:szCs w:val="20"/>
                <w:lang w:val="fr-CA"/>
              </w:rPr>
              <w:tab/>
            </w:r>
            <w:r w:rsidRPr="0010611E">
              <w:rPr>
                <w:sz w:val="20"/>
                <w:szCs w:val="20"/>
                <w:lang w:val="en-US"/>
              </w:rPr>
              <w:t xml:space="preserve">Richard </w:t>
            </w:r>
            <w:proofErr w:type="spellStart"/>
            <w:r w:rsidRPr="0010611E">
              <w:rPr>
                <w:sz w:val="20"/>
                <w:szCs w:val="20"/>
                <w:lang w:val="en-US"/>
              </w:rPr>
              <w:t>Shekter</w:t>
            </w:r>
            <w:proofErr w:type="spellEnd"/>
          </w:p>
          <w:p w:rsidR="0097006A" w:rsidRPr="0010611E" w:rsidRDefault="0097006A" w:rsidP="0097006A">
            <w:pPr>
              <w:tabs>
                <w:tab w:val="left" w:pos="-1440"/>
                <w:tab w:val="left" w:pos="-720"/>
              </w:tabs>
              <w:ind w:left="720"/>
              <w:rPr>
                <w:sz w:val="20"/>
                <w:szCs w:val="20"/>
                <w:lang w:val="en-US"/>
              </w:rPr>
            </w:pPr>
            <w:proofErr w:type="spellStart"/>
            <w:r w:rsidRPr="0010611E">
              <w:rPr>
                <w:sz w:val="20"/>
                <w:szCs w:val="20"/>
                <w:lang w:val="en-US"/>
              </w:rPr>
              <w:t>Shekter</w:t>
            </w:r>
            <w:proofErr w:type="spellEnd"/>
            <w:r w:rsidRPr="0010611E">
              <w:rPr>
                <w:sz w:val="20"/>
                <w:szCs w:val="20"/>
                <w:lang w:val="en-US"/>
              </w:rPr>
              <w:t xml:space="preserve">, </w:t>
            </w:r>
            <w:proofErr w:type="spellStart"/>
            <w:r w:rsidRPr="0010611E">
              <w:rPr>
                <w:sz w:val="20"/>
                <w:szCs w:val="20"/>
                <w:lang w:val="en-US"/>
              </w:rPr>
              <w:t>Dychtenberg</w:t>
            </w:r>
            <w:proofErr w:type="spellEnd"/>
            <w:r w:rsidRPr="0010611E">
              <w:rPr>
                <w:sz w:val="20"/>
                <w:szCs w:val="20"/>
                <w:lang w:val="en-US"/>
              </w:rPr>
              <w:t xml:space="preserve"> LLP</w:t>
            </w:r>
          </w:p>
          <w:p w:rsidR="0097006A" w:rsidRPr="0010611E" w:rsidRDefault="0097006A" w:rsidP="0097006A">
            <w:pPr>
              <w:tabs>
                <w:tab w:val="left" w:pos="-1440"/>
                <w:tab w:val="left" w:pos="-720"/>
              </w:tabs>
              <w:rPr>
                <w:sz w:val="20"/>
                <w:szCs w:val="20"/>
                <w:lang w:val="en-US"/>
              </w:rPr>
            </w:pPr>
          </w:p>
          <w:p w:rsidR="0097006A" w:rsidRPr="0010611E" w:rsidRDefault="0097006A" w:rsidP="0097006A">
            <w:pPr>
              <w:tabs>
                <w:tab w:val="left" w:pos="-1440"/>
                <w:tab w:val="left" w:pos="-720"/>
              </w:tabs>
              <w:rPr>
                <w:sz w:val="20"/>
                <w:szCs w:val="20"/>
                <w:lang w:val="en-US"/>
              </w:rPr>
            </w:pPr>
            <w:r w:rsidRPr="0010611E">
              <w:rPr>
                <w:sz w:val="20"/>
                <w:szCs w:val="20"/>
                <w:lang w:val="en-US"/>
              </w:rPr>
              <w:tab/>
              <w:t>v. (37918)</w:t>
            </w:r>
          </w:p>
          <w:p w:rsidR="0097006A" w:rsidRPr="0010611E" w:rsidRDefault="0097006A" w:rsidP="0097006A">
            <w:pPr>
              <w:tabs>
                <w:tab w:val="left" w:pos="-1440"/>
                <w:tab w:val="left" w:pos="-720"/>
              </w:tabs>
              <w:rPr>
                <w:sz w:val="20"/>
                <w:szCs w:val="20"/>
                <w:lang w:val="en-US"/>
              </w:rPr>
            </w:pPr>
          </w:p>
          <w:p w:rsidR="0097006A" w:rsidRPr="0010611E" w:rsidRDefault="0097006A" w:rsidP="0097006A">
            <w:pPr>
              <w:tabs>
                <w:tab w:val="left" w:pos="-1440"/>
                <w:tab w:val="left" w:pos="-720"/>
              </w:tabs>
              <w:rPr>
                <w:b/>
                <w:sz w:val="20"/>
                <w:szCs w:val="20"/>
                <w:lang w:val="en-US"/>
              </w:rPr>
            </w:pPr>
            <w:r w:rsidRPr="0010611E">
              <w:rPr>
                <w:b/>
                <w:sz w:val="20"/>
                <w:szCs w:val="20"/>
                <w:lang w:val="fr-CA"/>
              </w:rPr>
              <w:t xml:space="preserve">Ontario Provincial Police et al. </w:t>
            </w:r>
            <w:r w:rsidRPr="0010611E">
              <w:rPr>
                <w:b/>
                <w:sz w:val="20"/>
                <w:szCs w:val="20"/>
                <w:lang w:val="en-US"/>
              </w:rPr>
              <w:t>(Ont.)</w:t>
            </w:r>
          </w:p>
          <w:p w:rsidR="0097006A" w:rsidRPr="0010611E" w:rsidRDefault="0097006A" w:rsidP="0097006A">
            <w:pPr>
              <w:tabs>
                <w:tab w:val="left" w:pos="-1440"/>
                <w:tab w:val="left" w:pos="-720"/>
              </w:tabs>
              <w:rPr>
                <w:sz w:val="20"/>
                <w:szCs w:val="20"/>
                <w:lang w:val="en-US"/>
              </w:rPr>
            </w:pPr>
            <w:r w:rsidRPr="0010611E">
              <w:rPr>
                <w:sz w:val="20"/>
                <w:szCs w:val="20"/>
                <w:lang w:val="en-US"/>
              </w:rPr>
              <w:tab/>
              <w:t>John R. Patton</w:t>
            </w:r>
          </w:p>
          <w:p w:rsidR="0097006A" w:rsidRPr="0010611E" w:rsidRDefault="0097006A" w:rsidP="0097006A">
            <w:pPr>
              <w:tabs>
                <w:tab w:val="left" w:pos="-1440"/>
                <w:tab w:val="left" w:pos="-720"/>
              </w:tabs>
              <w:rPr>
                <w:sz w:val="20"/>
                <w:szCs w:val="20"/>
                <w:lang w:val="en-US"/>
              </w:rPr>
            </w:pPr>
            <w:r w:rsidRPr="0010611E">
              <w:rPr>
                <w:sz w:val="20"/>
                <w:szCs w:val="20"/>
                <w:lang w:val="en-US"/>
              </w:rPr>
              <w:tab/>
              <w:t>A.G. of Ontario</w:t>
            </w:r>
          </w:p>
          <w:p w:rsidR="0097006A" w:rsidRPr="0010611E" w:rsidRDefault="0097006A" w:rsidP="0097006A">
            <w:pPr>
              <w:tabs>
                <w:tab w:val="left" w:pos="-1440"/>
                <w:tab w:val="left" w:pos="-720"/>
              </w:tabs>
              <w:rPr>
                <w:sz w:val="20"/>
                <w:szCs w:val="20"/>
                <w:lang w:val="en-US"/>
              </w:rPr>
            </w:pPr>
          </w:p>
          <w:p w:rsidR="0097006A" w:rsidRPr="0010611E" w:rsidRDefault="0097006A" w:rsidP="0097006A">
            <w:pPr>
              <w:rPr>
                <w:sz w:val="20"/>
                <w:szCs w:val="20"/>
                <w:lang w:val="en-US"/>
              </w:rPr>
            </w:pPr>
            <w:r w:rsidRPr="0010611E">
              <w:rPr>
                <w:sz w:val="20"/>
                <w:szCs w:val="20"/>
                <w:lang w:val="en-US"/>
              </w:rPr>
              <w:t>FILING DATE: 21.03.2018</w:t>
            </w:r>
          </w:p>
          <w:p w:rsidR="00DB2759" w:rsidRPr="0010611E" w:rsidRDefault="00B35ED9" w:rsidP="0097006A">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DB2759" w:rsidRPr="0010611E" w:rsidRDefault="00DB2759" w:rsidP="00242AEE">
            <w:pPr>
              <w:jc w:val="center"/>
              <w:rPr>
                <w:sz w:val="20"/>
                <w:szCs w:val="20"/>
              </w:rPr>
            </w:pPr>
          </w:p>
          <w:p w:rsidR="00DB2759" w:rsidRPr="0010611E" w:rsidRDefault="00DB2759" w:rsidP="00242AEE">
            <w:pPr>
              <w:jc w:val="center"/>
              <w:rPr>
                <w:sz w:val="20"/>
                <w:szCs w:val="20"/>
              </w:rPr>
            </w:pPr>
          </w:p>
          <w:p w:rsidR="00DB2759" w:rsidRPr="0010611E" w:rsidRDefault="00DB2759" w:rsidP="00242AEE">
            <w:pPr>
              <w:jc w:val="center"/>
              <w:rPr>
                <w:sz w:val="20"/>
                <w:szCs w:val="20"/>
              </w:rPr>
            </w:pPr>
          </w:p>
          <w:p w:rsidR="00DB2759" w:rsidRPr="0010611E" w:rsidRDefault="00DB2759" w:rsidP="00242AEE">
            <w:pPr>
              <w:jc w:val="center"/>
              <w:rPr>
                <w:sz w:val="20"/>
                <w:szCs w:val="20"/>
              </w:rPr>
            </w:pPr>
          </w:p>
          <w:p w:rsidR="00DB2759" w:rsidRPr="0010611E" w:rsidRDefault="00DB2759" w:rsidP="00242AEE">
            <w:pPr>
              <w:jc w:val="center"/>
              <w:rPr>
                <w:sz w:val="20"/>
                <w:szCs w:val="20"/>
              </w:rPr>
            </w:pPr>
          </w:p>
          <w:p w:rsidR="00DB2759" w:rsidRPr="0010611E" w:rsidRDefault="00DB2759" w:rsidP="00242AEE">
            <w:pPr>
              <w:jc w:val="center"/>
              <w:rPr>
                <w:sz w:val="20"/>
                <w:szCs w:val="20"/>
              </w:rPr>
            </w:pPr>
          </w:p>
          <w:p w:rsidR="00DB2759" w:rsidRPr="0010611E" w:rsidRDefault="00DB2759" w:rsidP="00242AEE">
            <w:pPr>
              <w:jc w:val="center"/>
              <w:rPr>
                <w:sz w:val="20"/>
                <w:szCs w:val="20"/>
              </w:rPr>
            </w:pPr>
          </w:p>
          <w:p w:rsidR="00DB2759" w:rsidRPr="0010611E" w:rsidRDefault="00DB2759" w:rsidP="00242AEE">
            <w:pPr>
              <w:jc w:val="center"/>
              <w:rPr>
                <w:sz w:val="20"/>
                <w:szCs w:val="20"/>
              </w:rPr>
            </w:pPr>
          </w:p>
          <w:p w:rsidR="00DB2759" w:rsidRPr="0010611E" w:rsidRDefault="00DB2759" w:rsidP="00242AEE">
            <w:pPr>
              <w:jc w:val="center"/>
              <w:rPr>
                <w:sz w:val="20"/>
                <w:szCs w:val="20"/>
              </w:rPr>
            </w:pPr>
          </w:p>
          <w:p w:rsidR="00DB2759" w:rsidRPr="0010611E" w:rsidRDefault="00DB2759" w:rsidP="00242AEE">
            <w:pPr>
              <w:jc w:val="center"/>
              <w:rPr>
                <w:sz w:val="20"/>
                <w:szCs w:val="20"/>
              </w:rPr>
            </w:pPr>
          </w:p>
          <w:p w:rsidR="00DB2759" w:rsidRPr="0010611E" w:rsidRDefault="00DB2759" w:rsidP="00242AEE">
            <w:pPr>
              <w:jc w:val="center"/>
              <w:rPr>
                <w:sz w:val="20"/>
                <w:szCs w:val="20"/>
              </w:rPr>
            </w:pPr>
          </w:p>
          <w:p w:rsidR="00DB2759" w:rsidRPr="0010611E" w:rsidRDefault="00DB2759" w:rsidP="00242AEE">
            <w:pPr>
              <w:jc w:val="center"/>
              <w:rPr>
                <w:sz w:val="20"/>
                <w:szCs w:val="20"/>
              </w:rPr>
            </w:pPr>
          </w:p>
          <w:p w:rsidR="00DB2759" w:rsidRPr="0010611E" w:rsidRDefault="00DB2759" w:rsidP="00242AEE">
            <w:pPr>
              <w:jc w:val="center"/>
              <w:rPr>
                <w:sz w:val="20"/>
                <w:szCs w:val="20"/>
              </w:rPr>
            </w:pPr>
          </w:p>
        </w:tc>
        <w:tc>
          <w:tcPr>
            <w:tcW w:w="4320" w:type="dxa"/>
            <w:shd w:val="clear" w:color="auto" w:fill="auto"/>
          </w:tcPr>
          <w:p w:rsidR="00D410AB" w:rsidRPr="0010611E" w:rsidRDefault="00D410AB" w:rsidP="00D410AB">
            <w:pPr>
              <w:rPr>
                <w:b/>
                <w:sz w:val="20"/>
                <w:szCs w:val="20"/>
                <w:lang w:val="fr-CA"/>
              </w:rPr>
            </w:pPr>
            <w:r w:rsidRPr="0010611E">
              <w:rPr>
                <w:b/>
                <w:sz w:val="20"/>
                <w:szCs w:val="20"/>
                <w:lang w:val="fr-CA"/>
              </w:rPr>
              <w:t>Phoenix Interactive Design Inc. et al.</w:t>
            </w:r>
          </w:p>
          <w:p w:rsidR="00D410AB" w:rsidRPr="0010611E" w:rsidRDefault="00D410AB" w:rsidP="00D410AB">
            <w:pPr>
              <w:tabs>
                <w:tab w:val="left" w:pos="-1440"/>
                <w:tab w:val="left" w:pos="-720"/>
              </w:tabs>
              <w:rPr>
                <w:sz w:val="20"/>
                <w:szCs w:val="20"/>
                <w:lang w:val="en-US"/>
              </w:rPr>
            </w:pPr>
            <w:r w:rsidRPr="0010611E">
              <w:rPr>
                <w:sz w:val="20"/>
                <w:szCs w:val="20"/>
                <w:lang w:val="fr-CA"/>
              </w:rPr>
              <w:tab/>
            </w:r>
            <w:r w:rsidRPr="0010611E">
              <w:rPr>
                <w:sz w:val="20"/>
                <w:szCs w:val="20"/>
                <w:lang w:val="en-US"/>
              </w:rPr>
              <w:t>Raymond F. Leach</w:t>
            </w:r>
          </w:p>
          <w:p w:rsidR="00D410AB" w:rsidRPr="0010611E" w:rsidRDefault="00D410AB" w:rsidP="00D410AB">
            <w:pPr>
              <w:tabs>
                <w:tab w:val="left" w:pos="-1440"/>
                <w:tab w:val="left" w:pos="-720"/>
              </w:tabs>
              <w:ind w:left="720"/>
              <w:rPr>
                <w:sz w:val="20"/>
                <w:szCs w:val="20"/>
                <w:lang w:val="en-US"/>
              </w:rPr>
            </w:pPr>
            <w:proofErr w:type="spellStart"/>
            <w:r w:rsidRPr="0010611E">
              <w:rPr>
                <w:sz w:val="20"/>
                <w:szCs w:val="20"/>
                <w:lang w:val="en-US"/>
              </w:rPr>
              <w:t>Siskinds</w:t>
            </w:r>
            <w:proofErr w:type="spellEnd"/>
            <w:r w:rsidRPr="0010611E">
              <w:rPr>
                <w:sz w:val="20"/>
                <w:szCs w:val="20"/>
                <w:lang w:val="en-US"/>
              </w:rPr>
              <w:t xml:space="preserve"> LLP</w:t>
            </w:r>
          </w:p>
          <w:p w:rsidR="00D410AB" w:rsidRPr="0010611E" w:rsidRDefault="00D410AB" w:rsidP="00D410AB">
            <w:pPr>
              <w:tabs>
                <w:tab w:val="left" w:pos="-1440"/>
                <w:tab w:val="left" w:pos="-720"/>
              </w:tabs>
              <w:rPr>
                <w:sz w:val="20"/>
                <w:szCs w:val="20"/>
                <w:lang w:val="en-US"/>
              </w:rPr>
            </w:pPr>
          </w:p>
          <w:p w:rsidR="00D410AB" w:rsidRPr="0010611E" w:rsidRDefault="00D410AB" w:rsidP="00D410AB">
            <w:pPr>
              <w:tabs>
                <w:tab w:val="left" w:pos="-1440"/>
                <w:tab w:val="left" w:pos="-720"/>
              </w:tabs>
              <w:rPr>
                <w:sz w:val="20"/>
                <w:szCs w:val="20"/>
                <w:lang w:val="en-US"/>
              </w:rPr>
            </w:pPr>
            <w:r w:rsidRPr="0010611E">
              <w:rPr>
                <w:sz w:val="20"/>
                <w:szCs w:val="20"/>
                <w:lang w:val="en-US"/>
              </w:rPr>
              <w:tab/>
              <w:t>v. (38041)</w:t>
            </w:r>
          </w:p>
          <w:p w:rsidR="00D410AB" w:rsidRPr="0010611E" w:rsidRDefault="00D410AB" w:rsidP="00D410AB">
            <w:pPr>
              <w:tabs>
                <w:tab w:val="left" w:pos="-1440"/>
                <w:tab w:val="left" w:pos="-720"/>
              </w:tabs>
              <w:rPr>
                <w:sz w:val="20"/>
                <w:szCs w:val="20"/>
                <w:lang w:val="en-US"/>
              </w:rPr>
            </w:pPr>
          </w:p>
          <w:p w:rsidR="00D410AB" w:rsidRPr="0010611E" w:rsidRDefault="00D410AB" w:rsidP="00D410AB">
            <w:pPr>
              <w:tabs>
                <w:tab w:val="left" w:pos="-1440"/>
                <w:tab w:val="left" w:pos="-720"/>
              </w:tabs>
              <w:rPr>
                <w:b/>
                <w:sz w:val="20"/>
                <w:szCs w:val="20"/>
              </w:rPr>
            </w:pPr>
            <w:proofErr w:type="spellStart"/>
            <w:r w:rsidRPr="0010611E">
              <w:rPr>
                <w:b/>
                <w:sz w:val="20"/>
                <w:szCs w:val="20"/>
                <w:lang w:val="en-US"/>
              </w:rPr>
              <w:t>Alterinvest</w:t>
            </w:r>
            <w:proofErr w:type="spellEnd"/>
            <w:r w:rsidRPr="0010611E">
              <w:rPr>
                <w:b/>
                <w:sz w:val="20"/>
                <w:szCs w:val="20"/>
                <w:lang w:val="en-US"/>
              </w:rPr>
              <w:t xml:space="preserve"> II Fund L.P. by its General Partner, Business Development Bank of Canada </w:t>
            </w:r>
            <w:r w:rsidRPr="0010611E">
              <w:rPr>
                <w:b/>
                <w:sz w:val="20"/>
                <w:szCs w:val="20"/>
              </w:rPr>
              <w:t>(Ont.)</w:t>
            </w:r>
          </w:p>
          <w:p w:rsidR="00D410AB" w:rsidRPr="0010611E" w:rsidRDefault="00D410AB" w:rsidP="00D410AB">
            <w:pPr>
              <w:tabs>
                <w:tab w:val="left" w:pos="-1440"/>
                <w:tab w:val="left" w:pos="-720"/>
              </w:tabs>
              <w:rPr>
                <w:sz w:val="20"/>
                <w:szCs w:val="20"/>
              </w:rPr>
            </w:pPr>
            <w:r w:rsidRPr="0010611E">
              <w:rPr>
                <w:sz w:val="20"/>
                <w:szCs w:val="20"/>
              </w:rPr>
              <w:tab/>
              <w:t xml:space="preserve">George </w:t>
            </w:r>
            <w:proofErr w:type="spellStart"/>
            <w:r w:rsidRPr="0010611E">
              <w:rPr>
                <w:sz w:val="20"/>
                <w:szCs w:val="20"/>
              </w:rPr>
              <w:t>Benchetrit</w:t>
            </w:r>
            <w:proofErr w:type="spellEnd"/>
          </w:p>
          <w:p w:rsidR="00D410AB" w:rsidRPr="0010611E" w:rsidRDefault="00D410AB" w:rsidP="00D410AB">
            <w:pPr>
              <w:tabs>
                <w:tab w:val="left" w:pos="-1440"/>
                <w:tab w:val="left" w:pos="-720"/>
              </w:tabs>
              <w:rPr>
                <w:sz w:val="20"/>
                <w:szCs w:val="20"/>
              </w:rPr>
            </w:pPr>
            <w:r w:rsidRPr="0010611E">
              <w:rPr>
                <w:sz w:val="20"/>
                <w:szCs w:val="20"/>
              </w:rPr>
              <w:tab/>
            </w:r>
            <w:proofErr w:type="spellStart"/>
            <w:r w:rsidRPr="0010611E">
              <w:rPr>
                <w:sz w:val="20"/>
                <w:szCs w:val="20"/>
              </w:rPr>
              <w:t>Chaitons</w:t>
            </w:r>
            <w:proofErr w:type="spellEnd"/>
            <w:r w:rsidRPr="0010611E">
              <w:rPr>
                <w:sz w:val="20"/>
                <w:szCs w:val="20"/>
              </w:rPr>
              <w:t xml:space="preserve"> LLP</w:t>
            </w:r>
          </w:p>
          <w:p w:rsidR="00D410AB" w:rsidRPr="0010611E" w:rsidRDefault="00D410AB" w:rsidP="00D410AB">
            <w:pPr>
              <w:tabs>
                <w:tab w:val="left" w:pos="-1440"/>
                <w:tab w:val="left" w:pos="-720"/>
              </w:tabs>
              <w:rPr>
                <w:sz w:val="20"/>
                <w:szCs w:val="20"/>
              </w:rPr>
            </w:pPr>
          </w:p>
          <w:p w:rsidR="00D410AB" w:rsidRPr="0010611E" w:rsidRDefault="00D410AB" w:rsidP="00D410AB">
            <w:pPr>
              <w:rPr>
                <w:sz w:val="20"/>
                <w:szCs w:val="20"/>
              </w:rPr>
            </w:pPr>
            <w:r w:rsidRPr="0010611E">
              <w:rPr>
                <w:sz w:val="20"/>
                <w:szCs w:val="20"/>
              </w:rPr>
              <w:t>FILING DATE: 28.03.2018</w:t>
            </w:r>
          </w:p>
          <w:p w:rsidR="00DB2759" w:rsidRPr="0010611E" w:rsidRDefault="00B35ED9" w:rsidP="00D410AB">
            <w:pPr>
              <w:rPr>
                <w:sz w:val="20"/>
                <w:szCs w:val="20"/>
                <w:lang w:val="fr-CA"/>
              </w:rPr>
            </w:pPr>
            <w:r>
              <w:rPr>
                <w:sz w:val="20"/>
                <w:szCs w:val="20"/>
                <w:lang w:val="fr-CA"/>
              </w:rPr>
              <w:pict>
                <v:rect id="_x0000_i1030" style="width:108pt;height:1pt" o:hrpct="0" o:hralign="center" o:hrstd="t" o:hrnoshade="t" o:hr="t" fillcolor="black [3213]" stroked="f"/>
              </w:pict>
            </w:r>
          </w:p>
          <w:p w:rsidR="00D410AB" w:rsidRPr="0010611E" w:rsidRDefault="00D410AB" w:rsidP="00D410AB">
            <w:pPr>
              <w:rPr>
                <w:sz w:val="20"/>
                <w:szCs w:val="20"/>
              </w:rPr>
            </w:pPr>
          </w:p>
        </w:tc>
      </w:tr>
      <w:tr w:rsidR="0097006A" w:rsidRPr="0010611E" w:rsidTr="003B3977">
        <w:tc>
          <w:tcPr>
            <w:tcW w:w="4320" w:type="dxa"/>
            <w:shd w:val="clear" w:color="auto" w:fill="auto"/>
          </w:tcPr>
          <w:p w:rsidR="0097006A" w:rsidRPr="0010611E" w:rsidRDefault="0097006A" w:rsidP="0097006A">
            <w:pPr>
              <w:rPr>
                <w:b/>
                <w:sz w:val="20"/>
                <w:szCs w:val="20"/>
                <w:lang w:val="en-US"/>
              </w:rPr>
            </w:pPr>
            <w:r w:rsidRPr="0010611E">
              <w:rPr>
                <w:b/>
                <w:sz w:val="20"/>
                <w:szCs w:val="20"/>
                <w:lang w:val="en-US"/>
              </w:rPr>
              <w:t>N-</w:t>
            </w:r>
            <w:proofErr w:type="spellStart"/>
            <w:r w:rsidRPr="0010611E">
              <w:rPr>
                <w:b/>
                <w:sz w:val="20"/>
                <w:szCs w:val="20"/>
                <w:lang w:val="en-US"/>
              </w:rPr>
              <w:t>Krypt</w:t>
            </w:r>
            <w:proofErr w:type="spellEnd"/>
            <w:r w:rsidRPr="0010611E">
              <w:rPr>
                <w:b/>
                <w:sz w:val="20"/>
                <w:szCs w:val="20"/>
                <w:lang w:val="en-US"/>
              </w:rPr>
              <w:t xml:space="preserve"> International Corp.</w:t>
            </w:r>
          </w:p>
          <w:p w:rsidR="0097006A" w:rsidRPr="0010611E" w:rsidRDefault="0097006A" w:rsidP="0097006A">
            <w:pPr>
              <w:tabs>
                <w:tab w:val="left" w:pos="-1440"/>
                <w:tab w:val="left" w:pos="-720"/>
              </w:tabs>
              <w:rPr>
                <w:sz w:val="20"/>
                <w:szCs w:val="20"/>
                <w:lang w:val="en-US"/>
              </w:rPr>
            </w:pPr>
            <w:r w:rsidRPr="0010611E">
              <w:rPr>
                <w:sz w:val="20"/>
                <w:szCs w:val="20"/>
                <w:lang w:val="en-US"/>
              </w:rPr>
              <w:tab/>
            </w:r>
            <w:proofErr w:type="spellStart"/>
            <w:r w:rsidRPr="0010611E">
              <w:rPr>
                <w:sz w:val="20"/>
                <w:szCs w:val="20"/>
                <w:lang w:val="en-US"/>
              </w:rPr>
              <w:t>Shahzad</w:t>
            </w:r>
            <w:proofErr w:type="spellEnd"/>
            <w:r w:rsidRPr="0010611E">
              <w:rPr>
                <w:sz w:val="20"/>
                <w:szCs w:val="20"/>
                <w:lang w:val="en-US"/>
              </w:rPr>
              <w:t xml:space="preserve"> F. Siddiqui</w:t>
            </w:r>
          </w:p>
          <w:p w:rsidR="0097006A" w:rsidRPr="0010611E" w:rsidRDefault="0097006A" w:rsidP="0097006A">
            <w:pPr>
              <w:tabs>
                <w:tab w:val="left" w:pos="-1440"/>
                <w:tab w:val="left" w:pos="-720"/>
              </w:tabs>
              <w:rPr>
                <w:sz w:val="20"/>
                <w:szCs w:val="20"/>
                <w:lang w:val="en-US"/>
              </w:rPr>
            </w:pPr>
          </w:p>
          <w:p w:rsidR="0097006A" w:rsidRPr="0010611E" w:rsidRDefault="0097006A" w:rsidP="0097006A">
            <w:pPr>
              <w:tabs>
                <w:tab w:val="left" w:pos="-1440"/>
                <w:tab w:val="left" w:pos="-720"/>
              </w:tabs>
              <w:rPr>
                <w:sz w:val="20"/>
                <w:szCs w:val="20"/>
                <w:lang w:val="en-US"/>
              </w:rPr>
            </w:pPr>
            <w:r w:rsidRPr="0010611E">
              <w:rPr>
                <w:sz w:val="20"/>
                <w:szCs w:val="20"/>
                <w:lang w:val="en-US"/>
              </w:rPr>
              <w:tab/>
              <w:t>v. (38018)</w:t>
            </w:r>
          </w:p>
          <w:p w:rsidR="0097006A" w:rsidRPr="0010611E" w:rsidRDefault="0097006A" w:rsidP="0097006A">
            <w:pPr>
              <w:tabs>
                <w:tab w:val="left" w:pos="-1440"/>
                <w:tab w:val="left" w:pos="-720"/>
              </w:tabs>
              <w:rPr>
                <w:sz w:val="20"/>
                <w:szCs w:val="20"/>
                <w:lang w:val="en-US"/>
              </w:rPr>
            </w:pPr>
          </w:p>
          <w:p w:rsidR="0097006A" w:rsidRPr="0010611E" w:rsidRDefault="0097006A" w:rsidP="0097006A">
            <w:pPr>
              <w:tabs>
                <w:tab w:val="left" w:pos="-1440"/>
                <w:tab w:val="left" w:pos="-720"/>
              </w:tabs>
              <w:rPr>
                <w:b/>
                <w:sz w:val="20"/>
                <w:szCs w:val="20"/>
              </w:rPr>
            </w:pPr>
            <w:r w:rsidRPr="0010611E">
              <w:rPr>
                <w:b/>
                <w:sz w:val="20"/>
                <w:szCs w:val="20"/>
                <w:lang w:val="en-US"/>
              </w:rPr>
              <w:t xml:space="preserve">Thierry </w:t>
            </w:r>
            <w:proofErr w:type="spellStart"/>
            <w:r w:rsidRPr="0010611E">
              <w:rPr>
                <w:b/>
                <w:sz w:val="20"/>
                <w:szCs w:val="20"/>
                <w:lang w:val="en-US"/>
              </w:rPr>
              <w:t>Levasseur</w:t>
            </w:r>
            <w:proofErr w:type="spellEnd"/>
            <w:r w:rsidRPr="0010611E">
              <w:rPr>
                <w:b/>
                <w:sz w:val="20"/>
                <w:szCs w:val="20"/>
                <w:lang w:val="en-US"/>
              </w:rPr>
              <w:t xml:space="preserve"> </w:t>
            </w:r>
            <w:r w:rsidRPr="0010611E">
              <w:rPr>
                <w:b/>
                <w:sz w:val="20"/>
                <w:szCs w:val="20"/>
              </w:rPr>
              <w:t>(B.C.)</w:t>
            </w:r>
          </w:p>
          <w:p w:rsidR="0097006A" w:rsidRPr="0010611E" w:rsidRDefault="0097006A" w:rsidP="0097006A">
            <w:pPr>
              <w:tabs>
                <w:tab w:val="left" w:pos="-1440"/>
                <w:tab w:val="left" w:pos="-720"/>
              </w:tabs>
              <w:rPr>
                <w:sz w:val="20"/>
                <w:szCs w:val="20"/>
              </w:rPr>
            </w:pPr>
            <w:r w:rsidRPr="0010611E">
              <w:rPr>
                <w:sz w:val="20"/>
                <w:szCs w:val="20"/>
              </w:rPr>
              <w:tab/>
              <w:t>Barry D. Kirkham, Q.C.</w:t>
            </w:r>
          </w:p>
          <w:p w:rsidR="0097006A" w:rsidRPr="0010611E" w:rsidRDefault="0097006A" w:rsidP="0097006A">
            <w:pPr>
              <w:tabs>
                <w:tab w:val="left" w:pos="-1440"/>
                <w:tab w:val="left" w:pos="-720"/>
              </w:tabs>
              <w:rPr>
                <w:sz w:val="20"/>
                <w:szCs w:val="20"/>
              </w:rPr>
            </w:pPr>
            <w:r w:rsidRPr="0010611E">
              <w:rPr>
                <w:sz w:val="20"/>
                <w:szCs w:val="20"/>
              </w:rPr>
              <w:tab/>
              <w:t>Owen Bird Law Corporation</w:t>
            </w:r>
          </w:p>
          <w:p w:rsidR="0097006A" w:rsidRPr="0010611E" w:rsidRDefault="0097006A" w:rsidP="0097006A">
            <w:pPr>
              <w:tabs>
                <w:tab w:val="left" w:pos="-1440"/>
                <w:tab w:val="left" w:pos="-720"/>
              </w:tabs>
              <w:rPr>
                <w:sz w:val="20"/>
                <w:szCs w:val="20"/>
              </w:rPr>
            </w:pPr>
          </w:p>
          <w:p w:rsidR="0097006A" w:rsidRPr="0010611E" w:rsidRDefault="0097006A" w:rsidP="0097006A">
            <w:pPr>
              <w:rPr>
                <w:sz w:val="20"/>
                <w:szCs w:val="20"/>
              </w:rPr>
            </w:pPr>
            <w:r w:rsidRPr="0010611E">
              <w:rPr>
                <w:sz w:val="20"/>
                <w:szCs w:val="20"/>
              </w:rPr>
              <w:t>FILING DATE: 19.03.2018</w:t>
            </w:r>
          </w:p>
          <w:p w:rsidR="0097006A" w:rsidRPr="0010611E" w:rsidRDefault="00B35ED9" w:rsidP="0097006A">
            <w:pPr>
              <w:rPr>
                <w:b/>
                <w:sz w:val="20"/>
                <w:szCs w:val="20"/>
                <w:lang w:val="en-US"/>
              </w:rPr>
            </w:pPr>
            <w:r>
              <w:rPr>
                <w:sz w:val="20"/>
                <w:szCs w:val="20"/>
                <w:lang w:val="fr-CA"/>
              </w:rPr>
              <w:pict w14:anchorId="4A38CC46">
                <v:rect id="_x0000_i1031" style="width:108pt;height:1pt" o:hrpct="0" o:hralign="center" o:hrstd="t" o:hrnoshade="t" o:hr="t" fillcolor="black [3213]" stroked="f"/>
              </w:pict>
            </w:r>
          </w:p>
        </w:tc>
        <w:tc>
          <w:tcPr>
            <w:tcW w:w="1181" w:type="dxa"/>
            <w:shd w:val="clear" w:color="auto" w:fill="auto"/>
          </w:tcPr>
          <w:p w:rsidR="0097006A" w:rsidRPr="0010611E" w:rsidRDefault="0097006A" w:rsidP="0097006A">
            <w:pPr>
              <w:jc w:val="center"/>
              <w:rPr>
                <w:sz w:val="20"/>
                <w:szCs w:val="20"/>
              </w:rPr>
            </w:pPr>
          </w:p>
        </w:tc>
        <w:tc>
          <w:tcPr>
            <w:tcW w:w="4320" w:type="dxa"/>
            <w:shd w:val="clear" w:color="auto" w:fill="auto"/>
          </w:tcPr>
          <w:p w:rsidR="0097006A" w:rsidRPr="0010611E" w:rsidRDefault="0097006A" w:rsidP="0097006A">
            <w:pPr>
              <w:rPr>
                <w:b/>
                <w:sz w:val="20"/>
                <w:szCs w:val="20"/>
                <w:lang w:val="fr-CA"/>
              </w:rPr>
            </w:pPr>
            <w:proofErr w:type="spellStart"/>
            <w:r w:rsidRPr="0010611E">
              <w:rPr>
                <w:b/>
                <w:sz w:val="20"/>
                <w:szCs w:val="20"/>
                <w:lang w:val="fr-CA"/>
              </w:rPr>
              <w:t>Bela</w:t>
            </w:r>
            <w:proofErr w:type="spellEnd"/>
            <w:r w:rsidRPr="0010611E">
              <w:rPr>
                <w:b/>
                <w:sz w:val="20"/>
                <w:szCs w:val="20"/>
                <w:lang w:val="fr-CA"/>
              </w:rPr>
              <w:t xml:space="preserve"> </w:t>
            </w:r>
            <w:proofErr w:type="spellStart"/>
            <w:r w:rsidRPr="0010611E">
              <w:rPr>
                <w:b/>
                <w:sz w:val="20"/>
                <w:szCs w:val="20"/>
                <w:lang w:val="fr-CA"/>
              </w:rPr>
              <w:t>Kosoian</w:t>
            </w:r>
            <w:proofErr w:type="spellEnd"/>
          </w:p>
          <w:p w:rsidR="0097006A" w:rsidRPr="0010611E" w:rsidRDefault="0097006A" w:rsidP="0097006A">
            <w:pPr>
              <w:tabs>
                <w:tab w:val="left" w:pos="-1440"/>
                <w:tab w:val="left" w:pos="-720"/>
              </w:tabs>
              <w:rPr>
                <w:sz w:val="20"/>
                <w:szCs w:val="20"/>
                <w:lang w:val="fr-CA"/>
              </w:rPr>
            </w:pPr>
            <w:r w:rsidRPr="0010611E">
              <w:rPr>
                <w:sz w:val="20"/>
                <w:szCs w:val="20"/>
                <w:lang w:val="fr-CA"/>
              </w:rPr>
              <w:tab/>
              <w:t xml:space="preserve">Aymar </w:t>
            </w:r>
            <w:proofErr w:type="spellStart"/>
            <w:r w:rsidRPr="0010611E">
              <w:rPr>
                <w:sz w:val="20"/>
                <w:szCs w:val="20"/>
                <w:lang w:val="fr-CA"/>
              </w:rPr>
              <w:t>Missakila</w:t>
            </w:r>
            <w:proofErr w:type="spellEnd"/>
          </w:p>
          <w:p w:rsidR="0097006A" w:rsidRPr="0010611E" w:rsidRDefault="0097006A" w:rsidP="0097006A">
            <w:pPr>
              <w:tabs>
                <w:tab w:val="left" w:pos="-1440"/>
                <w:tab w:val="left" w:pos="-720"/>
              </w:tabs>
              <w:rPr>
                <w:sz w:val="20"/>
                <w:szCs w:val="20"/>
                <w:lang w:val="fr-CA"/>
              </w:rPr>
            </w:pPr>
          </w:p>
          <w:p w:rsidR="0097006A" w:rsidRPr="0010611E" w:rsidRDefault="0097006A" w:rsidP="0097006A">
            <w:pPr>
              <w:tabs>
                <w:tab w:val="left" w:pos="-1440"/>
                <w:tab w:val="left" w:pos="-720"/>
              </w:tabs>
              <w:rPr>
                <w:sz w:val="20"/>
                <w:szCs w:val="20"/>
                <w:lang w:val="fr-CA"/>
              </w:rPr>
            </w:pPr>
            <w:r w:rsidRPr="0010611E">
              <w:rPr>
                <w:sz w:val="20"/>
                <w:szCs w:val="20"/>
                <w:lang w:val="fr-CA"/>
              </w:rPr>
              <w:tab/>
              <w:t>c. (38012)</w:t>
            </w:r>
          </w:p>
          <w:p w:rsidR="0097006A" w:rsidRPr="0010611E" w:rsidRDefault="0097006A" w:rsidP="0097006A">
            <w:pPr>
              <w:tabs>
                <w:tab w:val="left" w:pos="-1440"/>
                <w:tab w:val="left" w:pos="-720"/>
              </w:tabs>
              <w:rPr>
                <w:sz w:val="20"/>
                <w:szCs w:val="20"/>
                <w:lang w:val="fr-CA"/>
              </w:rPr>
            </w:pPr>
          </w:p>
          <w:p w:rsidR="0097006A" w:rsidRPr="0010611E" w:rsidRDefault="0097006A" w:rsidP="0097006A">
            <w:pPr>
              <w:tabs>
                <w:tab w:val="left" w:pos="-1440"/>
                <w:tab w:val="left" w:pos="-720"/>
              </w:tabs>
              <w:rPr>
                <w:b/>
                <w:sz w:val="20"/>
                <w:szCs w:val="20"/>
                <w:lang w:val="fr-CA"/>
              </w:rPr>
            </w:pPr>
            <w:r w:rsidRPr="0010611E">
              <w:rPr>
                <w:b/>
                <w:sz w:val="20"/>
                <w:szCs w:val="20"/>
                <w:lang w:val="fr-CA"/>
              </w:rPr>
              <w:t>Société de Transport de Montréal et autres. (Qc)</w:t>
            </w:r>
          </w:p>
          <w:p w:rsidR="0097006A" w:rsidRPr="0010611E" w:rsidRDefault="0097006A" w:rsidP="0097006A">
            <w:pPr>
              <w:tabs>
                <w:tab w:val="left" w:pos="-1440"/>
                <w:tab w:val="left" w:pos="-720"/>
              </w:tabs>
              <w:rPr>
                <w:sz w:val="20"/>
                <w:szCs w:val="20"/>
                <w:lang w:val="fr-CA"/>
              </w:rPr>
            </w:pPr>
            <w:r w:rsidRPr="0010611E">
              <w:rPr>
                <w:sz w:val="20"/>
                <w:szCs w:val="20"/>
                <w:lang w:val="fr-CA"/>
              </w:rPr>
              <w:tab/>
              <w:t>Daniel Maillé</w:t>
            </w:r>
          </w:p>
          <w:p w:rsidR="0097006A" w:rsidRPr="0010611E" w:rsidRDefault="0097006A" w:rsidP="0097006A">
            <w:pPr>
              <w:tabs>
                <w:tab w:val="left" w:pos="-1440"/>
                <w:tab w:val="left" w:pos="-720"/>
              </w:tabs>
              <w:rPr>
                <w:sz w:val="20"/>
                <w:szCs w:val="20"/>
                <w:lang w:val="fr-CA"/>
              </w:rPr>
            </w:pPr>
            <w:r w:rsidRPr="0010611E">
              <w:rPr>
                <w:sz w:val="20"/>
                <w:szCs w:val="20"/>
                <w:lang w:val="fr-CA"/>
              </w:rPr>
              <w:tab/>
              <w:t xml:space="preserve">Joly, </w:t>
            </w:r>
            <w:proofErr w:type="spellStart"/>
            <w:r w:rsidRPr="0010611E">
              <w:rPr>
                <w:sz w:val="20"/>
                <w:szCs w:val="20"/>
                <w:lang w:val="fr-CA"/>
              </w:rPr>
              <w:t>Giuliani</w:t>
            </w:r>
            <w:proofErr w:type="spellEnd"/>
            <w:r w:rsidRPr="0010611E">
              <w:rPr>
                <w:sz w:val="20"/>
                <w:szCs w:val="20"/>
                <w:lang w:val="fr-CA"/>
              </w:rPr>
              <w:t xml:space="preserve"> &amp; Maillé, STM</w:t>
            </w:r>
          </w:p>
          <w:p w:rsidR="0097006A" w:rsidRPr="0010611E" w:rsidRDefault="0097006A" w:rsidP="0097006A">
            <w:pPr>
              <w:tabs>
                <w:tab w:val="left" w:pos="-1440"/>
                <w:tab w:val="left" w:pos="-720"/>
              </w:tabs>
              <w:rPr>
                <w:sz w:val="20"/>
                <w:szCs w:val="20"/>
                <w:lang w:val="fr-CA"/>
              </w:rPr>
            </w:pPr>
          </w:p>
          <w:p w:rsidR="0097006A" w:rsidRPr="0010611E" w:rsidRDefault="0097006A" w:rsidP="0097006A">
            <w:pPr>
              <w:rPr>
                <w:sz w:val="20"/>
                <w:szCs w:val="20"/>
                <w:lang w:val="fr-CA"/>
              </w:rPr>
            </w:pPr>
            <w:r w:rsidRPr="0010611E">
              <w:rPr>
                <w:sz w:val="20"/>
                <w:szCs w:val="20"/>
                <w:lang w:val="fr-CA"/>
              </w:rPr>
              <w:t>DATE DE PRODUCTION: 15.03.2018</w:t>
            </w:r>
          </w:p>
          <w:p w:rsidR="0097006A" w:rsidRPr="0010611E" w:rsidRDefault="00B35ED9" w:rsidP="0097006A">
            <w:pPr>
              <w:rPr>
                <w:sz w:val="20"/>
                <w:szCs w:val="20"/>
                <w:lang w:val="fr-CA"/>
              </w:rPr>
            </w:pPr>
            <w:r>
              <w:rPr>
                <w:sz w:val="20"/>
                <w:szCs w:val="20"/>
                <w:lang w:val="fr-CA"/>
              </w:rPr>
              <w:pict w14:anchorId="00017260">
                <v:rect id="_x0000_i1032" style="width:108pt;height:1pt" o:hrpct="0" o:hralign="center" o:hrstd="t" o:hrnoshade="t" o:hr="t" fillcolor="black [3213]" stroked="f"/>
              </w:pict>
            </w:r>
          </w:p>
          <w:p w:rsidR="0097006A" w:rsidRPr="0010611E" w:rsidRDefault="0097006A" w:rsidP="0097006A">
            <w:pPr>
              <w:rPr>
                <w:b/>
                <w:sz w:val="20"/>
                <w:szCs w:val="20"/>
                <w:lang w:val="en-US"/>
              </w:rPr>
            </w:pPr>
          </w:p>
        </w:tc>
      </w:tr>
      <w:tr w:rsidR="00D410AB" w:rsidRPr="0010611E" w:rsidTr="003B3977">
        <w:tc>
          <w:tcPr>
            <w:tcW w:w="4320" w:type="dxa"/>
            <w:shd w:val="clear" w:color="auto" w:fill="auto"/>
          </w:tcPr>
          <w:p w:rsidR="00D410AB" w:rsidRPr="0010611E" w:rsidRDefault="00D410AB" w:rsidP="00D410AB">
            <w:pPr>
              <w:rPr>
                <w:b/>
                <w:sz w:val="20"/>
                <w:szCs w:val="20"/>
                <w:lang w:val="en-US"/>
              </w:rPr>
            </w:pPr>
            <w:r w:rsidRPr="0010611E">
              <w:rPr>
                <w:b/>
                <w:sz w:val="20"/>
                <w:szCs w:val="20"/>
                <w:lang w:val="en-US"/>
              </w:rPr>
              <w:t>M.Y. Sundae Inc. operating as DQ Grill and Chill</w:t>
            </w:r>
            <w:r w:rsidR="009D3C47" w:rsidRPr="0010611E">
              <w:rPr>
                <w:b/>
                <w:sz w:val="20"/>
                <w:szCs w:val="20"/>
                <w:lang w:val="en-US"/>
              </w:rPr>
              <w:t xml:space="preserve"> et al.</w:t>
            </w:r>
          </w:p>
          <w:p w:rsidR="00D410AB" w:rsidRPr="0010611E" w:rsidRDefault="00D410AB" w:rsidP="00D410AB">
            <w:pPr>
              <w:tabs>
                <w:tab w:val="left" w:pos="-1440"/>
                <w:tab w:val="left" w:pos="-720"/>
              </w:tabs>
              <w:rPr>
                <w:sz w:val="20"/>
                <w:szCs w:val="20"/>
                <w:lang w:val="en-US"/>
              </w:rPr>
            </w:pPr>
            <w:r w:rsidRPr="0010611E">
              <w:rPr>
                <w:sz w:val="20"/>
                <w:szCs w:val="20"/>
                <w:lang w:val="en-US"/>
              </w:rPr>
              <w:tab/>
              <w:t>Wesley Richards</w:t>
            </w:r>
          </w:p>
          <w:p w:rsidR="00D410AB" w:rsidRPr="0010611E" w:rsidRDefault="00D410AB" w:rsidP="00D410AB">
            <w:pPr>
              <w:tabs>
                <w:tab w:val="left" w:pos="-1440"/>
                <w:tab w:val="left" w:pos="-720"/>
              </w:tabs>
              <w:rPr>
                <w:sz w:val="20"/>
                <w:szCs w:val="20"/>
                <w:lang w:val="en-US"/>
              </w:rPr>
            </w:pPr>
          </w:p>
          <w:p w:rsidR="00D410AB" w:rsidRPr="0010611E" w:rsidRDefault="00D410AB" w:rsidP="00D410AB">
            <w:pPr>
              <w:tabs>
                <w:tab w:val="left" w:pos="-1440"/>
                <w:tab w:val="left" w:pos="-720"/>
              </w:tabs>
              <w:rPr>
                <w:sz w:val="20"/>
                <w:szCs w:val="20"/>
                <w:lang w:val="en-US"/>
              </w:rPr>
            </w:pPr>
            <w:r w:rsidRPr="0010611E">
              <w:rPr>
                <w:sz w:val="20"/>
                <w:szCs w:val="20"/>
                <w:lang w:val="en-US"/>
              </w:rPr>
              <w:tab/>
              <w:t>v. (38060)</w:t>
            </w:r>
          </w:p>
          <w:p w:rsidR="00D410AB" w:rsidRPr="0010611E" w:rsidRDefault="00D410AB" w:rsidP="00D410AB">
            <w:pPr>
              <w:tabs>
                <w:tab w:val="left" w:pos="-1440"/>
                <w:tab w:val="left" w:pos="-720"/>
              </w:tabs>
              <w:rPr>
                <w:sz w:val="20"/>
                <w:szCs w:val="20"/>
                <w:lang w:val="en-US"/>
              </w:rPr>
            </w:pPr>
          </w:p>
          <w:p w:rsidR="00D410AB" w:rsidRPr="0010611E" w:rsidRDefault="00D410AB" w:rsidP="00D410AB">
            <w:pPr>
              <w:tabs>
                <w:tab w:val="left" w:pos="-1440"/>
                <w:tab w:val="left" w:pos="-720"/>
              </w:tabs>
              <w:rPr>
                <w:b/>
                <w:sz w:val="20"/>
                <w:szCs w:val="20"/>
              </w:rPr>
            </w:pPr>
            <w:r w:rsidRPr="0010611E">
              <w:rPr>
                <w:b/>
                <w:sz w:val="20"/>
                <w:szCs w:val="20"/>
                <w:lang w:val="en-US"/>
              </w:rPr>
              <w:t xml:space="preserve">Dairy Queen Canada Inc. </w:t>
            </w:r>
            <w:r w:rsidRPr="0010611E">
              <w:rPr>
                <w:b/>
                <w:sz w:val="20"/>
                <w:szCs w:val="20"/>
              </w:rPr>
              <w:t>(B.C.)</w:t>
            </w:r>
          </w:p>
          <w:p w:rsidR="00D410AB" w:rsidRPr="0010611E" w:rsidRDefault="00D410AB" w:rsidP="00D410AB">
            <w:pPr>
              <w:tabs>
                <w:tab w:val="left" w:pos="-1440"/>
                <w:tab w:val="left" w:pos="-720"/>
              </w:tabs>
              <w:rPr>
                <w:sz w:val="20"/>
                <w:szCs w:val="20"/>
              </w:rPr>
            </w:pPr>
            <w:r w:rsidRPr="0010611E">
              <w:rPr>
                <w:sz w:val="20"/>
                <w:szCs w:val="20"/>
              </w:rPr>
              <w:tab/>
              <w:t>Geoffrey B. Shaw</w:t>
            </w:r>
          </w:p>
          <w:p w:rsidR="00D410AB" w:rsidRPr="0010611E" w:rsidRDefault="00D410AB" w:rsidP="00D410AB">
            <w:pPr>
              <w:tabs>
                <w:tab w:val="left" w:pos="-1440"/>
                <w:tab w:val="left" w:pos="-720"/>
              </w:tabs>
              <w:rPr>
                <w:sz w:val="20"/>
                <w:szCs w:val="20"/>
              </w:rPr>
            </w:pPr>
            <w:r w:rsidRPr="0010611E">
              <w:rPr>
                <w:sz w:val="20"/>
                <w:szCs w:val="20"/>
              </w:rPr>
              <w:tab/>
              <w:t>Cassels Brock &amp; Blackwell LLP</w:t>
            </w:r>
          </w:p>
          <w:p w:rsidR="00D410AB" w:rsidRPr="0010611E" w:rsidRDefault="00D410AB" w:rsidP="00D410AB">
            <w:pPr>
              <w:tabs>
                <w:tab w:val="left" w:pos="-1440"/>
                <w:tab w:val="left" w:pos="-720"/>
              </w:tabs>
              <w:rPr>
                <w:sz w:val="20"/>
                <w:szCs w:val="20"/>
              </w:rPr>
            </w:pPr>
          </w:p>
          <w:p w:rsidR="00D410AB" w:rsidRPr="0010611E" w:rsidRDefault="00D410AB" w:rsidP="00D410AB">
            <w:pPr>
              <w:rPr>
                <w:sz w:val="20"/>
                <w:szCs w:val="20"/>
              </w:rPr>
            </w:pPr>
            <w:r w:rsidRPr="0010611E">
              <w:rPr>
                <w:sz w:val="20"/>
                <w:szCs w:val="20"/>
              </w:rPr>
              <w:t>FILING DATE: 20.02.2018</w:t>
            </w:r>
          </w:p>
          <w:p w:rsidR="00D410AB" w:rsidRPr="0010611E" w:rsidRDefault="00B35ED9" w:rsidP="00D410AB">
            <w:pPr>
              <w:rPr>
                <w:sz w:val="20"/>
                <w:szCs w:val="20"/>
              </w:rPr>
            </w:pPr>
            <w:r>
              <w:rPr>
                <w:sz w:val="20"/>
                <w:szCs w:val="20"/>
                <w:lang w:val="fr-CA"/>
              </w:rPr>
              <w:pict>
                <v:rect id="_x0000_i1033" style="width:108pt;height:1pt" o:hrpct="0" o:hralign="center" o:hrstd="t" o:hrnoshade="t" o:hr="t" fillcolor="black [3213]" stroked="f"/>
              </w:pict>
            </w:r>
          </w:p>
        </w:tc>
        <w:tc>
          <w:tcPr>
            <w:tcW w:w="1181" w:type="dxa"/>
            <w:shd w:val="clear" w:color="auto" w:fill="auto"/>
          </w:tcPr>
          <w:p w:rsidR="00D410AB" w:rsidRPr="0010611E" w:rsidRDefault="00D410AB" w:rsidP="00242AEE">
            <w:pPr>
              <w:jc w:val="center"/>
              <w:rPr>
                <w:sz w:val="20"/>
                <w:szCs w:val="20"/>
              </w:rPr>
            </w:pPr>
          </w:p>
        </w:tc>
        <w:tc>
          <w:tcPr>
            <w:tcW w:w="4320" w:type="dxa"/>
            <w:shd w:val="clear" w:color="auto" w:fill="auto"/>
          </w:tcPr>
          <w:p w:rsidR="00EB4F0F" w:rsidRPr="0010611E" w:rsidRDefault="00EB4F0F" w:rsidP="00EB4F0F">
            <w:pPr>
              <w:rPr>
                <w:b/>
                <w:sz w:val="20"/>
                <w:szCs w:val="20"/>
                <w:lang w:val="fr-CA"/>
              </w:rPr>
            </w:pPr>
            <w:r w:rsidRPr="0010611E">
              <w:rPr>
                <w:b/>
                <w:sz w:val="20"/>
                <w:szCs w:val="20"/>
                <w:lang w:val="fr-CA"/>
              </w:rPr>
              <w:t>Guy Lafleur</w:t>
            </w:r>
            <w:r w:rsidR="009D3C47" w:rsidRPr="0010611E">
              <w:rPr>
                <w:b/>
                <w:sz w:val="20"/>
                <w:szCs w:val="20"/>
                <w:lang w:val="fr-CA"/>
              </w:rPr>
              <w:t xml:space="preserve"> et autre</w:t>
            </w:r>
          </w:p>
          <w:p w:rsidR="00EB4F0F" w:rsidRPr="0010611E" w:rsidRDefault="00EB4F0F" w:rsidP="00EB4F0F">
            <w:pPr>
              <w:tabs>
                <w:tab w:val="left" w:pos="-1440"/>
                <w:tab w:val="left" w:pos="-720"/>
              </w:tabs>
              <w:rPr>
                <w:sz w:val="20"/>
                <w:szCs w:val="20"/>
                <w:lang w:val="fr-CA"/>
              </w:rPr>
            </w:pPr>
            <w:r w:rsidRPr="0010611E">
              <w:rPr>
                <w:sz w:val="20"/>
                <w:szCs w:val="20"/>
                <w:lang w:val="fr-CA"/>
              </w:rPr>
              <w:tab/>
              <w:t xml:space="preserve">Jacques </w:t>
            </w:r>
            <w:proofErr w:type="spellStart"/>
            <w:r w:rsidRPr="0010611E">
              <w:rPr>
                <w:sz w:val="20"/>
                <w:szCs w:val="20"/>
                <w:lang w:val="fr-CA"/>
              </w:rPr>
              <w:t>Jeansonne</w:t>
            </w:r>
            <w:proofErr w:type="spellEnd"/>
          </w:p>
          <w:p w:rsidR="00EB4F0F" w:rsidRPr="0010611E" w:rsidRDefault="00EB4F0F" w:rsidP="00EB4F0F">
            <w:pPr>
              <w:tabs>
                <w:tab w:val="left" w:pos="-1440"/>
                <w:tab w:val="left" w:pos="-720"/>
              </w:tabs>
              <w:ind w:left="720"/>
              <w:rPr>
                <w:sz w:val="20"/>
                <w:szCs w:val="20"/>
                <w:lang w:val="fr-CA"/>
              </w:rPr>
            </w:pPr>
            <w:proofErr w:type="spellStart"/>
            <w:r w:rsidRPr="0010611E">
              <w:rPr>
                <w:sz w:val="20"/>
                <w:szCs w:val="20"/>
                <w:lang w:val="fr-CA"/>
              </w:rPr>
              <w:t>Jeansonne</w:t>
            </w:r>
            <w:proofErr w:type="spellEnd"/>
            <w:r w:rsidRPr="0010611E">
              <w:rPr>
                <w:sz w:val="20"/>
                <w:szCs w:val="20"/>
                <w:lang w:val="fr-CA"/>
              </w:rPr>
              <w:t xml:space="preserve"> Avocats, inc.</w:t>
            </w:r>
          </w:p>
          <w:p w:rsidR="00EB4F0F" w:rsidRPr="0010611E" w:rsidRDefault="00EB4F0F" w:rsidP="00EB4F0F">
            <w:pPr>
              <w:tabs>
                <w:tab w:val="left" w:pos="-1440"/>
                <w:tab w:val="left" w:pos="-720"/>
              </w:tabs>
              <w:rPr>
                <w:sz w:val="20"/>
                <w:szCs w:val="20"/>
                <w:lang w:val="fr-CA"/>
              </w:rPr>
            </w:pPr>
          </w:p>
          <w:p w:rsidR="00EB4F0F" w:rsidRPr="0010611E" w:rsidRDefault="00EB4F0F" w:rsidP="00EB4F0F">
            <w:pPr>
              <w:tabs>
                <w:tab w:val="left" w:pos="-1440"/>
                <w:tab w:val="left" w:pos="-720"/>
              </w:tabs>
              <w:rPr>
                <w:sz w:val="20"/>
                <w:szCs w:val="20"/>
                <w:lang w:val="fr-CA"/>
              </w:rPr>
            </w:pPr>
            <w:r w:rsidRPr="0010611E">
              <w:rPr>
                <w:sz w:val="20"/>
                <w:szCs w:val="20"/>
                <w:lang w:val="fr-CA"/>
              </w:rPr>
              <w:tab/>
              <w:t>c. (38043)</w:t>
            </w:r>
          </w:p>
          <w:p w:rsidR="00EB4F0F" w:rsidRPr="0010611E" w:rsidRDefault="00EB4F0F" w:rsidP="00EB4F0F">
            <w:pPr>
              <w:tabs>
                <w:tab w:val="left" w:pos="-1440"/>
                <w:tab w:val="left" w:pos="-720"/>
              </w:tabs>
              <w:rPr>
                <w:sz w:val="20"/>
                <w:szCs w:val="20"/>
                <w:lang w:val="fr-CA"/>
              </w:rPr>
            </w:pPr>
          </w:p>
          <w:p w:rsidR="00EB4F0F" w:rsidRPr="0010611E" w:rsidRDefault="00EB4F0F" w:rsidP="00EB4F0F">
            <w:pPr>
              <w:tabs>
                <w:tab w:val="left" w:pos="-1440"/>
                <w:tab w:val="left" w:pos="-720"/>
              </w:tabs>
              <w:rPr>
                <w:b/>
                <w:sz w:val="20"/>
                <w:szCs w:val="20"/>
                <w:lang w:val="fr-CA"/>
              </w:rPr>
            </w:pPr>
            <w:r w:rsidRPr="0010611E">
              <w:rPr>
                <w:b/>
                <w:sz w:val="20"/>
                <w:szCs w:val="20"/>
                <w:lang w:val="fr-CA"/>
              </w:rPr>
              <w:t>Lise Archambault et autres (</w:t>
            </w:r>
            <w:r w:rsidR="00FC51EA" w:rsidRPr="0010611E">
              <w:rPr>
                <w:b/>
                <w:sz w:val="20"/>
                <w:szCs w:val="20"/>
                <w:lang w:val="fr-CA"/>
              </w:rPr>
              <w:t>Qc</w:t>
            </w:r>
            <w:r w:rsidRPr="0010611E">
              <w:rPr>
                <w:b/>
                <w:sz w:val="20"/>
                <w:szCs w:val="20"/>
                <w:lang w:val="fr-CA"/>
              </w:rPr>
              <w:t>)</w:t>
            </w:r>
          </w:p>
          <w:p w:rsidR="00EB4F0F" w:rsidRPr="0010611E" w:rsidRDefault="00EB4F0F" w:rsidP="00EB4F0F">
            <w:pPr>
              <w:tabs>
                <w:tab w:val="left" w:pos="-1440"/>
                <w:tab w:val="left" w:pos="-720"/>
              </w:tabs>
              <w:rPr>
                <w:sz w:val="20"/>
                <w:szCs w:val="20"/>
                <w:lang w:val="fr-CA"/>
              </w:rPr>
            </w:pPr>
            <w:r w:rsidRPr="0010611E">
              <w:rPr>
                <w:sz w:val="20"/>
                <w:szCs w:val="20"/>
                <w:lang w:val="fr-CA"/>
              </w:rPr>
              <w:tab/>
            </w:r>
            <w:proofErr w:type="spellStart"/>
            <w:r w:rsidRPr="0010611E">
              <w:rPr>
                <w:sz w:val="20"/>
                <w:szCs w:val="20"/>
                <w:lang w:val="fr-CA"/>
              </w:rPr>
              <w:t>Lizann</w:t>
            </w:r>
            <w:proofErr w:type="spellEnd"/>
            <w:r w:rsidRPr="0010611E">
              <w:rPr>
                <w:sz w:val="20"/>
                <w:szCs w:val="20"/>
                <w:lang w:val="fr-CA"/>
              </w:rPr>
              <w:t xml:space="preserve"> Demers</w:t>
            </w:r>
          </w:p>
          <w:p w:rsidR="00EB4F0F" w:rsidRPr="0010611E" w:rsidRDefault="00EB4F0F" w:rsidP="00EB4F0F">
            <w:pPr>
              <w:tabs>
                <w:tab w:val="left" w:pos="-1440"/>
                <w:tab w:val="left" w:pos="-720"/>
              </w:tabs>
              <w:rPr>
                <w:sz w:val="20"/>
                <w:szCs w:val="20"/>
                <w:lang w:val="fr-CA"/>
              </w:rPr>
            </w:pPr>
            <w:r w:rsidRPr="0010611E">
              <w:rPr>
                <w:sz w:val="20"/>
                <w:szCs w:val="20"/>
                <w:lang w:val="fr-CA"/>
              </w:rPr>
              <w:tab/>
            </w:r>
            <w:proofErr w:type="spellStart"/>
            <w:r w:rsidRPr="0010611E">
              <w:rPr>
                <w:sz w:val="20"/>
                <w:szCs w:val="20"/>
                <w:lang w:val="fr-CA"/>
              </w:rPr>
              <w:t>P.g</w:t>
            </w:r>
            <w:proofErr w:type="spellEnd"/>
            <w:r w:rsidRPr="0010611E">
              <w:rPr>
                <w:sz w:val="20"/>
                <w:szCs w:val="20"/>
                <w:lang w:val="fr-CA"/>
              </w:rPr>
              <w:t>. du Québec</w:t>
            </w:r>
          </w:p>
          <w:p w:rsidR="00EB4F0F" w:rsidRPr="0010611E" w:rsidRDefault="00EB4F0F" w:rsidP="00EB4F0F">
            <w:pPr>
              <w:tabs>
                <w:tab w:val="left" w:pos="-1440"/>
                <w:tab w:val="left" w:pos="-720"/>
              </w:tabs>
              <w:rPr>
                <w:sz w:val="20"/>
                <w:szCs w:val="20"/>
                <w:lang w:val="fr-CA"/>
              </w:rPr>
            </w:pPr>
          </w:p>
          <w:p w:rsidR="00EB4F0F" w:rsidRPr="0010611E" w:rsidRDefault="007713BC" w:rsidP="00EB4F0F">
            <w:pPr>
              <w:rPr>
                <w:sz w:val="20"/>
                <w:szCs w:val="20"/>
                <w:lang w:val="fr-CA"/>
              </w:rPr>
            </w:pPr>
            <w:r w:rsidRPr="0010611E">
              <w:rPr>
                <w:sz w:val="20"/>
                <w:szCs w:val="20"/>
                <w:lang w:val="fr-CA"/>
              </w:rPr>
              <w:t>DATE DE PRODUCTION</w:t>
            </w:r>
            <w:r w:rsidR="00EB4F0F" w:rsidRPr="0010611E">
              <w:rPr>
                <w:sz w:val="20"/>
                <w:szCs w:val="20"/>
                <w:lang w:val="fr-CA"/>
              </w:rPr>
              <w:t>: 03.04.2018</w:t>
            </w:r>
          </w:p>
          <w:p w:rsidR="00D410AB" w:rsidRPr="0010611E" w:rsidRDefault="00B35ED9" w:rsidP="00EB4F0F">
            <w:pPr>
              <w:rPr>
                <w:sz w:val="20"/>
                <w:szCs w:val="20"/>
                <w:lang w:val="fr-CA"/>
              </w:rPr>
            </w:pPr>
            <w:r>
              <w:rPr>
                <w:sz w:val="20"/>
                <w:szCs w:val="20"/>
                <w:lang w:val="fr-CA"/>
              </w:rPr>
              <w:pict>
                <v:rect id="_x0000_i1034" style="width:108pt;height:1pt" o:hrpct="0" o:hralign="center" o:hrstd="t" o:hrnoshade="t" o:hr="t" fillcolor="black [3213]" stroked="f"/>
              </w:pict>
            </w:r>
          </w:p>
          <w:p w:rsidR="007713BC" w:rsidRPr="0010611E" w:rsidRDefault="007713BC" w:rsidP="00EB4F0F">
            <w:pPr>
              <w:rPr>
                <w:b/>
                <w:sz w:val="20"/>
                <w:szCs w:val="20"/>
                <w:lang w:val="en-US"/>
              </w:rPr>
            </w:pPr>
          </w:p>
        </w:tc>
      </w:tr>
      <w:tr w:rsidR="007713BC" w:rsidRPr="0010611E" w:rsidTr="003B3977">
        <w:tc>
          <w:tcPr>
            <w:tcW w:w="4320" w:type="dxa"/>
            <w:shd w:val="clear" w:color="auto" w:fill="auto"/>
          </w:tcPr>
          <w:p w:rsidR="007713BC" w:rsidRPr="0010611E" w:rsidRDefault="007713BC" w:rsidP="007713BC">
            <w:pPr>
              <w:rPr>
                <w:b/>
                <w:sz w:val="20"/>
                <w:szCs w:val="20"/>
                <w:lang w:val="en-US"/>
              </w:rPr>
            </w:pPr>
            <w:r w:rsidRPr="0010611E">
              <w:rPr>
                <w:b/>
                <w:sz w:val="20"/>
                <w:szCs w:val="20"/>
                <w:lang w:val="en-US"/>
              </w:rPr>
              <w:t>Mary Haley</w:t>
            </w:r>
          </w:p>
          <w:p w:rsidR="007713BC" w:rsidRPr="0010611E" w:rsidRDefault="007713BC" w:rsidP="007713BC">
            <w:pPr>
              <w:tabs>
                <w:tab w:val="left" w:pos="-1440"/>
                <w:tab w:val="left" w:pos="-720"/>
              </w:tabs>
              <w:rPr>
                <w:sz w:val="20"/>
                <w:szCs w:val="20"/>
                <w:lang w:val="en-US"/>
              </w:rPr>
            </w:pPr>
            <w:r w:rsidRPr="0010611E">
              <w:rPr>
                <w:sz w:val="20"/>
                <w:szCs w:val="20"/>
                <w:lang w:val="en-US"/>
              </w:rPr>
              <w:tab/>
              <w:t>Mary Haley</w:t>
            </w:r>
          </w:p>
          <w:p w:rsidR="007713BC" w:rsidRPr="0010611E" w:rsidRDefault="007713BC" w:rsidP="007713BC">
            <w:pPr>
              <w:tabs>
                <w:tab w:val="left" w:pos="-1440"/>
                <w:tab w:val="left" w:pos="-720"/>
              </w:tabs>
              <w:rPr>
                <w:sz w:val="20"/>
                <w:szCs w:val="20"/>
                <w:lang w:val="en-US"/>
              </w:rPr>
            </w:pPr>
          </w:p>
          <w:p w:rsidR="007713BC" w:rsidRPr="0010611E" w:rsidRDefault="007713BC" w:rsidP="007713BC">
            <w:pPr>
              <w:tabs>
                <w:tab w:val="left" w:pos="-1440"/>
                <w:tab w:val="left" w:pos="-720"/>
              </w:tabs>
              <w:rPr>
                <w:sz w:val="20"/>
                <w:szCs w:val="20"/>
                <w:lang w:val="en-US"/>
              </w:rPr>
            </w:pPr>
            <w:r w:rsidRPr="0010611E">
              <w:rPr>
                <w:sz w:val="20"/>
                <w:szCs w:val="20"/>
                <w:lang w:val="en-US"/>
              </w:rPr>
              <w:tab/>
              <w:t>v. (38062)</w:t>
            </w:r>
          </w:p>
          <w:p w:rsidR="007713BC" w:rsidRPr="0010611E" w:rsidRDefault="007713BC" w:rsidP="007713BC">
            <w:pPr>
              <w:tabs>
                <w:tab w:val="left" w:pos="-1440"/>
                <w:tab w:val="left" w:pos="-720"/>
              </w:tabs>
              <w:rPr>
                <w:sz w:val="20"/>
                <w:szCs w:val="20"/>
                <w:lang w:val="en-US"/>
              </w:rPr>
            </w:pPr>
          </w:p>
          <w:p w:rsidR="007713BC" w:rsidRPr="0010611E" w:rsidRDefault="007713BC" w:rsidP="007713BC">
            <w:pPr>
              <w:tabs>
                <w:tab w:val="left" w:pos="-1440"/>
                <w:tab w:val="left" w:pos="-720"/>
              </w:tabs>
              <w:rPr>
                <w:b/>
                <w:sz w:val="20"/>
                <w:szCs w:val="20"/>
              </w:rPr>
            </w:pPr>
            <w:r w:rsidRPr="0010611E">
              <w:rPr>
                <w:b/>
                <w:sz w:val="20"/>
                <w:szCs w:val="20"/>
                <w:lang w:val="en-US"/>
              </w:rPr>
              <w:t xml:space="preserve">Her Majesty the Queen </w:t>
            </w:r>
            <w:r w:rsidRPr="0010611E">
              <w:rPr>
                <w:b/>
                <w:sz w:val="20"/>
                <w:szCs w:val="20"/>
              </w:rPr>
              <w:t>(Ont.)</w:t>
            </w:r>
          </w:p>
          <w:p w:rsidR="007713BC" w:rsidRPr="0010611E" w:rsidRDefault="007713BC" w:rsidP="007713BC">
            <w:pPr>
              <w:tabs>
                <w:tab w:val="left" w:pos="-1440"/>
                <w:tab w:val="left" w:pos="-720"/>
              </w:tabs>
              <w:rPr>
                <w:sz w:val="20"/>
                <w:szCs w:val="20"/>
              </w:rPr>
            </w:pPr>
            <w:r w:rsidRPr="0010611E">
              <w:rPr>
                <w:sz w:val="20"/>
                <w:szCs w:val="20"/>
              </w:rPr>
              <w:tab/>
              <w:t xml:space="preserve">Kevin </w:t>
            </w:r>
            <w:proofErr w:type="spellStart"/>
            <w:r w:rsidRPr="0010611E">
              <w:rPr>
                <w:sz w:val="20"/>
                <w:szCs w:val="20"/>
              </w:rPr>
              <w:t>Rawluk</w:t>
            </w:r>
            <w:proofErr w:type="spellEnd"/>
          </w:p>
          <w:p w:rsidR="007713BC" w:rsidRPr="0010611E" w:rsidRDefault="007713BC" w:rsidP="007713BC">
            <w:pPr>
              <w:tabs>
                <w:tab w:val="left" w:pos="-1440"/>
                <w:tab w:val="left" w:pos="-720"/>
              </w:tabs>
              <w:rPr>
                <w:sz w:val="20"/>
                <w:szCs w:val="20"/>
              </w:rPr>
            </w:pPr>
            <w:r w:rsidRPr="0010611E">
              <w:rPr>
                <w:sz w:val="20"/>
                <w:szCs w:val="20"/>
              </w:rPr>
              <w:tab/>
              <w:t>Crown Law Office - Criminal</w:t>
            </w:r>
          </w:p>
          <w:p w:rsidR="007713BC" w:rsidRPr="0010611E" w:rsidRDefault="007713BC" w:rsidP="007713BC">
            <w:pPr>
              <w:tabs>
                <w:tab w:val="left" w:pos="-1440"/>
                <w:tab w:val="left" w:pos="-720"/>
              </w:tabs>
              <w:rPr>
                <w:sz w:val="20"/>
                <w:szCs w:val="20"/>
              </w:rPr>
            </w:pPr>
          </w:p>
          <w:p w:rsidR="007713BC" w:rsidRPr="0010611E" w:rsidRDefault="007713BC" w:rsidP="007713BC">
            <w:pPr>
              <w:rPr>
                <w:sz w:val="20"/>
                <w:szCs w:val="20"/>
              </w:rPr>
            </w:pPr>
            <w:r w:rsidRPr="0010611E">
              <w:rPr>
                <w:sz w:val="20"/>
                <w:szCs w:val="20"/>
              </w:rPr>
              <w:t xml:space="preserve">FILING DATE: </w:t>
            </w:r>
            <w:r w:rsidR="0097006A" w:rsidRPr="0010611E">
              <w:rPr>
                <w:sz w:val="20"/>
                <w:szCs w:val="20"/>
              </w:rPr>
              <w:t>30</w:t>
            </w:r>
            <w:r w:rsidRPr="0010611E">
              <w:rPr>
                <w:sz w:val="20"/>
                <w:szCs w:val="20"/>
              </w:rPr>
              <w:t>.0</w:t>
            </w:r>
            <w:r w:rsidR="0097006A" w:rsidRPr="0010611E">
              <w:rPr>
                <w:sz w:val="20"/>
                <w:szCs w:val="20"/>
              </w:rPr>
              <w:t>1</w:t>
            </w:r>
            <w:r w:rsidRPr="0010611E">
              <w:rPr>
                <w:sz w:val="20"/>
                <w:szCs w:val="20"/>
              </w:rPr>
              <w:t>.201</w:t>
            </w:r>
            <w:r w:rsidR="0097006A" w:rsidRPr="0010611E">
              <w:rPr>
                <w:sz w:val="20"/>
                <w:szCs w:val="20"/>
              </w:rPr>
              <w:t>8</w:t>
            </w:r>
          </w:p>
          <w:p w:rsidR="007713BC" w:rsidRPr="0010611E" w:rsidRDefault="00B35ED9" w:rsidP="007713BC">
            <w:pPr>
              <w:rPr>
                <w:b/>
                <w:sz w:val="20"/>
                <w:szCs w:val="20"/>
                <w:lang w:val="en-US"/>
              </w:rPr>
            </w:pPr>
            <w:r>
              <w:rPr>
                <w:sz w:val="20"/>
                <w:szCs w:val="20"/>
                <w:lang w:val="fr-CA"/>
              </w:rPr>
              <w:pict>
                <v:rect id="_x0000_i1035" style="width:108pt;height:1pt" o:hrpct="0" o:hralign="center" o:hrstd="t" o:hrnoshade="t" o:hr="t" fillcolor="black [3213]" stroked="f"/>
              </w:pict>
            </w:r>
          </w:p>
        </w:tc>
        <w:tc>
          <w:tcPr>
            <w:tcW w:w="1181" w:type="dxa"/>
            <w:shd w:val="clear" w:color="auto" w:fill="auto"/>
          </w:tcPr>
          <w:p w:rsidR="007713BC" w:rsidRPr="0010611E" w:rsidRDefault="007713BC" w:rsidP="00242AEE">
            <w:pPr>
              <w:jc w:val="center"/>
              <w:rPr>
                <w:sz w:val="20"/>
                <w:szCs w:val="20"/>
              </w:rPr>
            </w:pPr>
          </w:p>
        </w:tc>
        <w:tc>
          <w:tcPr>
            <w:tcW w:w="4320" w:type="dxa"/>
            <w:shd w:val="clear" w:color="auto" w:fill="auto"/>
          </w:tcPr>
          <w:p w:rsidR="00FA1A3D" w:rsidRPr="0010611E" w:rsidRDefault="00FA1A3D" w:rsidP="00FA1A3D">
            <w:pPr>
              <w:rPr>
                <w:b/>
                <w:sz w:val="20"/>
                <w:szCs w:val="20"/>
                <w:lang w:val="en-US"/>
              </w:rPr>
            </w:pPr>
            <w:r w:rsidRPr="0010611E">
              <w:rPr>
                <w:b/>
                <w:sz w:val="20"/>
                <w:szCs w:val="20"/>
                <w:lang w:val="en-US"/>
              </w:rPr>
              <w:t>TD Bank, N.A.</w:t>
            </w:r>
          </w:p>
          <w:p w:rsidR="00FA1A3D" w:rsidRPr="0010611E" w:rsidRDefault="00FA1A3D" w:rsidP="00FA1A3D">
            <w:pPr>
              <w:tabs>
                <w:tab w:val="left" w:pos="-1440"/>
                <w:tab w:val="left" w:pos="-720"/>
              </w:tabs>
              <w:rPr>
                <w:sz w:val="20"/>
                <w:szCs w:val="20"/>
                <w:lang w:val="en-US"/>
              </w:rPr>
            </w:pPr>
            <w:r w:rsidRPr="0010611E">
              <w:rPr>
                <w:sz w:val="20"/>
                <w:szCs w:val="20"/>
                <w:lang w:val="en-US"/>
              </w:rPr>
              <w:tab/>
              <w:t>William G. Scott</w:t>
            </w:r>
          </w:p>
          <w:p w:rsidR="00FA1A3D" w:rsidRPr="0010611E" w:rsidRDefault="00FA1A3D" w:rsidP="00FA1A3D">
            <w:pPr>
              <w:tabs>
                <w:tab w:val="left" w:pos="-1440"/>
                <w:tab w:val="left" w:pos="-720"/>
              </w:tabs>
              <w:ind w:left="720"/>
              <w:rPr>
                <w:sz w:val="20"/>
                <w:szCs w:val="20"/>
                <w:lang w:val="en-US"/>
              </w:rPr>
            </w:pPr>
            <w:r w:rsidRPr="0010611E">
              <w:rPr>
                <w:sz w:val="20"/>
                <w:szCs w:val="20"/>
                <w:lang w:val="en-US"/>
              </w:rPr>
              <w:t xml:space="preserve">McCarthy </w:t>
            </w:r>
            <w:proofErr w:type="spellStart"/>
            <w:r w:rsidRPr="0010611E">
              <w:rPr>
                <w:sz w:val="20"/>
                <w:szCs w:val="20"/>
                <w:lang w:val="en-US"/>
              </w:rPr>
              <w:t>Tétrault</w:t>
            </w:r>
            <w:proofErr w:type="spellEnd"/>
            <w:r w:rsidRPr="0010611E">
              <w:rPr>
                <w:sz w:val="20"/>
                <w:szCs w:val="20"/>
                <w:lang w:val="en-US"/>
              </w:rPr>
              <w:t xml:space="preserve"> LLP</w:t>
            </w:r>
          </w:p>
          <w:p w:rsidR="00FA1A3D" w:rsidRPr="0010611E" w:rsidRDefault="00FA1A3D" w:rsidP="00FA1A3D">
            <w:pPr>
              <w:tabs>
                <w:tab w:val="left" w:pos="-1440"/>
                <w:tab w:val="left" w:pos="-720"/>
              </w:tabs>
              <w:rPr>
                <w:sz w:val="20"/>
                <w:szCs w:val="20"/>
                <w:lang w:val="en-US"/>
              </w:rPr>
            </w:pPr>
          </w:p>
          <w:p w:rsidR="00FA1A3D" w:rsidRPr="0010611E" w:rsidRDefault="00FA1A3D" w:rsidP="00FA1A3D">
            <w:pPr>
              <w:tabs>
                <w:tab w:val="left" w:pos="-1440"/>
                <w:tab w:val="left" w:pos="-720"/>
              </w:tabs>
              <w:rPr>
                <w:sz w:val="20"/>
                <w:szCs w:val="20"/>
                <w:lang w:val="en-US"/>
              </w:rPr>
            </w:pPr>
            <w:r w:rsidRPr="0010611E">
              <w:rPr>
                <w:sz w:val="20"/>
                <w:szCs w:val="20"/>
                <w:lang w:val="en-US"/>
              </w:rPr>
              <w:tab/>
              <w:t>v. (37998)</w:t>
            </w:r>
          </w:p>
          <w:p w:rsidR="00FA1A3D" w:rsidRPr="0010611E" w:rsidRDefault="00FA1A3D" w:rsidP="00FA1A3D">
            <w:pPr>
              <w:tabs>
                <w:tab w:val="left" w:pos="-1440"/>
                <w:tab w:val="left" w:pos="-720"/>
              </w:tabs>
              <w:rPr>
                <w:sz w:val="20"/>
                <w:szCs w:val="20"/>
                <w:lang w:val="en-US"/>
              </w:rPr>
            </w:pPr>
          </w:p>
          <w:p w:rsidR="00FA1A3D" w:rsidRPr="0010611E" w:rsidRDefault="00FA1A3D" w:rsidP="00FA1A3D">
            <w:pPr>
              <w:tabs>
                <w:tab w:val="left" w:pos="-1440"/>
                <w:tab w:val="left" w:pos="-720"/>
              </w:tabs>
              <w:rPr>
                <w:b/>
                <w:sz w:val="20"/>
                <w:szCs w:val="20"/>
              </w:rPr>
            </w:pPr>
            <w:r w:rsidRPr="0010611E">
              <w:rPr>
                <w:b/>
                <w:sz w:val="20"/>
                <w:szCs w:val="20"/>
              </w:rPr>
              <w:t>"Lloyd's Underwriters" that subscribe to policy number MMF/1710, primary London reference number B0509QA025509 and excess London reference numbers QA025609, QA025709, QA025809, and QA025909 et al</w:t>
            </w:r>
            <w:r w:rsidRPr="0010611E">
              <w:rPr>
                <w:b/>
                <w:sz w:val="20"/>
                <w:szCs w:val="20"/>
                <w:lang w:val="en-US"/>
              </w:rPr>
              <w:t xml:space="preserve">. </w:t>
            </w:r>
            <w:r w:rsidRPr="0010611E">
              <w:rPr>
                <w:b/>
                <w:sz w:val="20"/>
                <w:szCs w:val="20"/>
              </w:rPr>
              <w:t>(Ont.)</w:t>
            </w:r>
          </w:p>
          <w:p w:rsidR="00FA1A3D" w:rsidRPr="0010611E" w:rsidRDefault="00FA1A3D" w:rsidP="00FA1A3D">
            <w:pPr>
              <w:tabs>
                <w:tab w:val="left" w:pos="-1440"/>
                <w:tab w:val="left" w:pos="-720"/>
              </w:tabs>
              <w:rPr>
                <w:sz w:val="20"/>
                <w:szCs w:val="20"/>
              </w:rPr>
            </w:pPr>
            <w:r w:rsidRPr="0010611E">
              <w:rPr>
                <w:sz w:val="20"/>
                <w:szCs w:val="20"/>
              </w:rPr>
              <w:tab/>
              <w:t xml:space="preserve">Gary H. </w:t>
            </w:r>
            <w:proofErr w:type="spellStart"/>
            <w:r w:rsidRPr="0010611E">
              <w:rPr>
                <w:sz w:val="20"/>
                <w:szCs w:val="20"/>
              </w:rPr>
              <w:t>Luftspring</w:t>
            </w:r>
            <w:proofErr w:type="spellEnd"/>
          </w:p>
          <w:p w:rsidR="00FA1A3D" w:rsidRPr="0010611E" w:rsidRDefault="00FA1A3D" w:rsidP="00FA1A3D">
            <w:pPr>
              <w:tabs>
                <w:tab w:val="left" w:pos="-1440"/>
                <w:tab w:val="left" w:pos="-720"/>
              </w:tabs>
              <w:rPr>
                <w:sz w:val="20"/>
                <w:szCs w:val="20"/>
              </w:rPr>
            </w:pPr>
            <w:r w:rsidRPr="0010611E">
              <w:rPr>
                <w:sz w:val="20"/>
                <w:szCs w:val="20"/>
              </w:rPr>
              <w:tab/>
              <w:t>Ricketts, Harris LLP</w:t>
            </w:r>
          </w:p>
          <w:p w:rsidR="00FA1A3D" w:rsidRPr="0010611E" w:rsidRDefault="00FA1A3D" w:rsidP="00FA1A3D">
            <w:pPr>
              <w:tabs>
                <w:tab w:val="left" w:pos="-1440"/>
                <w:tab w:val="left" w:pos="-720"/>
              </w:tabs>
              <w:rPr>
                <w:sz w:val="20"/>
                <w:szCs w:val="20"/>
              </w:rPr>
            </w:pPr>
          </w:p>
          <w:p w:rsidR="00FA1A3D" w:rsidRPr="0010611E" w:rsidRDefault="00FA1A3D" w:rsidP="00FA1A3D">
            <w:pPr>
              <w:rPr>
                <w:sz w:val="20"/>
                <w:szCs w:val="20"/>
              </w:rPr>
            </w:pPr>
            <w:r w:rsidRPr="0010611E">
              <w:rPr>
                <w:sz w:val="20"/>
                <w:szCs w:val="20"/>
              </w:rPr>
              <w:t>FILING DATE: 08.03.2018</w:t>
            </w:r>
          </w:p>
          <w:p w:rsidR="007713BC" w:rsidRPr="0010611E" w:rsidRDefault="00B35ED9" w:rsidP="00FA1A3D">
            <w:pPr>
              <w:rPr>
                <w:sz w:val="20"/>
                <w:szCs w:val="20"/>
                <w:lang w:val="fr-CA"/>
              </w:rPr>
            </w:pPr>
            <w:r>
              <w:rPr>
                <w:sz w:val="20"/>
                <w:szCs w:val="20"/>
                <w:lang w:val="fr-CA"/>
              </w:rPr>
              <w:pict>
                <v:rect id="_x0000_i1036" style="width:108pt;height:1pt" o:hrpct="0" o:hralign="center" o:hrstd="t" o:hrnoshade="t" o:hr="t" fillcolor="black [3213]" stroked="f"/>
              </w:pict>
            </w:r>
          </w:p>
          <w:p w:rsidR="00FC51EA" w:rsidRPr="0010611E" w:rsidRDefault="00FC51EA" w:rsidP="00FA1A3D">
            <w:pPr>
              <w:rPr>
                <w:b/>
                <w:sz w:val="20"/>
                <w:szCs w:val="20"/>
                <w:lang w:val="en-US"/>
              </w:rPr>
            </w:pPr>
          </w:p>
        </w:tc>
      </w:tr>
      <w:tr w:rsidR="00FC51EA" w:rsidRPr="0010611E" w:rsidTr="003B3977">
        <w:tc>
          <w:tcPr>
            <w:tcW w:w="4320" w:type="dxa"/>
            <w:shd w:val="clear" w:color="auto" w:fill="auto"/>
          </w:tcPr>
          <w:p w:rsidR="00FC51EA" w:rsidRPr="0010611E" w:rsidRDefault="00FC51EA" w:rsidP="00FC51EA">
            <w:pPr>
              <w:rPr>
                <w:b/>
                <w:sz w:val="20"/>
                <w:szCs w:val="20"/>
                <w:lang w:val="en-US"/>
              </w:rPr>
            </w:pPr>
          </w:p>
        </w:tc>
        <w:tc>
          <w:tcPr>
            <w:tcW w:w="1181" w:type="dxa"/>
            <w:shd w:val="clear" w:color="auto" w:fill="auto"/>
          </w:tcPr>
          <w:p w:rsidR="00FC51EA" w:rsidRPr="0010611E" w:rsidRDefault="00FC51EA" w:rsidP="00242AEE">
            <w:pPr>
              <w:jc w:val="center"/>
              <w:rPr>
                <w:sz w:val="20"/>
                <w:szCs w:val="20"/>
              </w:rPr>
            </w:pPr>
          </w:p>
        </w:tc>
        <w:tc>
          <w:tcPr>
            <w:tcW w:w="4320" w:type="dxa"/>
            <w:shd w:val="clear" w:color="auto" w:fill="auto"/>
          </w:tcPr>
          <w:p w:rsidR="00FC51EA" w:rsidRPr="0010611E" w:rsidRDefault="00FC51EA" w:rsidP="00FA1A3D">
            <w:pPr>
              <w:rPr>
                <w:b/>
                <w:sz w:val="20"/>
                <w:szCs w:val="20"/>
                <w:lang w:val="en-US"/>
              </w:rPr>
            </w:pPr>
          </w:p>
        </w:tc>
      </w:tr>
    </w:tbl>
    <w:p w:rsidR="00242AEE" w:rsidRPr="0010611E" w:rsidRDefault="00242AEE" w:rsidP="0095096B">
      <w:pPr>
        <w:tabs>
          <w:tab w:val="right" w:pos="9360"/>
        </w:tabs>
        <w:rPr>
          <w:sz w:val="20"/>
          <w:szCs w:val="20"/>
          <w:lang w:val="en-US"/>
        </w:rPr>
      </w:pPr>
    </w:p>
    <w:p w:rsidR="00C01FCB" w:rsidRPr="0010611E" w:rsidRDefault="00C01FCB" w:rsidP="0095096B">
      <w:pPr>
        <w:tabs>
          <w:tab w:val="right" w:pos="9360"/>
        </w:tabs>
        <w:rPr>
          <w:sz w:val="20"/>
          <w:szCs w:val="20"/>
          <w:lang w:val="en-US"/>
        </w:rPr>
      </w:pPr>
    </w:p>
    <w:p w:rsidR="00C01FCB" w:rsidRPr="0010611E" w:rsidRDefault="00C01FCB" w:rsidP="0095096B">
      <w:pPr>
        <w:tabs>
          <w:tab w:val="right" w:pos="9360"/>
        </w:tabs>
        <w:rPr>
          <w:sz w:val="20"/>
          <w:szCs w:val="20"/>
          <w:lang w:val="en-US"/>
        </w:rPr>
      </w:pPr>
    </w:p>
    <w:p w:rsidR="00242AEE" w:rsidRPr="0010611E" w:rsidRDefault="00242AEE" w:rsidP="0095096B">
      <w:pPr>
        <w:tabs>
          <w:tab w:val="right" w:pos="9360"/>
        </w:tabs>
        <w:rPr>
          <w:sz w:val="20"/>
          <w:szCs w:val="20"/>
          <w:lang w:val="en-US"/>
        </w:rPr>
        <w:sectPr w:rsidR="00242AEE" w:rsidRPr="0010611E" w:rsidSect="00352818">
          <w:headerReference w:type="default" r:id="rId10"/>
          <w:footerReference w:type="default" r:id="rId11"/>
          <w:headerReference w:type="first" r:id="rId12"/>
          <w:footerReference w:type="first" r:id="rId13"/>
          <w:pgSz w:w="12240" w:h="15840"/>
          <w:pgMar w:top="720" w:right="965" w:bottom="1080" w:left="1656" w:header="706" w:footer="706" w:gutter="0"/>
          <w:pgNumType w:start="462"/>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644959" w:rsidTr="00BA6468">
        <w:trPr>
          <w:trHeight w:val="900"/>
        </w:trPr>
        <w:tc>
          <w:tcPr>
            <w:tcW w:w="4200" w:type="dxa"/>
            <w:tcMar>
              <w:left w:w="0" w:type="dxa"/>
              <w:right w:w="0" w:type="dxa"/>
            </w:tcMar>
          </w:tcPr>
          <w:p w:rsidR="002E2327" w:rsidRPr="0010611E" w:rsidRDefault="002E2327" w:rsidP="002E2327">
            <w:pPr>
              <w:keepNext/>
              <w:keepLines/>
              <w:widowControl w:val="0"/>
              <w:rPr>
                <w:b/>
                <w:szCs w:val="24"/>
                <w:lang w:val="en-US"/>
              </w:rPr>
            </w:pPr>
            <w:r w:rsidRPr="0010611E">
              <w:rPr>
                <w:b/>
                <w:szCs w:val="24"/>
                <w:lang w:val="en-US"/>
              </w:rPr>
              <w:t>APPLICATIONS FOR LEAVE SUBMITTED TO COURT SINCE LAST ISSUE</w:t>
            </w:r>
          </w:p>
        </w:tc>
        <w:tc>
          <w:tcPr>
            <w:tcW w:w="1200" w:type="dxa"/>
            <w:tcMar>
              <w:left w:w="0" w:type="dxa"/>
              <w:right w:w="0" w:type="dxa"/>
            </w:tcMar>
          </w:tcPr>
          <w:p w:rsidR="002E2327" w:rsidRPr="0010611E" w:rsidRDefault="002E2327" w:rsidP="002E2327">
            <w:pPr>
              <w:keepNext/>
              <w:keepLines/>
              <w:widowControl w:val="0"/>
              <w:jc w:val="center"/>
              <w:rPr>
                <w:b/>
                <w:szCs w:val="24"/>
                <w:lang w:val="en-US"/>
              </w:rPr>
            </w:pPr>
          </w:p>
          <w:p w:rsidR="001D0D5F" w:rsidRPr="0010611E" w:rsidRDefault="001D0D5F" w:rsidP="002E2327">
            <w:pPr>
              <w:keepNext/>
              <w:keepLines/>
              <w:widowControl w:val="0"/>
              <w:jc w:val="center"/>
              <w:rPr>
                <w:b/>
                <w:szCs w:val="24"/>
                <w:lang w:val="en-US"/>
              </w:rPr>
            </w:pPr>
          </w:p>
          <w:p w:rsidR="001D0D5F" w:rsidRPr="0010611E" w:rsidRDefault="001D0D5F" w:rsidP="002E2327">
            <w:pPr>
              <w:keepNext/>
              <w:keepLines/>
              <w:widowControl w:val="0"/>
              <w:jc w:val="center"/>
              <w:rPr>
                <w:b/>
                <w:szCs w:val="24"/>
                <w:lang w:val="en-US"/>
              </w:rPr>
            </w:pPr>
          </w:p>
          <w:p w:rsidR="001D0D5F" w:rsidRPr="0010611E" w:rsidRDefault="001D0D5F" w:rsidP="002E2327">
            <w:pPr>
              <w:keepNext/>
              <w:keepLines/>
              <w:widowControl w:val="0"/>
              <w:jc w:val="center"/>
              <w:rPr>
                <w:b/>
                <w:szCs w:val="24"/>
                <w:lang w:val="en-US"/>
              </w:rPr>
            </w:pPr>
          </w:p>
        </w:tc>
        <w:tc>
          <w:tcPr>
            <w:tcW w:w="4080" w:type="dxa"/>
            <w:tcMar>
              <w:left w:w="0" w:type="dxa"/>
              <w:right w:w="0" w:type="dxa"/>
            </w:tcMar>
          </w:tcPr>
          <w:p w:rsidR="002E2327" w:rsidRPr="0010611E" w:rsidRDefault="002E2327" w:rsidP="002E2327">
            <w:pPr>
              <w:keepLines/>
              <w:widowControl w:val="0"/>
              <w:rPr>
                <w:szCs w:val="24"/>
                <w:lang w:val="fr-CA"/>
              </w:rPr>
            </w:pPr>
            <w:r w:rsidRPr="0010611E">
              <w:rPr>
                <w:b/>
                <w:szCs w:val="24"/>
                <w:lang w:val="fr-CA"/>
              </w:rPr>
              <w:t>DEMANDES SOUMISES À LA COUR DEPUIS LA DERNIÈRE PARUTION</w:t>
            </w:r>
          </w:p>
          <w:p w:rsidR="002E2327" w:rsidRPr="0010611E"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10611E" w:rsidRDefault="002E2327" w:rsidP="002E2327">
      <w:pPr>
        <w:widowControl w:val="0"/>
        <w:rPr>
          <w:b/>
          <w:sz w:val="20"/>
          <w:szCs w:val="20"/>
          <w:lang w:val="fr-CA"/>
        </w:rPr>
      </w:pPr>
    </w:p>
    <w:p w:rsidR="00CB3520" w:rsidRPr="0010611E" w:rsidRDefault="00394F82" w:rsidP="00CB3520">
      <w:pPr>
        <w:widowControl w:val="0"/>
        <w:rPr>
          <w:b/>
          <w:sz w:val="20"/>
          <w:szCs w:val="20"/>
        </w:rPr>
      </w:pPr>
      <w:r w:rsidRPr="0010611E">
        <w:rPr>
          <w:b/>
          <w:sz w:val="20"/>
          <w:szCs w:val="20"/>
        </w:rPr>
        <w:t>APRIL 16,</w:t>
      </w:r>
      <w:r w:rsidR="00CB3520" w:rsidRPr="0010611E">
        <w:rPr>
          <w:b/>
          <w:sz w:val="20"/>
          <w:szCs w:val="20"/>
        </w:rPr>
        <w:t xml:space="preserve"> 201</w:t>
      </w:r>
      <w:r w:rsidR="00195F99" w:rsidRPr="0010611E">
        <w:rPr>
          <w:b/>
          <w:sz w:val="20"/>
          <w:szCs w:val="20"/>
        </w:rPr>
        <w:t>8</w:t>
      </w:r>
      <w:r w:rsidR="00CB3520" w:rsidRPr="0010611E">
        <w:rPr>
          <w:b/>
          <w:sz w:val="20"/>
          <w:szCs w:val="20"/>
        </w:rPr>
        <w:t xml:space="preserve"> / LE </w:t>
      </w:r>
      <w:r w:rsidRPr="0010611E">
        <w:rPr>
          <w:b/>
          <w:sz w:val="20"/>
          <w:szCs w:val="20"/>
        </w:rPr>
        <w:t xml:space="preserve">16 AVRIL </w:t>
      </w:r>
      <w:r w:rsidR="00CB3520" w:rsidRPr="0010611E">
        <w:rPr>
          <w:b/>
          <w:sz w:val="20"/>
          <w:szCs w:val="20"/>
        </w:rPr>
        <w:t>201</w:t>
      </w:r>
      <w:r w:rsidR="00195F99" w:rsidRPr="0010611E">
        <w:rPr>
          <w:b/>
          <w:sz w:val="20"/>
          <w:szCs w:val="20"/>
        </w:rPr>
        <w:t>8</w:t>
      </w:r>
    </w:p>
    <w:p w:rsidR="00CB3520" w:rsidRPr="0010611E" w:rsidRDefault="00CB3520" w:rsidP="00CB3520">
      <w:pPr>
        <w:widowControl w:val="0"/>
        <w:rPr>
          <w:b/>
          <w:sz w:val="20"/>
          <w:szCs w:val="20"/>
        </w:rPr>
      </w:pPr>
    </w:p>
    <w:p w:rsidR="00CB3520" w:rsidRPr="0010611E" w:rsidRDefault="00CB3520" w:rsidP="00CB3520">
      <w:pPr>
        <w:widowControl w:val="0"/>
        <w:jc w:val="center"/>
        <w:rPr>
          <w:b/>
          <w:sz w:val="20"/>
          <w:szCs w:val="20"/>
        </w:rPr>
      </w:pPr>
      <w:r w:rsidRPr="0010611E">
        <w:rPr>
          <w:b/>
          <w:sz w:val="20"/>
          <w:szCs w:val="20"/>
        </w:rPr>
        <w:t xml:space="preserve">CORAM:  Chief Justice </w:t>
      </w:r>
      <w:r w:rsidR="00195F99" w:rsidRPr="0010611E">
        <w:rPr>
          <w:b/>
          <w:sz w:val="20"/>
          <w:szCs w:val="20"/>
        </w:rPr>
        <w:t>Wagner and Rowe</w:t>
      </w:r>
      <w:r w:rsidR="00253236" w:rsidRPr="0010611E">
        <w:rPr>
          <w:b/>
          <w:sz w:val="20"/>
          <w:szCs w:val="20"/>
        </w:rPr>
        <w:t xml:space="preserve"> </w:t>
      </w:r>
      <w:r w:rsidR="00195F99" w:rsidRPr="0010611E">
        <w:rPr>
          <w:b/>
          <w:sz w:val="20"/>
          <w:szCs w:val="20"/>
        </w:rPr>
        <w:t>and Martin</w:t>
      </w:r>
      <w:r w:rsidR="00FA3373" w:rsidRPr="0010611E">
        <w:rPr>
          <w:b/>
          <w:sz w:val="20"/>
          <w:szCs w:val="20"/>
        </w:rPr>
        <w:t xml:space="preserve"> </w:t>
      </w:r>
      <w:r w:rsidRPr="0010611E">
        <w:rPr>
          <w:b/>
          <w:sz w:val="20"/>
          <w:szCs w:val="20"/>
        </w:rPr>
        <w:t>JJ.</w:t>
      </w:r>
    </w:p>
    <w:p w:rsidR="00CB3520" w:rsidRPr="0010611E" w:rsidRDefault="00CB3520" w:rsidP="00CB3520">
      <w:pPr>
        <w:widowControl w:val="0"/>
        <w:jc w:val="center"/>
        <w:rPr>
          <w:sz w:val="20"/>
          <w:szCs w:val="20"/>
          <w:lang w:val="fr-CA"/>
        </w:rPr>
      </w:pPr>
      <w:r w:rsidRPr="0010611E">
        <w:rPr>
          <w:b/>
          <w:sz w:val="20"/>
          <w:szCs w:val="20"/>
          <w:lang w:val="fr-CA"/>
        </w:rPr>
        <w:t>L</w:t>
      </w:r>
      <w:r w:rsidR="00195F99" w:rsidRPr="0010611E">
        <w:rPr>
          <w:b/>
          <w:sz w:val="20"/>
          <w:szCs w:val="20"/>
          <w:lang w:val="fr-CA"/>
        </w:rPr>
        <w:t>e juge en chef Wagner</w:t>
      </w:r>
      <w:r w:rsidRPr="0010611E">
        <w:rPr>
          <w:b/>
          <w:sz w:val="20"/>
          <w:szCs w:val="20"/>
          <w:lang w:val="fr-CA"/>
        </w:rPr>
        <w:t xml:space="preserve"> et les juges</w:t>
      </w:r>
      <w:r w:rsidR="00195F99" w:rsidRPr="0010611E">
        <w:rPr>
          <w:b/>
          <w:sz w:val="20"/>
          <w:szCs w:val="20"/>
          <w:lang w:val="fr-CA"/>
        </w:rPr>
        <w:t xml:space="preserve"> Rowe et Martin</w:t>
      </w:r>
    </w:p>
    <w:p w:rsidR="00CB3520" w:rsidRPr="0010611E" w:rsidRDefault="00CB3520" w:rsidP="00CB3520">
      <w:pPr>
        <w:widowControl w:val="0"/>
        <w:rPr>
          <w:sz w:val="20"/>
          <w:szCs w:val="20"/>
          <w:lang w:val="fr-CA"/>
        </w:rPr>
      </w:pPr>
    </w:p>
    <w:p w:rsidR="00CB3520" w:rsidRPr="0010611E" w:rsidRDefault="0046143D" w:rsidP="00CB3520">
      <w:pPr>
        <w:pStyle w:val="ListParagraph"/>
        <w:widowControl w:val="0"/>
        <w:numPr>
          <w:ilvl w:val="0"/>
          <w:numId w:val="1"/>
        </w:numPr>
        <w:ind w:hanging="720"/>
        <w:jc w:val="both"/>
        <w:rPr>
          <w:sz w:val="20"/>
          <w:szCs w:val="20"/>
        </w:rPr>
      </w:pPr>
      <w:r w:rsidRPr="0010611E">
        <w:rPr>
          <w:i/>
          <w:sz w:val="20"/>
          <w:szCs w:val="20"/>
        </w:rPr>
        <w:t xml:space="preserve">Victor </w:t>
      </w:r>
      <w:proofErr w:type="spellStart"/>
      <w:r w:rsidRPr="0010611E">
        <w:rPr>
          <w:i/>
          <w:sz w:val="20"/>
          <w:szCs w:val="20"/>
        </w:rPr>
        <w:t>Nnabuogor</w:t>
      </w:r>
      <w:proofErr w:type="spellEnd"/>
      <w:r w:rsidRPr="0010611E">
        <w:rPr>
          <w:i/>
          <w:sz w:val="20"/>
          <w:szCs w:val="20"/>
        </w:rPr>
        <w:t xml:space="preserve"> v. H</w:t>
      </w:r>
      <w:r w:rsidR="00CB3520" w:rsidRPr="0010611E">
        <w:rPr>
          <w:i/>
          <w:sz w:val="20"/>
          <w:szCs w:val="20"/>
        </w:rPr>
        <w:t>er Majesty the Queen</w:t>
      </w:r>
      <w:r w:rsidR="00CB3520" w:rsidRPr="0010611E">
        <w:rPr>
          <w:sz w:val="20"/>
          <w:szCs w:val="20"/>
        </w:rPr>
        <w:t xml:space="preserve"> (</w:t>
      </w:r>
      <w:r w:rsidRPr="0010611E">
        <w:rPr>
          <w:sz w:val="20"/>
          <w:szCs w:val="20"/>
        </w:rPr>
        <w:t>Ont</w:t>
      </w:r>
      <w:r w:rsidR="00CB3520" w:rsidRPr="0010611E">
        <w:rPr>
          <w:sz w:val="20"/>
          <w:szCs w:val="20"/>
        </w:rPr>
        <w:t>.) (Crim</w:t>
      </w:r>
      <w:r w:rsidR="00250D3A">
        <w:rPr>
          <w:sz w:val="20"/>
          <w:szCs w:val="20"/>
        </w:rPr>
        <w:t>inal</w:t>
      </w:r>
      <w:r w:rsidR="00CB3520" w:rsidRPr="0010611E">
        <w:rPr>
          <w:sz w:val="20"/>
          <w:szCs w:val="20"/>
        </w:rPr>
        <w:t>) (By Leave)</w:t>
      </w:r>
      <w:r w:rsidRPr="0010611E">
        <w:rPr>
          <w:sz w:val="20"/>
          <w:szCs w:val="20"/>
        </w:rPr>
        <w:t xml:space="preserve"> (37868</w:t>
      </w:r>
      <w:r w:rsidR="00CB3520" w:rsidRPr="0010611E">
        <w:rPr>
          <w:sz w:val="20"/>
          <w:szCs w:val="20"/>
        </w:rPr>
        <w:t>)</w:t>
      </w:r>
    </w:p>
    <w:p w:rsidR="00CB3520" w:rsidRPr="0010611E" w:rsidRDefault="00CB3520" w:rsidP="00CB3520">
      <w:pPr>
        <w:widowControl w:val="0"/>
        <w:jc w:val="both"/>
        <w:rPr>
          <w:sz w:val="20"/>
          <w:szCs w:val="20"/>
        </w:rPr>
      </w:pPr>
    </w:p>
    <w:p w:rsidR="00CB3520" w:rsidRPr="0010611E" w:rsidRDefault="0046143D" w:rsidP="00CB3520">
      <w:pPr>
        <w:pStyle w:val="ListParagraph"/>
        <w:widowControl w:val="0"/>
        <w:numPr>
          <w:ilvl w:val="0"/>
          <w:numId w:val="1"/>
        </w:numPr>
        <w:ind w:hanging="720"/>
        <w:jc w:val="both"/>
        <w:rPr>
          <w:sz w:val="20"/>
          <w:szCs w:val="20"/>
        </w:rPr>
      </w:pPr>
      <w:r w:rsidRPr="0010611E">
        <w:rPr>
          <w:i/>
          <w:sz w:val="20"/>
          <w:szCs w:val="20"/>
        </w:rPr>
        <w:t xml:space="preserve">Katherine Lin v. Toronto Police Services Board et al. </w:t>
      </w:r>
      <w:r w:rsidR="00CB3520" w:rsidRPr="0010611E">
        <w:rPr>
          <w:sz w:val="20"/>
          <w:szCs w:val="20"/>
        </w:rPr>
        <w:t>(</w:t>
      </w:r>
      <w:r w:rsidRPr="0010611E">
        <w:rPr>
          <w:sz w:val="20"/>
          <w:szCs w:val="20"/>
        </w:rPr>
        <w:t>Ont</w:t>
      </w:r>
      <w:r w:rsidR="00CB3520" w:rsidRPr="0010611E">
        <w:rPr>
          <w:sz w:val="20"/>
          <w:szCs w:val="20"/>
        </w:rPr>
        <w:t>.) (Civil) (By Leave) (3</w:t>
      </w:r>
      <w:r w:rsidRPr="0010611E">
        <w:rPr>
          <w:sz w:val="20"/>
          <w:szCs w:val="20"/>
        </w:rPr>
        <w:t>7910</w:t>
      </w:r>
      <w:r w:rsidR="00CB3520" w:rsidRPr="0010611E">
        <w:rPr>
          <w:sz w:val="20"/>
          <w:szCs w:val="20"/>
        </w:rPr>
        <w:t>)</w:t>
      </w:r>
    </w:p>
    <w:p w:rsidR="00CB3520" w:rsidRPr="0010611E" w:rsidRDefault="00CB3520" w:rsidP="00CB3520">
      <w:pPr>
        <w:widowControl w:val="0"/>
        <w:jc w:val="both"/>
        <w:rPr>
          <w:sz w:val="20"/>
          <w:szCs w:val="20"/>
        </w:rPr>
      </w:pPr>
    </w:p>
    <w:p w:rsidR="00CB3520" w:rsidRPr="0010611E" w:rsidRDefault="00CB3520" w:rsidP="00CB3520">
      <w:pPr>
        <w:widowControl w:val="0"/>
        <w:rPr>
          <w:sz w:val="20"/>
          <w:szCs w:val="20"/>
        </w:rPr>
      </w:pPr>
    </w:p>
    <w:p w:rsidR="00CB3520" w:rsidRPr="0010611E" w:rsidRDefault="00CB3520" w:rsidP="00CB3520">
      <w:pPr>
        <w:widowControl w:val="0"/>
        <w:jc w:val="center"/>
        <w:rPr>
          <w:b/>
          <w:sz w:val="20"/>
          <w:szCs w:val="20"/>
          <w:lang w:val="en-US"/>
        </w:rPr>
      </w:pPr>
      <w:r w:rsidRPr="0010611E">
        <w:rPr>
          <w:b/>
          <w:sz w:val="20"/>
          <w:szCs w:val="20"/>
          <w:lang w:val="en-US"/>
        </w:rPr>
        <w:t xml:space="preserve">CORAM: </w:t>
      </w:r>
      <w:r w:rsidR="00FA3373" w:rsidRPr="0010611E">
        <w:rPr>
          <w:b/>
          <w:sz w:val="20"/>
          <w:szCs w:val="20"/>
          <w:lang w:val="en-US"/>
        </w:rPr>
        <w:t>Abella</w:t>
      </w:r>
      <w:r w:rsidRPr="0010611E">
        <w:rPr>
          <w:b/>
          <w:sz w:val="20"/>
          <w:szCs w:val="20"/>
          <w:lang w:val="en-US"/>
        </w:rPr>
        <w:t xml:space="preserve">, </w:t>
      </w:r>
      <w:r w:rsidR="00195F99" w:rsidRPr="0010611E">
        <w:rPr>
          <w:b/>
          <w:sz w:val="20"/>
          <w:szCs w:val="20"/>
          <w:lang w:val="en-US"/>
        </w:rPr>
        <w:t>Gascon</w:t>
      </w:r>
      <w:r w:rsidRPr="0010611E">
        <w:rPr>
          <w:b/>
          <w:sz w:val="20"/>
          <w:szCs w:val="20"/>
          <w:lang w:val="en-US"/>
        </w:rPr>
        <w:t xml:space="preserve"> and </w:t>
      </w:r>
      <w:r w:rsidR="00E942C2" w:rsidRPr="0010611E">
        <w:rPr>
          <w:b/>
          <w:sz w:val="20"/>
          <w:szCs w:val="20"/>
          <w:lang w:val="en-US"/>
        </w:rPr>
        <w:t>Brown</w:t>
      </w:r>
      <w:r w:rsidRPr="0010611E">
        <w:rPr>
          <w:b/>
          <w:sz w:val="20"/>
          <w:szCs w:val="20"/>
          <w:lang w:val="en-US"/>
        </w:rPr>
        <w:t xml:space="preserve"> JJ.</w:t>
      </w:r>
    </w:p>
    <w:p w:rsidR="00CB3520" w:rsidRPr="0010611E" w:rsidRDefault="00CB3520" w:rsidP="00CB3520">
      <w:pPr>
        <w:widowControl w:val="0"/>
        <w:jc w:val="center"/>
        <w:rPr>
          <w:b/>
          <w:sz w:val="20"/>
          <w:szCs w:val="20"/>
          <w:lang w:val="fr-CA"/>
        </w:rPr>
      </w:pPr>
      <w:r w:rsidRPr="0010611E">
        <w:rPr>
          <w:b/>
          <w:sz w:val="20"/>
          <w:szCs w:val="20"/>
          <w:lang w:val="fr-CA"/>
        </w:rPr>
        <w:t xml:space="preserve">Les juges </w:t>
      </w:r>
      <w:r w:rsidR="00FA3373" w:rsidRPr="0010611E">
        <w:rPr>
          <w:b/>
          <w:sz w:val="20"/>
          <w:szCs w:val="20"/>
          <w:lang w:val="fr-CA"/>
        </w:rPr>
        <w:t>Abella</w:t>
      </w:r>
      <w:r w:rsidRPr="0010611E">
        <w:rPr>
          <w:b/>
          <w:sz w:val="20"/>
          <w:szCs w:val="20"/>
          <w:lang w:val="fr-CA"/>
        </w:rPr>
        <w:t xml:space="preserve">, </w:t>
      </w:r>
      <w:r w:rsidR="00195F99" w:rsidRPr="0010611E">
        <w:rPr>
          <w:b/>
          <w:sz w:val="20"/>
          <w:szCs w:val="20"/>
          <w:lang w:val="fr-CA"/>
        </w:rPr>
        <w:t>Gascon</w:t>
      </w:r>
      <w:r w:rsidRPr="0010611E">
        <w:rPr>
          <w:b/>
          <w:sz w:val="20"/>
          <w:szCs w:val="20"/>
          <w:lang w:val="fr-CA"/>
        </w:rPr>
        <w:t xml:space="preserve"> et </w:t>
      </w:r>
      <w:r w:rsidR="00E942C2" w:rsidRPr="0010611E">
        <w:rPr>
          <w:b/>
          <w:sz w:val="20"/>
          <w:szCs w:val="20"/>
          <w:lang w:val="fr-CA"/>
        </w:rPr>
        <w:t>Brown</w:t>
      </w:r>
    </w:p>
    <w:p w:rsidR="00CB3520" w:rsidRPr="0010611E" w:rsidRDefault="00CB3520" w:rsidP="00CB3520">
      <w:pPr>
        <w:widowControl w:val="0"/>
        <w:jc w:val="both"/>
        <w:rPr>
          <w:sz w:val="20"/>
          <w:szCs w:val="20"/>
          <w:lang w:val="fr-CA"/>
        </w:rPr>
      </w:pPr>
    </w:p>
    <w:p w:rsidR="00CB3520" w:rsidRPr="0010611E" w:rsidRDefault="0046143D" w:rsidP="00CB3520">
      <w:pPr>
        <w:pStyle w:val="ListParagraph"/>
        <w:widowControl w:val="0"/>
        <w:numPr>
          <w:ilvl w:val="0"/>
          <w:numId w:val="1"/>
        </w:numPr>
        <w:ind w:hanging="720"/>
        <w:jc w:val="both"/>
        <w:rPr>
          <w:sz w:val="20"/>
          <w:szCs w:val="20"/>
          <w:lang w:val="en-US"/>
        </w:rPr>
      </w:pPr>
      <w:r w:rsidRPr="0010611E">
        <w:rPr>
          <w:i/>
          <w:sz w:val="20"/>
          <w:szCs w:val="20"/>
        </w:rPr>
        <w:t xml:space="preserve">Rashida </w:t>
      </w:r>
      <w:proofErr w:type="spellStart"/>
      <w:r w:rsidRPr="0010611E">
        <w:rPr>
          <w:i/>
          <w:sz w:val="20"/>
          <w:szCs w:val="20"/>
        </w:rPr>
        <w:t>Abdulrasul</w:t>
      </w:r>
      <w:proofErr w:type="spellEnd"/>
      <w:r w:rsidRPr="0010611E">
        <w:rPr>
          <w:i/>
          <w:sz w:val="20"/>
          <w:szCs w:val="20"/>
        </w:rPr>
        <w:t xml:space="preserve"> </w:t>
      </w:r>
      <w:proofErr w:type="spellStart"/>
      <w:r w:rsidRPr="0010611E">
        <w:rPr>
          <w:i/>
          <w:sz w:val="20"/>
          <w:szCs w:val="20"/>
        </w:rPr>
        <w:t>Samji</w:t>
      </w:r>
      <w:proofErr w:type="spellEnd"/>
      <w:r w:rsidRPr="0010611E">
        <w:rPr>
          <w:i/>
          <w:sz w:val="20"/>
          <w:szCs w:val="20"/>
        </w:rPr>
        <w:t xml:space="preserve"> v. Her Majesty the Queen </w:t>
      </w:r>
      <w:r w:rsidR="00CB3520" w:rsidRPr="0010611E">
        <w:rPr>
          <w:sz w:val="20"/>
          <w:szCs w:val="20"/>
        </w:rPr>
        <w:t>(</w:t>
      </w:r>
      <w:r w:rsidRPr="0010611E">
        <w:rPr>
          <w:sz w:val="20"/>
          <w:szCs w:val="20"/>
        </w:rPr>
        <w:t>B.C</w:t>
      </w:r>
      <w:r w:rsidR="00CB3520" w:rsidRPr="0010611E">
        <w:rPr>
          <w:sz w:val="20"/>
          <w:szCs w:val="20"/>
        </w:rPr>
        <w:t>.) (C</w:t>
      </w:r>
      <w:r w:rsidRPr="0010611E">
        <w:rPr>
          <w:sz w:val="20"/>
          <w:szCs w:val="20"/>
        </w:rPr>
        <w:t>rim</w:t>
      </w:r>
      <w:r w:rsidR="00250D3A">
        <w:rPr>
          <w:sz w:val="20"/>
          <w:szCs w:val="20"/>
        </w:rPr>
        <w:t>inal</w:t>
      </w:r>
      <w:r w:rsidR="00CB3520" w:rsidRPr="0010611E">
        <w:rPr>
          <w:sz w:val="20"/>
          <w:szCs w:val="20"/>
        </w:rPr>
        <w:t>) (By Leave)</w:t>
      </w:r>
      <w:r w:rsidR="00CB3520" w:rsidRPr="0010611E">
        <w:rPr>
          <w:sz w:val="20"/>
          <w:szCs w:val="20"/>
          <w:lang w:val="en-US"/>
        </w:rPr>
        <w:t xml:space="preserve"> (</w:t>
      </w:r>
      <w:r w:rsidRPr="0010611E">
        <w:rPr>
          <w:sz w:val="20"/>
          <w:szCs w:val="20"/>
          <w:lang w:val="en-US"/>
        </w:rPr>
        <w:t>37862)</w:t>
      </w:r>
    </w:p>
    <w:p w:rsidR="00CB3520" w:rsidRPr="0010611E" w:rsidRDefault="00CB3520" w:rsidP="00CB3520">
      <w:pPr>
        <w:widowControl w:val="0"/>
        <w:jc w:val="both"/>
        <w:rPr>
          <w:sz w:val="20"/>
          <w:szCs w:val="20"/>
          <w:lang w:val="en-US"/>
        </w:rPr>
      </w:pPr>
    </w:p>
    <w:p w:rsidR="00CB3520" w:rsidRPr="0010611E" w:rsidRDefault="0046143D" w:rsidP="00CB3520">
      <w:pPr>
        <w:pStyle w:val="ListParagraph"/>
        <w:widowControl w:val="0"/>
        <w:numPr>
          <w:ilvl w:val="0"/>
          <w:numId w:val="1"/>
        </w:numPr>
        <w:ind w:hanging="720"/>
        <w:jc w:val="both"/>
        <w:rPr>
          <w:sz w:val="20"/>
          <w:szCs w:val="20"/>
          <w:lang w:val="en-US"/>
        </w:rPr>
      </w:pPr>
      <w:r w:rsidRPr="0010611E">
        <w:rPr>
          <w:i/>
          <w:sz w:val="20"/>
          <w:szCs w:val="20"/>
          <w:lang w:val="en-US"/>
        </w:rPr>
        <w:t xml:space="preserve">Peter Childs v. Michael Childs et al. </w:t>
      </w:r>
      <w:r w:rsidRPr="0010611E">
        <w:rPr>
          <w:sz w:val="20"/>
          <w:szCs w:val="20"/>
          <w:lang w:val="en-US"/>
        </w:rPr>
        <w:t>(Ont.) (Civil) (By Leave) (37808</w:t>
      </w:r>
      <w:r w:rsidR="00CB3520" w:rsidRPr="0010611E">
        <w:rPr>
          <w:sz w:val="20"/>
          <w:szCs w:val="20"/>
          <w:lang w:val="en-US"/>
        </w:rPr>
        <w:t>)</w:t>
      </w:r>
    </w:p>
    <w:p w:rsidR="00CB3520" w:rsidRPr="0010611E" w:rsidRDefault="00CB3520" w:rsidP="00CB3520">
      <w:pPr>
        <w:widowControl w:val="0"/>
        <w:jc w:val="both"/>
        <w:rPr>
          <w:sz w:val="20"/>
          <w:szCs w:val="20"/>
          <w:lang w:val="en-US"/>
        </w:rPr>
      </w:pPr>
    </w:p>
    <w:p w:rsidR="0046143D" w:rsidRPr="0010611E" w:rsidRDefault="0046143D" w:rsidP="00CB3520">
      <w:pPr>
        <w:widowControl w:val="0"/>
        <w:jc w:val="both"/>
        <w:rPr>
          <w:sz w:val="20"/>
          <w:szCs w:val="20"/>
          <w:lang w:val="en-US"/>
        </w:rPr>
      </w:pPr>
    </w:p>
    <w:p w:rsidR="00CB3520" w:rsidRPr="0010611E" w:rsidRDefault="00CB3520" w:rsidP="00CB3520">
      <w:pPr>
        <w:widowControl w:val="0"/>
        <w:jc w:val="center"/>
        <w:rPr>
          <w:b/>
          <w:sz w:val="20"/>
          <w:szCs w:val="20"/>
        </w:rPr>
      </w:pPr>
      <w:r w:rsidRPr="0010611E">
        <w:rPr>
          <w:b/>
          <w:sz w:val="20"/>
          <w:szCs w:val="20"/>
        </w:rPr>
        <w:t xml:space="preserve">CORAM: </w:t>
      </w:r>
      <w:r w:rsidR="00253236" w:rsidRPr="0010611E">
        <w:rPr>
          <w:b/>
          <w:sz w:val="20"/>
          <w:szCs w:val="20"/>
        </w:rPr>
        <w:t>Moldaver</w:t>
      </w:r>
      <w:r w:rsidR="00E942C2" w:rsidRPr="0010611E">
        <w:rPr>
          <w:b/>
          <w:sz w:val="20"/>
          <w:szCs w:val="20"/>
        </w:rPr>
        <w:t xml:space="preserve">, </w:t>
      </w:r>
      <w:r w:rsidR="00195F99" w:rsidRPr="0010611E">
        <w:rPr>
          <w:b/>
          <w:sz w:val="20"/>
          <w:szCs w:val="20"/>
        </w:rPr>
        <w:t xml:space="preserve">Karakatsanis and </w:t>
      </w:r>
      <w:r w:rsidR="00253236" w:rsidRPr="0010611E">
        <w:rPr>
          <w:b/>
          <w:sz w:val="20"/>
          <w:szCs w:val="20"/>
        </w:rPr>
        <w:t>Côté</w:t>
      </w:r>
      <w:r w:rsidR="00195F99" w:rsidRPr="0010611E">
        <w:rPr>
          <w:b/>
          <w:sz w:val="20"/>
          <w:szCs w:val="20"/>
        </w:rPr>
        <w:t xml:space="preserve"> </w:t>
      </w:r>
      <w:r w:rsidRPr="0010611E">
        <w:rPr>
          <w:b/>
          <w:sz w:val="20"/>
          <w:szCs w:val="20"/>
        </w:rPr>
        <w:t>JJ.</w:t>
      </w:r>
    </w:p>
    <w:p w:rsidR="00CB3520" w:rsidRPr="0010611E" w:rsidRDefault="00CB3520" w:rsidP="00CB3520">
      <w:pPr>
        <w:widowControl w:val="0"/>
        <w:jc w:val="center"/>
        <w:rPr>
          <w:b/>
          <w:sz w:val="20"/>
          <w:szCs w:val="20"/>
          <w:lang w:val="fr-CA"/>
        </w:rPr>
      </w:pPr>
      <w:r w:rsidRPr="0010611E">
        <w:rPr>
          <w:b/>
          <w:sz w:val="20"/>
          <w:szCs w:val="20"/>
          <w:lang w:val="fr-CA"/>
        </w:rPr>
        <w:t xml:space="preserve">Les juges </w:t>
      </w:r>
      <w:r w:rsidR="00253236" w:rsidRPr="0010611E">
        <w:rPr>
          <w:b/>
          <w:sz w:val="20"/>
          <w:szCs w:val="20"/>
          <w:lang w:val="fr-CA"/>
        </w:rPr>
        <w:t>Moldaver</w:t>
      </w:r>
      <w:r w:rsidR="00E942C2" w:rsidRPr="0010611E">
        <w:rPr>
          <w:b/>
          <w:sz w:val="20"/>
          <w:szCs w:val="20"/>
          <w:lang w:val="fr-CA"/>
        </w:rPr>
        <w:t xml:space="preserve">, </w:t>
      </w:r>
      <w:r w:rsidR="00195F99" w:rsidRPr="0010611E">
        <w:rPr>
          <w:b/>
          <w:sz w:val="20"/>
          <w:szCs w:val="20"/>
          <w:lang w:val="fr-CA"/>
        </w:rPr>
        <w:t xml:space="preserve">Karakatsanis et </w:t>
      </w:r>
      <w:r w:rsidR="00253236" w:rsidRPr="0010611E">
        <w:rPr>
          <w:b/>
          <w:sz w:val="20"/>
          <w:szCs w:val="20"/>
          <w:lang w:val="fr-CA"/>
        </w:rPr>
        <w:t>Côté</w:t>
      </w:r>
    </w:p>
    <w:p w:rsidR="00CB3520" w:rsidRPr="0010611E" w:rsidRDefault="00CB3520" w:rsidP="00CB3520">
      <w:pPr>
        <w:widowControl w:val="0"/>
        <w:jc w:val="both"/>
        <w:rPr>
          <w:sz w:val="20"/>
          <w:szCs w:val="20"/>
          <w:lang w:val="fr-CA"/>
        </w:rPr>
      </w:pPr>
    </w:p>
    <w:p w:rsidR="00CB3520" w:rsidRPr="0010611E" w:rsidRDefault="0046143D" w:rsidP="00CB3520">
      <w:pPr>
        <w:pStyle w:val="ListParagraph"/>
        <w:widowControl w:val="0"/>
        <w:numPr>
          <w:ilvl w:val="0"/>
          <w:numId w:val="1"/>
        </w:numPr>
        <w:ind w:hanging="720"/>
        <w:jc w:val="both"/>
        <w:rPr>
          <w:sz w:val="20"/>
          <w:szCs w:val="20"/>
        </w:rPr>
      </w:pPr>
      <w:r w:rsidRPr="0010611E">
        <w:rPr>
          <w:i/>
          <w:sz w:val="20"/>
          <w:szCs w:val="20"/>
          <w:lang w:val="en-US"/>
        </w:rPr>
        <w:t xml:space="preserve">Active Tire &amp; Auto Centre Inc. v. Francisco Yao Mendoza and Francis Mendoza Inc. </w:t>
      </w:r>
      <w:r w:rsidR="00CB3520" w:rsidRPr="0010611E">
        <w:rPr>
          <w:sz w:val="20"/>
          <w:szCs w:val="20"/>
        </w:rPr>
        <w:t>(</w:t>
      </w:r>
      <w:r w:rsidRPr="0010611E">
        <w:rPr>
          <w:sz w:val="20"/>
          <w:szCs w:val="20"/>
        </w:rPr>
        <w:t>Ont</w:t>
      </w:r>
      <w:r w:rsidR="00CB3520" w:rsidRPr="0010611E">
        <w:rPr>
          <w:sz w:val="20"/>
          <w:szCs w:val="20"/>
        </w:rPr>
        <w:t>.) (Civil) (By Leave) (</w:t>
      </w:r>
      <w:r w:rsidRPr="0010611E">
        <w:rPr>
          <w:sz w:val="20"/>
          <w:szCs w:val="20"/>
        </w:rPr>
        <w:t>37814</w:t>
      </w:r>
      <w:r w:rsidR="00CB3520" w:rsidRPr="0010611E">
        <w:rPr>
          <w:sz w:val="20"/>
          <w:szCs w:val="20"/>
        </w:rPr>
        <w:t>)</w:t>
      </w:r>
    </w:p>
    <w:p w:rsidR="00CB3520" w:rsidRPr="0010611E" w:rsidRDefault="00CB3520" w:rsidP="00CB3520">
      <w:pPr>
        <w:widowControl w:val="0"/>
        <w:jc w:val="both"/>
        <w:rPr>
          <w:sz w:val="20"/>
          <w:szCs w:val="20"/>
        </w:rPr>
      </w:pPr>
    </w:p>
    <w:p w:rsidR="002E2327" w:rsidRPr="0010611E" w:rsidRDefault="00B35ED9" w:rsidP="002E2327">
      <w:pPr>
        <w:widowControl w:val="0"/>
        <w:rPr>
          <w:sz w:val="20"/>
          <w:szCs w:val="20"/>
        </w:rPr>
      </w:pPr>
      <w:r>
        <w:rPr>
          <w:sz w:val="20"/>
          <w:szCs w:val="20"/>
        </w:rPr>
        <w:pict>
          <v:rect id="_x0000_i1039" style="width:2in;height:1pt" o:hrpct="0" o:hralign="center" o:hrstd="t" o:hrnoshade="t" o:hr="t" fillcolor="black [3213]" stroked="f"/>
        </w:pict>
      </w:r>
    </w:p>
    <w:p w:rsidR="00D94028" w:rsidRPr="0010611E" w:rsidRDefault="00D94028" w:rsidP="002E2327">
      <w:pPr>
        <w:widowControl w:val="0"/>
        <w:rPr>
          <w:sz w:val="20"/>
          <w:szCs w:val="20"/>
        </w:rPr>
      </w:pPr>
    </w:p>
    <w:p w:rsidR="00D94028" w:rsidRPr="0010611E" w:rsidRDefault="00D94028" w:rsidP="002E2327">
      <w:pPr>
        <w:widowControl w:val="0"/>
        <w:rPr>
          <w:sz w:val="20"/>
          <w:szCs w:val="20"/>
        </w:rPr>
      </w:pPr>
    </w:p>
    <w:p w:rsidR="00D94028" w:rsidRPr="0010611E" w:rsidRDefault="00D94028" w:rsidP="002E2327">
      <w:pPr>
        <w:widowControl w:val="0"/>
        <w:rPr>
          <w:sz w:val="20"/>
          <w:szCs w:val="20"/>
        </w:rPr>
      </w:pPr>
    </w:p>
    <w:p w:rsidR="0044776A" w:rsidRPr="0010611E" w:rsidRDefault="0044776A" w:rsidP="002E2327">
      <w:pPr>
        <w:widowControl w:val="0"/>
        <w:spacing w:line="0" w:lineRule="atLeast"/>
        <w:rPr>
          <w:sz w:val="20"/>
          <w:szCs w:val="20"/>
        </w:rPr>
        <w:sectPr w:rsidR="0044776A" w:rsidRPr="0010611E"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644959" w:rsidTr="00ED7E83">
        <w:tc>
          <w:tcPr>
            <w:tcW w:w="4200" w:type="dxa"/>
            <w:tcMar>
              <w:left w:w="0" w:type="dxa"/>
              <w:right w:w="0" w:type="dxa"/>
            </w:tcMar>
          </w:tcPr>
          <w:p w:rsidR="008D292F" w:rsidRPr="0010611E" w:rsidRDefault="008D292F" w:rsidP="00ED7E83">
            <w:pPr>
              <w:keepNext/>
              <w:keepLines/>
              <w:jc w:val="both"/>
              <w:rPr>
                <w:b/>
                <w:szCs w:val="24"/>
              </w:rPr>
            </w:pPr>
            <w:bookmarkStart w:id="0" w:name="QuickMark_1"/>
            <w:bookmarkEnd w:id="0"/>
            <w:r w:rsidRPr="0010611E">
              <w:rPr>
                <w:b/>
                <w:szCs w:val="24"/>
              </w:rPr>
              <w:t>JUDGMENTS ON APPLICATIONS</w:t>
            </w:r>
          </w:p>
          <w:p w:rsidR="008D292F" w:rsidRPr="0010611E" w:rsidRDefault="008D292F" w:rsidP="00ED7E83">
            <w:pPr>
              <w:keepNext/>
              <w:keepLines/>
              <w:jc w:val="both"/>
              <w:rPr>
                <w:b/>
                <w:szCs w:val="24"/>
              </w:rPr>
            </w:pPr>
            <w:r w:rsidRPr="0010611E">
              <w:rPr>
                <w:b/>
                <w:szCs w:val="24"/>
              </w:rPr>
              <w:t>FOR LEAVE</w:t>
            </w:r>
          </w:p>
        </w:tc>
        <w:tc>
          <w:tcPr>
            <w:tcW w:w="1200" w:type="dxa"/>
            <w:tcMar>
              <w:left w:w="0" w:type="dxa"/>
              <w:right w:w="0" w:type="dxa"/>
            </w:tcMar>
          </w:tcPr>
          <w:p w:rsidR="008D292F" w:rsidRPr="0010611E" w:rsidRDefault="008D292F" w:rsidP="008D292F">
            <w:pPr>
              <w:keepNext/>
              <w:keepLines/>
              <w:jc w:val="center"/>
              <w:rPr>
                <w:b/>
                <w:szCs w:val="24"/>
              </w:rPr>
            </w:pPr>
          </w:p>
          <w:p w:rsidR="008D292F" w:rsidRPr="0010611E" w:rsidRDefault="008D292F" w:rsidP="008D292F">
            <w:pPr>
              <w:keepNext/>
              <w:keepLines/>
              <w:jc w:val="center"/>
              <w:rPr>
                <w:b/>
                <w:szCs w:val="24"/>
              </w:rPr>
            </w:pPr>
          </w:p>
          <w:p w:rsidR="008D292F" w:rsidRPr="0010611E" w:rsidRDefault="008D292F" w:rsidP="008D292F">
            <w:pPr>
              <w:keepNext/>
              <w:keepLines/>
              <w:jc w:val="center"/>
              <w:rPr>
                <w:b/>
                <w:szCs w:val="24"/>
              </w:rPr>
            </w:pPr>
          </w:p>
        </w:tc>
        <w:tc>
          <w:tcPr>
            <w:tcW w:w="4080" w:type="dxa"/>
            <w:tcMar>
              <w:left w:w="0" w:type="dxa"/>
              <w:right w:w="0" w:type="dxa"/>
            </w:tcMar>
          </w:tcPr>
          <w:p w:rsidR="008D292F" w:rsidRPr="0010611E" w:rsidRDefault="008D292F" w:rsidP="00ED7E83">
            <w:pPr>
              <w:keepNext/>
              <w:keepLines/>
              <w:jc w:val="both"/>
              <w:rPr>
                <w:b/>
                <w:szCs w:val="24"/>
                <w:lang w:val="fr-CA"/>
              </w:rPr>
            </w:pPr>
            <w:r w:rsidRPr="0010611E">
              <w:rPr>
                <w:b/>
                <w:szCs w:val="24"/>
                <w:lang w:val="fr-CA"/>
              </w:rPr>
              <w:t>JUGEMENTS RENDUS SUR LES DEMANDES D’AUTORISATION</w:t>
            </w:r>
          </w:p>
        </w:tc>
      </w:tr>
    </w:tbl>
    <w:p w:rsidR="008D292F" w:rsidRPr="0010611E" w:rsidRDefault="008D292F" w:rsidP="008D292F">
      <w:pPr>
        <w:rPr>
          <w:sz w:val="20"/>
          <w:szCs w:val="20"/>
          <w:lang w:val="fr-CA"/>
        </w:rPr>
      </w:pPr>
    </w:p>
    <w:p w:rsidR="00E8544A" w:rsidRPr="0010611E" w:rsidRDefault="006B3BE3" w:rsidP="00E8544A">
      <w:pPr>
        <w:rPr>
          <w:b/>
          <w:sz w:val="20"/>
          <w:szCs w:val="20"/>
        </w:rPr>
      </w:pPr>
      <w:r w:rsidRPr="0010611E">
        <w:rPr>
          <w:b/>
          <w:sz w:val="20"/>
          <w:szCs w:val="20"/>
        </w:rPr>
        <w:t>APRIL 19</w:t>
      </w:r>
      <w:r w:rsidR="000E2959" w:rsidRPr="0010611E">
        <w:rPr>
          <w:b/>
          <w:sz w:val="20"/>
          <w:szCs w:val="20"/>
        </w:rPr>
        <w:t xml:space="preserve">, </w:t>
      </w:r>
      <w:r w:rsidR="0030050B" w:rsidRPr="0010611E">
        <w:rPr>
          <w:b/>
          <w:sz w:val="20"/>
          <w:szCs w:val="20"/>
        </w:rPr>
        <w:t>201</w:t>
      </w:r>
      <w:r w:rsidRPr="0010611E">
        <w:rPr>
          <w:b/>
          <w:sz w:val="20"/>
          <w:szCs w:val="20"/>
        </w:rPr>
        <w:t>8</w:t>
      </w:r>
      <w:r w:rsidR="000E2959" w:rsidRPr="0010611E">
        <w:rPr>
          <w:b/>
          <w:sz w:val="20"/>
          <w:szCs w:val="20"/>
        </w:rPr>
        <w:t xml:space="preserve"> / LE </w:t>
      </w:r>
      <w:r w:rsidR="00E8544A" w:rsidRPr="0010611E">
        <w:rPr>
          <w:b/>
          <w:sz w:val="20"/>
          <w:szCs w:val="20"/>
        </w:rPr>
        <w:t>1</w:t>
      </w:r>
      <w:r w:rsidRPr="0010611E">
        <w:rPr>
          <w:b/>
          <w:sz w:val="20"/>
          <w:szCs w:val="20"/>
        </w:rPr>
        <w:t>9</w:t>
      </w:r>
      <w:r w:rsidR="000E2959" w:rsidRPr="0010611E">
        <w:rPr>
          <w:b/>
          <w:sz w:val="20"/>
          <w:szCs w:val="20"/>
        </w:rPr>
        <w:t xml:space="preserve"> </w:t>
      </w:r>
      <w:r w:rsidRPr="0010611E">
        <w:rPr>
          <w:b/>
          <w:sz w:val="20"/>
          <w:szCs w:val="20"/>
        </w:rPr>
        <w:t>AVRIL 2018</w:t>
      </w:r>
    </w:p>
    <w:p w:rsidR="006B3BE3" w:rsidRPr="0010611E" w:rsidRDefault="006B3BE3" w:rsidP="00E8544A">
      <w:pPr>
        <w:rPr>
          <w:b/>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B3BE3" w:rsidRPr="0010611E" w:rsidTr="00E209EC">
        <w:tc>
          <w:tcPr>
            <w:tcW w:w="543" w:type="pct"/>
          </w:tcPr>
          <w:p w:rsidR="006B3BE3" w:rsidRPr="0010611E" w:rsidRDefault="006B3BE3" w:rsidP="00E209EC">
            <w:pPr>
              <w:jc w:val="both"/>
              <w:rPr>
                <w:sz w:val="20"/>
              </w:rPr>
            </w:pPr>
            <w:r w:rsidRPr="0010611E">
              <w:rPr>
                <w:rStyle w:val="SCCFileNumberChar"/>
                <w:sz w:val="20"/>
                <w:szCs w:val="20"/>
              </w:rPr>
              <w:t>37901</w:t>
            </w:r>
          </w:p>
        </w:tc>
        <w:tc>
          <w:tcPr>
            <w:tcW w:w="4457" w:type="pct"/>
            <w:gridSpan w:val="3"/>
          </w:tcPr>
          <w:p w:rsidR="006B3BE3" w:rsidRPr="0010611E" w:rsidRDefault="006B3BE3" w:rsidP="00E209EC">
            <w:pPr>
              <w:pStyle w:val="SCCLsocParty"/>
              <w:jc w:val="both"/>
              <w:rPr>
                <w:b/>
                <w:sz w:val="20"/>
                <w:szCs w:val="20"/>
                <w:lang w:val="en-US"/>
              </w:rPr>
            </w:pPr>
            <w:r w:rsidRPr="0010611E">
              <w:rPr>
                <w:b/>
                <w:sz w:val="20"/>
                <w:szCs w:val="20"/>
                <w:lang w:val="en-US"/>
              </w:rPr>
              <w:t>Lihong Yang v. Her Majesty the Queen</w:t>
            </w:r>
          </w:p>
          <w:p w:rsidR="006B3BE3" w:rsidRPr="0010611E" w:rsidRDefault="006B3BE3" w:rsidP="00E209EC">
            <w:pPr>
              <w:jc w:val="both"/>
              <w:rPr>
                <w:sz w:val="20"/>
              </w:rPr>
            </w:pPr>
            <w:r w:rsidRPr="0010611E">
              <w:rPr>
                <w:sz w:val="20"/>
              </w:rPr>
              <w:t>(B.C.) (Criminal) (By Leave)</w:t>
            </w:r>
          </w:p>
        </w:tc>
      </w:tr>
      <w:tr w:rsidR="006B3BE3" w:rsidRPr="0010611E" w:rsidTr="00E209EC">
        <w:tc>
          <w:tcPr>
            <w:tcW w:w="543" w:type="pct"/>
          </w:tcPr>
          <w:p w:rsidR="006B3BE3" w:rsidRPr="0010611E" w:rsidRDefault="00E462BB" w:rsidP="00E209EC">
            <w:pPr>
              <w:jc w:val="both"/>
              <w:rPr>
                <w:rStyle w:val="SCCFileNumberChar"/>
                <w:sz w:val="20"/>
                <w:szCs w:val="20"/>
              </w:rPr>
            </w:pPr>
            <w:r w:rsidRPr="0010611E">
              <w:rPr>
                <w:rStyle w:val="SCCFileNumberChar"/>
                <w:sz w:val="20"/>
                <w:szCs w:val="20"/>
              </w:rPr>
              <w:t>Coram:</w:t>
            </w:r>
          </w:p>
        </w:tc>
        <w:tc>
          <w:tcPr>
            <w:tcW w:w="4457" w:type="pct"/>
            <w:gridSpan w:val="3"/>
          </w:tcPr>
          <w:p w:rsidR="006B3BE3" w:rsidRPr="0010611E" w:rsidRDefault="00E462BB" w:rsidP="00E209EC">
            <w:pPr>
              <w:pStyle w:val="SCCLsocParty"/>
              <w:jc w:val="both"/>
              <w:rPr>
                <w:b/>
                <w:sz w:val="20"/>
                <w:szCs w:val="20"/>
                <w:lang w:val="en-US"/>
              </w:rPr>
            </w:pPr>
            <w:r w:rsidRPr="0010611E">
              <w:rPr>
                <w:sz w:val="20"/>
                <w:lang w:val="en-US"/>
              </w:rPr>
              <w:t>Wagner C.J. and Abella, Moldaver, Karakatsanis, Gascon, Côté, Brown, Rowe and Martin JJ.</w:t>
            </w:r>
          </w:p>
        </w:tc>
      </w:tr>
      <w:tr w:rsidR="00E462BB" w:rsidRPr="0010611E" w:rsidTr="00E462BB">
        <w:tc>
          <w:tcPr>
            <w:tcW w:w="5000" w:type="pct"/>
            <w:gridSpan w:val="4"/>
          </w:tcPr>
          <w:p w:rsidR="00E462BB" w:rsidRDefault="00E462BB" w:rsidP="00E209EC">
            <w:pPr>
              <w:pStyle w:val="SCCLsocParty"/>
              <w:jc w:val="both"/>
              <w:rPr>
                <w:sz w:val="20"/>
                <w:lang w:val="en-US"/>
              </w:rPr>
            </w:pPr>
            <w:r w:rsidRPr="0010611E">
              <w:rPr>
                <w:sz w:val="20"/>
                <w:lang w:val="en-US"/>
              </w:rPr>
              <w:t>The applicant’s motions for an extension of time to serve and file the reply to the application for leave to appeal and for an exemption from fees are dismissed. The application for leave to appeal from the judgment of the Court of Appeal for British Columbia (Vancouver), Number CA44438, 2017 BCCA 349, dated October 5, 2017, is dismissed.</w:t>
            </w:r>
          </w:p>
          <w:p w:rsidR="00AD776D" w:rsidRPr="00AD776D" w:rsidRDefault="00AD776D" w:rsidP="00AD776D">
            <w:pPr>
              <w:rPr>
                <w:lang w:val="en-US"/>
              </w:rPr>
            </w:pPr>
          </w:p>
        </w:tc>
      </w:tr>
      <w:tr w:rsidR="006B3BE3" w:rsidRPr="0010611E" w:rsidTr="00E209EC">
        <w:tc>
          <w:tcPr>
            <w:tcW w:w="5000" w:type="pct"/>
            <w:gridSpan w:val="4"/>
          </w:tcPr>
          <w:p w:rsidR="006B3BE3" w:rsidRPr="0010611E" w:rsidRDefault="006B3BE3" w:rsidP="00E209EC">
            <w:pPr>
              <w:jc w:val="both"/>
              <w:rPr>
                <w:sz w:val="20"/>
              </w:rPr>
            </w:pPr>
            <w:r w:rsidRPr="0010611E">
              <w:rPr>
                <w:sz w:val="20"/>
              </w:rPr>
              <w:t>Criminal Law – Appeal – Leave to Appeal – Whether applicant raises a legal issue – Whether issue is of public importance.</w:t>
            </w:r>
          </w:p>
        </w:tc>
      </w:tr>
      <w:tr w:rsidR="006B3BE3" w:rsidRPr="0010611E" w:rsidTr="00E209EC">
        <w:tc>
          <w:tcPr>
            <w:tcW w:w="5000" w:type="pct"/>
            <w:gridSpan w:val="4"/>
          </w:tcPr>
          <w:p w:rsidR="006B3BE3" w:rsidRPr="0010611E" w:rsidRDefault="006B3BE3" w:rsidP="00E209EC">
            <w:pPr>
              <w:jc w:val="both"/>
              <w:rPr>
                <w:sz w:val="20"/>
              </w:rPr>
            </w:pPr>
          </w:p>
        </w:tc>
      </w:tr>
      <w:tr w:rsidR="006B3BE3" w:rsidRPr="0010611E" w:rsidTr="00E209EC">
        <w:tc>
          <w:tcPr>
            <w:tcW w:w="5000" w:type="pct"/>
            <w:gridSpan w:val="4"/>
          </w:tcPr>
          <w:p w:rsidR="006B3BE3" w:rsidRPr="0010611E" w:rsidRDefault="006B3BE3" w:rsidP="00E209EC">
            <w:pPr>
              <w:jc w:val="both"/>
              <w:rPr>
                <w:rFonts w:ascii="Arial (W1)" w:hAnsi="Arial (W1)"/>
                <w:sz w:val="20"/>
                <w:lang w:val="en"/>
              </w:rPr>
            </w:pPr>
            <w:r w:rsidRPr="0010611E">
              <w:rPr>
                <w:sz w:val="20"/>
              </w:rPr>
              <w:t xml:space="preserve">On </w:t>
            </w:r>
            <w:r w:rsidRPr="0010611E">
              <w:rPr>
                <w:rFonts w:ascii="Arial (W1)" w:hAnsi="Arial (W1)"/>
                <w:sz w:val="20"/>
                <w:lang w:val="en"/>
              </w:rPr>
              <w:t>April 7, 2016, Ms. Yang was charged with criminal harassment. She filed a number of appeals and applications in the Supreme Court of British Columbia from orders granted by the Provincial Court of British Columbia. On February 22, 2017, the Crown directed a stay of proceedings. Before the Supreme Court of British Columbia, Ms. Yang withdrew most of her appeals and applications. The motion judge dismissed an application for costs and dismissed all appeals and applications not withdrawn. The Court of Appeal dismissed an application for leave to appeal and for an appointment of counsel.</w:t>
            </w:r>
          </w:p>
          <w:p w:rsidR="006B3BE3" w:rsidRPr="0010611E" w:rsidRDefault="006B3BE3" w:rsidP="00E209EC">
            <w:pPr>
              <w:jc w:val="both"/>
              <w:rPr>
                <w:sz w:val="20"/>
              </w:rPr>
            </w:pPr>
          </w:p>
        </w:tc>
      </w:tr>
      <w:tr w:rsidR="006B3BE3" w:rsidRPr="0010611E" w:rsidTr="00E209EC">
        <w:tc>
          <w:tcPr>
            <w:tcW w:w="2427" w:type="pct"/>
            <w:gridSpan w:val="2"/>
          </w:tcPr>
          <w:p w:rsidR="006B3BE3" w:rsidRPr="0010611E" w:rsidRDefault="006B3BE3" w:rsidP="00E209EC">
            <w:pPr>
              <w:jc w:val="both"/>
              <w:rPr>
                <w:rFonts w:ascii="Arial (W1)" w:hAnsi="Arial (W1)"/>
                <w:sz w:val="20"/>
                <w:lang w:val="en"/>
              </w:rPr>
            </w:pPr>
            <w:r w:rsidRPr="0010611E">
              <w:rPr>
                <w:rFonts w:ascii="Arial (W1)" w:hAnsi="Arial (W1)"/>
                <w:sz w:val="20"/>
                <w:lang w:val="en"/>
              </w:rPr>
              <w:t>February</w:t>
            </w:r>
            <w:r w:rsidRPr="0010611E">
              <w:rPr>
                <w:rFonts w:ascii="Arial (W1)" w:hAnsi="Arial (W1)" w:hint="eastAsia"/>
                <w:sz w:val="20"/>
                <w:lang w:val="en"/>
              </w:rPr>
              <w:t> </w:t>
            </w:r>
            <w:r w:rsidRPr="0010611E">
              <w:rPr>
                <w:rFonts w:ascii="Arial (W1)" w:hAnsi="Arial (W1)"/>
                <w:sz w:val="20"/>
                <w:lang w:val="en"/>
              </w:rPr>
              <w:t>22, 2017</w:t>
            </w:r>
          </w:p>
          <w:p w:rsidR="006B3BE3" w:rsidRPr="0010611E" w:rsidRDefault="006B3BE3" w:rsidP="00E209EC">
            <w:pPr>
              <w:jc w:val="both"/>
              <w:rPr>
                <w:rFonts w:ascii="Arial (W1)" w:hAnsi="Arial (W1)"/>
                <w:sz w:val="20"/>
                <w:lang w:val="en"/>
              </w:rPr>
            </w:pPr>
            <w:r w:rsidRPr="0010611E">
              <w:rPr>
                <w:rFonts w:ascii="Arial (W1)" w:hAnsi="Arial (W1)"/>
                <w:sz w:val="20"/>
                <w:lang w:val="en"/>
              </w:rPr>
              <w:t>Provincial Court</w:t>
            </w:r>
            <w:r w:rsidRPr="0010611E">
              <w:rPr>
                <w:sz w:val="20"/>
              </w:rPr>
              <w:t xml:space="preserve"> of British Columbia</w:t>
            </w:r>
          </w:p>
          <w:p w:rsidR="006B3BE3" w:rsidRPr="0010611E" w:rsidRDefault="006B3BE3" w:rsidP="00E209EC">
            <w:pPr>
              <w:jc w:val="both"/>
              <w:rPr>
                <w:sz w:val="20"/>
              </w:rPr>
            </w:pPr>
          </w:p>
        </w:tc>
        <w:tc>
          <w:tcPr>
            <w:tcW w:w="243" w:type="pct"/>
          </w:tcPr>
          <w:p w:rsidR="006B3BE3" w:rsidRPr="0010611E" w:rsidRDefault="006B3BE3" w:rsidP="00E209EC">
            <w:pPr>
              <w:jc w:val="both"/>
              <w:rPr>
                <w:sz w:val="20"/>
              </w:rPr>
            </w:pPr>
          </w:p>
        </w:tc>
        <w:tc>
          <w:tcPr>
            <w:tcW w:w="2330" w:type="pct"/>
          </w:tcPr>
          <w:p w:rsidR="006B3BE3" w:rsidRPr="0010611E" w:rsidRDefault="006B3BE3" w:rsidP="00E209EC">
            <w:pPr>
              <w:jc w:val="both"/>
              <w:rPr>
                <w:sz w:val="20"/>
              </w:rPr>
            </w:pPr>
            <w:r w:rsidRPr="0010611E">
              <w:rPr>
                <w:rFonts w:ascii="Arial (W1)" w:hAnsi="Arial (W1)"/>
                <w:sz w:val="20"/>
                <w:lang w:val="en"/>
              </w:rPr>
              <w:t>Directed stay of proceedings entered by Crown counsel on charge of criminal harassment</w:t>
            </w:r>
          </w:p>
          <w:p w:rsidR="006B3BE3" w:rsidRPr="0010611E" w:rsidRDefault="006B3BE3" w:rsidP="00E209EC">
            <w:pPr>
              <w:jc w:val="both"/>
              <w:rPr>
                <w:sz w:val="20"/>
              </w:rPr>
            </w:pPr>
          </w:p>
        </w:tc>
      </w:tr>
      <w:tr w:rsidR="006B3BE3" w:rsidRPr="0010611E" w:rsidTr="00E209EC">
        <w:tc>
          <w:tcPr>
            <w:tcW w:w="2427" w:type="pct"/>
            <w:gridSpan w:val="2"/>
          </w:tcPr>
          <w:p w:rsidR="006B3BE3" w:rsidRPr="0010611E" w:rsidRDefault="006B3BE3" w:rsidP="00E209EC">
            <w:pPr>
              <w:jc w:val="both"/>
              <w:rPr>
                <w:sz w:val="20"/>
              </w:rPr>
            </w:pPr>
            <w:r w:rsidRPr="0010611E">
              <w:rPr>
                <w:sz w:val="20"/>
              </w:rPr>
              <w:t>April 13, 2017</w:t>
            </w:r>
          </w:p>
          <w:p w:rsidR="006B3BE3" w:rsidRPr="0010611E" w:rsidRDefault="006B3BE3" w:rsidP="00E209EC">
            <w:pPr>
              <w:jc w:val="both"/>
              <w:rPr>
                <w:sz w:val="20"/>
              </w:rPr>
            </w:pPr>
            <w:r w:rsidRPr="0010611E">
              <w:rPr>
                <w:sz w:val="20"/>
              </w:rPr>
              <w:t>Supreme Court of British Columbia</w:t>
            </w:r>
          </w:p>
          <w:p w:rsidR="006B3BE3" w:rsidRPr="0010611E" w:rsidRDefault="006B3BE3" w:rsidP="00E209EC">
            <w:pPr>
              <w:jc w:val="both"/>
              <w:rPr>
                <w:sz w:val="20"/>
              </w:rPr>
            </w:pPr>
            <w:r w:rsidRPr="0010611E">
              <w:rPr>
                <w:sz w:val="20"/>
              </w:rPr>
              <w:t>(</w:t>
            </w:r>
            <w:proofErr w:type="spellStart"/>
            <w:r w:rsidRPr="0010611E">
              <w:rPr>
                <w:sz w:val="20"/>
              </w:rPr>
              <w:t>Donegan</w:t>
            </w:r>
            <w:proofErr w:type="spellEnd"/>
            <w:r w:rsidRPr="0010611E">
              <w:rPr>
                <w:sz w:val="20"/>
              </w:rPr>
              <w:t xml:space="preserve"> J.) </w:t>
            </w:r>
          </w:p>
          <w:p w:rsidR="006B3BE3" w:rsidRPr="0010611E" w:rsidRDefault="00B35ED9" w:rsidP="00E209EC">
            <w:pPr>
              <w:jc w:val="both"/>
              <w:rPr>
                <w:sz w:val="20"/>
              </w:rPr>
            </w:pPr>
            <w:hyperlink r:id="rId18" w:history="1">
              <w:r w:rsidR="006B3BE3" w:rsidRPr="0010611E">
                <w:rPr>
                  <w:rStyle w:val="Hyperlink"/>
                  <w:sz w:val="20"/>
                </w:rPr>
                <w:t>2017 BCSC 838</w:t>
              </w:r>
            </w:hyperlink>
          </w:p>
          <w:p w:rsidR="006B3BE3" w:rsidRPr="0010611E" w:rsidRDefault="006B3BE3" w:rsidP="00E209EC">
            <w:pPr>
              <w:jc w:val="both"/>
              <w:rPr>
                <w:sz w:val="20"/>
              </w:rPr>
            </w:pPr>
          </w:p>
        </w:tc>
        <w:tc>
          <w:tcPr>
            <w:tcW w:w="243" w:type="pct"/>
          </w:tcPr>
          <w:p w:rsidR="006B3BE3" w:rsidRPr="0010611E" w:rsidRDefault="006B3BE3" w:rsidP="00E209EC">
            <w:pPr>
              <w:jc w:val="both"/>
              <w:rPr>
                <w:sz w:val="20"/>
              </w:rPr>
            </w:pPr>
          </w:p>
        </w:tc>
        <w:tc>
          <w:tcPr>
            <w:tcW w:w="2330" w:type="pct"/>
          </w:tcPr>
          <w:p w:rsidR="006B3BE3" w:rsidRPr="0010611E" w:rsidRDefault="006B3BE3" w:rsidP="00E209EC">
            <w:pPr>
              <w:jc w:val="both"/>
              <w:rPr>
                <w:sz w:val="20"/>
              </w:rPr>
            </w:pPr>
            <w:r w:rsidRPr="0010611E">
              <w:rPr>
                <w:sz w:val="20"/>
              </w:rPr>
              <w:t>Application for costs of applications and appeals dismissed; Appeals and applications not withdrawn dismissed</w:t>
            </w:r>
          </w:p>
          <w:p w:rsidR="006B3BE3" w:rsidRPr="0010611E" w:rsidRDefault="006B3BE3" w:rsidP="00E209EC">
            <w:pPr>
              <w:jc w:val="both"/>
              <w:rPr>
                <w:sz w:val="20"/>
              </w:rPr>
            </w:pPr>
          </w:p>
        </w:tc>
      </w:tr>
      <w:tr w:rsidR="006B3BE3" w:rsidRPr="0010611E" w:rsidTr="00E209EC">
        <w:tc>
          <w:tcPr>
            <w:tcW w:w="2427" w:type="pct"/>
            <w:gridSpan w:val="2"/>
          </w:tcPr>
          <w:p w:rsidR="006B3BE3" w:rsidRPr="0010611E" w:rsidRDefault="006B3BE3" w:rsidP="00E209EC">
            <w:pPr>
              <w:jc w:val="both"/>
              <w:rPr>
                <w:sz w:val="20"/>
              </w:rPr>
            </w:pPr>
            <w:r w:rsidRPr="0010611E">
              <w:rPr>
                <w:sz w:val="20"/>
              </w:rPr>
              <w:t>October 5, 2017</w:t>
            </w:r>
          </w:p>
          <w:p w:rsidR="006B3BE3" w:rsidRPr="0010611E" w:rsidRDefault="006B3BE3" w:rsidP="00E209EC">
            <w:pPr>
              <w:jc w:val="both"/>
              <w:rPr>
                <w:sz w:val="20"/>
              </w:rPr>
            </w:pPr>
            <w:r w:rsidRPr="0010611E">
              <w:rPr>
                <w:sz w:val="20"/>
              </w:rPr>
              <w:t xml:space="preserve">Court of Appeal for British Columbia </w:t>
            </w:r>
          </w:p>
          <w:p w:rsidR="006B3BE3" w:rsidRPr="0010611E" w:rsidRDefault="006B3BE3" w:rsidP="00E209EC">
            <w:pPr>
              <w:jc w:val="both"/>
              <w:rPr>
                <w:sz w:val="20"/>
              </w:rPr>
            </w:pPr>
            <w:r w:rsidRPr="0010611E">
              <w:rPr>
                <w:sz w:val="20"/>
              </w:rPr>
              <w:t>(Vancouver)</w:t>
            </w:r>
          </w:p>
          <w:p w:rsidR="006B3BE3" w:rsidRPr="0010611E" w:rsidRDefault="006B3BE3" w:rsidP="00E209EC">
            <w:pPr>
              <w:jc w:val="both"/>
              <w:rPr>
                <w:sz w:val="20"/>
              </w:rPr>
            </w:pPr>
            <w:r w:rsidRPr="0010611E">
              <w:rPr>
                <w:sz w:val="20"/>
              </w:rPr>
              <w:t>(Frankel J.A.)</w:t>
            </w:r>
          </w:p>
          <w:p w:rsidR="006B3BE3" w:rsidRPr="0010611E" w:rsidRDefault="00B35ED9" w:rsidP="00E209EC">
            <w:pPr>
              <w:jc w:val="both"/>
              <w:rPr>
                <w:sz w:val="20"/>
              </w:rPr>
            </w:pPr>
            <w:hyperlink r:id="rId19" w:history="1">
              <w:r w:rsidR="006B3BE3" w:rsidRPr="0010611E">
                <w:rPr>
                  <w:rStyle w:val="Hyperlink"/>
                  <w:sz w:val="20"/>
                </w:rPr>
                <w:t>2017 BCCA 349</w:t>
              </w:r>
            </w:hyperlink>
          </w:p>
          <w:p w:rsidR="006B3BE3" w:rsidRPr="0010611E" w:rsidRDefault="006B3BE3" w:rsidP="00E209EC">
            <w:pPr>
              <w:jc w:val="both"/>
              <w:rPr>
                <w:sz w:val="20"/>
              </w:rPr>
            </w:pPr>
          </w:p>
        </w:tc>
        <w:tc>
          <w:tcPr>
            <w:tcW w:w="243" w:type="pct"/>
          </w:tcPr>
          <w:p w:rsidR="006B3BE3" w:rsidRPr="0010611E" w:rsidRDefault="006B3BE3" w:rsidP="00E209EC">
            <w:pPr>
              <w:jc w:val="both"/>
              <w:rPr>
                <w:sz w:val="20"/>
              </w:rPr>
            </w:pPr>
          </w:p>
        </w:tc>
        <w:tc>
          <w:tcPr>
            <w:tcW w:w="2330" w:type="pct"/>
          </w:tcPr>
          <w:p w:rsidR="006B3BE3" w:rsidRPr="0010611E" w:rsidRDefault="006B3BE3" w:rsidP="00E209EC">
            <w:pPr>
              <w:jc w:val="both"/>
              <w:rPr>
                <w:sz w:val="20"/>
              </w:rPr>
            </w:pPr>
            <w:r w:rsidRPr="0010611E">
              <w:rPr>
                <w:sz w:val="20"/>
              </w:rPr>
              <w:t>Application to appoint counsel and application for leave to appeal dismissed</w:t>
            </w:r>
          </w:p>
          <w:p w:rsidR="006B3BE3" w:rsidRPr="0010611E" w:rsidRDefault="006B3BE3" w:rsidP="00E209EC">
            <w:pPr>
              <w:jc w:val="both"/>
              <w:rPr>
                <w:sz w:val="20"/>
              </w:rPr>
            </w:pPr>
          </w:p>
        </w:tc>
      </w:tr>
      <w:tr w:rsidR="006B3BE3" w:rsidRPr="0010611E" w:rsidTr="00E209EC">
        <w:tc>
          <w:tcPr>
            <w:tcW w:w="2427" w:type="pct"/>
            <w:gridSpan w:val="2"/>
          </w:tcPr>
          <w:p w:rsidR="006B3BE3" w:rsidRPr="0010611E" w:rsidRDefault="006B3BE3" w:rsidP="00E209EC">
            <w:pPr>
              <w:jc w:val="both"/>
              <w:rPr>
                <w:sz w:val="20"/>
              </w:rPr>
            </w:pPr>
            <w:r w:rsidRPr="0010611E">
              <w:rPr>
                <w:sz w:val="20"/>
              </w:rPr>
              <w:t>November 30, 2017</w:t>
            </w:r>
          </w:p>
          <w:p w:rsidR="006B3BE3" w:rsidRPr="0010611E" w:rsidRDefault="006B3BE3" w:rsidP="00E209EC">
            <w:pPr>
              <w:jc w:val="both"/>
              <w:rPr>
                <w:sz w:val="20"/>
              </w:rPr>
            </w:pPr>
            <w:r w:rsidRPr="0010611E">
              <w:rPr>
                <w:sz w:val="20"/>
              </w:rPr>
              <w:t>Supreme Court of Canada</w:t>
            </w:r>
          </w:p>
        </w:tc>
        <w:tc>
          <w:tcPr>
            <w:tcW w:w="243" w:type="pct"/>
          </w:tcPr>
          <w:p w:rsidR="006B3BE3" w:rsidRPr="0010611E" w:rsidRDefault="006B3BE3" w:rsidP="00E209EC">
            <w:pPr>
              <w:jc w:val="both"/>
              <w:rPr>
                <w:sz w:val="20"/>
              </w:rPr>
            </w:pPr>
          </w:p>
        </w:tc>
        <w:tc>
          <w:tcPr>
            <w:tcW w:w="2330" w:type="pct"/>
          </w:tcPr>
          <w:p w:rsidR="006B3BE3" w:rsidRPr="0010611E" w:rsidRDefault="006B3BE3" w:rsidP="00E209EC">
            <w:pPr>
              <w:jc w:val="both"/>
              <w:rPr>
                <w:sz w:val="20"/>
              </w:rPr>
            </w:pPr>
            <w:r w:rsidRPr="0010611E">
              <w:rPr>
                <w:sz w:val="20"/>
              </w:rPr>
              <w:t>Application for leave to appeal filed</w:t>
            </w:r>
          </w:p>
          <w:p w:rsidR="006B3BE3" w:rsidRPr="0010611E" w:rsidRDefault="006B3BE3" w:rsidP="00E209EC">
            <w:pPr>
              <w:jc w:val="both"/>
              <w:rPr>
                <w:sz w:val="20"/>
              </w:rPr>
            </w:pPr>
          </w:p>
        </w:tc>
      </w:tr>
    </w:tbl>
    <w:p w:rsidR="00FE6769" w:rsidRPr="0010611E" w:rsidRDefault="00FE6769" w:rsidP="006B3BE3">
      <w:pPr>
        <w:jc w:val="both"/>
        <w:rPr>
          <w:sz w:val="20"/>
        </w:rPr>
      </w:pPr>
    </w:p>
    <w:p w:rsidR="006B3BE3" w:rsidRPr="0010611E" w:rsidRDefault="006B3BE3">
      <w:pPr>
        <w:rPr>
          <w:sz w:val="20"/>
        </w:rPr>
      </w:pPr>
      <w:r w:rsidRPr="0010611E">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B3BE3" w:rsidRPr="0010611E" w:rsidTr="00E209EC">
        <w:tc>
          <w:tcPr>
            <w:tcW w:w="543" w:type="pct"/>
          </w:tcPr>
          <w:p w:rsidR="006B3BE3" w:rsidRPr="0010611E" w:rsidRDefault="006B3BE3" w:rsidP="00E209EC">
            <w:pPr>
              <w:jc w:val="both"/>
              <w:rPr>
                <w:sz w:val="20"/>
                <w:lang w:val="fr-CA"/>
              </w:rPr>
            </w:pPr>
            <w:r w:rsidRPr="0010611E">
              <w:rPr>
                <w:rStyle w:val="SCCFileNumberChar"/>
                <w:sz w:val="20"/>
                <w:szCs w:val="20"/>
                <w:lang w:val="fr-CA"/>
              </w:rPr>
              <w:t>37901</w:t>
            </w:r>
          </w:p>
        </w:tc>
        <w:tc>
          <w:tcPr>
            <w:tcW w:w="4457" w:type="pct"/>
            <w:gridSpan w:val="3"/>
          </w:tcPr>
          <w:p w:rsidR="006B3BE3" w:rsidRPr="0010611E" w:rsidRDefault="006B3BE3" w:rsidP="00E209EC">
            <w:pPr>
              <w:pStyle w:val="SCCLsocParty"/>
              <w:jc w:val="both"/>
              <w:rPr>
                <w:b/>
                <w:sz w:val="20"/>
                <w:szCs w:val="20"/>
              </w:rPr>
            </w:pPr>
            <w:r w:rsidRPr="0010611E">
              <w:rPr>
                <w:b/>
                <w:sz w:val="20"/>
                <w:szCs w:val="20"/>
              </w:rPr>
              <w:t>Lihong Yang c. Sa Majesté la Reine</w:t>
            </w:r>
          </w:p>
          <w:p w:rsidR="006B3BE3" w:rsidRPr="0010611E" w:rsidRDefault="006B3BE3" w:rsidP="00E209EC">
            <w:pPr>
              <w:jc w:val="both"/>
              <w:rPr>
                <w:sz w:val="20"/>
                <w:lang w:val="fr-CA"/>
              </w:rPr>
            </w:pPr>
            <w:r w:rsidRPr="0010611E">
              <w:rPr>
                <w:sz w:val="20"/>
                <w:lang w:val="fr-CA"/>
              </w:rPr>
              <w:t>(C.-B.) (Criminelle) (Autorisation)</w:t>
            </w:r>
          </w:p>
        </w:tc>
      </w:tr>
      <w:tr w:rsidR="006B3BE3" w:rsidRPr="00644959" w:rsidTr="00E209EC">
        <w:tc>
          <w:tcPr>
            <w:tcW w:w="543" w:type="pct"/>
          </w:tcPr>
          <w:p w:rsidR="006B3BE3" w:rsidRPr="0010611E" w:rsidRDefault="008D4E96" w:rsidP="00E209EC">
            <w:pPr>
              <w:jc w:val="both"/>
              <w:rPr>
                <w:rStyle w:val="SCCFileNumberChar"/>
                <w:sz w:val="20"/>
                <w:szCs w:val="20"/>
                <w:lang w:val="fr-CA"/>
              </w:rPr>
            </w:pPr>
            <w:r w:rsidRPr="0010611E">
              <w:rPr>
                <w:rStyle w:val="SCCFileNumberChar"/>
                <w:sz w:val="20"/>
                <w:szCs w:val="20"/>
                <w:lang w:val="fr-CA"/>
              </w:rPr>
              <w:t>Coram :</w:t>
            </w:r>
          </w:p>
        </w:tc>
        <w:tc>
          <w:tcPr>
            <w:tcW w:w="4457" w:type="pct"/>
            <w:gridSpan w:val="3"/>
          </w:tcPr>
          <w:p w:rsidR="006B3BE3" w:rsidRPr="0010611E" w:rsidRDefault="008D4E96" w:rsidP="00E209EC">
            <w:pPr>
              <w:pStyle w:val="SCCLsocParty"/>
              <w:jc w:val="both"/>
              <w:rPr>
                <w:b/>
                <w:sz w:val="20"/>
                <w:szCs w:val="20"/>
              </w:rPr>
            </w:pPr>
            <w:r w:rsidRPr="0010611E">
              <w:rPr>
                <w:sz w:val="20"/>
                <w:lang w:val="fr-FR"/>
              </w:rPr>
              <w:t>Le juge en chef Wagner et les juges Abella, Moldaver, Karakatsanis, Gascon, Côté, Brown, Rowe et Martin</w:t>
            </w:r>
          </w:p>
        </w:tc>
      </w:tr>
      <w:tr w:rsidR="008D4E96" w:rsidRPr="00644959" w:rsidTr="008D4E96">
        <w:tc>
          <w:tcPr>
            <w:tcW w:w="5000" w:type="pct"/>
            <w:gridSpan w:val="4"/>
          </w:tcPr>
          <w:p w:rsidR="008D4E96" w:rsidRDefault="008D4E96" w:rsidP="00E209EC">
            <w:pPr>
              <w:pStyle w:val="SCCLsocParty"/>
              <w:jc w:val="both"/>
              <w:rPr>
                <w:sz w:val="20"/>
              </w:rPr>
            </w:pPr>
            <w:r w:rsidRPr="0010611E">
              <w:rPr>
                <w:sz w:val="20"/>
              </w:rPr>
              <w:t xml:space="preserve">Les requêtes de la demanderesse en prorogation du délai de signification et de dépôt de la réplique de la demande d’autorisation d’appel et d’être dispenser de verser les droits de dépôt sont </w:t>
            </w:r>
            <w:proofErr w:type="gramStart"/>
            <w:r w:rsidRPr="0010611E">
              <w:rPr>
                <w:sz w:val="20"/>
              </w:rPr>
              <w:t>rejetées</w:t>
            </w:r>
            <w:proofErr w:type="gramEnd"/>
            <w:r w:rsidRPr="0010611E">
              <w:rPr>
                <w:sz w:val="20"/>
              </w:rPr>
              <w:t xml:space="preserve">. La demande d’autorisation d’appel de l’arrêt de la </w:t>
            </w:r>
            <w:r w:rsidRPr="0010611E">
              <w:rPr>
                <w:sz w:val="20"/>
                <w:lang w:val="fr-FR"/>
              </w:rPr>
              <w:t>Cour d’appel de la Colombie-Britannique (Vancouver)</w:t>
            </w:r>
            <w:r w:rsidRPr="0010611E">
              <w:rPr>
                <w:sz w:val="20"/>
              </w:rPr>
              <w:t xml:space="preserve">, numéro </w:t>
            </w:r>
            <w:r w:rsidRPr="0010611E">
              <w:rPr>
                <w:sz w:val="20"/>
                <w:lang w:val="fr-FR"/>
              </w:rPr>
              <w:t>CA44438, 2017 BCCA 349</w:t>
            </w:r>
            <w:r w:rsidRPr="0010611E">
              <w:rPr>
                <w:sz w:val="20"/>
              </w:rPr>
              <w:t xml:space="preserve">, daté du </w:t>
            </w:r>
            <w:r w:rsidRPr="0010611E">
              <w:rPr>
                <w:sz w:val="20"/>
                <w:lang w:val="fr-FR"/>
              </w:rPr>
              <w:t>5 octobre 2017</w:t>
            </w:r>
            <w:r w:rsidRPr="0010611E">
              <w:rPr>
                <w:sz w:val="20"/>
              </w:rPr>
              <w:t>, est rejetée.</w:t>
            </w:r>
          </w:p>
          <w:p w:rsidR="00AD776D" w:rsidRPr="00AD776D" w:rsidRDefault="00AD776D" w:rsidP="00AD776D">
            <w:pPr>
              <w:rPr>
                <w:lang w:val="fr-CA"/>
              </w:rPr>
            </w:pPr>
          </w:p>
        </w:tc>
      </w:tr>
      <w:tr w:rsidR="006B3BE3" w:rsidRPr="00644959" w:rsidTr="00E209EC">
        <w:tc>
          <w:tcPr>
            <w:tcW w:w="5000" w:type="pct"/>
            <w:gridSpan w:val="4"/>
          </w:tcPr>
          <w:p w:rsidR="006B3BE3" w:rsidRPr="0010611E" w:rsidRDefault="006B3BE3" w:rsidP="00E209EC">
            <w:pPr>
              <w:jc w:val="both"/>
              <w:rPr>
                <w:sz w:val="20"/>
                <w:lang w:val="fr-CA"/>
              </w:rPr>
            </w:pPr>
            <w:r w:rsidRPr="0010611E">
              <w:rPr>
                <w:sz w:val="20"/>
                <w:lang w:val="fr-CA"/>
              </w:rPr>
              <w:t>Droit criminel – Appel – Autorisation d’appel – La demanderesse soulève-t-elle une question de droit? – La question revêt-elle de l’importance pour le public?</w:t>
            </w:r>
          </w:p>
        </w:tc>
      </w:tr>
      <w:tr w:rsidR="006B3BE3" w:rsidRPr="00644959" w:rsidTr="00E209EC">
        <w:tc>
          <w:tcPr>
            <w:tcW w:w="5000" w:type="pct"/>
            <w:gridSpan w:val="4"/>
          </w:tcPr>
          <w:p w:rsidR="006B3BE3" w:rsidRPr="0010611E" w:rsidRDefault="006B3BE3" w:rsidP="00E209EC">
            <w:pPr>
              <w:jc w:val="both"/>
              <w:rPr>
                <w:sz w:val="20"/>
                <w:lang w:val="fr-CA"/>
              </w:rPr>
            </w:pPr>
          </w:p>
        </w:tc>
      </w:tr>
      <w:tr w:rsidR="006B3BE3" w:rsidRPr="00644959" w:rsidTr="00E209EC">
        <w:tc>
          <w:tcPr>
            <w:tcW w:w="5000" w:type="pct"/>
            <w:gridSpan w:val="4"/>
          </w:tcPr>
          <w:p w:rsidR="006B3BE3" w:rsidRPr="0010611E" w:rsidRDefault="006B3BE3" w:rsidP="00E209EC">
            <w:pPr>
              <w:jc w:val="both"/>
              <w:rPr>
                <w:rFonts w:ascii="Arial (W1)" w:hAnsi="Arial (W1)"/>
                <w:sz w:val="20"/>
                <w:lang w:val="fr-CA"/>
              </w:rPr>
            </w:pPr>
            <w:r w:rsidRPr="0010611E">
              <w:rPr>
                <w:sz w:val="20"/>
                <w:lang w:val="fr-CA"/>
              </w:rPr>
              <w:t>Le 7 avril</w:t>
            </w:r>
            <w:r w:rsidRPr="0010611E">
              <w:rPr>
                <w:rFonts w:ascii="Arial (W1)" w:hAnsi="Arial (W1)"/>
                <w:sz w:val="20"/>
                <w:lang w:val="fr-CA"/>
              </w:rPr>
              <w:t xml:space="preserve"> 2016, Mme Yang a été accusée de harcèlement criminel. Elle a déposé un certain nombre d’appels et de demandes à la Cour suprême de la Colombie-Britannique à l’encontre d’ordonnances prononcées par la Cour provinciale de la Colombie-Britannique. Le 22 février 2017, le ministère public a ordonné l’arrêt des procédures. Devant la Cour suprême de la Colombie-Britannique, Mme Yang a retiré la plupart de ses appels et demandes. Le juge de première instance a rejeté une demande relative aux dépens et a rejeté tous les appels et demandes qui n’avaient pas été retirés. La Cour d’appel a rejeté une demande d’autorisation d’appel et une demande de nomination d’un avocat.</w:t>
            </w:r>
          </w:p>
          <w:p w:rsidR="006B3BE3" w:rsidRPr="0010611E" w:rsidRDefault="006B3BE3" w:rsidP="00E209EC">
            <w:pPr>
              <w:jc w:val="both"/>
              <w:rPr>
                <w:sz w:val="20"/>
                <w:lang w:val="fr-CA"/>
              </w:rPr>
            </w:pPr>
          </w:p>
        </w:tc>
      </w:tr>
      <w:tr w:rsidR="006B3BE3" w:rsidRPr="00644959" w:rsidTr="00E209EC">
        <w:tc>
          <w:tcPr>
            <w:tcW w:w="2427" w:type="pct"/>
            <w:gridSpan w:val="2"/>
          </w:tcPr>
          <w:p w:rsidR="006B3BE3" w:rsidRPr="0010611E" w:rsidRDefault="006B3BE3" w:rsidP="00E209EC">
            <w:pPr>
              <w:jc w:val="both"/>
              <w:rPr>
                <w:rFonts w:ascii="Arial (W1)" w:hAnsi="Arial (W1)"/>
                <w:sz w:val="20"/>
                <w:lang w:val="fr-CA"/>
              </w:rPr>
            </w:pPr>
            <w:r w:rsidRPr="0010611E">
              <w:rPr>
                <w:rFonts w:ascii="Arial (W1)" w:hAnsi="Arial (W1)"/>
                <w:sz w:val="20"/>
                <w:lang w:val="fr-CA"/>
              </w:rPr>
              <w:t>22 février 2017</w:t>
            </w:r>
          </w:p>
          <w:p w:rsidR="006B3BE3" w:rsidRPr="0010611E" w:rsidRDefault="006B3BE3" w:rsidP="00E209EC">
            <w:pPr>
              <w:jc w:val="both"/>
              <w:rPr>
                <w:sz w:val="20"/>
                <w:lang w:val="fr-CA"/>
              </w:rPr>
            </w:pPr>
            <w:r w:rsidRPr="0010611E">
              <w:rPr>
                <w:rFonts w:ascii="Arial (W1)" w:hAnsi="Arial (W1)"/>
                <w:sz w:val="20"/>
                <w:lang w:val="fr-CA"/>
              </w:rPr>
              <w:t>Cour provinciale de la Colombie-Britannique</w:t>
            </w:r>
          </w:p>
        </w:tc>
        <w:tc>
          <w:tcPr>
            <w:tcW w:w="243" w:type="pct"/>
          </w:tcPr>
          <w:p w:rsidR="006B3BE3" w:rsidRPr="0010611E" w:rsidRDefault="006B3BE3" w:rsidP="00E209EC">
            <w:pPr>
              <w:jc w:val="both"/>
              <w:rPr>
                <w:sz w:val="20"/>
                <w:lang w:val="fr-CA"/>
              </w:rPr>
            </w:pPr>
          </w:p>
        </w:tc>
        <w:tc>
          <w:tcPr>
            <w:tcW w:w="2330" w:type="pct"/>
          </w:tcPr>
          <w:p w:rsidR="006B3BE3" w:rsidRPr="0010611E" w:rsidRDefault="006B3BE3" w:rsidP="00E209EC">
            <w:pPr>
              <w:jc w:val="both"/>
              <w:rPr>
                <w:sz w:val="20"/>
                <w:lang w:val="fr-CA"/>
              </w:rPr>
            </w:pPr>
            <w:r w:rsidRPr="0010611E">
              <w:rPr>
                <w:rFonts w:ascii="Arial (W1)" w:hAnsi="Arial (W1)"/>
                <w:sz w:val="20"/>
                <w:lang w:val="fr-CA"/>
              </w:rPr>
              <w:t>Inscription d’un arrêt des procédures ordonné par l’avocat du ministère public relativement à l’accusation de harcèlement criminel</w:t>
            </w:r>
          </w:p>
          <w:p w:rsidR="006B3BE3" w:rsidRPr="0010611E" w:rsidRDefault="006B3BE3" w:rsidP="00E209EC">
            <w:pPr>
              <w:jc w:val="both"/>
              <w:rPr>
                <w:sz w:val="20"/>
                <w:lang w:val="fr-CA"/>
              </w:rPr>
            </w:pPr>
          </w:p>
        </w:tc>
      </w:tr>
      <w:tr w:rsidR="006B3BE3" w:rsidRPr="00644959" w:rsidTr="00E209EC">
        <w:tc>
          <w:tcPr>
            <w:tcW w:w="2427" w:type="pct"/>
            <w:gridSpan w:val="2"/>
          </w:tcPr>
          <w:p w:rsidR="006B3BE3" w:rsidRPr="0010611E" w:rsidRDefault="006B3BE3" w:rsidP="00E209EC">
            <w:pPr>
              <w:jc w:val="both"/>
              <w:rPr>
                <w:sz w:val="20"/>
                <w:lang w:val="fr-CA"/>
              </w:rPr>
            </w:pPr>
            <w:r w:rsidRPr="0010611E">
              <w:rPr>
                <w:sz w:val="20"/>
                <w:lang w:val="fr-CA"/>
              </w:rPr>
              <w:t>13 avril 2017</w:t>
            </w:r>
          </w:p>
          <w:p w:rsidR="006B3BE3" w:rsidRPr="0010611E" w:rsidRDefault="006B3BE3" w:rsidP="00E209EC">
            <w:pPr>
              <w:jc w:val="both"/>
              <w:rPr>
                <w:sz w:val="20"/>
                <w:lang w:val="fr-CA"/>
              </w:rPr>
            </w:pPr>
            <w:r w:rsidRPr="0010611E">
              <w:rPr>
                <w:sz w:val="20"/>
                <w:lang w:val="fr-CA"/>
              </w:rPr>
              <w:t>Cour suprême de la Colombie-Britannique</w:t>
            </w:r>
          </w:p>
          <w:p w:rsidR="006B3BE3" w:rsidRPr="0010611E" w:rsidRDefault="006B3BE3" w:rsidP="00E209EC">
            <w:pPr>
              <w:jc w:val="both"/>
              <w:rPr>
                <w:sz w:val="20"/>
                <w:lang w:val="fr-CA"/>
              </w:rPr>
            </w:pPr>
            <w:r w:rsidRPr="0010611E">
              <w:rPr>
                <w:sz w:val="20"/>
                <w:lang w:val="fr-CA"/>
              </w:rPr>
              <w:t xml:space="preserve">(Juge Donegan) </w:t>
            </w:r>
          </w:p>
          <w:p w:rsidR="006B3BE3" w:rsidRPr="0010611E" w:rsidRDefault="00B35ED9" w:rsidP="00E209EC">
            <w:pPr>
              <w:jc w:val="both"/>
              <w:rPr>
                <w:sz w:val="20"/>
                <w:lang w:val="fr-CA"/>
              </w:rPr>
            </w:pPr>
            <w:hyperlink r:id="rId20" w:history="1">
              <w:r w:rsidR="006B3BE3" w:rsidRPr="0010611E">
                <w:rPr>
                  <w:rStyle w:val="Hyperlink"/>
                  <w:sz w:val="20"/>
                  <w:lang w:val="fr-CA"/>
                </w:rPr>
                <w:t>2017 BCSC 838</w:t>
              </w:r>
            </w:hyperlink>
          </w:p>
          <w:p w:rsidR="006B3BE3" w:rsidRPr="0010611E" w:rsidRDefault="006B3BE3" w:rsidP="00E209EC">
            <w:pPr>
              <w:jc w:val="both"/>
              <w:rPr>
                <w:sz w:val="20"/>
                <w:lang w:val="fr-CA"/>
              </w:rPr>
            </w:pPr>
          </w:p>
        </w:tc>
        <w:tc>
          <w:tcPr>
            <w:tcW w:w="243" w:type="pct"/>
          </w:tcPr>
          <w:p w:rsidR="006B3BE3" w:rsidRPr="0010611E" w:rsidRDefault="006B3BE3" w:rsidP="00E209EC">
            <w:pPr>
              <w:jc w:val="both"/>
              <w:rPr>
                <w:sz w:val="20"/>
                <w:lang w:val="fr-CA"/>
              </w:rPr>
            </w:pPr>
          </w:p>
        </w:tc>
        <w:tc>
          <w:tcPr>
            <w:tcW w:w="2330" w:type="pct"/>
          </w:tcPr>
          <w:p w:rsidR="006B3BE3" w:rsidRPr="0010611E" w:rsidRDefault="006B3BE3" w:rsidP="00E209EC">
            <w:pPr>
              <w:jc w:val="both"/>
              <w:rPr>
                <w:sz w:val="20"/>
                <w:lang w:val="fr-CA"/>
              </w:rPr>
            </w:pPr>
            <w:r w:rsidRPr="0010611E">
              <w:rPr>
                <w:sz w:val="20"/>
                <w:lang w:val="fr-CA"/>
              </w:rPr>
              <w:t>Rejet de la demande relative aux dépens des demandes et des appels; rejet des appels et demandes non retirées</w:t>
            </w:r>
          </w:p>
          <w:p w:rsidR="006B3BE3" w:rsidRPr="0010611E" w:rsidRDefault="006B3BE3" w:rsidP="00E209EC">
            <w:pPr>
              <w:jc w:val="both"/>
              <w:rPr>
                <w:sz w:val="20"/>
                <w:lang w:val="fr-CA"/>
              </w:rPr>
            </w:pPr>
          </w:p>
        </w:tc>
      </w:tr>
      <w:tr w:rsidR="006B3BE3" w:rsidRPr="00644959" w:rsidTr="00E209EC">
        <w:tc>
          <w:tcPr>
            <w:tcW w:w="2427" w:type="pct"/>
            <w:gridSpan w:val="2"/>
          </w:tcPr>
          <w:p w:rsidR="006B3BE3" w:rsidRPr="0010611E" w:rsidRDefault="006B3BE3" w:rsidP="00E209EC">
            <w:pPr>
              <w:jc w:val="both"/>
              <w:rPr>
                <w:sz w:val="20"/>
                <w:lang w:val="fr-CA"/>
              </w:rPr>
            </w:pPr>
            <w:r w:rsidRPr="0010611E">
              <w:rPr>
                <w:sz w:val="20"/>
                <w:lang w:val="fr-CA"/>
              </w:rPr>
              <w:t>5 octobre 2017</w:t>
            </w:r>
          </w:p>
          <w:p w:rsidR="006B3BE3" w:rsidRPr="0010611E" w:rsidRDefault="006B3BE3" w:rsidP="00E209EC">
            <w:pPr>
              <w:jc w:val="both"/>
              <w:rPr>
                <w:sz w:val="20"/>
                <w:lang w:val="fr-CA"/>
              </w:rPr>
            </w:pPr>
            <w:r w:rsidRPr="0010611E">
              <w:rPr>
                <w:sz w:val="20"/>
                <w:lang w:val="fr-CA"/>
              </w:rPr>
              <w:t>Cour d’appel de la Colombie-Britannique</w:t>
            </w:r>
          </w:p>
          <w:p w:rsidR="006B3BE3" w:rsidRPr="0010611E" w:rsidRDefault="006B3BE3" w:rsidP="00E209EC">
            <w:pPr>
              <w:jc w:val="both"/>
              <w:rPr>
                <w:sz w:val="20"/>
                <w:lang w:val="fr-CA"/>
              </w:rPr>
            </w:pPr>
            <w:r w:rsidRPr="0010611E">
              <w:rPr>
                <w:sz w:val="20"/>
                <w:lang w:val="fr-CA"/>
              </w:rPr>
              <w:t>(Vancouver)</w:t>
            </w:r>
          </w:p>
          <w:p w:rsidR="006B3BE3" w:rsidRPr="0010611E" w:rsidRDefault="006B3BE3" w:rsidP="00E209EC">
            <w:pPr>
              <w:jc w:val="both"/>
              <w:rPr>
                <w:sz w:val="20"/>
                <w:lang w:val="fr-CA"/>
              </w:rPr>
            </w:pPr>
            <w:r w:rsidRPr="0010611E">
              <w:rPr>
                <w:sz w:val="20"/>
                <w:lang w:val="fr-CA"/>
              </w:rPr>
              <w:t xml:space="preserve">(Juge </w:t>
            </w:r>
            <w:proofErr w:type="spellStart"/>
            <w:r w:rsidRPr="0010611E">
              <w:rPr>
                <w:sz w:val="20"/>
                <w:lang w:val="fr-CA"/>
              </w:rPr>
              <w:t>Frankel</w:t>
            </w:r>
            <w:proofErr w:type="spellEnd"/>
            <w:r w:rsidRPr="0010611E">
              <w:rPr>
                <w:sz w:val="20"/>
                <w:lang w:val="fr-CA"/>
              </w:rPr>
              <w:t>)</w:t>
            </w:r>
          </w:p>
          <w:p w:rsidR="006B3BE3" w:rsidRPr="0010611E" w:rsidRDefault="00B35ED9" w:rsidP="00E209EC">
            <w:pPr>
              <w:jc w:val="both"/>
              <w:rPr>
                <w:sz w:val="20"/>
                <w:lang w:val="fr-CA"/>
              </w:rPr>
            </w:pPr>
            <w:hyperlink r:id="rId21" w:history="1">
              <w:r w:rsidR="006B3BE3" w:rsidRPr="0010611E">
                <w:rPr>
                  <w:rStyle w:val="Hyperlink"/>
                  <w:sz w:val="20"/>
                  <w:lang w:val="fr-CA"/>
                </w:rPr>
                <w:t>2017 BCCA 349</w:t>
              </w:r>
            </w:hyperlink>
          </w:p>
          <w:p w:rsidR="006B3BE3" w:rsidRPr="0010611E" w:rsidRDefault="006B3BE3" w:rsidP="00E209EC">
            <w:pPr>
              <w:jc w:val="both"/>
              <w:rPr>
                <w:sz w:val="20"/>
                <w:lang w:val="fr-CA"/>
              </w:rPr>
            </w:pPr>
          </w:p>
        </w:tc>
        <w:tc>
          <w:tcPr>
            <w:tcW w:w="243" w:type="pct"/>
          </w:tcPr>
          <w:p w:rsidR="006B3BE3" w:rsidRPr="0010611E" w:rsidRDefault="006B3BE3" w:rsidP="00E209EC">
            <w:pPr>
              <w:jc w:val="both"/>
              <w:rPr>
                <w:sz w:val="20"/>
                <w:lang w:val="fr-CA"/>
              </w:rPr>
            </w:pPr>
          </w:p>
        </w:tc>
        <w:tc>
          <w:tcPr>
            <w:tcW w:w="2330" w:type="pct"/>
          </w:tcPr>
          <w:p w:rsidR="006B3BE3" w:rsidRPr="0010611E" w:rsidRDefault="006B3BE3" w:rsidP="00E209EC">
            <w:pPr>
              <w:jc w:val="both"/>
              <w:rPr>
                <w:sz w:val="20"/>
                <w:lang w:val="fr-CA"/>
              </w:rPr>
            </w:pPr>
            <w:r w:rsidRPr="0010611E">
              <w:rPr>
                <w:sz w:val="20"/>
                <w:lang w:val="fr-CA"/>
              </w:rPr>
              <w:t>Rejet de la demande de nomination d’un avocat et de la demande d’autorisation d’appel</w:t>
            </w:r>
          </w:p>
          <w:p w:rsidR="006B3BE3" w:rsidRPr="0010611E" w:rsidRDefault="006B3BE3" w:rsidP="00E209EC">
            <w:pPr>
              <w:jc w:val="both"/>
              <w:rPr>
                <w:sz w:val="20"/>
                <w:lang w:val="fr-CA"/>
              </w:rPr>
            </w:pPr>
          </w:p>
        </w:tc>
      </w:tr>
      <w:tr w:rsidR="006B3BE3" w:rsidRPr="00644959" w:rsidTr="00E209EC">
        <w:tc>
          <w:tcPr>
            <w:tcW w:w="2427" w:type="pct"/>
            <w:gridSpan w:val="2"/>
          </w:tcPr>
          <w:p w:rsidR="006B3BE3" w:rsidRPr="0010611E" w:rsidRDefault="006B3BE3" w:rsidP="00E209EC">
            <w:pPr>
              <w:jc w:val="both"/>
              <w:rPr>
                <w:sz w:val="20"/>
                <w:lang w:val="fr-CA"/>
              </w:rPr>
            </w:pPr>
            <w:r w:rsidRPr="0010611E">
              <w:rPr>
                <w:sz w:val="20"/>
                <w:lang w:val="fr-CA"/>
              </w:rPr>
              <w:t>30 novembre 2017</w:t>
            </w:r>
          </w:p>
          <w:p w:rsidR="006B3BE3" w:rsidRPr="0010611E" w:rsidRDefault="006B3BE3" w:rsidP="00E209EC">
            <w:pPr>
              <w:jc w:val="both"/>
              <w:rPr>
                <w:sz w:val="20"/>
                <w:lang w:val="fr-CA"/>
              </w:rPr>
            </w:pPr>
            <w:r w:rsidRPr="0010611E">
              <w:rPr>
                <w:sz w:val="20"/>
                <w:lang w:val="fr-CA"/>
              </w:rPr>
              <w:t>Cour suprême du Canada</w:t>
            </w:r>
          </w:p>
        </w:tc>
        <w:tc>
          <w:tcPr>
            <w:tcW w:w="243" w:type="pct"/>
          </w:tcPr>
          <w:p w:rsidR="006B3BE3" w:rsidRPr="0010611E" w:rsidRDefault="006B3BE3" w:rsidP="00E209EC">
            <w:pPr>
              <w:jc w:val="both"/>
              <w:rPr>
                <w:sz w:val="20"/>
                <w:lang w:val="fr-CA"/>
              </w:rPr>
            </w:pPr>
          </w:p>
        </w:tc>
        <w:tc>
          <w:tcPr>
            <w:tcW w:w="2330" w:type="pct"/>
          </w:tcPr>
          <w:p w:rsidR="006B3BE3" w:rsidRPr="0010611E" w:rsidRDefault="006B3BE3" w:rsidP="00E209EC">
            <w:pPr>
              <w:jc w:val="both"/>
              <w:rPr>
                <w:sz w:val="20"/>
                <w:lang w:val="fr-CA"/>
              </w:rPr>
            </w:pPr>
            <w:r w:rsidRPr="0010611E">
              <w:rPr>
                <w:sz w:val="20"/>
                <w:lang w:val="fr-CA"/>
              </w:rPr>
              <w:t>Dépôt de la demande d’autorisation d’appel</w:t>
            </w:r>
          </w:p>
          <w:p w:rsidR="006B3BE3" w:rsidRPr="0010611E" w:rsidRDefault="006B3BE3" w:rsidP="00E209EC">
            <w:pPr>
              <w:jc w:val="both"/>
              <w:rPr>
                <w:sz w:val="20"/>
                <w:lang w:val="fr-CA"/>
              </w:rPr>
            </w:pPr>
          </w:p>
        </w:tc>
      </w:tr>
    </w:tbl>
    <w:p w:rsidR="006B3BE3" w:rsidRPr="0010611E" w:rsidRDefault="006B3BE3" w:rsidP="006B3BE3">
      <w:pPr>
        <w:jc w:val="both"/>
        <w:rPr>
          <w:sz w:val="20"/>
          <w:lang w:val="fr-CA"/>
        </w:rPr>
      </w:pPr>
    </w:p>
    <w:p w:rsidR="006B3BE3" w:rsidRPr="0010611E" w:rsidRDefault="006B3BE3" w:rsidP="006B3BE3">
      <w:pPr>
        <w:jc w:val="both"/>
        <w:rPr>
          <w:sz w:val="20"/>
          <w:lang w:val="fr-CA"/>
        </w:rPr>
      </w:pPr>
    </w:p>
    <w:p w:rsidR="006B3BE3" w:rsidRPr="0010611E" w:rsidRDefault="006B3BE3">
      <w:pPr>
        <w:rPr>
          <w:lang w:val="fr-CA"/>
        </w:rPr>
      </w:pPr>
      <w:r w:rsidRPr="0010611E">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B3BE3" w:rsidRPr="0010611E" w:rsidTr="00E209EC">
        <w:tc>
          <w:tcPr>
            <w:tcW w:w="543" w:type="pct"/>
          </w:tcPr>
          <w:p w:rsidR="006B3BE3" w:rsidRPr="0010611E" w:rsidRDefault="006B3BE3" w:rsidP="00E209EC">
            <w:pPr>
              <w:jc w:val="both"/>
              <w:rPr>
                <w:sz w:val="20"/>
              </w:rPr>
            </w:pPr>
            <w:r w:rsidRPr="0010611E">
              <w:rPr>
                <w:rStyle w:val="SCCFileNumberChar"/>
                <w:sz w:val="20"/>
                <w:szCs w:val="20"/>
              </w:rPr>
              <w:t>37786</w:t>
            </w:r>
          </w:p>
        </w:tc>
        <w:tc>
          <w:tcPr>
            <w:tcW w:w="4457" w:type="pct"/>
            <w:gridSpan w:val="3"/>
          </w:tcPr>
          <w:p w:rsidR="006B3BE3" w:rsidRPr="0010611E" w:rsidRDefault="006B3BE3" w:rsidP="00E209EC">
            <w:pPr>
              <w:pStyle w:val="SCCLsocParty"/>
              <w:jc w:val="both"/>
              <w:rPr>
                <w:b/>
                <w:sz w:val="20"/>
                <w:szCs w:val="20"/>
                <w:lang w:val="en-US"/>
              </w:rPr>
            </w:pPr>
            <w:r w:rsidRPr="0010611E">
              <w:rPr>
                <w:b/>
                <w:sz w:val="20"/>
                <w:szCs w:val="20"/>
                <w:lang w:val="en-US"/>
              </w:rPr>
              <w:t xml:space="preserve">Julie Madeline McDonald v. Sylvia </w:t>
            </w:r>
            <w:proofErr w:type="spellStart"/>
            <w:r w:rsidRPr="0010611E">
              <w:rPr>
                <w:b/>
                <w:sz w:val="20"/>
                <w:szCs w:val="20"/>
                <w:lang w:val="en-US"/>
              </w:rPr>
              <w:t>Mcdonald</w:t>
            </w:r>
            <w:proofErr w:type="spellEnd"/>
            <w:r w:rsidRPr="0010611E">
              <w:rPr>
                <w:b/>
                <w:sz w:val="20"/>
                <w:szCs w:val="20"/>
                <w:lang w:val="en-US"/>
              </w:rPr>
              <w:t xml:space="preserve"> as Executor of the Estate of Samuel Alexander McDonald and Sylvia McDonald</w:t>
            </w:r>
          </w:p>
          <w:p w:rsidR="006B3BE3" w:rsidRPr="0010611E" w:rsidRDefault="006B3BE3" w:rsidP="00E209EC">
            <w:pPr>
              <w:jc w:val="both"/>
              <w:rPr>
                <w:sz w:val="20"/>
              </w:rPr>
            </w:pPr>
            <w:r w:rsidRPr="0010611E">
              <w:rPr>
                <w:sz w:val="20"/>
              </w:rPr>
              <w:t>(B.C.) (Civil) (By Leave)</w:t>
            </w:r>
          </w:p>
        </w:tc>
      </w:tr>
      <w:tr w:rsidR="006B3BE3" w:rsidRPr="0010611E" w:rsidTr="00E209EC">
        <w:tc>
          <w:tcPr>
            <w:tcW w:w="543" w:type="pct"/>
          </w:tcPr>
          <w:p w:rsidR="006B3BE3" w:rsidRPr="0010611E" w:rsidRDefault="008E6C16" w:rsidP="00E209EC">
            <w:pPr>
              <w:jc w:val="both"/>
              <w:rPr>
                <w:rStyle w:val="SCCFileNumberChar"/>
                <w:sz w:val="20"/>
                <w:szCs w:val="20"/>
              </w:rPr>
            </w:pPr>
            <w:r w:rsidRPr="0010611E">
              <w:rPr>
                <w:rStyle w:val="SCCFileNumberChar"/>
                <w:sz w:val="20"/>
                <w:szCs w:val="20"/>
              </w:rPr>
              <w:t>Coram:</w:t>
            </w:r>
          </w:p>
        </w:tc>
        <w:tc>
          <w:tcPr>
            <w:tcW w:w="4457" w:type="pct"/>
            <w:gridSpan w:val="3"/>
          </w:tcPr>
          <w:p w:rsidR="006B3BE3" w:rsidRPr="0010611E" w:rsidRDefault="008E6C16" w:rsidP="00E209EC">
            <w:pPr>
              <w:pStyle w:val="SCCLsocParty"/>
              <w:jc w:val="both"/>
              <w:rPr>
                <w:b/>
                <w:sz w:val="20"/>
                <w:szCs w:val="20"/>
                <w:lang w:val="en-US"/>
              </w:rPr>
            </w:pPr>
            <w:r w:rsidRPr="0010611E">
              <w:rPr>
                <w:sz w:val="20"/>
                <w:lang w:val="en-US"/>
              </w:rPr>
              <w:t>Wagner C.J. and Abella, Moldaver, Karakatsanis, Gascon, Côté, Brown, Rowe and Martin JJ.</w:t>
            </w:r>
          </w:p>
        </w:tc>
      </w:tr>
      <w:tr w:rsidR="008E6C16" w:rsidRPr="0010611E" w:rsidTr="008E6C16">
        <w:tc>
          <w:tcPr>
            <w:tcW w:w="5000" w:type="pct"/>
            <w:gridSpan w:val="4"/>
          </w:tcPr>
          <w:p w:rsidR="008E6C16" w:rsidRDefault="008E6C16" w:rsidP="00E209EC">
            <w:pPr>
              <w:pStyle w:val="SCCLsocParty"/>
              <w:jc w:val="both"/>
              <w:rPr>
                <w:sz w:val="20"/>
                <w:lang w:val="en-US"/>
              </w:rPr>
            </w:pPr>
            <w:r w:rsidRPr="0010611E">
              <w:rPr>
                <w:sz w:val="20"/>
                <w:lang w:val="en-US"/>
              </w:rPr>
              <w:t>The application for leave to appeal from the judgment of the Court of Appeal for British Columbia (Vancouver), Numbers CA42907 and CA42916, 2017 BCCA 255, dated July 12, 2017, is dismissed with costs.</w:t>
            </w:r>
          </w:p>
          <w:p w:rsidR="00AD776D" w:rsidRPr="00AD776D" w:rsidRDefault="00AD776D" w:rsidP="00AD776D">
            <w:pPr>
              <w:rPr>
                <w:lang w:val="en-US"/>
              </w:rPr>
            </w:pPr>
          </w:p>
        </w:tc>
      </w:tr>
      <w:tr w:rsidR="006B3BE3" w:rsidRPr="0010611E" w:rsidTr="00E209EC">
        <w:tc>
          <w:tcPr>
            <w:tcW w:w="5000" w:type="pct"/>
            <w:gridSpan w:val="4"/>
          </w:tcPr>
          <w:p w:rsidR="006B3BE3" w:rsidRPr="0010611E" w:rsidRDefault="006B3BE3" w:rsidP="00E209EC">
            <w:pPr>
              <w:jc w:val="both"/>
              <w:rPr>
                <w:sz w:val="20"/>
              </w:rPr>
            </w:pPr>
            <w:r w:rsidRPr="0010611E">
              <w:rPr>
                <w:sz w:val="20"/>
              </w:rPr>
              <w:t>Restitution – Unjust enrichment – Whether children and youth who perform unpaid labour in family setting or enterprise barred from claiming in unjust enrichment unless “exploited” – Whether possible or promised testamentary disposition can act as bar, defence or set-off to damages award.</w:t>
            </w:r>
          </w:p>
        </w:tc>
      </w:tr>
      <w:tr w:rsidR="006B3BE3" w:rsidRPr="0010611E" w:rsidTr="00E209EC">
        <w:tc>
          <w:tcPr>
            <w:tcW w:w="5000" w:type="pct"/>
            <w:gridSpan w:val="4"/>
          </w:tcPr>
          <w:p w:rsidR="006B3BE3" w:rsidRPr="0010611E" w:rsidRDefault="006B3BE3" w:rsidP="00E209EC">
            <w:pPr>
              <w:jc w:val="both"/>
              <w:rPr>
                <w:sz w:val="20"/>
              </w:rPr>
            </w:pPr>
          </w:p>
        </w:tc>
      </w:tr>
      <w:tr w:rsidR="006B3BE3" w:rsidRPr="0010611E" w:rsidTr="00E209EC">
        <w:tc>
          <w:tcPr>
            <w:tcW w:w="5000" w:type="pct"/>
            <w:gridSpan w:val="4"/>
          </w:tcPr>
          <w:p w:rsidR="006B3BE3" w:rsidRPr="0010611E" w:rsidRDefault="006B3BE3" w:rsidP="00E209EC">
            <w:pPr>
              <w:jc w:val="both"/>
              <w:rPr>
                <w:sz w:val="20"/>
              </w:rPr>
            </w:pPr>
            <w:r w:rsidRPr="0010611E">
              <w:rPr>
                <w:sz w:val="20"/>
              </w:rPr>
              <w:t xml:space="preserve">The McDonald family has operated a dairy farm on </w:t>
            </w:r>
            <w:proofErr w:type="spellStart"/>
            <w:r w:rsidRPr="0010611E">
              <w:rPr>
                <w:sz w:val="20"/>
              </w:rPr>
              <w:t>Nicomen</w:t>
            </w:r>
            <w:proofErr w:type="spellEnd"/>
            <w:r w:rsidRPr="0010611E">
              <w:rPr>
                <w:sz w:val="20"/>
              </w:rPr>
              <w:t xml:space="preserve"> Island, near Mission, British Columbia for generations. Samuel and Sylvia McDonald had four children, Julie (the applicant), Robert, Brian and Dean. Samuel and Sylvia owned and operated the farm while the children were growing up. Up until the time they graduated from high school, the children performed unpaid chores on the farm. When Julie, Brian and Dean learned that their parents had given the farm to their brother, Robert, and that their own inheritances would be limited to redeemable preferred shares, they launched lawsuits. They claimed a right to be compensated for their childhood and early adulthood work. Specifically, they sought a monetary award based on the current value of the farm and its assets.</w:t>
            </w:r>
          </w:p>
          <w:p w:rsidR="006B3BE3" w:rsidRPr="0010611E" w:rsidRDefault="006B3BE3" w:rsidP="00E209EC">
            <w:pPr>
              <w:jc w:val="both"/>
              <w:rPr>
                <w:sz w:val="20"/>
              </w:rPr>
            </w:pPr>
          </w:p>
          <w:p w:rsidR="006B3BE3" w:rsidRPr="0010611E" w:rsidRDefault="006B3BE3" w:rsidP="00E209EC">
            <w:pPr>
              <w:jc w:val="both"/>
              <w:rPr>
                <w:sz w:val="20"/>
              </w:rPr>
            </w:pPr>
            <w:r w:rsidRPr="0010611E">
              <w:rPr>
                <w:sz w:val="20"/>
              </w:rPr>
              <w:t>The Supreme Court of British Columbia allowed the claims for unjust enrichment, but only in respect of the unpaid work performed as teenagers, awarding $350,000 in damages to each plaintiff, to be set-off against the value of any preferred shares in the farm they may inherit upon their mother’s death. The Court of Appeal allowed the respondents’ appeal, setting aside the damages award and dismissing the claims for unjust enrichment. The applicant’s appeal on the issue of the set-off was also dismissed.</w:t>
            </w:r>
          </w:p>
          <w:p w:rsidR="006B3BE3" w:rsidRPr="0010611E" w:rsidRDefault="006B3BE3" w:rsidP="00E209EC">
            <w:pPr>
              <w:jc w:val="both"/>
              <w:rPr>
                <w:sz w:val="20"/>
              </w:rPr>
            </w:pPr>
          </w:p>
        </w:tc>
      </w:tr>
      <w:tr w:rsidR="006B3BE3" w:rsidRPr="0010611E" w:rsidTr="00E209EC">
        <w:tc>
          <w:tcPr>
            <w:tcW w:w="2427" w:type="pct"/>
            <w:gridSpan w:val="2"/>
          </w:tcPr>
          <w:p w:rsidR="006B3BE3" w:rsidRPr="0010611E" w:rsidRDefault="006B3BE3" w:rsidP="00E209EC">
            <w:pPr>
              <w:jc w:val="both"/>
              <w:rPr>
                <w:sz w:val="20"/>
              </w:rPr>
            </w:pPr>
            <w:r w:rsidRPr="0010611E">
              <w:rPr>
                <w:sz w:val="20"/>
              </w:rPr>
              <w:t>June 4, 2015</w:t>
            </w:r>
          </w:p>
          <w:p w:rsidR="006B3BE3" w:rsidRPr="0010611E" w:rsidRDefault="006B3BE3" w:rsidP="00E209EC">
            <w:pPr>
              <w:jc w:val="both"/>
              <w:rPr>
                <w:sz w:val="20"/>
              </w:rPr>
            </w:pPr>
            <w:r w:rsidRPr="0010611E">
              <w:rPr>
                <w:sz w:val="20"/>
              </w:rPr>
              <w:t>Supreme Court of British Columbia</w:t>
            </w:r>
          </w:p>
          <w:p w:rsidR="006B3BE3" w:rsidRPr="0010611E" w:rsidRDefault="006B3BE3" w:rsidP="00E209EC">
            <w:pPr>
              <w:jc w:val="both"/>
              <w:rPr>
                <w:sz w:val="20"/>
              </w:rPr>
            </w:pPr>
            <w:r w:rsidRPr="0010611E">
              <w:rPr>
                <w:sz w:val="20"/>
              </w:rPr>
              <w:t>(Harvey J.)</w:t>
            </w:r>
          </w:p>
          <w:p w:rsidR="006B3BE3" w:rsidRPr="0010611E" w:rsidRDefault="00B35ED9" w:rsidP="00E209EC">
            <w:pPr>
              <w:jc w:val="both"/>
              <w:rPr>
                <w:sz w:val="20"/>
              </w:rPr>
            </w:pPr>
            <w:hyperlink r:id="rId22" w:history="1">
              <w:r w:rsidR="006B3BE3" w:rsidRPr="0010611E">
                <w:rPr>
                  <w:rStyle w:val="Hyperlink"/>
                  <w:sz w:val="20"/>
                </w:rPr>
                <w:t>2015 BCSC 951</w:t>
              </w:r>
            </w:hyperlink>
            <w:r w:rsidR="006B3BE3" w:rsidRPr="0010611E">
              <w:rPr>
                <w:sz w:val="20"/>
              </w:rPr>
              <w:t xml:space="preserve"> </w:t>
            </w:r>
          </w:p>
          <w:p w:rsidR="006B3BE3" w:rsidRPr="0010611E" w:rsidRDefault="006B3BE3" w:rsidP="00E209EC">
            <w:pPr>
              <w:jc w:val="both"/>
              <w:rPr>
                <w:sz w:val="20"/>
              </w:rPr>
            </w:pPr>
          </w:p>
        </w:tc>
        <w:tc>
          <w:tcPr>
            <w:tcW w:w="243" w:type="pct"/>
          </w:tcPr>
          <w:p w:rsidR="006B3BE3" w:rsidRPr="0010611E" w:rsidRDefault="006B3BE3" w:rsidP="00E209EC">
            <w:pPr>
              <w:jc w:val="both"/>
              <w:rPr>
                <w:sz w:val="20"/>
              </w:rPr>
            </w:pPr>
          </w:p>
        </w:tc>
        <w:tc>
          <w:tcPr>
            <w:tcW w:w="2330" w:type="pct"/>
          </w:tcPr>
          <w:p w:rsidR="006B3BE3" w:rsidRPr="0010611E" w:rsidRDefault="006B3BE3" w:rsidP="00E209EC">
            <w:pPr>
              <w:jc w:val="both"/>
              <w:rPr>
                <w:sz w:val="20"/>
              </w:rPr>
            </w:pPr>
            <w:r w:rsidRPr="0010611E">
              <w:rPr>
                <w:sz w:val="20"/>
              </w:rPr>
              <w:t>Applicant’s action in unjust enrichment allowed; $350,000 damages awarded, less any amount received from preferred shares under Will of Sylvia McDonald.</w:t>
            </w:r>
          </w:p>
          <w:p w:rsidR="006B3BE3" w:rsidRPr="0010611E" w:rsidRDefault="006B3BE3" w:rsidP="00E209EC">
            <w:pPr>
              <w:jc w:val="both"/>
              <w:rPr>
                <w:sz w:val="20"/>
              </w:rPr>
            </w:pPr>
          </w:p>
        </w:tc>
      </w:tr>
      <w:tr w:rsidR="006B3BE3" w:rsidRPr="0010611E" w:rsidTr="00E209EC">
        <w:tc>
          <w:tcPr>
            <w:tcW w:w="2427" w:type="pct"/>
            <w:gridSpan w:val="2"/>
          </w:tcPr>
          <w:p w:rsidR="006B3BE3" w:rsidRPr="0010611E" w:rsidRDefault="006B3BE3" w:rsidP="00E209EC">
            <w:pPr>
              <w:jc w:val="both"/>
              <w:rPr>
                <w:sz w:val="20"/>
              </w:rPr>
            </w:pPr>
            <w:r w:rsidRPr="0010611E">
              <w:rPr>
                <w:sz w:val="20"/>
              </w:rPr>
              <w:t>July 12, 2017</w:t>
            </w:r>
          </w:p>
          <w:p w:rsidR="006B3BE3" w:rsidRPr="0010611E" w:rsidRDefault="006B3BE3" w:rsidP="00E209EC">
            <w:pPr>
              <w:jc w:val="both"/>
              <w:rPr>
                <w:sz w:val="20"/>
              </w:rPr>
            </w:pPr>
            <w:r w:rsidRPr="0010611E">
              <w:rPr>
                <w:sz w:val="20"/>
              </w:rPr>
              <w:t xml:space="preserve">Court of Appeal for British Columbia </w:t>
            </w:r>
          </w:p>
          <w:p w:rsidR="006B3BE3" w:rsidRPr="0010611E" w:rsidRDefault="006B3BE3" w:rsidP="00E209EC">
            <w:pPr>
              <w:jc w:val="both"/>
              <w:rPr>
                <w:sz w:val="20"/>
              </w:rPr>
            </w:pPr>
            <w:r w:rsidRPr="0010611E">
              <w:rPr>
                <w:sz w:val="20"/>
              </w:rPr>
              <w:t>(Vancouver)</w:t>
            </w:r>
          </w:p>
          <w:p w:rsidR="006B3BE3" w:rsidRPr="0010611E" w:rsidRDefault="006B3BE3" w:rsidP="00E209EC">
            <w:pPr>
              <w:jc w:val="both"/>
              <w:rPr>
                <w:sz w:val="20"/>
              </w:rPr>
            </w:pPr>
            <w:r w:rsidRPr="0010611E">
              <w:rPr>
                <w:sz w:val="20"/>
              </w:rPr>
              <w:t>(</w:t>
            </w:r>
            <w:proofErr w:type="spellStart"/>
            <w:r w:rsidRPr="0010611E">
              <w:rPr>
                <w:sz w:val="20"/>
              </w:rPr>
              <w:t>Groberman</w:t>
            </w:r>
            <w:proofErr w:type="spellEnd"/>
            <w:r w:rsidRPr="0010611E">
              <w:rPr>
                <w:sz w:val="20"/>
              </w:rPr>
              <w:t xml:space="preserve">, Harris and </w:t>
            </w:r>
            <w:proofErr w:type="spellStart"/>
            <w:r w:rsidRPr="0010611E">
              <w:rPr>
                <w:sz w:val="20"/>
              </w:rPr>
              <w:t>Fenlon</w:t>
            </w:r>
            <w:proofErr w:type="spellEnd"/>
            <w:r w:rsidRPr="0010611E">
              <w:rPr>
                <w:sz w:val="20"/>
              </w:rPr>
              <w:t> JJ.A.)</w:t>
            </w:r>
          </w:p>
          <w:p w:rsidR="006B3BE3" w:rsidRPr="0010611E" w:rsidRDefault="00B35ED9" w:rsidP="00E209EC">
            <w:pPr>
              <w:jc w:val="both"/>
              <w:rPr>
                <w:sz w:val="20"/>
              </w:rPr>
            </w:pPr>
            <w:hyperlink r:id="rId23" w:history="1">
              <w:r w:rsidR="006B3BE3" w:rsidRPr="0010611E">
                <w:rPr>
                  <w:rStyle w:val="Hyperlink"/>
                  <w:sz w:val="20"/>
                </w:rPr>
                <w:t>2017 BCCA 255</w:t>
              </w:r>
            </w:hyperlink>
            <w:r w:rsidR="006B3BE3" w:rsidRPr="0010611E">
              <w:rPr>
                <w:sz w:val="20"/>
              </w:rPr>
              <w:t xml:space="preserve"> </w:t>
            </w:r>
          </w:p>
          <w:p w:rsidR="006B3BE3" w:rsidRPr="0010611E" w:rsidRDefault="006B3BE3" w:rsidP="00E209EC">
            <w:pPr>
              <w:jc w:val="both"/>
              <w:rPr>
                <w:sz w:val="20"/>
              </w:rPr>
            </w:pPr>
          </w:p>
        </w:tc>
        <w:tc>
          <w:tcPr>
            <w:tcW w:w="243" w:type="pct"/>
          </w:tcPr>
          <w:p w:rsidR="006B3BE3" w:rsidRPr="0010611E" w:rsidRDefault="006B3BE3" w:rsidP="00E209EC">
            <w:pPr>
              <w:jc w:val="both"/>
              <w:rPr>
                <w:sz w:val="20"/>
              </w:rPr>
            </w:pPr>
          </w:p>
        </w:tc>
        <w:tc>
          <w:tcPr>
            <w:tcW w:w="2330" w:type="pct"/>
          </w:tcPr>
          <w:p w:rsidR="006B3BE3" w:rsidRPr="0010611E" w:rsidRDefault="006B3BE3" w:rsidP="00E209EC">
            <w:pPr>
              <w:jc w:val="both"/>
              <w:rPr>
                <w:sz w:val="20"/>
              </w:rPr>
            </w:pPr>
            <w:r w:rsidRPr="0010611E">
              <w:rPr>
                <w:sz w:val="20"/>
              </w:rPr>
              <w:t>Respondents’ appeal, allowed; order for damages set aside and claims dismissed. Applicant’s appeal, dismissed.</w:t>
            </w:r>
          </w:p>
          <w:p w:rsidR="006B3BE3" w:rsidRPr="0010611E" w:rsidRDefault="006B3BE3" w:rsidP="00E209EC">
            <w:pPr>
              <w:jc w:val="both"/>
              <w:rPr>
                <w:sz w:val="20"/>
              </w:rPr>
            </w:pPr>
          </w:p>
        </w:tc>
      </w:tr>
      <w:tr w:rsidR="006B3BE3" w:rsidRPr="0010611E" w:rsidTr="00E209EC">
        <w:tc>
          <w:tcPr>
            <w:tcW w:w="2427" w:type="pct"/>
            <w:gridSpan w:val="2"/>
          </w:tcPr>
          <w:p w:rsidR="006B3BE3" w:rsidRPr="0010611E" w:rsidRDefault="006B3BE3" w:rsidP="00E209EC">
            <w:pPr>
              <w:jc w:val="both"/>
              <w:rPr>
                <w:sz w:val="20"/>
              </w:rPr>
            </w:pPr>
            <w:r w:rsidRPr="0010611E">
              <w:rPr>
                <w:sz w:val="20"/>
              </w:rPr>
              <w:t>September 28, 2017</w:t>
            </w:r>
          </w:p>
          <w:p w:rsidR="006B3BE3" w:rsidRPr="0010611E" w:rsidRDefault="006B3BE3" w:rsidP="00E209EC">
            <w:pPr>
              <w:jc w:val="both"/>
              <w:rPr>
                <w:sz w:val="20"/>
              </w:rPr>
            </w:pPr>
            <w:r w:rsidRPr="0010611E">
              <w:rPr>
                <w:sz w:val="20"/>
              </w:rPr>
              <w:t>Supreme Court of Canada</w:t>
            </w:r>
          </w:p>
        </w:tc>
        <w:tc>
          <w:tcPr>
            <w:tcW w:w="243" w:type="pct"/>
          </w:tcPr>
          <w:p w:rsidR="006B3BE3" w:rsidRPr="0010611E" w:rsidRDefault="006B3BE3" w:rsidP="00E209EC">
            <w:pPr>
              <w:jc w:val="both"/>
              <w:rPr>
                <w:sz w:val="20"/>
              </w:rPr>
            </w:pPr>
          </w:p>
        </w:tc>
        <w:tc>
          <w:tcPr>
            <w:tcW w:w="2330" w:type="pct"/>
          </w:tcPr>
          <w:p w:rsidR="006B3BE3" w:rsidRPr="0010611E" w:rsidRDefault="006B3BE3" w:rsidP="00E209EC">
            <w:pPr>
              <w:jc w:val="both"/>
              <w:rPr>
                <w:sz w:val="20"/>
              </w:rPr>
            </w:pPr>
            <w:r w:rsidRPr="0010611E">
              <w:rPr>
                <w:sz w:val="20"/>
              </w:rPr>
              <w:t>Application for leave to appeal, filed.</w:t>
            </w:r>
          </w:p>
          <w:p w:rsidR="006B3BE3" w:rsidRPr="0010611E" w:rsidRDefault="006B3BE3" w:rsidP="00E209EC">
            <w:pPr>
              <w:jc w:val="both"/>
              <w:rPr>
                <w:sz w:val="20"/>
              </w:rPr>
            </w:pPr>
          </w:p>
        </w:tc>
      </w:tr>
    </w:tbl>
    <w:p w:rsidR="006B3BE3" w:rsidRPr="0010611E" w:rsidRDefault="006B3BE3" w:rsidP="006B3BE3">
      <w:pPr>
        <w:jc w:val="both"/>
        <w:rPr>
          <w:sz w:val="20"/>
        </w:rPr>
      </w:pPr>
    </w:p>
    <w:p w:rsidR="006B3BE3" w:rsidRPr="0010611E" w:rsidRDefault="006B3BE3" w:rsidP="006B3BE3">
      <w:pPr>
        <w:jc w:val="both"/>
        <w:rPr>
          <w:sz w:val="20"/>
        </w:rPr>
      </w:pPr>
    </w:p>
    <w:p w:rsidR="006B3BE3" w:rsidRPr="0010611E" w:rsidRDefault="006B3BE3">
      <w:r w:rsidRPr="0010611E">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B3BE3" w:rsidRPr="0010611E" w:rsidTr="00E209EC">
        <w:tc>
          <w:tcPr>
            <w:tcW w:w="543" w:type="pct"/>
          </w:tcPr>
          <w:p w:rsidR="006B3BE3" w:rsidRPr="0010611E" w:rsidRDefault="006B3BE3" w:rsidP="00E209EC">
            <w:pPr>
              <w:jc w:val="both"/>
              <w:rPr>
                <w:sz w:val="20"/>
                <w:lang w:val="fr-CA"/>
              </w:rPr>
            </w:pPr>
            <w:r w:rsidRPr="0010611E">
              <w:rPr>
                <w:rStyle w:val="SCCFileNumberChar"/>
                <w:sz w:val="20"/>
                <w:szCs w:val="20"/>
                <w:lang w:val="fr-CA"/>
              </w:rPr>
              <w:t>37786</w:t>
            </w:r>
          </w:p>
        </w:tc>
        <w:tc>
          <w:tcPr>
            <w:tcW w:w="4457" w:type="pct"/>
            <w:gridSpan w:val="3"/>
          </w:tcPr>
          <w:p w:rsidR="006B3BE3" w:rsidRPr="0010611E" w:rsidRDefault="006B3BE3" w:rsidP="00E209EC">
            <w:pPr>
              <w:pStyle w:val="SCCLsocParty"/>
              <w:jc w:val="both"/>
              <w:rPr>
                <w:b/>
                <w:sz w:val="20"/>
                <w:szCs w:val="20"/>
              </w:rPr>
            </w:pPr>
            <w:r w:rsidRPr="0010611E">
              <w:rPr>
                <w:b/>
                <w:sz w:val="20"/>
                <w:szCs w:val="20"/>
              </w:rPr>
              <w:t>Julie Madeline McDonald c. Sylvia McDonald en sa qualité d’exécutrice de la succession de Samuel Alexander McDonald et Sylvia McDonald</w:t>
            </w:r>
          </w:p>
          <w:p w:rsidR="006B3BE3" w:rsidRPr="0010611E" w:rsidRDefault="006B3BE3" w:rsidP="00E209EC">
            <w:pPr>
              <w:jc w:val="both"/>
              <w:rPr>
                <w:sz w:val="20"/>
                <w:lang w:val="fr-CA"/>
              </w:rPr>
            </w:pPr>
            <w:r w:rsidRPr="0010611E">
              <w:rPr>
                <w:sz w:val="20"/>
                <w:lang w:val="fr-CA"/>
              </w:rPr>
              <w:t>(C.-B.) (Civile) (Autorisation)</w:t>
            </w:r>
          </w:p>
        </w:tc>
      </w:tr>
      <w:tr w:rsidR="006B3BE3" w:rsidRPr="00644959" w:rsidTr="00E209EC">
        <w:tc>
          <w:tcPr>
            <w:tcW w:w="543" w:type="pct"/>
          </w:tcPr>
          <w:p w:rsidR="006B3BE3" w:rsidRPr="0010611E" w:rsidRDefault="008E6C16" w:rsidP="00E209EC">
            <w:pPr>
              <w:jc w:val="both"/>
              <w:rPr>
                <w:rStyle w:val="SCCFileNumberChar"/>
                <w:sz w:val="20"/>
                <w:szCs w:val="20"/>
                <w:lang w:val="fr-CA"/>
              </w:rPr>
            </w:pPr>
            <w:r w:rsidRPr="0010611E">
              <w:rPr>
                <w:rStyle w:val="SCCFileNumberChar"/>
                <w:sz w:val="20"/>
                <w:szCs w:val="20"/>
                <w:lang w:val="fr-CA"/>
              </w:rPr>
              <w:t>Coram :</w:t>
            </w:r>
          </w:p>
        </w:tc>
        <w:tc>
          <w:tcPr>
            <w:tcW w:w="4457" w:type="pct"/>
            <w:gridSpan w:val="3"/>
          </w:tcPr>
          <w:p w:rsidR="006B3BE3" w:rsidRPr="0010611E" w:rsidRDefault="008E6C16" w:rsidP="00E209EC">
            <w:pPr>
              <w:pStyle w:val="SCCLsocParty"/>
              <w:jc w:val="both"/>
              <w:rPr>
                <w:b/>
                <w:sz w:val="20"/>
                <w:szCs w:val="20"/>
              </w:rPr>
            </w:pPr>
            <w:r w:rsidRPr="0010611E">
              <w:rPr>
                <w:sz w:val="20"/>
                <w:lang w:val="fr-FR"/>
              </w:rPr>
              <w:t>Le juge en chef Wagner et les juges Abella, Moldaver, Karakatsanis, Gascon, Côté, Brown, Rowe et Martin</w:t>
            </w:r>
          </w:p>
        </w:tc>
      </w:tr>
      <w:tr w:rsidR="008E6C16" w:rsidRPr="00644959" w:rsidTr="008E6C16">
        <w:tc>
          <w:tcPr>
            <w:tcW w:w="5000" w:type="pct"/>
            <w:gridSpan w:val="4"/>
          </w:tcPr>
          <w:p w:rsidR="008E6C16" w:rsidRDefault="008E6C16" w:rsidP="00E209EC">
            <w:pPr>
              <w:pStyle w:val="SCCLsocParty"/>
              <w:jc w:val="both"/>
              <w:rPr>
                <w:sz w:val="20"/>
              </w:rPr>
            </w:pPr>
            <w:r w:rsidRPr="0010611E">
              <w:rPr>
                <w:sz w:val="20"/>
              </w:rPr>
              <w:t xml:space="preserve">La demande d’autorisation d’appel de l’arrêt de la </w:t>
            </w:r>
            <w:r w:rsidRPr="0010611E">
              <w:rPr>
                <w:sz w:val="20"/>
                <w:lang w:val="fr-FR"/>
              </w:rPr>
              <w:t>Cour d’appel de la Colombie-Britannique (Vancouver)</w:t>
            </w:r>
            <w:r w:rsidRPr="0010611E">
              <w:rPr>
                <w:sz w:val="20"/>
              </w:rPr>
              <w:t>, numéros</w:t>
            </w:r>
            <w:r w:rsidRPr="0010611E">
              <w:rPr>
                <w:sz w:val="20"/>
                <w:lang w:val="fr-FR"/>
              </w:rPr>
              <w:t xml:space="preserve"> CA42907 et CA42916</w:t>
            </w:r>
            <w:r w:rsidRPr="0010611E">
              <w:rPr>
                <w:sz w:val="20"/>
              </w:rPr>
              <w:t xml:space="preserve">, </w:t>
            </w:r>
            <w:r w:rsidRPr="0010611E">
              <w:rPr>
                <w:sz w:val="20"/>
                <w:lang w:val="fr-FR"/>
              </w:rPr>
              <w:t xml:space="preserve">2017 BCCA 255, </w:t>
            </w:r>
            <w:r w:rsidRPr="0010611E">
              <w:rPr>
                <w:sz w:val="20"/>
              </w:rPr>
              <w:t xml:space="preserve">daté du </w:t>
            </w:r>
            <w:r w:rsidRPr="0010611E">
              <w:rPr>
                <w:sz w:val="20"/>
                <w:lang w:val="fr-FR"/>
              </w:rPr>
              <w:t>12 juillet 2017</w:t>
            </w:r>
            <w:r w:rsidRPr="0010611E">
              <w:rPr>
                <w:sz w:val="20"/>
              </w:rPr>
              <w:t>, est rejetée avec dépens.</w:t>
            </w:r>
          </w:p>
          <w:p w:rsidR="00AD776D" w:rsidRPr="00AD776D" w:rsidRDefault="00AD776D" w:rsidP="00AD776D">
            <w:pPr>
              <w:rPr>
                <w:lang w:val="fr-CA"/>
              </w:rPr>
            </w:pPr>
          </w:p>
        </w:tc>
      </w:tr>
      <w:tr w:rsidR="006B3BE3" w:rsidRPr="00644959" w:rsidTr="00E209EC">
        <w:tc>
          <w:tcPr>
            <w:tcW w:w="5000" w:type="pct"/>
            <w:gridSpan w:val="4"/>
          </w:tcPr>
          <w:p w:rsidR="006B3BE3" w:rsidRPr="0010611E" w:rsidRDefault="006B3BE3" w:rsidP="00E209EC">
            <w:pPr>
              <w:jc w:val="both"/>
              <w:rPr>
                <w:sz w:val="20"/>
                <w:lang w:val="fr-CA"/>
              </w:rPr>
            </w:pPr>
            <w:r w:rsidRPr="0010611E">
              <w:rPr>
                <w:sz w:val="20"/>
                <w:lang w:val="fr-CA"/>
              </w:rPr>
              <w:t>Restitution – Enrichissement injustifié – Les enfants et les adolescents qui effectuent des travaux non rémunérés dans un contexte familial ou une entreprise familiale sont-ils empêchés d’introduire une demande en enrichissement injustifié à moins d’avoir été « exploités »? – Une disposition testamentaire éventuelle ou promise peut-elle servir de moyen d’irrecevabilité, de défense ou de compensation à l’attribution de dommages-intérêts?</w:t>
            </w:r>
          </w:p>
        </w:tc>
      </w:tr>
      <w:tr w:rsidR="006B3BE3" w:rsidRPr="00644959" w:rsidTr="00E209EC">
        <w:tc>
          <w:tcPr>
            <w:tcW w:w="5000" w:type="pct"/>
            <w:gridSpan w:val="4"/>
          </w:tcPr>
          <w:p w:rsidR="006B3BE3" w:rsidRPr="0010611E" w:rsidRDefault="006B3BE3" w:rsidP="00E209EC">
            <w:pPr>
              <w:jc w:val="both"/>
              <w:rPr>
                <w:sz w:val="20"/>
                <w:lang w:val="fr-CA"/>
              </w:rPr>
            </w:pPr>
          </w:p>
        </w:tc>
      </w:tr>
      <w:tr w:rsidR="006B3BE3" w:rsidRPr="00644959" w:rsidTr="00E209EC">
        <w:tc>
          <w:tcPr>
            <w:tcW w:w="5000" w:type="pct"/>
            <w:gridSpan w:val="4"/>
          </w:tcPr>
          <w:p w:rsidR="006B3BE3" w:rsidRPr="0010611E" w:rsidRDefault="006B3BE3" w:rsidP="00E209EC">
            <w:pPr>
              <w:jc w:val="both"/>
              <w:rPr>
                <w:sz w:val="20"/>
                <w:lang w:val="fr-CA"/>
              </w:rPr>
            </w:pPr>
            <w:r w:rsidRPr="0010611E">
              <w:rPr>
                <w:sz w:val="20"/>
                <w:lang w:val="fr-CA"/>
              </w:rPr>
              <w:t xml:space="preserve">La famille McDonald exploite une ferme laitière sur l’île </w:t>
            </w:r>
            <w:proofErr w:type="spellStart"/>
            <w:r w:rsidRPr="0010611E">
              <w:rPr>
                <w:sz w:val="20"/>
                <w:lang w:val="fr-CA"/>
              </w:rPr>
              <w:t>Nicomen</w:t>
            </w:r>
            <w:proofErr w:type="spellEnd"/>
            <w:r w:rsidRPr="0010611E">
              <w:rPr>
                <w:sz w:val="20"/>
                <w:lang w:val="fr-CA"/>
              </w:rPr>
              <w:t>, près de Mission (Colombie-Britannique) depuis des générations. Samuel et Sylvia McDonald ont eu quatre enfants, Julie (la demanderesse), Robert, Brian et Dean. Samuel et Sylvia étaient propriétaires-exploitants de la ferme pendant que les enfants grandissaient. Jusqu’à ce qu’ils terminent leurs études secondaires, les enfants effectuaient des tâches non rémunérées à la ferme. Lorsque Julie, Brian et Dean ont appris que leurs parents avaient donné la ferme à leur frère, Robert, et que leurs propres héritages allaient se limiter à des actions privilégiées rachetables, ils ont intenté des poursuites. Ils ont revendiqué le droit d’être rémunérés pour les travaux qu’ils avaient effectués alors qu’ils étaient enfants et jeunes adultes. Plus particulièrement, ils ont demandé une indemnité monétaire établie en fonction de la valeur actuelle de la ferme et de ses actifs.</w:t>
            </w:r>
          </w:p>
          <w:p w:rsidR="006B3BE3" w:rsidRPr="0010611E" w:rsidRDefault="006B3BE3" w:rsidP="00E209EC">
            <w:pPr>
              <w:jc w:val="both"/>
              <w:rPr>
                <w:sz w:val="20"/>
                <w:lang w:val="fr-CA"/>
              </w:rPr>
            </w:pPr>
          </w:p>
          <w:p w:rsidR="006B3BE3" w:rsidRPr="0010611E" w:rsidRDefault="006B3BE3" w:rsidP="00E209EC">
            <w:pPr>
              <w:jc w:val="both"/>
              <w:rPr>
                <w:sz w:val="20"/>
                <w:lang w:val="fr-CA"/>
              </w:rPr>
            </w:pPr>
            <w:r w:rsidRPr="0010611E">
              <w:rPr>
                <w:sz w:val="20"/>
                <w:lang w:val="fr-CA"/>
              </w:rPr>
              <w:t>La Cour suprême de la Colombie-Britannique a accueilli les demandes en enrichissement injustifié, mais seulement à l’égard des travaux non rémunérés qu’ils avaient effectués alors qu’ils étaient adolescents, attribuant des dommages-intérêts de 350 000 $ à chaque demandeur, déduction faite, en compensation, de la valeur des actions privilégiées dans la ferme dont ils sont susceptibles d’hériter au décès de leur mère. La Cour d’appel a accueilli l’appel des intimés, annulant l’attribution de dommages-intérêts et rejetant les demandes en enrichissement injustifié. L’appel de la demanderesse sur la question de la compensation a également été rejeté.</w:t>
            </w:r>
          </w:p>
          <w:p w:rsidR="006B3BE3" w:rsidRPr="0010611E" w:rsidRDefault="006B3BE3" w:rsidP="00E209EC">
            <w:pPr>
              <w:jc w:val="both"/>
              <w:rPr>
                <w:sz w:val="20"/>
                <w:lang w:val="fr-CA"/>
              </w:rPr>
            </w:pPr>
          </w:p>
        </w:tc>
      </w:tr>
      <w:tr w:rsidR="006B3BE3" w:rsidRPr="00644959" w:rsidTr="00E209EC">
        <w:tc>
          <w:tcPr>
            <w:tcW w:w="2427" w:type="pct"/>
            <w:gridSpan w:val="2"/>
          </w:tcPr>
          <w:p w:rsidR="006B3BE3" w:rsidRPr="0010611E" w:rsidRDefault="006B3BE3" w:rsidP="00E209EC">
            <w:pPr>
              <w:jc w:val="both"/>
              <w:rPr>
                <w:sz w:val="20"/>
                <w:lang w:val="fr-CA"/>
              </w:rPr>
            </w:pPr>
            <w:r w:rsidRPr="0010611E">
              <w:rPr>
                <w:sz w:val="20"/>
                <w:lang w:val="fr-CA"/>
              </w:rPr>
              <w:t>4 juin 2015</w:t>
            </w:r>
          </w:p>
          <w:p w:rsidR="006B3BE3" w:rsidRPr="0010611E" w:rsidRDefault="006B3BE3" w:rsidP="00E209EC">
            <w:pPr>
              <w:jc w:val="both"/>
              <w:rPr>
                <w:sz w:val="20"/>
                <w:lang w:val="fr-CA"/>
              </w:rPr>
            </w:pPr>
            <w:r w:rsidRPr="0010611E">
              <w:rPr>
                <w:sz w:val="20"/>
                <w:lang w:val="fr-CA"/>
              </w:rPr>
              <w:t>Cour suprême de la Colombie-Britannique</w:t>
            </w:r>
          </w:p>
          <w:p w:rsidR="006B3BE3" w:rsidRPr="0010611E" w:rsidRDefault="006B3BE3" w:rsidP="00E209EC">
            <w:pPr>
              <w:jc w:val="both"/>
              <w:rPr>
                <w:sz w:val="20"/>
                <w:lang w:val="fr-CA"/>
              </w:rPr>
            </w:pPr>
            <w:r w:rsidRPr="0010611E">
              <w:rPr>
                <w:sz w:val="20"/>
                <w:lang w:val="fr-CA"/>
              </w:rPr>
              <w:t>(Juge Harvey)</w:t>
            </w:r>
          </w:p>
          <w:p w:rsidR="006B3BE3" w:rsidRPr="0010611E" w:rsidRDefault="00B35ED9" w:rsidP="00E209EC">
            <w:pPr>
              <w:jc w:val="both"/>
              <w:rPr>
                <w:sz w:val="20"/>
                <w:lang w:val="fr-CA"/>
              </w:rPr>
            </w:pPr>
            <w:hyperlink r:id="rId24" w:history="1">
              <w:r w:rsidR="006B3BE3" w:rsidRPr="0010611E">
                <w:rPr>
                  <w:rStyle w:val="Hyperlink"/>
                  <w:sz w:val="20"/>
                  <w:lang w:val="fr-CA"/>
                </w:rPr>
                <w:t>2015 BCSC 951</w:t>
              </w:r>
            </w:hyperlink>
            <w:r w:rsidR="006B3BE3" w:rsidRPr="0010611E">
              <w:rPr>
                <w:sz w:val="20"/>
                <w:lang w:val="fr-CA"/>
              </w:rPr>
              <w:t xml:space="preserve"> </w:t>
            </w:r>
          </w:p>
          <w:p w:rsidR="006B3BE3" w:rsidRPr="0010611E" w:rsidRDefault="006B3BE3" w:rsidP="00E209EC">
            <w:pPr>
              <w:jc w:val="both"/>
              <w:rPr>
                <w:sz w:val="20"/>
                <w:lang w:val="fr-CA"/>
              </w:rPr>
            </w:pPr>
          </w:p>
        </w:tc>
        <w:tc>
          <w:tcPr>
            <w:tcW w:w="243" w:type="pct"/>
          </w:tcPr>
          <w:p w:rsidR="006B3BE3" w:rsidRPr="0010611E" w:rsidRDefault="006B3BE3" w:rsidP="00E209EC">
            <w:pPr>
              <w:jc w:val="both"/>
              <w:rPr>
                <w:sz w:val="20"/>
                <w:lang w:val="fr-CA"/>
              </w:rPr>
            </w:pPr>
          </w:p>
        </w:tc>
        <w:tc>
          <w:tcPr>
            <w:tcW w:w="2330" w:type="pct"/>
          </w:tcPr>
          <w:p w:rsidR="006B3BE3" w:rsidRPr="0010611E" w:rsidRDefault="006B3BE3" w:rsidP="00E209EC">
            <w:pPr>
              <w:jc w:val="both"/>
              <w:rPr>
                <w:sz w:val="20"/>
                <w:lang w:val="fr-CA"/>
              </w:rPr>
            </w:pPr>
            <w:r w:rsidRPr="0010611E">
              <w:rPr>
                <w:sz w:val="20"/>
                <w:lang w:val="fr-CA"/>
              </w:rPr>
              <w:t>Jugement accueillant l’action de la demanderesse en enrichissement injustifié et attribuant des dommages-intérêts de 350 000 $, déduction faite de tout montant reçu des actions privilégiées en vertu du testament de  Sylvia McDonald.</w:t>
            </w:r>
          </w:p>
          <w:p w:rsidR="006B3BE3" w:rsidRPr="0010611E" w:rsidRDefault="006B3BE3" w:rsidP="00E209EC">
            <w:pPr>
              <w:jc w:val="both"/>
              <w:rPr>
                <w:sz w:val="20"/>
                <w:lang w:val="fr-CA"/>
              </w:rPr>
            </w:pPr>
          </w:p>
        </w:tc>
      </w:tr>
      <w:tr w:rsidR="006B3BE3" w:rsidRPr="00644959" w:rsidTr="00E209EC">
        <w:tc>
          <w:tcPr>
            <w:tcW w:w="2427" w:type="pct"/>
            <w:gridSpan w:val="2"/>
          </w:tcPr>
          <w:p w:rsidR="006B3BE3" w:rsidRPr="0010611E" w:rsidRDefault="006B3BE3" w:rsidP="00E209EC">
            <w:pPr>
              <w:jc w:val="both"/>
              <w:rPr>
                <w:sz w:val="20"/>
                <w:lang w:val="fr-CA"/>
              </w:rPr>
            </w:pPr>
            <w:r w:rsidRPr="0010611E">
              <w:rPr>
                <w:sz w:val="20"/>
                <w:lang w:val="fr-CA"/>
              </w:rPr>
              <w:t>12 juillet 2017</w:t>
            </w:r>
          </w:p>
          <w:p w:rsidR="006B3BE3" w:rsidRPr="0010611E" w:rsidRDefault="006B3BE3" w:rsidP="00E209EC">
            <w:pPr>
              <w:jc w:val="both"/>
              <w:rPr>
                <w:sz w:val="20"/>
                <w:lang w:val="fr-CA"/>
              </w:rPr>
            </w:pPr>
            <w:r w:rsidRPr="0010611E">
              <w:rPr>
                <w:sz w:val="20"/>
                <w:lang w:val="fr-CA"/>
              </w:rPr>
              <w:t>Cour d’appel de la Colombie-Britannique</w:t>
            </w:r>
          </w:p>
          <w:p w:rsidR="006B3BE3" w:rsidRPr="0010611E" w:rsidRDefault="006B3BE3" w:rsidP="00E209EC">
            <w:pPr>
              <w:jc w:val="both"/>
              <w:rPr>
                <w:sz w:val="20"/>
                <w:lang w:val="fr-CA"/>
              </w:rPr>
            </w:pPr>
            <w:r w:rsidRPr="0010611E">
              <w:rPr>
                <w:sz w:val="20"/>
                <w:lang w:val="fr-CA"/>
              </w:rPr>
              <w:t>(Vancouver)</w:t>
            </w:r>
          </w:p>
          <w:p w:rsidR="006B3BE3" w:rsidRPr="0010611E" w:rsidRDefault="006B3BE3" w:rsidP="00E209EC">
            <w:pPr>
              <w:jc w:val="both"/>
              <w:rPr>
                <w:sz w:val="20"/>
                <w:lang w:val="fr-CA"/>
              </w:rPr>
            </w:pPr>
            <w:r w:rsidRPr="0010611E">
              <w:rPr>
                <w:sz w:val="20"/>
                <w:lang w:val="fr-CA"/>
              </w:rPr>
              <w:t xml:space="preserve">(Juges </w:t>
            </w:r>
            <w:proofErr w:type="spellStart"/>
            <w:r w:rsidRPr="0010611E">
              <w:rPr>
                <w:sz w:val="20"/>
                <w:lang w:val="fr-CA"/>
              </w:rPr>
              <w:t>Groberman</w:t>
            </w:r>
            <w:proofErr w:type="spellEnd"/>
            <w:r w:rsidRPr="0010611E">
              <w:rPr>
                <w:sz w:val="20"/>
                <w:lang w:val="fr-CA"/>
              </w:rPr>
              <w:t xml:space="preserve">, Harris et </w:t>
            </w:r>
            <w:proofErr w:type="spellStart"/>
            <w:r w:rsidRPr="0010611E">
              <w:rPr>
                <w:sz w:val="20"/>
                <w:lang w:val="fr-CA"/>
              </w:rPr>
              <w:t>Fenlon</w:t>
            </w:r>
            <w:proofErr w:type="spellEnd"/>
            <w:r w:rsidRPr="0010611E">
              <w:rPr>
                <w:sz w:val="20"/>
                <w:lang w:val="fr-CA"/>
              </w:rPr>
              <w:t>)</w:t>
            </w:r>
          </w:p>
          <w:p w:rsidR="006B3BE3" w:rsidRPr="0010611E" w:rsidRDefault="00B35ED9" w:rsidP="00E209EC">
            <w:pPr>
              <w:jc w:val="both"/>
              <w:rPr>
                <w:sz w:val="20"/>
                <w:lang w:val="fr-CA"/>
              </w:rPr>
            </w:pPr>
            <w:hyperlink r:id="rId25" w:history="1">
              <w:r w:rsidR="006B3BE3" w:rsidRPr="0010611E">
                <w:rPr>
                  <w:rStyle w:val="Hyperlink"/>
                  <w:sz w:val="20"/>
                  <w:lang w:val="fr-CA"/>
                </w:rPr>
                <w:t>2017 BCCA 255</w:t>
              </w:r>
            </w:hyperlink>
            <w:r w:rsidR="006B3BE3" w:rsidRPr="0010611E">
              <w:rPr>
                <w:sz w:val="20"/>
                <w:lang w:val="fr-CA"/>
              </w:rPr>
              <w:t xml:space="preserve"> </w:t>
            </w:r>
          </w:p>
          <w:p w:rsidR="006B3BE3" w:rsidRPr="0010611E" w:rsidRDefault="006B3BE3" w:rsidP="00E209EC">
            <w:pPr>
              <w:jc w:val="both"/>
              <w:rPr>
                <w:sz w:val="20"/>
                <w:lang w:val="fr-CA"/>
              </w:rPr>
            </w:pPr>
          </w:p>
        </w:tc>
        <w:tc>
          <w:tcPr>
            <w:tcW w:w="243" w:type="pct"/>
          </w:tcPr>
          <w:p w:rsidR="006B3BE3" w:rsidRPr="0010611E" w:rsidRDefault="006B3BE3" w:rsidP="00E209EC">
            <w:pPr>
              <w:jc w:val="both"/>
              <w:rPr>
                <w:sz w:val="20"/>
                <w:lang w:val="fr-CA"/>
              </w:rPr>
            </w:pPr>
          </w:p>
        </w:tc>
        <w:tc>
          <w:tcPr>
            <w:tcW w:w="2330" w:type="pct"/>
          </w:tcPr>
          <w:p w:rsidR="006B3BE3" w:rsidRPr="0010611E" w:rsidRDefault="006B3BE3" w:rsidP="00E209EC">
            <w:pPr>
              <w:jc w:val="both"/>
              <w:rPr>
                <w:sz w:val="20"/>
                <w:lang w:val="fr-CA"/>
              </w:rPr>
            </w:pPr>
            <w:r w:rsidRPr="0010611E">
              <w:rPr>
                <w:sz w:val="20"/>
                <w:lang w:val="fr-CA"/>
              </w:rPr>
              <w:t>Arrêt accueillant l’appel des intimés, annulant l’attribution de dommages-intérêts, rejetant les demandes et rejetant l’appel de la demanderesse.</w:t>
            </w:r>
          </w:p>
          <w:p w:rsidR="006B3BE3" w:rsidRPr="0010611E" w:rsidRDefault="006B3BE3" w:rsidP="00E209EC">
            <w:pPr>
              <w:jc w:val="both"/>
              <w:rPr>
                <w:sz w:val="20"/>
                <w:lang w:val="fr-CA"/>
              </w:rPr>
            </w:pPr>
          </w:p>
        </w:tc>
      </w:tr>
      <w:tr w:rsidR="006B3BE3" w:rsidRPr="00644959" w:rsidTr="00E209EC">
        <w:tc>
          <w:tcPr>
            <w:tcW w:w="2427" w:type="pct"/>
            <w:gridSpan w:val="2"/>
          </w:tcPr>
          <w:p w:rsidR="006B3BE3" w:rsidRPr="0010611E" w:rsidRDefault="006B3BE3" w:rsidP="00E209EC">
            <w:pPr>
              <w:jc w:val="both"/>
              <w:rPr>
                <w:sz w:val="20"/>
                <w:lang w:val="fr-CA"/>
              </w:rPr>
            </w:pPr>
            <w:r w:rsidRPr="0010611E">
              <w:rPr>
                <w:sz w:val="20"/>
                <w:lang w:val="fr-CA"/>
              </w:rPr>
              <w:t>28 septembre 2017</w:t>
            </w:r>
          </w:p>
          <w:p w:rsidR="006B3BE3" w:rsidRPr="0010611E" w:rsidRDefault="006B3BE3" w:rsidP="00E209EC">
            <w:pPr>
              <w:jc w:val="both"/>
              <w:rPr>
                <w:sz w:val="20"/>
                <w:lang w:val="fr-CA"/>
              </w:rPr>
            </w:pPr>
            <w:r w:rsidRPr="0010611E">
              <w:rPr>
                <w:sz w:val="20"/>
                <w:lang w:val="fr-CA"/>
              </w:rPr>
              <w:t>Cour suprême du Canada</w:t>
            </w:r>
          </w:p>
        </w:tc>
        <w:tc>
          <w:tcPr>
            <w:tcW w:w="243" w:type="pct"/>
          </w:tcPr>
          <w:p w:rsidR="006B3BE3" w:rsidRPr="0010611E" w:rsidRDefault="006B3BE3" w:rsidP="00E209EC">
            <w:pPr>
              <w:jc w:val="both"/>
              <w:rPr>
                <w:sz w:val="20"/>
                <w:lang w:val="fr-CA"/>
              </w:rPr>
            </w:pPr>
          </w:p>
        </w:tc>
        <w:tc>
          <w:tcPr>
            <w:tcW w:w="2330" w:type="pct"/>
          </w:tcPr>
          <w:p w:rsidR="006B3BE3" w:rsidRPr="0010611E" w:rsidRDefault="006B3BE3" w:rsidP="00E209EC">
            <w:pPr>
              <w:jc w:val="both"/>
              <w:rPr>
                <w:sz w:val="20"/>
                <w:lang w:val="fr-CA"/>
              </w:rPr>
            </w:pPr>
            <w:r w:rsidRPr="0010611E">
              <w:rPr>
                <w:sz w:val="20"/>
                <w:lang w:val="fr-CA"/>
              </w:rPr>
              <w:t>Dépôt de la demande d’autorisation d’appel.</w:t>
            </w:r>
          </w:p>
          <w:p w:rsidR="006B3BE3" w:rsidRPr="0010611E" w:rsidRDefault="006B3BE3" w:rsidP="00E209EC">
            <w:pPr>
              <w:jc w:val="both"/>
              <w:rPr>
                <w:sz w:val="20"/>
                <w:lang w:val="fr-CA"/>
              </w:rPr>
            </w:pPr>
          </w:p>
        </w:tc>
      </w:tr>
    </w:tbl>
    <w:p w:rsidR="006B3BE3" w:rsidRPr="0010611E" w:rsidRDefault="006B3BE3" w:rsidP="006B3BE3">
      <w:pPr>
        <w:jc w:val="both"/>
        <w:rPr>
          <w:sz w:val="20"/>
          <w:lang w:val="fr-CA"/>
        </w:rPr>
      </w:pPr>
    </w:p>
    <w:p w:rsidR="006B3BE3" w:rsidRPr="0010611E" w:rsidRDefault="006B3BE3">
      <w:pPr>
        <w:rPr>
          <w:sz w:val="20"/>
          <w:lang w:val="fr-CA"/>
        </w:rPr>
      </w:pPr>
      <w:r w:rsidRPr="0010611E">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B3BE3" w:rsidRPr="0010611E" w:rsidTr="00E209EC">
        <w:tc>
          <w:tcPr>
            <w:tcW w:w="543" w:type="pct"/>
          </w:tcPr>
          <w:p w:rsidR="006B3BE3" w:rsidRPr="0010611E" w:rsidRDefault="006B3BE3" w:rsidP="00E209EC">
            <w:pPr>
              <w:jc w:val="both"/>
              <w:rPr>
                <w:sz w:val="20"/>
              </w:rPr>
            </w:pPr>
            <w:r w:rsidRPr="0010611E">
              <w:rPr>
                <w:rStyle w:val="SCCFileNumberChar"/>
                <w:sz w:val="20"/>
                <w:szCs w:val="20"/>
              </w:rPr>
              <w:t>37800</w:t>
            </w:r>
          </w:p>
        </w:tc>
        <w:tc>
          <w:tcPr>
            <w:tcW w:w="4457" w:type="pct"/>
            <w:gridSpan w:val="3"/>
          </w:tcPr>
          <w:p w:rsidR="006B3BE3" w:rsidRPr="0010611E" w:rsidRDefault="006B3BE3" w:rsidP="00E209EC">
            <w:pPr>
              <w:pStyle w:val="SCCLsocParty"/>
              <w:jc w:val="both"/>
              <w:rPr>
                <w:b/>
                <w:sz w:val="20"/>
                <w:szCs w:val="20"/>
                <w:lang w:val="en-US"/>
              </w:rPr>
            </w:pPr>
            <w:r w:rsidRPr="0010611E">
              <w:rPr>
                <w:b/>
                <w:sz w:val="20"/>
                <w:szCs w:val="20"/>
                <w:lang w:val="en-US"/>
              </w:rPr>
              <w:t>Laura MacNutt/PIER 101 Home Designs Inc. v. Acadia University, T.A. Scott Architecture + Design Limited (3278638)</w:t>
            </w:r>
            <w:r w:rsidR="00416ED4" w:rsidRPr="0010611E">
              <w:rPr>
                <w:b/>
                <w:sz w:val="20"/>
                <w:szCs w:val="20"/>
                <w:lang w:val="en-US"/>
              </w:rPr>
              <w:t xml:space="preserve"> and</w:t>
            </w:r>
            <w:r w:rsidRPr="0010611E">
              <w:rPr>
                <w:b/>
                <w:sz w:val="20"/>
                <w:szCs w:val="20"/>
                <w:lang w:val="en-US"/>
              </w:rPr>
              <w:t xml:space="preserve"> Troy Scott</w:t>
            </w:r>
          </w:p>
          <w:p w:rsidR="006B3BE3" w:rsidRPr="0010611E" w:rsidRDefault="006B3BE3" w:rsidP="00E209EC">
            <w:pPr>
              <w:jc w:val="both"/>
              <w:rPr>
                <w:sz w:val="20"/>
              </w:rPr>
            </w:pPr>
            <w:r w:rsidRPr="0010611E">
              <w:rPr>
                <w:sz w:val="20"/>
              </w:rPr>
              <w:t>(N.S.) (Civil) (By Leave)</w:t>
            </w:r>
          </w:p>
        </w:tc>
      </w:tr>
      <w:tr w:rsidR="006B3BE3" w:rsidRPr="0010611E" w:rsidTr="00E209EC">
        <w:tc>
          <w:tcPr>
            <w:tcW w:w="543" w:type="pct"/>
          </w:tcPr>
          <w:p w:rsidR="006B3BE3" w:rsidRPr="0010611E" w:rsidRDefault="00BA0A09" w:rsidP="00E209EC">
            <w:pPr>
              <w:jc w:val="both"/>
              <w:rPr>
                <w:rStyle w:val="SCCFileNumberChar"/>
                <w:sz w:val="20"/>
                <w:szCs w:val="20"/>
              </w:rPr>
            </w:pPr>
            <w:r w:rsidRPr="0010611E">
              <w:rPr>
                <w:rStyle w:val="SCCFileNumberChar"/>
                <w:sz w:val="20"/>
                <w:szCs w:val="20"/>
              </w:rPr>
              <w:t>Coram:</w:t>
            </w:r>
          </w:p>
        </w:tc>
        <w:tc>
          <w:tcPr>
            <w:tcW w:w="4457" w:type="pct"/>
            <w:gridSpan w:val="3"/>
          </w:tcPr>
          <w:p w:rsidR="006B3BE3" w:rsidRPr="0010611E" w:rsidRDefault="00BA0A09" w:rsidP="00E209EC">
            <w:pPr>
              <w:pStyle w:val="SCCLsocParty"/>
              <w:jc w:val="both"/>
              <w:rPr>
                <w:b/>
                <w:sz w:val="20"/>
                <w:szCs w:val="20"/>
                <w:lang w:val="en-US"/>
              </w:rPr>
            </w:pPr>
            <w:r w:rsidRPr="0010611E">
              <w:rPr>
                <w:sz w:val="20"/>
                <w:lang w:val="en-US"/>
              </w:rPr>
              <w:t>Wagner C.J. and Abella, Moldaver, Karakatsanis, Gascon, Côté, Brown, Rowe and Martin JJ.</w:t>
            </w:r>
          </w:p>
        </w:tc>
      </w:tr>
      <w:tr w:rsidR="00BA0A09" w:rsidRPr="0010611E" w:rsidTr="00BA0A09">
        <w:tc>
          <w:tcPr>
            <w:tcW w:w="5000" w:type="pct"/>
            <w:gridSpan w:val="4"/>
          </w:tcPr>
          <w:p w:rsidR="00BA0A09" w:rsidRDefault="00BA0A09" w:rsidP="00E209EC">
            <w:pPr>
              <w:pStyle w:val="SCCLsocParty"/>
              <w:jc w:val="both"/>
              <w:rPr>
                <w:sz w:val="20"/>
                <w:lang w:val="en-US"/>
              </w:rPr>
            </w:pPr>
            <w:r w:rsidRPr="0010611E">
              <w:rPr>
                <w:sz w:val="20"/>
                <w:lang w:val="en-US"/>
              </w:rPr>
              <w:t>The application for leave to appeal from the judgment of the Nova Scotia Court of Appeal, Numbers CA455920 and CA458781, 2017 NSCA 57, dated June 20, 2017, is dismissed with costs to the respondents T.A. Scott Architecture + Design Limited (327638) and Troy Scott.</w:t>
            </w:r>
          </w:p>
          <w:p w:rsidR="00AD776D" w:rsidRPr="00AD776D" w:rsidRDefault="00AD776D" w:rsidP="00AD776D">
            <w:pPr>
              <w:rPr>
                <w:lang w:val="en-US"/>
              </w:rPr>
            </w:pPr>
          </w:p>
        </w:tc>
      </w:tr>
      <w:tr w:rsidR="006B3BE3" w:rsidRPr="0010611E" w:rsidTr="00E209EC">
        <w:trPr>
          <w:trHeight w:val="1575"/>
        </w:trPr>
        <w:tc>
          <w:tcPr>
            <w:tcW w:w="5000" w:type="pct"/>
            <w:gridSpan w:val="4"/>
          </w:tcPr>
          <w:p w:rsidR="006B3BE3" w:rsidRPr="0010611E" w:rsidRDefault="006B3BE3" w:rsidP="00E209EC">
            <w:pPr>
              <w:jc w:val="both"/>
              <w:rPr>
                <w:sz w:val="20"/>
              </w:rPr>
            </w:pPr>
            <w:r w:rsidRPr="0010611E">
              <w:rPr>
                <w:sz w:val="20"/>
              </w:rPr>
              <w:t xml:space="preserve">Intellectual property — Copyright — Infringement — Administrative law — Natural justice — Procedure — Self-represented litigants — Applicant hired to produce conceptual drawings for building expansion — Applicant alleging copyright infringement for unauthorized use of drawings — Whether Court of Appeal erred by refusing, and not giving reasonable notice of refusal prior to hearing of appeal, applicant’s motion to tender additional evidence — Whether Court of Appeal erred by erroneously applying </w:t>
            </w:r>
            <w:r w:rsidRPr="0010611E">
              <w:rPr>
                <w:i/>
                <w:sz w:val="20"/>
              </w:rPr>
              <w:t>R. v. Palmer</w:t>
            </w:r>
            <w:r w:rsidRPr="0010611E">
              <w:rPr>
                <w:sz w:val="20"/>
              </w:rPr>
              <w:t>, [1980] S.C.R. 759 to deny motion to tender additional evidence — Whether Court of Appeal erred by failing to conduct appeal hearing consistent with established principles with respect to self-represented litigants.</w:t>
            </w:r>
          </w:p>
        </w:tc>
      </w:tr>
      <w:tr w:rsidR="006B3BE3" w:rsidRPr="0010611E" w:rsidTr="00E209EC">
        <w:trPr>
          <w:trHeight w:val="81"/>
        </w:trPr>
        <w:tc>
          <w:tcPr>
            <w:tcW w:w="5000" w:type="pct"/>
            <w:gridSpan w:val="4"/>
          </w:tcPr>
          <w:p w:rsidR="006B3BE3" w:rsidRPr="0010611E" w:rsidRDefault="006B3BE3" w:rsidP="00E209EC">
            <w:pPr>
              <w:jc w:val="both"/>
              <w:rPr>
                <w:sz w:val="20"/>
              </w:rPr>
            </w:pPr>
          </w:p>
        </w:tc>
      </w:tr>
      <w:tr w:rsidR="006B3BE3" w:rsidRPr="0010611E" w:rsidTr="00E209EC">
        <w:tc>
          <w:tcPr>
            <w:tcW w:w="5000" w:type="pct"/>
            <w:gridSpan w:val="4"/>
          </w:tcPr>
          <w:p w:rsidR="006B3BE3" w:rsidRPr="0010611E" w:rsidRDefault="006B3BE3" w:rsidP="00E209EC">
            <w:pPr>
              <w:jc w:val="both"/>
              <w:rPr>
                <w:sz w:val="20"/>
              </w:rPr>
            </w:pPr>
            <w:r w:rsidRPr="0010611E">
              <w:rPr>
                <w:sz w:val="20"/>
              </w:rPr>
              <w:t>The applicant, Ms. MacNutt, is a building designer. She and her company (PIER 101 Home Designs Inc.) agreed to provide the respondent Acadia University with a promotional rendering and concept drawings for a potential building expansion, for a fixed fee. The University then used Ms. </w:t>
            </w:r>
            <w:proofErr w:type="spellStart"/>
            <w:r w:rsidRPr="0010611E">
              <w:rPr>
                <w:sz w:val="20"/>
              </w:rPr>
              <w:t>MacNutt’s</w:t>
            </w:r>
            <w:proofErr w:type="spellEnd"/>
            <w:r w:rsidRPr="0010611E">
              <w:rPr>
                <w:sz w:val="20"/>
              </w:rPr>
              <w:t xml:space="preserve"> drawings for presentation purposes to help with fundraising efforts for the project. Once funding had been secured, the University retained the respondent Troy Scott, and his company, the respondent T.A. Scott Architecture + Design Limited, to proceed with the project. Ms. MacNutt discovered that a newspaper concerning a public information meeting about the project included an image of Ms. </w:t>
            </w:r>
            <w:proofErr w:type="spellStart"/>
            <w:r w:rsidRPr="0010611E">
              <w:rPr>
                <w:sz w:val="20"/>
              </w:rPr>
              <w:t>MacNutt’s</w:t>
            </w:r>
            <w:proofErr w:type="spellEnd"/>
            <w:r w:rsidRPr="0010611E">
              <w:rPr>
                <w:sz w:val="20"/>
              </w:rPr>
              <w:t xml:space="preserve"> drawings, but did not credit her as the author of the drawings. Ms. MacNutt alleges that the respondents infringed her copyright in the drawings.</w:t>
            </w:r>
          </w:p>
          <w:p w:rsidR="006B3BE3" w:rsidRPr="0010611E" w:rsidRDefault="006B3BE3" w:rsidP="00E209EC">
            <w:pPr>
              <w:jc w:val="both"/>
              <w:rPr>
                <w:sz w:val="20"/>
              </w:rPr>
            </w:pPr>
          </w:p>
          <w:p w:rsidR="006B3BE3" w:rsidRPr="0010611E" w:rsidRDefault="006B3BE3" w:rsidP="00E209EC">
            <w:pPr>
              <w:jc w:val="both"/>
              <w:rPr>
                <w:sz w:val="20"/>
              </w:rPr>
            </w:pPr>
            <w:r w:rsidRPr="0010611E">
              <w:rPr>
                <w:sz w:val="20"/>
              </w:rPr>
              <w:t>The application judge dismissed Ms. </w:t>
            </w:r>
            <w:proofErr w:type="spellStart"/>
            <w:r w:rsidRPr="0010611E">
              <w:rPr>
                <w:sz w:val="20"/>
              </w:rPr>
              <w:t>MacNutt’s</w:t>
            </w:r>
            <w:proofErr w:type="spellEnd"/>
            <w:r w:rsidRPr="0010611E">
              <w:rPr>
                <w:sz w:val="20"/>
              </w:rPr>
              <w:t xml:space="preserve"> application for copyright infringement, finding that Ms. MacNutt failed to establish that the respondents were involved in any unauthorized taking of her original drawings, as the Scott design was separate and distinct from Ms. </w:t>
            </w:r>
            <w:proofErr w:type="spellStart"/>
            <w:r w:rsidRPr="0010611E">
              <w:rPr>
                <w:sz w:val="20"/>
              </w:rPr>
              <w:t>MacNutt’s</w:t>
            </w:r>
            <w:proofErr w:type="spellEnd"/>
            <w:r w:rsidRPr="0010611E">
              <w:rPr>
                <w:sz w:val="20"/>
              </w:rPr>
              <w:t xml:space="preserve"> design. The Court of Appeal denied Ms. </w:t>
            </w:r>
            <w:proofErr w:type="spellStart"/>
            <w:r w:rsidRPr="0010611E">
              <w:rPr>
                <w:sz w:val="20"/>
              </w:rPr>
              <w:t>MacNutt’s</w:t>
            </w:r>
            <w:proofErr w:type="spellEnd"/>
            <w:r w:rsidRPr="0010611E">
              <w:rPr>
                <w:sz w:val="20"/>
              </w:rPr>
              <w:t xml:space="preserve"> motion to adduce fresh evidence in support of her complaint that the application judge failed to respect the principles of natural justice, and dismissed this ground of appeal. The Court of Appeal also dismissed Ms. </w:t>
            </w:r>
            <w:proofErr w:type="spellStart"/>
            <w:r w:rsidRPr="0010611E">
              <w:rPr>
                <w:sz w:val="20"/>
              </w:rPr>
              <w:t>MacNutt’s</w:t>
            </w:r>
            <w:proofErr w:type="spellEnd"/>
            <w:r w:rsidRPr="0010611E">
              <w:rPr>
                <w:sz w:val="20"/>
              </w:rPr>
              <w:t xml:space="preserve"> appeal on the merits, finding no reviewable error in the application judge’s decision or his findings of fact.</w:t>
            </w:r>
          </w:p>
          <w:p w:rsidR="006B3BE3" w:rsidRPr="0010611E" w:rsidRDefault="006B3BE3" w:rsidP="00E209EC">
            <w:pPr>
              <w:jc w:val="both"/>
              <w:rPr>
                <w:sz w:val="20"/>
              </w:rPr>
            </w:pPr>
          </w:p>
        </w:tc>
      </w:tr>
      <w:tr w:rsidR="006B3BE3" w:rsidRPr="0010611E" w:rsidTr="00E209EC">
        <w:tc>
          <w:tcPr>
            <w:tcW w:w="2427" w:type="pct"/>
            <w:gridSpan w:val="2"/>
          </w:tcPr>
          <w:p w:rsidR="006B3BE3" w:rsidRPr="0010611E" w:rsidRDefault="006B3BE3" w:rsidP="00E209EC">
            <w:pPr>
              <w:jc w:val="both"/>
              <w:rPr>
                <w:sz w:val="20"/>
              </w:rPr>
            </w:pPr>
            <w:r w:rsidRPr="0010611E">
              <w:rPr>
                <w:sz w:val="20"/>
              </w:rPr>
              <w:t>June 21, 2016</w:t>
            </w:r>
          </w:p>
          <w:p w:rsidR="006B3BE3" w:rsidRPr="0010611E" w:rsidRDefault="006B3BE3" w:rsidP="00E209EC">
            <w:pPr>
              <w:jc w:val="both"/>
              <w:rPr>
                <w:sz w:val="20"/>
              </w:rPr>
            </w:pPr>
            <w:r w:rsidRPr="0010611E">
              <w:rPr>
                <w:sz w:val="20"/>
              </w:rPr>
              <w:t>Supreme Court of Nova Scotia (Trial Division)</w:t>
            </w:r>
          </w:p>
          <w:p w:rsidR="006B3BE3" w:rsidRPr="0010611E" w:rsidRDefault="006B3BE3" w:rsidP="00E209EC">
            <w:pPr>
              <w:jc w:val="both"/>
              <w:rPr>
                <w:sz w:val="20"/>
              </w:rPr>
            </w:pPr>
            <w:r w:rsidRPr="0010611E">
              <w:rPr>
                <w:sz w:val="20"/>
              </w:rPr>
              <w:t>(</w:t>
            </w:r>
            <w:proofErr w:type="spellStart"/>
            <w:r w:rsidRPr="0010611E">
              <w:rPr>
                <w:sz w:val="20"/>
              </w:rPr>
              <w:t>Chipman</w:t>
            </w:r>
            <w:proofErr w:type="spellEnd"/>
            <w:r w:rsidRPr="0010611E">
              <w:rPr>
                <w:sz w:val="20"/>
              </w:rPr>
              <w:t xml:space="preserve"> J.)</w:t>
            </w:r>
          </w:p>
          <w:p w:rsidR="006B3BE3" w:rsidRPr="0010611E" w:rsidRDefault="00B35ED9" w:rsidP="00E209EC">
            <w:pPr>
              <w:jc w:val="both"/>
              <w:rPr>
                <w:sz w:val="20"/>
              </w:rPr>
            </w:pPr>
            <w:hyperlink r:id="rId26" w:history="1">
              <w:r w:rsidR="006B3BE3" w:rsidRPr="0010611E">
                <w:rPr>
                  <w:rStyle w:val="Hyperlink"/>
                  <w:sz w:val="20"/>
                </w:rPr>
                <w:t>2016 NSSC 160</w:t>
              </w:r>
            </w:hyperlink>
          </w:p>
          <w:p w:rsidR="006B3BE3" w:rsidRPr="0010611E" w:rsidRDefault="006B3BE3" w:rsidP="00E209EC">
            <w:pPr>
              <w:jc w:val="both"/>
              <w:rPr>
                <w:sz w:val="20"/>
              </w:rPr>
            </w:pPr>
          </w:p>
        </w:tc>
        <w:tc>
          <w:tcPr>
            <w:tcW w:w="243" w:type="pct"/>
          </w:tcPr>
          <w:p w:rsidR="006B3BE3" w:rsidRPr="0010611E" w:rsidRDefault="006B3BE3" w:rsidP="00E209EC">
            <w:pPr>
              <w:jc w:val="both"/>
              <w:rPr>
                <w:sz w:val="20"/>
              </w:rPr>
            </w:pPr>
          </w:p>
        </w:tc>
        <w:tc>
          <w:tcPr>
            <w:tcW w:w="2330" w:type="pct"/>
          </w:tcPr>
          <w:p w:rsidR="006B3BE3" w:rsidRPr="0010611E" w:rsidRDefault="006B3BE3" w:rsidP="00E209EC">
            <w:pPr>
              <w:jc w:val="both"/>
              <w:rPr>
                <w:sz w:val="20"/>
              </w:rPr>
            </w:pPr>
            <w:r w:rsidRPr="0010611E">
              <w:rPr>
                <w:sz w:val="20"/>
              </w:rPr>
              <w:t>Ms. </w:t>
            </w:r>
            <w:proofErr w:type="spellStart"/>
            <w:r w:rsidRPr="0010611E">
              <w:rPr>
                <w:sz w:val="20"/>
              </w:rPr>
              <w:t>MacNutt’s</w:t>
            </w:r>
            <w:proofErr w:type="spellEnd"/>
            <w:r w:rsidRPr="0010611E">
              <w:rPr>
                <w:sz w:val="20"/>
              </w:rPr>
              <w:t xml:space="preserve"> application seeking redress for copyright infringement, dismissed </w:t>
            </w:r>
          </w:p>
        </w:tc>
      </w:tr>
      <w:tr w:rsidR="006B3BE3" w:rsidRPr="0010611E" w:rsidTr="00E209EC">
        <w:tc>
          <w:tcPr>
            <w:tcW w:w="2427" w:type="pct"/>
            <w:gridSpan w:val="2"/>
          </w:tcPr>
          <w:p w:rsidR="006B3BE3" w:rsidRPr="0010611E" w:rsidRDefault="006B3BE3" w:rsidP="00E209EC">
            <w:pPr>
              <w:jc w:val="both"/>
              <w:rPr>
                <w:sz w:val="20"/>
              </w:rPr>
            </w:pPr>
            <w:r w:rsidRPr="0010611E">
              <w:rPr>
                <w:sz w:val="20"/>
              </w:rPr>
              <w:t>June 20 and June 21, 2017</w:t>
            </w:r>
          </w:p>
          <w:p w:rsidR="006B3BE3" w:rsidRPr="0010611E" w:rsidRDefault="006B3BE3" w:rsidP="00E209EC">
            <w:pPr>
              <w:jc w:val="both"/>
              <w:rPr>
                <w:sz w:val="20"/>
              </w:rPr>
            </w:pPr>
            <w:r w:rsidRPr="0010611E">
              <w:rPr>
                <w:sz w:val="20"/>
              </w:rPr>
              <w:t>Nova Scotia Court of Appeal</w:t>
            </w:r>
          </w:p>
          <w:p w:rsidR="006B3BE3" w:rsidRPr="0010611E" w:rsidRDefault="006B3BE3" w:rsidP="00E209EC">
            <w:pPr>
              <w:jc w:val="both"/>
              <w:rPr>
                <w:sz w:val="20"/>
              </w:rPr>
            </w:pPr>
            <w:r w:rsidRPr="0010611E">
              <w:rPr>
                <w:sz w:val="20"/>
              </w:rPr>
              <w:t xml:space="preserve">(MacDonald C.J.N.S., and </w:t>
            </w:r>
            <w:proofErr w:type="spellStart"/>
            <w:r w:rsidRPr="0010611E">
              <w:rPr>
                <w:sz w:val="20"/>
              </w:rPr>
              <w:t>Fichaud</w:t>
            </w:r>
            <w:proofErr w:type="spellEnd"/>
            <w:r w:rsidRPr="0010611E">
              <w:rPr>
                <w:sz w:val="20"/>
              </w:rPr>
              <w:t xml:space="preserve"> and Van </w:t>
            </w:r>
          </w:p>
          <w:p w:rsidR="006B3BE3" w:rsidRPr="0010611E" w:rsidRDefault="006B3BE3" w:rsidP="00E209EC">
            <w:pPr>
              <w:jc w:val="both"/>
              <w:rPr>
                <w:sz w:val="20"/>
              </w:rPr>
            </w:pPr>
            <w:proofErr w:type="gramStart"/>
            <w:r w:rsidRPr="0010611E">
              <w:rPr>
                <w:sz w:val="20"/>
              </w:rPr>
              <w:t>den</w:t>
            </w:r>
            <w:proofErr w:type="gramEnd"/>
            <w:r w:rsidRPr="0010611E">
              <w:rPr>
                <w:sz w:val="20"/>
              </w:rPr>
              <w:t xml:space="preserve"> </w:t>
            </w:r>
            <w:proofErr w:type="spellStart"/>
            <w:r w:rsidRPr="0010611E">
              <w:rPr>
                <w:sz w:val="20"/>
              </w:rPr>
              <w:t>Eynden</w:t>
            </w:r>
            <w:proofErr w:type="spellEnd"/>
            <w:r w:rsidRPr="0010611E">
              <w:rPr>
                <w:sz w:val="20"/>
              </w:rPr>
              <w:t xml:space="preserve"> JJ.A.)</w:t>
            </w:r>
          </w:p>
          <w:p w:rsidR="006B3BE3" w:rsidRPr="0010611E" w:rsidRDefault="00B35ED9" w:rsidP="00E209EC">
            <w:pPr>
              <w:jc w:val="both"/>
              <w:rPr>
                <w:rStyle w:val="Hyperlink"/>
                <w:sz w:val="20"/>
              </w:rPr>
            </w:pPr>
            <w:hyperlink r:id="rId27" w:history="1">
              <w:r w:rsidR="006B3BE3" w:rsidRPr="0010611E">
                <w:rPr>
                  <w:rStyle w:val="Hyperlink"/>
                  <w:sz w:val="20"/>
                </w:rPr>
                <w:t>2017 NSCA 57</w:t>
              </w:r>
            </w:hyperlink>
          </w:p>
          <w:p w:rsidR="006B3BE3" w:rsidRPr="0010611E" w:rsidRDefault="006B3BE3" w:rsidP="00E209EC">
            <w:pPr>
              <w:jc w:val="both"/>
              <w:rPr>
                <w:sz w:val="20"/>
              </w:rPr>
            </w:pPr>
          </w:p>
        </w:tc>
        <w:tc>
          <w:tcPr>
            <w:tcW w:w="243" w:type="pct"/>
          </w:tcPr>
          <w:p w:rsidR="006B3BE3" w:rsidRPr="0010611E" w:rsidRDefault="006B3BE3" w:rsidP="00E209EC">
            <w:pPr>
              <w:jc w:val="both"/>
              <w:rPr>
                <w:sz w:val="20"/>
              </w:rPr>
            </w:pPr>
          </w:p>
        </w:tc>
        <w:tc>
          <w:tcPr>
            <w:tcW w:w="2330" w:type="pct"/>
          </w:tcPr>
          <w:p w:rsidR="006B3BE3" w:rsidRPr="0010611E" w:rsidRDefault="006B3BE3" w:rsidP="00E209EC">
            <w:pPr>
              <w:jc w:val="both"/>
              <w:rPr>
                <w:sz w:val="20"/>
              </w:rPr>
            </w:pPr>
            <w:r w:rsidRPr="0010611E">
              <w:rPr>
                <w:sz w:val="20"/>
              </w:rPr>
              <w:t>Ms. </w:t>
            </w:r>
            <w:proofErr w:type="spellStart"/>
            <w:r w:rsidRPr="0010611E">
              <w:rPr>
                <w:sz w:val="20"/>
              </w:rPr>
              <w:t>MacNutt’s</w:t>
            </w:r>
            <w:proofErr w:type="spellEnd"/>
            <w:r w:rsidRPr="0010611E">
              <w:rPr>
                <w:sz w:val="20"/>
              </w:rPr>
              <w:t xml:space="preserve"> appeal, dismissed </w:t>
            </w:r>
          </w:p>
          <w:p w:rsidR="006B3BE3" w:rsidRPr="0010611E" w:rsidRDefault="006B3BE3" w:rsidP="00E209EC">
            <w:pPr>
              <w:jc w:val="both"/>
              <w:rPr>
                <w:sz w:val="20"/>
              </w:rPr>
            </w:pPr>
            <w:r w:rsidRPr="0010611E">
              <w:rPr>
                <w:sz w:val="20"/>
              </w:rPr>
              <w:t>(amended order issued on June 21, 2017, to clarify costs award)</w:t>
            </w:r>
          </w:p>
          <w:p w:rsidR="006B3BE3" w:rsidRPr="0010611E" w:rsidRDefault="006B3BE3" w:rsidP="00E209EC">
            <w:pPr>
              <w:jc w:val="both"/>
              <w:rPr>
                <w:sz w:val="20"/>
              </w:rPr>
            </w:pPr>
          </w:p>
        </w:tc>
      </w:tr>
      <w:tr w:rsidR="006B3BE3" w:rsidRPr="0010611E" w:rsidTr="00E209EC">
        <w:tc>
          <w:tcPr>
            <w:tcW w:w="2427" w:type="pct"/>
            <w:gridSpan w:val="2"/>
          </w:tcPr>
          <w:p w:rsidR="006B3BE3" w:rsidRPr="0010611E" w:rsidRDefault="006B3BE3" w:rsidP="00E209EC">
            <w:pPr>
              <w:jc w:val="both"/>
              <w:rPr>
                <w:sz w:val="20"/>
              </w:rPr>
            </w:pPr>
            <w:r w:rsidRPr="0010611E">
              <w:rPr>
                <w:sz w:val="20"/>
              </w:rPr>
              <w:t>September 19, 2017</w:t>
            </w:r>
          </w:p>
          <w:p w:rsidR="006B3BE3" w:rsidRPr="0010611E" w:rsidRDefault="006B3BE3" w:rsidP="00E209EC">
            <w:pPr>
              <w:jc w:val="both"/>
              <w:rPr>
                <w:sz w:val="20"/>
              </w:rPr>
            </w:pPr>
            <w:r w:rsidRPr="0010611E">
              <w:rPr>
                <w:sz w:val="20"/>
              </w:rPr>
              <w:t>Supreme Court of Canada</w:t>
            </w:r>
          </w:p>
        </w:tc>
        <w:tc>
          <w:tcPr>
            <w:tcW w:w="243" w:type="pct"/>
          </w:tcPr>
          <w:p w:rsidR="006B3BE3" w:rsidRPr="0010611E" w:rsidRDefault="006B3BE3" w:rsidP="00E209EC">
            <w:pPr>
              <w:jc w:val="both"/>
              <w:rPr>
                <w:sz w:val="20"/>
              </w:rPr>
            </w:pPr>
          </w:p>
        </w:tc>
        <w:tc>
          <w:tcPr>
            <w:tcW w:w="2330" w:type="pct"/>
          </w:tcPr>
          <w:p w:rsidR="006B3BE3" w:rsidRPr="0010611E" w:rsidRDefault="006B3BE3" w:rsidP="00E209EC">
            <w:pPr>
              <w:jc w:val="both"/>
              <w:rPr>
                <w:sz w:val="20"/>
              </w:rPr>
            </w:pPr>
            <w:r w:rsidRPr="0010611E">
              <w:rPr>
                <w:sz w:val="20"/>
              </w:rPr>
              <w:t>Application for leave to appeal filed</w:t>
            </w:r>
          </w:p>
        </w:tc>
      </w:tr>
    </w:tbl>
    <w:p w:rsidR="006B3BE3" w:rsidRPr="0010611E" w:rsidRDefault="006B3BE3" w:rsidP="006B3BE3">
      <w:pPr>
        <w:jc w:val="both"/>
        <w:rPr>
          <w:sz w:val="20"/>
        </w:rPr>
      </w:pPr>
    </w:p>
    <w:p w:rsidR="006B3BE3" w:rsidRPr="0010611E" w:rsidRDefault="006B3BE3">
      <w:pPr>
        <w:rPr>
          <w:sz w:val="20"/>
        </w:rPr>
      </w:pPr>
      <w:r w:rsidRPr="0010611E">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B3BE3" w:rsidRPr="0010611E" w:rsidTr="00E209EC">
        <w:tc>
          <w:tcPr>
            <w:tcW w:w="543" w:type="pct"/>
          </w:tcPr>
          <w:p w:rsidR="006B3BE3" w:rsidRPr="0010611E" w:rsidRDefault="006B3BE3" w:rsidP="00E209EC">
            <w:pPr>
              <w:jc w:val="both"/>
              <w:rPr>
                <w:sz w:val="20"/>
                <w:lang w:val="fr-CA"/>
              </w:rPr>
            </w:pPr>
            <w:r w:rsidRPr="0010611E">
              <w:rPr>
                <w:rStyle w:val="SCCFileNumberChar"/>
                <w:sz w:val="20"/>
                <w:szCs w:val="20"/>
                <w:lang w:val="fr-CA"/>
              </w:rPr>
              <w:t>37800</w:t>
            </w:r>
          </w:p>
        </w:tc>
        <w:tc>
          <w:tcPr>
            <w:tcW w:w="4457" w:type="pct"/>
            <w:gridSpan w:val="3"/>
          </w:tcPr>
          <w:p w:rsidR="006B3BE3" w:rsidRPr="0010611E" w:rsidRDefault="006B3BE3" w:rsidP="00E209EC">
            <w:pPr>
              <w:pStyle w:val="SCCLsocParty"/>
              <w:jc w:val="both"/>
              <w:rPr>
                <w:b/>
                <w:sz w:val="20"/>
                <w:szCs w:val="20"/>
                <w:lang w:val="en-US"/>
              </w:rPr>
            </w:pPr>
            <w:r w:rsidRPr="0010611E">
              <w:rPr>
                <w:b/>
                <w:sz w:val="20"/>
                <w:szCs w:val="20"/>
                <w:lang w:val="en-US"/>
              </w:rPr>
              <w:t>Laura MacNutt/PIER 101 Home Designs Inc. c. Acadia University, T.A. Scott Architecture + Design Limited (3278638)</w:t>
            </w:r>
            <w:r w:rsidR="002901F1" w:rsidRPr="0010611E">
              <w:rPr>
                <w:b/>
                <w:sz w:val="20"/>
                <w:szCs w:val="20"/>
                <w:lang w:val="en-US"/>
              </w:rPr>
              <w:t xml:space="preserve"> et</w:t>
            </w:r>
            <w:r w:rsidRPr="0010611E">
              <w:rPr>
                <w:b/>
                <w:sz w:val="20"/>
                <w:szCs w:val="20"/>
                <w:lang w:val="en-US"/>
              </w:rPr>
              <w:t xml:space="preserve"> Troy Scott</w:t>
            </w:r>
          </w:p>
          <w:p w:rsidR="006B3BE3" w:rsidRPr="0010611E" w:rsidRDefault="006B3BE3" w:rsidP="00E209EC">
            <w:pPr>
              <w:jc w:val="both"/>
              <w:rPr>
                <w:sz w:val="20"/>
                <w:lang w:val="fr-CA"/>
              </w:rPr>
            </w:pPr>
            <w:r w:rsidRPr="0010611E">
              <w:rPr>
                <w:sz w:val="20"/>
                <w:lang w:val="fr-CA"/>
              </w:rPr>
              <w:t>(N.-É.) (Civile) (Autorisation)</w:t>
            </w:r>
          </w:p>
        </w:tc>
      </w:tr>
      <w:tr w:rsidR="006B3BE3" w:rsidRPr="00644959" w:rsidTr="00E209EC">
        <w:tc>
          <w:tcPr>
            <w:tcW w:w="543" w:type="pct"/>
          </w:tcPr>
          <w:p w:rsidR="006B3BE3" w:rsidRPr="0010611E" w:rsidRDefault="00751E22" w:rsidP="00E209EC">
            <w:pPr>
              <w:jc w:val="both"/>
              <w:rPr>
                <w:rStyle w:val="SCCFileNumberChar"/>
                <w:sz w:val="20"/>
                <w:szCs w:val="20"/>
                <w:lang w:val="fr-CA"/>
              </w:rPr>
            </w:pPr>
            <w:r w:rsidRPr="0010611E">
              <w:rPr>
                <w:rStyle w:val="SCCFileNumberChar"/>
                <w:sz w:val="20"/>
                <w:szCs w:val="20"/>
                <w:lang w:val="fr-CA"/>
              </w:rPr>
              <w:t>Coram :</w:t>
            </w:r>
          </w:p>
        </w:tc>
        <w:tc>
          <w:tcPr>
            <w:tcW w:w="4457" w:type="pct"/>
            <w:gridSpan w:val="3"/>
          </w:tcPr>
          <w:p w:rsidR="006B3BE3" w:rsidRPr="0010611E" w:rsidRDefault="00751E22" w:rsidP="00E209EC">
            <w:pPr>
              <w:pStyle w:val="SCCLsocParty"/>
              <w:jc w:val="both"/>
              <w:rPr>
                <w:b/>
                <w:sz w:val="20"/>
                <w:szCs w:val="20"/>
              </w:rPr>
            </w:pPr>
            <w:r w:rsidRPr="0010611E">
              <w:rPr>
                <w:sz w:val="20"/>
                <w:lang w:val="fr-FR"/>
              </w:rPr>
              <w:t>Le juge en chef Wagner et les juges Abella, Moldaver, Karakatsanis, Gascon, Côté, Brown, Rowe et Martin</w:t>
            </w:r>
          </w:p>
        </w:tc>
      </w:tr>
      <w:tr w:rsidR="00751E22" w:rsidRPr="00644959" w:rsidTr="00751E22">
        <w:tc>
          <w:tcPr>
            <w:tcW w:w="5000" w:type="pct"/>
            <w:gridSpan w:val="4"/>
          </w:tcPr>
          <w:p w:rsidR="00751E22" w:rsidRDefault="00751E22" w:rsidP="00E209EC">
            <w:pPr>
              <w:pStyle w:val="SCCLsocParty"/>
              <w:jc w:val="both"/>
              <w:rPr>
                <w:sz w:val="20"/>
                <w:lang w:val="fr-FR"/>
              </w:rPr>
            </w:pPr>
            <w:r w:rsidRPr="0010611E">
              <w:rPr>
                <w:sz w:val="20"/>
              </w:rPr>
              <w:t xml:space="preserve">La demande d’autorisation d’appel de l’arrêt de la </w:t>
            </w:r>
            <w:r w:rsidRPr="0010611E">
              <w:rPr>
                <w:sz w:val="20"/>
                <w:lang w:val="fr-FR"/>
              </w:rPr>
              <w:t>Cour d’appel de la Nouvelle-Écosse</w:t>
            </w:r>
            <w:r w:rsidRPr="0010611E">
              <w:rPr>
                <w:sz w:val="20"/>
              </w:rPr>
              <w:t>, numéro</w:t>
            </w:r>
            <w:r w:rsidRPr="0010611E">
              <w:rPr>
                <w:sz w:val="20"/>
                <w:lang w:val="fr-FR"/>
              </w:rPr>
              <w:t>s CA455920 et CA458781</w:t>
            </w:r>
            <w:r w:rsidRPr="0010611E">
              <w:rPr>
                <w:sz w:val="20"/>
              </w:rPr>
              <w:t xml:space="preserve">, 2017 NSCA 57, daté du </w:t>
            </w:r>
            <w:r w:rsidRPr="0010611E">
              <w:rPr>
                <w:sz w:val="20"/>
                <w:lang w:val="fr-FR"/>
              </w:rPr>
              <w:t>20 juin 2017</w:t>
            </w:r>
            <w:r w:rsidRPr="0010611E">
              <w:rPr>
                <w:sz w:val="20"/>
              </w:rPr>
              <w:t xml:space="preserve">, est rejetée avec dépens en faveur des intimés, </w:t>
            </w:r>
            <w:r w:rsidRPr="0010611E">
              <w:rPr>
                <w:sz w:val="20"/>
                <w:lang w:val="fr-FR"/>
              </w:rPr>
              <w:t>T.A. Scott Architecture + Design Limited (327638) et Troy Scott.</w:t>
            </w:r>
          </w:p>
          <w:p w:rsidR="00AD776D" w:rsidRPr="00AD776D" w:rsidRDefault="00AD776D" w:rsidP="00AD776D">
            <w:pPr>
              <w:rPr>
                <w:lang w:val="fr-FR"/>
              </w:rPr>
            </w:pPr>
          </w:p>
        </w:tc>
      </w:tr>
      <w:tr w:rsidR="006B3BE3" w:rsidRPr="00644959" w:rsidTr="00E209EC">
        <w:trPr>
          <w:trHeight w:val="1854"/>
        </w:trPr>
        <w:tc>
          <w:tcPr>
            <w:tcW w:w="5000" w:type="pct"/>
            <w:gridSpan w:val="4"/>
          </w:tcPr>
          <w:p w:rsidR="006B3BE3" w:rsidRPr="0010611E" w:rsidRDefault="006B3BE3" w:rsidP="00E209EC">
            <w:pPr>
              <w:jc w:val="both"/>
              <w:rPr>
                <w:sz w:val="20"/>
                <w:lang w:val="fr-CA"/>
              </w:rPr>
            </w:pPr>
            <w:r w:rsidRPr="0010611E">
              <w:rPr>
                <w:sz w:val="20"/>
                <w:lang w:val="fr-CA"/>
              </w:rPr>
              <w:t xml:space="preserve">Propriété intellectuelle — Droit d’auteur — Contrefaçon — Droit administratif — Justice naturelle — Procédure — Plaideurs non représentés — La demanderesse a été embauchée afin de produire des dessins conceptuels pour l’agrandissement d’un bâtiment — La demanderesse allègue la violation du droit d’auteur pour l’utilisation non autorisée des dessins — La Cour d’appel a-t-elle commis une erreur en rejetant la requête de la demanderesse en vue de présenter une nouvelle preuve et en ne donnant pas d’avis raisonnable du rejet avant d’entendre l’appel? — La Cour d’appel a-t-elle commis une erreur en appliquant à tort l’arrêt </w:t>
            </w:r>
            <w:r w:rsidRPr="0010611E">
              <w:rPr>
                <w:i/>
                <w:sz w:val="20"/>
                <w:lang w:val="fr-CA"/>
              </w:rPr>
              <w:t>R. c. Palmer</w:t>
            </w:r>
            <w:r w:rsidRPr="0010611E">
              <w:rPr>
                <w:sz w:val="20"/>
                <w:lang w:val="fr-CA"/>
              </w:rPr>
              <w:t>, [1980] R.C.S. 759 pour rejeter la requête en vue de présenter une nouvelle preuve? — La Cour d’appel a-t-elle commis une erreur en n’instruisant pas l’appel conformément aux principes établis à l’égard des plaideurs non représentés?</w:t>
            </w:r>
          </w:p>
        </w:tc>
      </w:tr>
      <w:tr w:rsidR="006B3BE3" w:rsidRPr="00644959" w:rsidTr="00E209EC">
        <w:trPr>
          <w:trHeight w:val="81"/>
        </w:trPr>
        <w:tc>
          <w:tcPr>
            <w:tcW w:w="5000" w:type="pct"/>
            <w:gridSpan w:val="4"/>
          </w:tcPr>
          <w:p w:rsidR="006B3BE3" w:rsidRPr="0010611E" w:rsidRDefault="006B3BE3" w:rsidP="00E209EC">
            <w:pPr>
              <w:jc w:val="both"/>
              <w:rPr>
                <w:sz w:val="20"/>
                <w:lang w:val="fr-CA"/>
              </w:rPr>
            </w:pPr>
          </w:p>
        </w:tc>
      </w:tr>
      <w:tr w:rsidR="006B3BE3" w:rsidRPr="00644959" w:rsidTr="00E209EC">
        <w:tc>
          <w:tcPr>
            <w:tcW w:w="5000" w:type="pct"/>
            <w:gridSpan w:val="4"/>
          </w:tcPr>
          <w:p w:rsidR="006B3BE3" w:rsidRPr="0010611E" w:rsidRDefault="006B3BE3" w:rsidP="00E209EC">
            <w:pPr>
              <w:jc w:val="both"/>
              <w:rPr>
                <w:sz w:val="20"/>
                <w:lang w:val="fr-CA"/>
              </w:rPr>
            </w:pPr>
            <w:r w:rsidRPr="0010611E">
              <w:rPr>
                <w:sz w:val="20"/>
                <w:lang w:val="fr-CA"/>
              </w:rPr>
              <w:t xml:space="preserve">La demanderesse, Mme MacNutt, est conceptrice de bâtiment. Elle et sa compagnie (PIER 101 Home Designs Inc.) ont accepté de fournir à l’Université </w:t>
            </w:r>
            <w:proofErr w:type="spellStart"/>
            <w:r w:rsidRPr="0010611E">
              <w:rPr>
                <w:sz w:val="20"/>
                <w:lang w:val="fr-CA"/>
              </w:rPr>
              <w:t>Acadia</w:t>
            </w:r>
            <w:proofErr w:type="spellEnd"/>
            <w:r w:rsidRPr="0010611E">
              <w:rPr>
                <w:sz w:val="20"/>
                <w:lang w:val="fr-CA"/>
              </w:rPr>
              <w:t xml:space="preserve">, intimée, un rendu promotionnel et des dessins conceptuels pour un éventuel agrandissement de bâtiment, moyennant un tarif fixe. L’Université a ensuite utilisé les dessins de Mme MacNutt à des fins de présentation pour soutenir des efforts de financement du projet. Lorsque le financement a été obtenu, l’Université a confié à Troy Scott, intimé, et à sa compagnie, T.A. Scott Architecture + Design Limited, intimée, le mandat d’exécuter le projet. Madame MacNutt </w:t>
            </w:r>
            <w:proofErr w:type="gramStart"/>
            <w:r w:rsidRPr="0010611E">
              <w:rPr>
                <w:sz w:val="20"/>
                <w:lang w:val="fr-CA"/>
              </w:rPr>
              <w:t>a</w:t>
            </w:r>
            <w:proofErr w:type="gramEnd"/>
            <w:r w:rsidRPr="0010611E">
              <w:rPr>
                <w:sz w:val="20"/>
                <w:lang w:val="fr-CA"/>
              </w:rPr>
              <w:t xml:space="preserve"> découvert qu’un journal portant sur une assemblée publique d’information sur le projet comprenait une image des dessins de Mme MacNutt, sans mention qu’elle était l’auteure des dessins. Madame MacNutt allègue que les intimés ont violé son droit d’auteur à l’égard des dessins.</w:t>
            </w:r>
          </w:p>
          <w:p w:rsidR="006B3BE3" w:rsidRPr="0010611E" w:rsidRDefault="006B3BE3" w:rsidP="00E209EC">
            <w:pPr>
              <w:jc w:val="both"/>
              <w:rPr>
                <w:sz w:val="20"/>
                <w:lang w:val="fr-CA"/>
              </w:rPr>
            </w:pPr>
          </w:p>
          <w:p w:rsidR="006B3BE3" w:rsidRPr="0010611E" w:rsidRDefault="006B3BE3" w:rsidP="00E209EC">
            <w:pPr>
              <w:jc w:val="both"/>
              <w:rPr>
                <w:sz w:val="20"/>
                <w:lang w:val="fr-CA"/>
              </w:rPr>
            </w:pPr>
            <w:r w:rsidRPr="0010611E">
              <w:rPr>
                <w:sz w:val="20"/>
                <w:lang w:val="fr-CA"/>
              </w:rPr>
              <w:t>Le juge de première instance a rejeté la demande de Mme MacNutt en violation de droit d’auteur, concluant que Mme MacNutt n’avait pas établi que les intimés avaient pris part à une appropriation non autorisée de ses dessins originaux, puisque le dessin de Scott était indépendant et distinct du dessin de Mme MacNutt. La Cour d’appel a rejeté la requête de Mme MacNutt en vue de présenter une nouvelle preuve au soutien de sa plainte selon laquelle le juge de première instance n’avait pas respecté les principes de justice naturelle et a rejeté ce moyen d’appel. La Cour d’appel a en outre rejeté l’appel de Mme MacNutt sur le fond, concluant que la décision du juge de première instance et ses conclusions de fait n’étaient entachées d’aucune erreur susceptible de révision.</w:t>
            </w:r>
          </w:p>
          <w:p w:rsidR="006B3BE3" w:rsidRPr="0010611E" w:rsidRDefault="006B3BE3" w:rsidP="00E209EC">
            <w:pPr>
              <w:jc w:val="both"/>
              <w:rPr>
                <w:sz w:val="20"/>
                <w:lang w:val="fr-CA"/>
              </w:rPr>
            </w:pPr>
          </w:p>
        </w:tc>
      </w:tr>
      <w:tr w:rsidR="006B3BE3" w:rsidRPr="00644959" w:rsidTr="00E209EC">
        <w:tc>
          <w:tcPr>
            <w:tcW w:w="2427" w:type="pct"/>
            <w:gridSpan w:val="2"/>
          </w:tcPr>
          <w:p w:rsidR="006B3BE3" w:rsidRPr="0010611E" w:rsidRDefault="006B3BE3" w:rsidP="00E209EC">
            <w:pPr>
              <w:jc w:val="both"/>
              <w:rPr>
                <w:sz w:val="20"/>
                <w:lang w:val="fr-CA"/>
              </w:rPr>
            </w:pPr>
            <w:r w:rsidRPr="0010611E">
              <w:rPr>
                <w:sz w:val="20"/>
                <w:lang w:val="fr-CA"/>
              </w:rPr>
              <w:t>21 juin 2016</w:t>
            </w:r>
          </w:p>
          <w:p w:rsidR="006B3BE3" w:rsidRPr="0010611E" w:rsidRDefault="006B3BE3" w:rsidP="00E209EC">
            <w:pPr>
              <w:jc w:val="both"/>
              <w:rPr>
                <w:sz w:val="20"/>
                <w:lang w:val="fr-CA"/>
              </w:rPr>
            </w:pPr>
            <w:r w:rsidRPr="0010611E">
              <w:rPr>
                <w:sz w:val="20"/>
                <w:lang w:val="fr-CA"/>
              </w:rPr>
              <w:t>Cour suprême de la Nouvelle-Écosse (Section de première instance)</w:t>
            </w:r>
          </w:p>
          <w:p w:rsidR="006B3BE3" w:rsidRPr="0010611E" w:rsidRDefault="006B3BE3" w:rsidP="00E209EC">
            <w:pPr>
              <w:jc w:val="both"/>
              <w:rPr>
                <w:sz w:val="20"/>
                <w:lang w:val="fr-CA"/>
              </w:rPr>
            </w:pPr>
            <w:r w:rsidRPr="0010611E">
              <w:rPr>
                <w:sz w:val="20"/>
                <w:lang w:val="fr-CA"/>
              </w:rPr>
              <w:t xml:space="preserve">(Juge </w:t>
            </w:r>
            <w:proofErr w:type="spellStart"/>
            <w:r w:rsidRPr="0010611E">
              <w:rPr>
                <w:sz w:val="20"/>
                <w:lang w:val="fr-CA"/>
              </w:rPr>
              <w:t>Chipman</w:t>
            </w:r>
            <w:proofErr w:type="spellEnd"/>
            <w:r w:rsidRPr="0010611E">
              <w:rPr>
                <w:sz w:val="20"/>
                <w:lang w:val="fr-CA"/>
              </w:rPr>
              <w:t>)</w:t>
            </w:r>
          </w:p>
          <w:p w:rsidR="006B3BE3" w:rsidRPr="0010611E" w:rsidRDefault="00B35ED9" w:rsidP="00E209EC">
            <w:pPr>
              <w:jc w:val="both"/>
              <w:rPr>
                <w:sz w:val="20"/>
                <w:lang w:val="fr-CA"/>
              </w:rPr>
            </w:pPr>
            <w:hyperlink r:id="rId28" w:history="1">
              <w:r w:rsidR="006B3BE3" w:rsidRPr="0010611E">
                <w:rPr>
                  <w:rStyle w:val="Hyperlink"/>
                  <w:sz w:val="20"/>
                  <w:lang w:val="fr-CA"/>
                </w:rPr>
                <w:t>2016 NSSC 160</w:t>
              </w:r>
            </w:hyperlink>
            <w:r w:rsidR="006B3BE3" w:rsidRPr="0010611E">
              <w:rPr>
                <w:sz w:val="20"/>
                <w:lang w:val="fr-CA"/>
              </w:rPr>
              <w:t xml:space="preserve"> </w:t>
            </w:r>
          </w:p>
          <w:p w:rsidR="006B3BE3" w:rsidRPr="0010611E" w:rsidRDefault="006B3BE3" w:rsidP="00E209EC">
            <w:pPr>
              <w:jc w:val="both"/>
              <w:rPr>
                <w:sz w:val="20"/>
                <w:lang w:val="fr-CA"/>
              </w:rPr>
            </w:pPr>
          </w:p>
        </w:tc>
        <w:tc>
          <w:tcPr>
            <w:tcW w:w="243" w:type="pct"/>
          </w:tcPr>
          <w:p w:rsidR="006B3BE3" w:rsidRPr="0010611E" w:rsidRDefault="006B3BE3" w:rsidP="00E209EC">
            <w:pPr>
              <w:jc w:val="both"/>
              <w:rPr>
                <w:sz w:val="20"/>
                <w:lang w:val="fr-CA"/>
              </w:rPr>
            </w:pPr>
          </w:p>
        </w:tc>
        <w:tc>
          <w:tcPr>
            <w:tcW w:w="2330" w:type="pct"/>
          </w:tcPr>
          <w:p w:rsidR="006B3BE3" w:rsidRPr="0010611E" w:rsidRDefault="006B3BE3" w:rsidP="00E209EC">
            <w:pPr>
              <w:jc w:val="both"/>
              <w:rPr>
                <w:sz w:val="20"/>
                <w:lang w:val="fr-CA"/>
              </w:rPr>
            </w:pPr>
            <w:r w:rsidRPr="0010611E">
              <w:rPr>
                <w:sz w:val="20"/>
                <w:lang w:val="fr-CA"/>
              </w:rPr>
              <w:t xml:space="preserve">Rejet de la demande de Mme MacNutt en vue d’obtenir un redressement pour violation de droit d’auteur </w:t>
            </w:r>
          </w:p>
        </w:tc>
      </w:tr>
      <w:tr w:rsidR="006B3BE3" w:rsidRPr="00644959" w:rsidTr="00E209EC">
        <w:tc>
          <w:tcPr>
            <w:tcW w:w="2427" w:type="pct"/>
            <w:gridSpan w:val="2"/>
          </w:tcPr>
          <w:p w:rsidR="006B3BE3" w:rsidRPr="0010611E" w:rsidRDefault="006B3BE3" w:rsidP="00E209EC">
            <w:pPr>
              <w:jc w:val="both"/>
              <w:rPr>
                <w:sz w:val="20"/>
                <w:lang w:val="fr-CA"/>
              </w:rPr>
            </w:pPr>
            <w:r w:rsidRPr="0010611E">
              <w:rPr>
                <w:sz w:val="20"/>
                <w:lang w:val="fr-CA"/>
              </w:rPr>
              <w:t>20 juin et 21 juin 2017</w:t>
            </w:r>
          </w:p>
          <w:p w:rsidR="006B3BE3" w:rsidRPr="0010611E" w:rsidRDefault="006B3BE3" w:rsidP="00E209EC">
            <w:pPr>
              <w:jc w:val="both"/>
              <w:rPr>
                <w:sz w:val="20"/>
                <w:lang w:val="fr-CA"/>
              </w:rPr>
            </w:pPr>
            <w:r w:rsidRPr="0010611E">
              <w:rPr>
                <w:sz w:val="20"/>
                <w:lang w:val="fr-CA"/>
              </w:rPr>
              <w:t>Cour d’appel de la Nouvelle-Écosse</w:t>
            </w:r>
          </w:p>
          <w:p w:rsidR="006B3BE3" w:rsidRPr="0010611E" w:rsidRDefault="006B3BE3" w:rsidP="00E209EC">
            <w:pPr>
              <w:jc w:val="both"/>
              <w:rPr>
                <w:sz w:val="20"/>
                <w:lang w:val="fr-CA"/>
              </w:rPr>
            </w:pPr>
            <w:r w:rsidRPr="0010611E">
              <w:rPr>
                <w:sz w:val="20"/>
                <w:lang w:val="fr-CA"/>
              </w:rPr>
              <w:t xml:space="preserve">(Juge en chef </w:t>
            </w:r>
            <w:proofErr w:type="spellStart"/>
            <w:r w:rsidRPr="0010611E">
              <w:rPr>
                <w:sz w:val="20"/>
                <w:lang w:val="fr-CA"/>
              </w:rPr>
              <w:t>MacDonald</w:t>
            </w:r>
            <w:proofErr w:type="spellEnd"/>
            <w:r w:rsidRPr="0010611E">
              <w:rPr>
                <w:sz w:val="20"/>
                <w:lang w:val="fr-CA"/>
              </w:rPr>
              <w:t xml:space="preserve">, juges </w:t>
            </w:r>
            <w:proofErr w:type="spellStart"/>
            <w:r w:rsidRPr="0010611E">
              <w:rPr>
                <w:sz w:val="20"/>
                <w:lang w:val="fr-CA"/>
              </w:rPr>
              <w:t>Fichaud</w:t>
            </w:r>
            <w:proofErr w:type="spellEnd"/>
            <w:r w:rsidRPr="0010611E">
              <w:rPr>
                <w:sz w:val="20"/>
                <w:lang w:val="fr-CA"/>
              </w:rPr>
              <w:t xml:space="preserve"> et Van </w:t>
            </w:r>
          </w:p>
          <w:p w:rsidR="006B3BE3" w:rsidRPr="0010611E" w:rsidRDefault="006B3BE3" w:rsidP="00E209EC">
            <w:pPr>
              <w:jc w:val="both"/>
              <w:rPr>
                <w:sz w:val="20"/>
                <w:lang w:val="fr-CA"/>
              </w:rPr>
            </w:pPr>
            <w:r w:rsidRPr="0010611E">
              <w:rPr>
                <w:sz w:val="20"/>
                <w:lang w:val="fr-CA"/>
              </w:rPr>
              <w:t xml:space="preserve">den </w:t>
            </w:r>
            <w:proofErr w:type="spellStart"/>
            <w:r w:rsidRPr="0010611E">
              <w:rPr>
                <w:sz w:val="20"/>
                <w:lang w:val="fr-CA"/>
              </w:rPr>
              <w:t>Eynden</w:t>
            </w:r>
            <w:proofErr w:type="spellEnd"/>
            <w:r w:rsidRPr="0010611E">
              <w:rPr>
                <w:sz w:val="20"/>
                <w:lang w:val="fr-CA"/>
              </w:rPr>
              <w:t>)</w:t>
            </w:r>
          </w:p>
          <w:p w:rsidR="006B3BE3" w:rsidRPr="0010611E" w:rsidRDefault="00B35ED9" w:rsidP="00E209EC">
            <w:pPr>
              <w:jc w:val="both"/>
              <w:rPr>
                <w:rStyle w:val="Hyperlink"/>
                <w:sz w:val="20"/>
                <w:lang w:val="fr-CA"/>
              </w:rPr>
            </w:pPr>
            <w:hyperlink r:id="rId29" w:history="1">
              <w:r w:rsidR="006B3BE3" w:rsidRPr="0010611E">
                <w:rPr>
                  <w:rStyle w:val="Hyperlink"/>
                  <w:sz w:val="20"/>
                  <w:lang w:val="fr-CA"/>
                </w:rPr>
                <w:t>2017 NSCA 57</w:t>
              </w:r>
            </w:hyperlink>
          </w:p>
          <w:p w:rsidR="006B3BE3" w:rsidRPr="0010611E" w:rsidRDefault="006B3BE3" w:rsidP="00E209EC">
            <w:pPr>
              <w:jc w:val="both"/>
              <w:rPr>
                <w:sz w:val="20"/>
                <w:lang w:val="fr-CA"/>
              </w:rPr>
            </w:pPr>
          </w:p>
        </w:tc>
        <w:tc>
          <w:tcPr>
            <w:tcW w:w="243" w:type="pct"/>
          </w:tcPr>
          <w:p w:rsidR="006B3BE3" w:rsidRPr="0010611E" w:rsidRDefault="006B3BE3" w:rsidP="00E209EC">
            <w:pPr>
              <w:jc w:val="both"/>
              <w:rPr>
                <w:sz w:val="20"/>
                <w:lang w:val="fr-CA"/>
              </w:rPr>
            </w:pPr>
          </w:p>
        </w:tc>
        <w:tc>
          <w:tcPr>
            <w:tcW w:w="2330" w:type="pct"/>
          </w:tcPr>
          <w:p w:rsidR="006B3BE3" w:rsidRPr="0010611E" w:rsidRDefault="006B3BE3" w:rsidP="00E209EC">
            <w:pPr>
              <w:jc w:val="both"/>
              <w:rPr>
                <w:sz w:val="20"/>
                <w:lang w:val="fr-CA"/>
              </w:rPr>
            </w:pPr>
            <w:r w:rsidRPr="0010611E">
              <w:rPr>
                <w:sz w:val="20"/>
                <w:lang w:val="fr-CA"/>
              </w:rPr>
              <w:t xml:space="preserve">Rejet de l’appel de Mme MacNutt </w:t>
            </w:r>
          </w:p>
          <w:p w:rsidR="006B3BE3" w:rsidRPr="0010611E" w:rsidRDefault="006B3BE3" w:rsidP="00E209EC">
            <w:pPr>
              <w:jc w:val="both"/>
              <w:rPr>
                <w:sz w:val="20"/>
                <w:lang w:val="fr-CA"/>
              </w:rPr>
            </w:pPr>
            <w:r w:rsidRPr="0010611E">
              <w:rPr>
                <w:sz w:val="20"/>
                <w:lang w:val="fr-CA"/>
              </w:rPr>
              <w:t>(ordonnance modifiée prononcée le 21 juin 2017, pour clarifier le jugement quant aux dépens)</w:t>
            </w:r>
          </w:p>
          <w:p w:rsidR="006B3BE3" w:rsidRPr="0010611E" w:rsidRDefault="006B3BE3" w:rsidP="00E209EC">
            <w:pPr>
              <w:jc w:val="both"/>
              <w:rPr>
                <w:sz w:val="20"/>
                <w:lang w:val="fr-CA"/>
              </w:rPr>
            </w:pPr>
          </w:p>
        </w:tc>
      </w:tr>
      <w:tr w:rsidR="006B3BE3" w:rsidRPr="00644959" w:rsidTr="00E209EC">
        <w:tc>
          <w:tcPr>
            <w:tcW w:w="2427" w:type="pct"/>
            <w:gridSpan w:val="2"/>
          </w:tcPr>
          <w:p w:rsidR="006B3BE3" w:rsidRPr="0010611E" w:rsidRDefault="006B3BE3" w:rsidP="00E209EC">
            <w:pPr>
              <w:jc w:val="both"/>
              <w:rPr>
                <w:sz w:val="20"/>
                <w:lang w:val="fr-CA"/>
              </w:rPr>
            </w:pPr>
            <w:r w:rsidRPr="0010611E">
              <w:rPr>
                <w:sz w:val="20"/>
                <w:lang w:val="fr-CA"/>
              </w:rPr>
              <w:t>19 septembre 2017</w:t>
            </w:r>
          </w:p>
          <w:p w:rsidR="006B3BE3" w:rsidRPr="0010611E" w:rsidRDefault="006B3BE3" w:rsidP="00E209EC">
            <w:pPr>
              <w:jc w:val="both"/>
              <w:rPr>
                <w:sz w:val="20"/>
                <w:lang w:val="fr-CA"/>
              </w:rPr>
            </w:pPr>
            <w:r w:rsidRPr="0010611E">
              <w:rPr>
                <w:sz w:val="20"/>
                <w:lang w:val="fr-CA"/>
              </w:rPr>
              <w:t>Cour suprême du Canada</w:t>
            </w:r>
          </w:p>
        </w:tc>
        <w:tc>
          <w:tcPr>
            <w:tcW w:w="243" w:type="pct"/>
          </w:tcPr>
          <w:p w:rsidR="006B3BE3" w:rsidRPr="0010611E" w:rsidRDefault="006B3BE3" w:rsidP="00E209EC">
            <w:pPr>
              <w:jc w:val="both"/>
              <w:rPr>
                <w:sz w:val="20"/>
                <w:lang w:val="fr-CA"/>
              </w:rPr>
            </w:pPr>
          </w:p>
        </w:tc>
        <w:tc>
          <w:tcPr>
            <w:tcW w:w="2330" w:type="pct"/>
          </w:tcPr>
          <w:p w:rsidR="006B3BE3" w:rsidRPr="0010611E" w:rsidRDefault="006B3BE3" w:rsidP="00E209EC">
            <w:pPr>
              <w:jc w:val="both"/>
              <w:rPr>
                <w:sz w:val="20"/>
                <w:lang w:val="fr-CA"/>
              </w:rPr>
            </w:pPr>
            <w:r w:rsidRPr="0010611E">
              <w:rPr>
                <w:sz w:val="20"/>
                <w:lang w:val="fr-CA"/>
              </w:rPr>
              <w:t>Dépôt de la demande d’autorisation d’appel</w:t>
            </w:r>
          </w:p>
        </w:tc>
      </w:tr>
    </w:tbl>
    <w:p w:rsidR="006B3BE3" w:rsidRPr="0010611E" w:rsidRDefault="006B3BE3" w:rsidP="006B3BE3">
      <w:pPr>
        <w:jc w:val="both"/>
        <w:rPr>
          <w:sz w:val="20"/>
          <w:lang w:val="fr-CA"/>
        </w:rPr>
      </w:pPr>
    </w:p>
    <w:p w:rsidR="006B3BE3" w:rsidRPr="0010611E" w:rsidRDefault="006B3BE3">
      <w:pPr>
        <w:rPr>
          <w:sz w:val="20"/>
          <w:lang w:val="fr-CA"/>
        </w:rPr>
      </w:pPr>
      <w:r w:rsidRPr="0010611E">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B3BE3" w:rsidRPr="0010611E" w:rsidTr="00E209EC">
        <w:tc>
          <w:tcPr>
            <w:tcW w:w="543" w:type="pct"/>
          </w:tcPr>
          <w:p w:rsidR="006B3BE3" w:rsidRPr="0010611E" w:rsidRDefault="006B3BE3" w:rsidP="00E209EC">
            <w:pPr>
              <w:jc w:val="both"/>
              <w:rPr>
                <w:sz w:val="20"/>
              </w:rPr>
            </w:pPr>
            <w:r w:rsidRPr="0010611E">
              <w:rPr>
                <w:rStyle w:val="SCCFileNumberChar"/>
                <w:sz w:val="20"/>
                <w:szCs w:val="20"/>
              </w:rPr>
              <w:t>37922</w:t>
            </w:r>
          </w:p>
        </w:tc>
        <w:tc>
          <w:tcPr>
            <w:tcW w:w="4457" w:type="pct"/>
          </w:tcPr>
          <w:p w:rsidR="006B3BE3" w:rsidRPr="0010611E" w:rsidRDefault="006B3BE3" w:rsidP="00E209EC">
            <w:pPr>
              <w:pStyle w:val="SCCLsocParty"/>
              <w:jc w:val="both"/>
              <w:rPr>
                <w:b/>
                <w:sz w:val="20"/>
                <w:szCs w:val="20"/>
                <w:lang w:val="en-US"/>
              </w:rPr>
            </w:pPr>
            <w:r w:rsidRPr="0010611E">
              <w:rPr>
                <w:b/>
                <w:sz w:val="20"/>
                <w:szCs w:val="20"/>
                <w:lang w:val="en-US"/>
              </w:rPr>
              <w:t>Tarek Hady Lotfy v. Her Majesty the Queen</w:t>
            </w:r>
          </w:p>
          <w:p w:rsidR="006B3BE3" w:rsidRPr="0010611E" w:rsidRDefault="006B3BE3" w:rsidP="00E209EC">
            <w:pPr>
              <w:jc w:val="both"/>
              <w:rPr>
                <w:sz w:val="20"/>
              </w:rPr>
            </w:pPr>
            <w:r w:rsidRPr="0010611E">
              <w:rPr>
                <w:sz w:val="20"/>
              </w:rPr>
              <w:t>(B.C.) (Criminal) (By Leave)</w:t>
            </w:r>
          </w:p>
        </w:tc>
      </w:tr>
      <w:tr w:rsidR="006B3BE3" w:rsidRPr="0010611E" w:rsidTr="00E209EC">
        <w:tc>
          <w:tcPr>
            <w:tcW w:w="543" w:type="pct"/>
          </w:tcPr>
          <w:p w:rsidR="006B3BE3" w:rsidRPr="0010611E" w:rsidRDefault="00C14510" w:rsidP="00E209EC">
            <w:pPr>
              <w:jc w:val="both"/>
              <w:rPr>
                <w:rStyle w:val="SCCFileNumberChar"/>
                <w:sz w:val="20"/>
                <w:szCs w:val="20"/>
              </w:rPr>
            </w:pPr>
            <w:r w:rsidRPr="0010611E">
              <w:rPr>
                <w:rStyle w:val="SCCFileNumberChar"/>
                <w:sz w:val="20"/>
                <w:szCs w:val="20"/>
              </w:rPr>
              <w:t>Coram:</w:t>
            </w:r>
          </w:p>
        </w:tc>
        <w:tc>
          <w:tcPr>
            <w:tcW w:w="4457" w:type="pct"/>
          </w:tcPr>
          <w:p w:rsidR="006B3BE3" w:rsidRPr="0010611E" w:rsidRDefault="00C14510" w:rsidP="00E209EC">
            <w:pPr>
              <w:pStyle w:val="SCCLsocParty"/>
              <w:jc w:val="both"/>
              <w:rPr>
                <w:b/>
                <w:sz w:val="20"/>
                <w:szCs w:val="20"/>
                <w:lang w:val="en-US"/>
              </w:rPr>
            </w:pPr>
            <w:r w:rsidRPr="0010611E">
              <w:rPr>
                <w:sz w:val="20"/>
                <w:lang w:val="en-US"/>
              </w:rPr>
              <w:t>Wagner C.J. and Abella, Moldaver, Karakatsanis, Gascon, Côté, Brown, Rowe and Martin JJ.</w:t>
            </w:r>
          </w:p>
        </w:tc>
      </w:tr>
      <w:tr w:rsidR="00C14510" w:rsidRPr="0010611E" w:rsidTr="00C14510">
        <w:tc>
          <w:tcPr>
            <w:tcW w:w="5000" w:type="pct"/>
            <w:gridSpan w:val="2"/>
          </w:tcPr>
          <w:p w:rsidR="00C14510" w:rsidRDefault="00C14510" w:rsidP="00E209EC">
            <w:pPr>
              <w:pStyle w:val="SCCLsocParty"/>
              <w:jc w:val="both"/>
              <w:rPr>
                <w:sz w:val="20"/>
                <w:lang w:val="en-US"/>
              </w:rPr>
            </w:pPr>
            <w:r w:rsidRPr="0010611E">
              <w:rPr>
                <w:sz w:val="20"/>
                <w:lang w:val="en-US"/>
              </w:rPr>
              <w:t xml:space="preserve">The request for an oral hearing is dismissed.  The motion for an extension of time to serve and file the application for leave to appeal is granted.  The application for leave to appeal from the judgment of the Court of Appeal for British Columbia (Vancouver), Number CA43847, 2017 BCCA 418, dated October 12, 2017, </w:t>
            </w:r>
            <w:r w:rsidR="007D2C5A" w:rsidRPr="0010611E">
              <w:rPr>
                <w:sz w:val="20"/>
                <w:lang w:val="en-US"/>
              </w:rPr>
              <w:t xml:space="preserve">is </w:t>
            </w:r>
            <w:r w:rsidRPr="0010611E">
              <w:rPr>
                <w:sz w:val="20"/>
                <w:lang w:val="en-US"/>
              </w:rPr>
              <w:t>dismissed.</w:t>
            </w:r>
          </w:p>
          <w:p w:rsidR="00AD776D" w:rsidRPr="00AD776D" w:rsidRDefault="00AD776D" w:rsidP="00AD776D">
            <w:pPr>
              <w:rPr>
                <w:lang w:val="en-US"/>
              </w:rPr>
            </w:pPr>
          </w:p>
        </w:tc>
      </w:tr>
      <w:tr w:rsidR="006B3BE3" w:rsidRPr="0010611E" w:rsidTr="00E209EC">
        <w:tc>
          <w:tcPr>
            <w:tcW w:w="5000" w:type="pct"/>
            <w:gridSpan w:val="2"/>
          </w:tcPr>
          <w:p w:rsidR="006B3BE3" w:rsidRPr="0010611E" w:rsidRDefault="006B3BE3" w:rsidP="00E209EC">
            <w:pPr>
              <w:jc w:val="both"/>
              <w:rPr>
                <w:sz w:val="20"/>
              </w:rPr>
            </w:pPr>
            <w:r w:rsidRPr="0010611E">
              <w:rPr>
                <w:sz w:val="20"/>
              </w:rPr>
              <w:t>Criminal law — Arrest — Offence — Elements of Offence</w:t>
            </w:r>
            <w:r w:rsidRPr="0010611E">
              <w:rPr>
                <w:sz w:val="20"/>
                <w:lang w:val="en"/>
              </w:rPr>
              <w:t xml:space="preserve"> </w:t>
            </w:r>
            <w:r w:rsidRPr="0010611E">
              <w:rPr>
                <w:sz w:val="20"/>
              </w:rPr>
              <w:t xml:space="preserve">— </w:t>
            </w:r>
            <w:r w:rsidRPr="0010611E">
              <w:rPr>
                <w:sz w:val="20"/>
                <w:lang w:val="en"/>
              </w:rPr>
              <w:t xml:space="preserve">Whether the police officer who stopped the applicant had grounds to arrest him for possession of marihuana for the purpose trafficking </w:t>
            </w:r>
            <w:r w:rsidRPr="0010611E">
              <w:rPr>
                <w:sz w:val="20"/>
              </w:rPr>
              <w:t>—</w:t>
            </w:r>
            <w:r w:rsidRPr="0010611E">
              <w:rPr>
                <w:sz w:val="20"/>
                <w:lang w:val="en"/>
              </w:rPr>
              <w:t xml:space="preserve"> Arrest determined to be lawful </w:t>
            </w:r>
            <w:r w:rsidRPr="0010611E">
              <w:rPr>
                <w:sz w:val="20"/>
              </w:rPr>
              <w:t xml:space="preserve">— Does section 495(1)(b) of the </w:t>
            </w:r>
            <w:r w:rsidRPr="0010611E">
              <w:rPr>
                <w:i/>
                <w:sz w:val="20"/>
              </w:rPr>
              <w:t>Criminal Code</w:t>
            </w:r>
            <w:r w:rsidRPr="0010611E">
              <w:rPr>
                <w:sz w:val="20"/>
              </w:rPr>
              <w:t xml:space="preserve">, R.S.C. 1985, c. C-46 require peace officers effecting warrantless arrests to turn their minds to all the constituent elements of the offence of possession of marijuana, such as knowledge and control, under section 4 of the </w:t>
            </w:r>
            <w:r w:rsidRPr="0010611E">
              <w:rPr>
                <w:i/>
                <w:sz w:val="20"/>
              </w:rPr>
              <w:t>Controlled Drugs and Substances Act</w:t>
            </w:r>
            <w:r w:rsidRPr="0010611E">
              <w:rPr>
                <w:sz w:val="20"/>
              </w:rPr>
              <w:t>, R.S.C. 1996, C-19 — Is a lawful excuse, such as “[e]</w:t>
            </w:r>
            <w:proofErr w:type="spellStart"/>
            <w:r w:rsidRPr="0010611E">
              <w:rPr>
                <w:sz w:val="20"/>
              </w:rPr>
              <w:t>xcept</w:t>
            </w:r>
            <w:proofErr w:type="spellEnd"/>
            <w:r w:rsidRPr="0010611E">
              <w:rPr>
                <w:sz w:val="20"/>
              </w:rPr>
              <w:t xml:space="preserve"> as authorized under the regulations” under section 4 of the </w:t>
            </w:r>
            <w:r w:rsidRPr="0010611E">
              <w:rPr>
                <w:i/>
                <w:sz w:val="20"/>
              </w:rPr>
              <w:t>Controlled Drugs and Substances Act</w:t>
            </w:r>
            <w:r w:rsidRPr="0010611E">
              <w:rPr>
                <w:sz w:val="20"/>
              </w:rPr>
              <w:t xml:space="preserve"> a constituent element of the offence of simple possession of marijuana.</w:t>
            </w:r>
          </w:p>
        </w:tc>
      </w:tr>
      <w:tr w:rsidR="006B3BE3" w:rsidRPr="0010611E" w:rsidTr="00E209EC">
        <w:tc>
          <w:tcPr>
            <w:tcW w:w="5000" w:type="pct"/>
            <w:gridSpan w:val="2"/>
          </w:tcPr>
          <w:p w:rsidR="006B3BE3" w:rsidRPr="0010611E" w:rsidRDefault="006B3BE3" w:rsidP="00E209EC">
            <w:pPr>
              <w:jc w:val="both"/>
              <w:rPr>
                <w:sz w:val="20"/>
              </w:rPr>
            </w:pPr>
          </w:p>
        </w:tc>
      </w:tr>
      <w:tr w:rsidR="006B3BE3" w:rsidRPr="0010611E" w:rsidTr="00E209EC">
        <w:tc>
          <w:tcPr>
            <w:tcW w:w="5000" w:type="pct"/>
            <w:gridSpan w:val="2"/>
          </w:tcPr>
          <w:p w:rsidR="006B3BE3" w:rsidRPr="0010611E" w:rsidRDefault="006B3BE3" w:rsidP="00E209EC">
            <w:pPr>
              <w:jc w:val="both"/>
              <w:rPr>
                <w:sz w:val="20"/>
              </w:rPr>
            </w:pPr>
            <w:r w:rsidRPr="0010611E">
              <w:rPr>
                <w:sz w:val="20"/>
                <w:lang w:val="en"/>
              </w:rPr>
              <w:t>Mr. Lotfy was stopped for speeding. Constable Innes observed (a) Mr. </w:t>
            </w:r>
            <w:proofErr w:type="spellStart"/>
            <w:r w:rsidRPr="0010611E">
              <w:rPr>
                <w:sz w:val="20"/>
                <w:lang w:val="en"/>
              </w:rPr>
              <w:t>Lotfy’s</w:t>
            </w:r>
            <w:proofErr w:type="spellEnd"/>
            <w:r w:rsidRPr="0010611E">
              <w:rPr>
                <w:sz w:val="20"/>
                <w:lang w:val="en"/>
              </w:rPr>
              <w:t xml:space="preserve"> unusual nervousness; (b) the strong </w:t>
            </w:r>
            <w:proofErr w:type="spellStart"/>
            <w:r w:rsidRPr="0010611E">
              <w:rPr>
                <w:sz w:val="20"/>
                <w:lang w:val="en"/>
              </w:rPr>
              <w:t>odour</w:t>
            </w:r>
            <w:proofErr w:type="spellEnd"/>
            <w:r w:rsidRPr="0010611E">
              <w:rPr>
                <w:sz w:val="20"/>
                <w:lang w:val="en"/>
              </w:rPr>
              <w:t xml:space="preserve"> of air freshener detected when he first spoke with Mr. Lotfy; and (c) the slight </w:t>
            </w:r>
            <w:proofErr w:type="spellStart"/>
            <w:r w:rsidRPr="0010611E">
              <w:rPr>
                <w:sz w:val="20"/>
                <w:lang w:val="en"/>
              </w:rPr>
              <w:t>odour</w:t>
            </w:r>
            <w:proofErr w:type="spellEnd"/>
            <w:r w:rsidRPr="0010611E">
              <w:rPr>
                <w:sz w:val="20"/>
                <w:lang w:val="en"/>
              </w:rPr>
              <w:t xml:space="preserve"> of vegetative marihuana detected when he spoke with Mr. Lotfy the second time. Constable Innes arrested Mr. Lotfy for possession for the purpose of trafficking and again advised him of his rights. The trial judge found the arrest lawful. Mr. Lotfy was convicted of possession of marihuana for the purpose of trafficking. The conviction appeal was dismissed.</w:t>
            </w:r>
          </w:p>
          <w:p w:rsidR="006B3BE3" w:rsidRPr="0010611E" w:rsidRDefault="006B3BE3" w:rsidP="00E209EC">
            <w:pPr>
              <w:jc w:val="both"/>
              <w:rPr>
                <w:sz w:val="20"/>
              </w:rPr>
            </w:pPr>
          </w:p>
        </w:tc>
      </w:tr>
      <w:tr w:rsidR="006B3BE3" w:rsidRPr="0010611E" w:rsidTr="00E209EC">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6B3BE3" w:rsidRPr="0010611E" w:rsidTr="00E209EC">
              <w:tc>
                <w:tcPr>
                  <w:tcW w:w="2367" w:type="pct"/>
                </w:tcPr>
                <w:p w:rsidR="006B3BE3" w:rsidRPr="0010611E" w:rsidRDefault="006B3BE3" w:rsidP="00E209EC">
                  <w:pPr>
                    <w:jc w:val="both"/>
                    <w:rPr>
                      <w:sz w:val="20"/>
                    </w:rPr>
                  </w:pPr>
                  <w:r w:rsidRPr="0010611E">
                    <w:rPr>
                      <w:sz w:val="20"/>
                    </w:rPr>
                    <w:t>January 5, 2016</w:t>
                  </w:r>
                </w:p>
                <w:p w:rsidR="006B3BE3" w:rsidRPr="0010611E" w:rsidRDefault="006B3BE3" w:rsidP="00E209EC">
                  <w:pPr>
                    <w:jc w:val="both"/>
                    <w:rPr>
                      <w:sz w:val="20"/>
                    </w:rPr>
                  </w:pPr>
                  <w:r w:rsidRPr="0010611E">
                    <w:rPr>
                      <w:sz w:val="20"/>
                    </w:rPr>
                    <w:t>Supreme Court of British Columbia</w:t>
                  </w:r>
                </w:p>
                <w:p w:rsidR="006B3BE3" w:rsidRPr="0010611E" w:rsidRDefault="006B3BE3" w:rsidP="00E209EC">
                  <w:pPr>
                    <w:jc w:val="both"/>
                    <w:rPr>
                      <w:sz w:val="20"/>
                    </w:rPr>
                  </w:pPr>
                  <w:r w:rsidRPr="0010611E">
                    <w:rPr>
                      <w:sz w:val="20"/>
                    </w:rPr>
                    <w:t>(Macintosh J.)</w:t>
                  </w:r>
                </w:p>
                <w:p w:rsidR="006B3BE3" w:rsidRPr="0010611E" w:rsidRDefault="00B35ED9" w:rsidP="00E209EC">
                  <w:pPr>
                    <w:jc w:val="both"/>
                    <w:rPr>
                      <w:sz w:val="20"/>
                    </w:rPr>
                  </w:pPr>
                  <w:hyperlink r:id="rId30" w:history="1">
                    <w:r w:rsidR="006B3BE3" w:rsidRPr="0010611E">
                      <w:rPr>
                        <w:rStyle w:val="Hyperlink"/>
                        <w:sz w:val="20"/>
                      </w:rPr>
                      <w:t>2016 BCSC 1530</w:t>
                    </w:r>
                  </w:hyperlink>
                  <w:r w:rsidR="006B3BE3" w:rsidRPr="0010611E">
                    <w:rPr>
                      <w:sz w:val="20"/>
                    </w:rPr>
                    <w:t xml:space="preserve"> </w:t>
                  </w:r>
                </w:p>
                <w:p w:rsidR="006B3BE3" w:rsidRPr="0010611E" w:rsidRDefault="006B3BE3" w:rsidP="00E209EC">
                  <w:pPr>
                    <w:jc w:val="both"/>
                    <w:rPr>
                      <w:sz w:val="20"/>
                    </w:rPr>
                  </w:pPr>
                </w:p>
              </w:tc>
              <w:tc>
                <w:tcPr>
                  <w:tcW w:w="267" w:type="pct"/>
                </w:tcPr>
                <w:p w:rsidR="006B3BE3" w:rsidRPr="0010611E" w:rsidRDefault="006B3BE3" w:rsidP="00E209EC">
                  <w:pPr>
                    <w:jc w:val="both"/>
                    <w:rPr>
                      <w:sz w:val="20"/>
                    </w:rPr>
                  </w:pPr>
                </w:p>
              </w:tc>
              <w:tc>
                <w:tcPr>
                  <w:tcW w:w="2366" w:type="pct"/>
                </w:tcPr>
                <w:p w:rsidR="006B3BE3" w:rsidRPr="0010611E" w:rsidRDefault="006B3BE3" w:rsidP="00E209EC">
                  <w:pPr>
                    <w:jc w:val="both"/>
                    <w:rPr>
                      <w:sz w:val="20"/>
                    </w:rPr>
                  </w:pPr>
                  <w:r w:rsidRPr="0010611E">
                    <w:rPr>
                      <w:sz w:val="20"/>
                    </w:rPr>
                    <w:t>Conviction: possession of marihuana for the purpose of trafficking</w:t>
                  </w:r>
                </w:p>
                <w:p w:rsidR="006B3BE3" w:rsidRPr="0010611E" w:rsidRDefault="006B3BE3" w:rsidP="00E209EC">
                  <w:pPr>
                    <w:jc w:val="both"/>
                    <w:rPr>
                      <w:sz w:val="20"/>
                    </w:rPr>
                  </w:pPr>
                </w:p>
              </w:tc>
            </w:tr>
            <w:tr w:rsidR="006B3BE3" w:rsidRPr="0010611E" w:rsidTr="00E209EC">
              <w:tc>
                <w:tcPr>
                  <w:tcW w:w="2367" w:type="pct"/>
                </w:tcPr>
                <w:p w:rsidR="006B3BE3" w:rsidRPr="0010611E" w:rsidRDefault="006B3BE3" w:rsidP="00E209EC">
                  <w:pPr>
                    <w:jc w:val="both"/>
                    <w:rPr>
                      <w:sz w:val="20"/>
                    </w:rPr>
                  </w:pPr>
                  <w:r w:rsidRPr="0010611E">
                    <w:rPr>
                      <w:sz w:val="20"/>
                    </w:rPr>
                    <w:t>October, 12, 2017</w:t>
                  </w:r>
                </w:p>
                <w:p w:rsidR="006B3BE3" w:rsidRPr="0010611E" w:rsidRDefault="006B3BE3" w:rsidP="00E209EC">
                  <w:pPr>
                    <w:jc w:val="both"/>
                    <w:rPr>
                      <w:sz w:val="20"/>
                    </w:rPr>
                  </w:pPr>
                  <w:r w:rsidRPr="0010611E">
                    <w:rPr>
                      <w:sz w:val="20"/>
                    </w:rPr>
                    <w:t xml:space="preserve">Court of Appeal for British Columbia </w:t>
                  </w:r>
                </w:p>
                <w:p w:rsidR="006B3BE3" w:rsidRPr="0010611E" w:rsidRDefault="006B3BE3" w:rsidP="00E209EC">
                  <w:pPr>
                    <w:jc w:val="both"/>
                    <w:rPr>
                      <w:sz w:val="20"/>
                    </w:rPr>
                  </w:pPr>
                  <w:r w:rsidRPr="0010611E">
                    <w:rPr>
                      <w:sz w:val="20"/>
                    </w:rPr>
                    <w:t>(Vancouver)</w:t>
                  </w:r>
                </w:p>
                <w:p w:rsidR="006B3BE3" w:rsidRPr="0010611E" w:rsidRDefault="006B3BE3" w:rsidP="00E209EC">
                  <w:pPr>
                    <w:jc w:val="both"/>
                    <w:rPr>
                      <w:sz w:val="20"/>
                    </w:rPr>
                  </w:pPr>
                  <w:r w:rsidRPr="0010611E">
                    <w:rPr>
                      <w:sz w:val="20"/>
                    </w:rPr>
                    <w:t>(Newbury, Frankel, Savage JJ.A.)</w:t>
                  </w:r>
                </w:p>
                <w:p w:rsidR="006B3BE3" w:rsidRPr="0010611E" w:rsidRDefault="00B35ED9" w:rsidP="00E209EC">
                  <w:pPr>
                    <w:jc w:val="both"/>
                    <w:rPr>
                      <w:sz w:val="20"/>
                    </w:rPr>
                  </w:pPr>
                  <w:hyperlink r:id="rId31" w:history="1">
                    <w:r w:rsidR="006B3BE3" w:rsidRPr="0010611E">
                      <w:rPr>
                        <w:rStyle w:val="Hyperlink"/>
                        <w:sz w:val="20"/>
                      </w:rPr>
                      <w:t>2017 BCCA 418</w:t>
                    </w:r>
                  </w:hyperlink>
                  <w:r w:rsidR="006B3BE3" w:rsidRPr="0010611E">
                    <w:rPr>
                      <w:sz w:val="20"/>
                    </w:rPr>
                    <w:t xml:space="preserve"> </w:t>
                  </w:r>
                </w:p>
                <w:p w:rsidR="006B3BE3" w:rsidRPr="0010611E" w:rsidRDefault="006B3BE3" w:rsidP="00E209EC">
                  <w:pPr>
                    <w:jc w:val="both"/>
                    <w:rPr>
                      <w:sz w:val="20"/>
                    </w:rPr>
                  </w:pPr>
                </w:p>
              </w:tc>
              <w:tc>
                <w:tcPr>
                  <w:tcW w:w="267" w:type="pct"/>
                </w:tcPr>
                <w:p w:rsidR="006B3BE3" w:rsidRPr="0010611E" w:rsidRDefault="006B3BE3" w:rsidP="00E209EC">
                  <w:pPr>
                    <w:jc w:val="both"/>
                    <w:rPr>
                      <w:sz w:val="20"/>
                    </w:rPr>
                  </w:pPr>
                </w:p>
              </w:tc>
              <w:tc>
                <w:tcPr>
                  <w:tcW w:w="2366" w:type="pct"/>
                </w:tcPr>
                <w:p w:rsidR="006B3BE3" w:rsidRPr="0010611E" w:rsidRDefault="006B3BE3" w:rsidP="00E209EC">
                  <w:pPr>
                    <w:jc w:val="both"/>
                    <w:rPr>
                      <w:sz w:val="20"/>
                    </w:rPr>
                  </w:pPr>
                  <w:r w:rsidRPr="0010611E">
                    <w:rPr>
                      <w:sz w:val="20"/>
                    </w:rPr>
                    <w:t>Conviction appeal dismissed: reasons to follow</w:t>
                  </w:r>
                </w:p>
                <w:p w:rsidR="006B3BE3" w:rsidRPr="0010611E" w:rsidRDefault="006B3BE3" w:rsidP="00E209EC">
                  <w:pPr>
                    <w:jc w:val="both"/>
                    <w:rPr>
                      <w:sz w:val="20"/>
                    </w:rPr>
                  </w:pPr>
                </w:p>
              </w:tc>
            </w:tr>
            <w:tr w:rsidR="006B3BE3" w:rsidRPr="0010611E" w:rsidTr="00E209EC">
              <w:tc>
                <w:tcPr>
                  <w:tcW w:w="2367" w:type="pct"/>
                </w:tcPr>
                <w:p w:rsidR="006B3BE3" w:rsidRPr="0010611E" w:rsidRDefault="006B3BE3" w:rsidP="00E209EC">
                  <w:pPr>
                    <w:jc w:val="both"/>
                    <w:rPr>
                      <w:sz w:val="20"/>
                    </w:rPr>
                  </w:pPr>
                  <w:r w:rsidRPr="0010611E">
                    <w:rPr>
                      <w:sz w:val="20"/>
                    </w:rPr>
                    <w:t>November 29, 2017</w:t>
                  </w:r>
                </w:p>
                <w:p w:rsidR="006B3BE3" w:rsidRPr="0010611E" w:rsidRDefault="006B3BE3" w:rsidP="00E209EC">
                  <w:pPr>
                    <w:jc w:val="both"/>
                    <w:rPr>
                      <w:sz w:val="20"/>
                    </w:rPr>
                  </w:pPr>
                  <w:r w:rsidRPr="0010611E">
                    <w:rPr>
                      <w:sz w:val="20"/>
                    </w:rPr>
                    <w:t xml:space="preserve">Court of Appeal for British Columbia </w:t>
                  </w:r>
                </w:p>
                <w:p w:rsidR="006B3BE3" w:rsidRPr="0010611E" w:rsidRDefault="006B3BE3" w:rsidP="00E209EC">
                  <w:pPr>
                    <w:jc w:val="both"/>
                    <w:rPr>
                      <w:sz w:val="20"/>
                    </w:rPr>
                  </w:pPr>
                  <w:r w:rsidRPr="0010611E">
                    <w:rPr>
                      <w:sz w:val="20"/>
                    </w:rPr>
                    <w:t>(Vancouver)</w:t>
                  </w:r>
                </w:p>
                <w:p w:rsidR="006B3BE3" w:rsidRPr="0010611E" w:rsidRDefault="006B3BE3" w:rsidP="00E209EC">
                  <w:pPr>
                    <w:jc w:val="both"/>
                    <w:rPr>
                      <w:sz w:val="20"/>
                    </w:rPr>
                  </w:pPr>
                  <w:r w:rsidRPr="0010611E">
                    <w:rPr>
                      <w:sz w:val="20"/>
                    </w:rPr>
                    <w:t>(Newbury, Frankel, Savage JJ.A.)</w:t>
                  </w:r>
                </w:p>
                <w:p w:rsidR="006B3BE3" w:rsidRPr="0010611E" w:rsidRDefault="00B35ED9" w:rsidP="00E209EC">
                  <w:pPr>
                    <w:jc w:val="both"/>
                    <w:rPr>
                      <w:sz w:val="20"/>
                    </w:rPr>
                  </w:pPr>
                  <w:hyperlink r:id="rId32" w:history="1">
                    <w:r w:rsidR="006B3BE3" w:rsidRPr="0010611E">
                      <w:rPr>
                        <w:rStyle w:val="Hyperlink"/>
                        <w:sz w:val="20"/>
                      </w:rPr>
                      <w:t>2017 BCCA 418</w:t>
                    </w:r>
                  </w:hyperlink>
                  <w:r w:rsidR="006B3BE3" w:rsidRPr="0010611E">
                    <w:rPr>
                      <w:sz w:val="20"/>
                    </w:rPr>
                    <w:t xml:space="preserve"> </w:t>
                  </w:r>
                </w:p>
                <w:p w:rsidR="006B3BE3" w:rsidRPr="0010611E" w:rsidRDefault="006B3BE3" w:rsidP="00E209EC">
                  <w:pPr>
                    <w:jc w:val="both"/>
                    <w:rPr>
                      <w:sz w:val="20"/>
                    </w:rPr>
                  </w:pPr>
                </w:p>
              </w:tc>
              <w:tc>
                <w:tcPr>
                  <w:tcW w:w="267" w:type="pct"/>
                </w:tcPr>
                <w:p w:rsidR="006B3BE3" w:rsidRPr="0010611E" w:rsidRDefault="006B3BE3" w:rsidP="00E209EC">
                  <w:pPr>
                    <w:jc w:val="both"/>
                    <w:rPr>
                      <w:sz w:val="20"/>
                    </w:rPr>
                  </w:pPr>
                </w:p>
              </w:tc>
              <w:tc>
                <w:tcPr>
                  <w:tcW w:w="2366" w:type="pct"/>
                </w:tcPr>
                <w:p w:rsidR="006B3BE3" w:rsidRPr="0010611E" w:rsidRDefault="006B3BE3" w:rsidP="00E209EC">
                  <w:pPr>
                    <w:jc w:val="both"/>
                    <w:rPr>
                      <w:sz w:val="20"/>
                    </w:rPr>
                  </w:pPr>
                  <w:r w:rsidRPr="0010611E">
                    <w:rPr>
                      <w:sz w:val="20"/>
                    </w:rPr>
                    <w:t>Reasons: conviction appeal dismissed</w:t>
                  </w:r>
                </w:p>
                <w:p w:rsidR="006B3BE3" w:rsidRPr="0010611E" w:rsidRDefault="006B3BE3" w:rsidP="00E209EC">
                  <w:pPr>
                    <w:jc w:val="both"/>
                    <w:rPr>
                      <w:sz w:val="20"/>
                    </w:rPr>
                  </w:pPr>
                </w:p>
              </w:tc>
            </w:tr>
            <w:tr w:rsidR="006B3BE3" w:rsidRPr="0010611E" w:rsidTr="00E209EC">
              <w:tc>
                <w:tcPr>
                  <w:tcW w:w="2367" w:type="pct"/>
                </w:tcPr>
                <w:p w:rsidR="006B3BE3" w:rsidRPr="0010611E" w:rsidRDefault="006B3BE3" w:rsidP="00E209EC">
                  <w:pPr>
                    <w:jc w:val="both"/>
                    <w:rPr>
                      <w:sz w:val="20"/>
                    </w:rPr>
                  </w:pPr>
                  <w:r w:rsidRPr="0010611E">
                    <w:rPr>
                      <w:sz w:val="20"/>
                    </w:rPr>
                    <w:t>January 24, 2018</w:t>
                  </w:r>
                </w:p>
                <w:p w:rsidR="006B3BE3" w:rsidRPr="0010611E" w:rsidRDefault="006B3BE3" w:rsidP="00E209EC">
                  <w:pPr>
                    <w:jc w:val="both"/>
                    <w:rPr>
                      <w:sz w:val="20"/>
                    </w:rPr>
                  </w:pPr>
                  <w:r w:rsidRPr="0010611E">
                    <w:rPr>
                      <w:sz w:val="20"/>
                    </w:rPr>
                    <w:t>Supreme Court of Canada</w:t>
                  </w:r>
                </w:p>
                <w:p w:rsidR="006B3BE3" w:rsidRPr="0010611E" w:rsidRDefault="006B3BE3" w:rsidP="00E209EC">
                  <w:pPr>
                    <w:jc w:val="both"/>
                    <w:rPr>
                      <w:sz w:val="20"/>
                    </w:rPr>
                  </w:pPr>
                </w:p>
              </w:tc>
              <w:tc>
                <w:tcPr>
                  <w:tcW w:w="267" w:type="pct"/>
                </w:tcPr>
                <w:p w:rsidR="006B3BE3" w:rsidRPr="0010611E" w:rsidRDefault="006B3BE3" w:rsidP="00E209EC">
                  <w:pPr>
                    <w:jc w:val="both"/>
                    <w:rPr>
                      <w:sz w:val="20"/>
                    </w:rPr>
                  </w:pPr>
                </w:p>
              </w:tc>
              <w:tc>
                <w:tcPr>
                  <w:tcW w:w="2366" w:type="pct"/>
                </w:tcPr>
                <w:p w:rsidR="006B3BE3" w:rsidRPr="0010611E" w:rsidRDefault="006B3BE3" w:rsidP="00E209EC">
                  <w:pPr>
                    <w:jc w:val="both"/>
                    <w:rPr>
                      <w:sz w:val="20"/>
                    </w:rPr>
                  </w:pPr>
                  <w:r w:rsidRPr="0010611E">
                    <w:rPr>
                      <w:sz w:val="20"/>
                    </w:rPr>
                    <w:t>Motion for an extension of time to serve and file the application for leave to appeal, motion for an oral hearing and application for leave to appeal filed</w:t>
                  </w:r>
                </w:p>
              </w:tc>
            </w:tr>
          </w:tbl>
          <w:p w:rsidR="006B3BE3" w:rsidRPr="0010611E" w:rsidRDefault="006B3BE3" w:rsidP="00E209EC">
            <w:pPr>
              <w:jc w:val="both"/>
              <w:rPr>
                <w:sz w:val="20"/>
              </w:rPr>
            </w:pPr>
          </w:p>
        </w:tc>
      </w:tr>
    </w:tbl>
    <w:p w:rsidR="006B3BE3" w:rsidRPr="0010611E" w:rsidRDefault="006B3BE3" w:rsidP="006B3BE3">
      <w:pPr>
        <w:jc w:val="both"/>
        <w:rPr>
          <w:sz w:val="20"/>
        </w:rPr>
      </w:pPr>
    </w:p>
    <w:p w:rsidR="006B3BE3" w:rsidRPr="0010611E" w:rsidRDefault="006B3BE3">
      <w:pPr>
        <w:rPr>
          <w:sz w:val="20"/>
        </w:rPr>
      </w:pPr>
      <w:r w:rsidRPr="0010611E">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B3BE3" w:rsidRPr="0010611E" w:rsidTr="00E209EC">
        <w:tc>
          <w:tcPr>
            <w:tcW w:w="543" w:type="pct"/>
          </w:tcPr>
          <w:p w:rsidR="006B3BE3" w:rsidRPr="0010611E" w:rsidRDefault="006B3BE3" w:rsidP="00E209EC">
            <w:pPr>
              <w:jc w:val="both"/>
              <w:rPr>
                <w:sz w:val="20"/>
                <w:lang w:val="fr-CA"/>
              </w:rPr>
            </w:pPr>
            <w:r w:rsidRPr="0010611E">
              <w:rPr>
                <w:rStyle w:val="SCCFileNumberChar"/>
                <w:sz w:val="20"/>
                <w:szCs w:val="20"/>
                <w:lang w:val="fr-CA"/>
              </w:rPr>
              <w:t>37922</w:t>
            </w:r>
          </w:p>
        </w:tc>
        <w:tc>
          <w:tcPr>
            <w:tcW w:w="4457" w:type="pct"/>
          </w:tcPr>
          <w:p w:rsidR="006B3BE3" w:rsidRPr="0010611E" w:rsidRDefault="006B3BE3" w:rsidP="00E209EC">
            <w:pPr>
              <w:pStyle w:val="SCCLsocParty"/>
              <w:jc w:val="both"/>
              <w:rPr>
                <w:b/>
                <w:sz w:val="20"/>
                <w:szCs w:val="20"/>
              </w:rPr>
            </w:pPr>
            <w:r w:rsidRPr="0010611E">
              <w:rPr>
                <w:b/>
                <w:sz w:val="20"/>
                <w:szCs w:val="20"/>
              </w:rPr>
              <w:t>Tarek Hady Lotfy c. Sa Majesté la Reine</w:t>
            </w:r>
          </w:p>
          <w:p w:rsidR="006B3BE3" w:rsidRPr="0010611E" w:rsidRDefault="006B3BE3" w:rsidP="00E209EC">
            <w:pPr>
              <w:jc w:val="both"/>
              <w:rPr>
                <w:sz w:val="20"/>
                <w:lang w:val="fr-CA"/>
              </w:rPr>
            </w:pPr>
            <w:r w:rsidRPr="0010611E">
              <w:rPr>
                <w:sz w:val="20"/>
                <w:lang w:val="fr-CA"/>
              </w:rPr>
              <w:t>(C.-B.) (Criminelle) (Autorisation)</w:t>
            </w:r>
          </w:p>
        </w:tc>
      </w:tr>
      <w:tr w:rsidR="006B3BE3" w:rsidRPr="00644959" w:rsidTr="00E209EC">
        <w:tc>
          <w:tcPr>
            <w:tcW w:w="543" w:type="pct"/>
          </w:tcPr>
          <w:p w:rsidR="006B3BE3" w:rsidRPr="0010611E" w:rsidRDefault="00C14510" w:rsidP="00E209EC">
            <w:pPr>
              <w:jc w:val="both"/>
              <w:rPr>
                <w:rStyle w:val="SCCFileNumberChar"/>
                <w:sz w:val="20"/>
                <w:szCs w:val="20"/>
                <w:lang w:val="fr-CA"/>
              </w:rPr>
            </w:pPr>
            <w:r w:rsidRPr="0010611E">
              <w:rPr>
                <w:rStyle w:val="SCCFileNumberChar"/>
                <w:sz w:val="20"/>
                <w:szCs w:val="20"/>
                <w:lang w:val="fr-CA"/>
              </w:rPr>
              <w:t>Coram :</w:t>
            </w:r>
          </w:p>
        </w:tc>
        <w:tc>
          <w:tcPr>
            <w:tcW w:w="4457" w:type="pct"/>
          </w:tcPr>
          <w:p w:rsidR="006B3BE3" w:rsidRPr="0010611E" w:rsidRDefault="00C14510" w:rsidP="00E209EC">
            <w:pPr>
              <w:pStyle w:val="SCCLsocParty"/>
              <w:jc w:val="both"/>
              <w:rPr>
                <w:b/>
                <w:sz w:val="20"/>
                <w:szCs w:val="20"/>
              </w:rPr>
            </w:pPr>
            <w:r w:rsidRPr="0010611E">
              <w:rPr>
                <w:sz w:val="20"/>
              </w:rPr>
              <w:t>Le juge en chef Wagner et les juges Abella, Moldaver, Karakatsanis, Gascon, Côté, Brown, Rowe et Martin</w:t>
            </w:r>
          </w:p>
        </w:tc>
      </w:tr>
      <w:tr w:rsidR="00C14510" w:rsidRPr="00644959" w:rsidTr="00C14510">
        <w:tc>
          <w:tcPr>
            <w:tcW w:w="5000" w:type="pct"/>
            <w:gridSpan w:val="2"/>
          </w:tcPr>
          <w:p w:rsidR="00C14510" w:rsidRDefault="00C14510" w:rsidP="00AD776D">
            <w:pPr>
              <w:pStyle w:val="SCCLsocParty"/>
              <w:jc w:val="left"/>
              <w:rPr>
                <w:sz w:val="20"/>
              </w:rPr>
            </w:pPr>
            <w:r w:rsidRPr="0010611E">
              <w:rPr>
                <w:sz w:val="20"/>
              </w:rPr>
              <w:t>La demande pour la tenue d’une audience est rejetée.  La requête en prorogation du délai de dépôt et de signification de la demande d’autorisation est accueillie.  La demande d’autorisation d’appel de l’arrêt de la Cour d’appel de la Colombie-Britannique (Vancouver), numéro CA43847, 2017 BCCA 418, daté du 12 octobre 2017, est rejetée.</w:t>
            </w:r>
          </w:p>
          <w:p w:rsidR="00AD776D" w:rsidRPr="00AD776D" w:rsidRDefault="00AD776D" w:rsidP="00AD776D">
            <w:pPr>
              <w:rPr>
                <w:lang w:val="fr-CA"/>
              </w:rPr>
            </w:pPr>
          </w:p>
        </w:tc>
      </w:tr>
      <w:tr w:rsidR="006B3BE3" w:rsidRPr="00644959" w:rsidTr="00E209EC">
        <w:tc>
          <w:tcPr>
            <w:tcW w:w="5000" w:type="pct"/>
            <w:gridSpan w:val="2"/>
          </w:tcPr>
          <w:p w:rsidR="006B3BE3" w:rsidRPr="0010611E" w:rsidRDefault="006B3BE3" w:rsidP="00E209EC">
            <w:pPr>
              <w:jc w:val="both"/>
              <w:rPr>
                <w:sz w:val="20"/>
                <w:lang w:val="fr-CA"/>
              </w:rPr>
            </w:pPr>
            <w:r w:rsidRPr="0010611E">
              <w:rPr>
                <w:sz w:val="20"/>
                <w:lang w:val="fr-CA"/>
              </w:rPr>
              <w:t xml:space="preserve">Droit criminel — Arrestation — Infraction — Éléments de l’infraction — Le policier qui a interpellé le demandeur avait-il des motifs de l’arrêter pour possession de marihuana en vue d’en faire le trafic? — L’arrestation a été jugée légale — L’al. 495(1)b) du </w:t>
            </w:r>
            <w:r w:rsidRPr="0010611E">
              <w:rPr>
                <w:i/>
                <w:sz w:val="20"/>
                <w:lang w:val="fr-CA"/>
              </w:rPr>
              <w:t>Code criminel</w:t>
            </w:r>
            <w:r w:rsidRPr="0010611E">
              <w:rPr>
                <w:sz w:val="20"/>
                <w:lang w:val="fr-CA"/>
              </w:rPr>
              <w:t xml:space="preserve">, L.R.C. 1985, ch. C-46 oblige-t-il les agents de la paix qui effectuent des arrestations sans mandat à se pencher sur tous les éléments constitutifs de l’infraction de possession de marihuana, par exemple la connaissance et le contrôle, en application de l’article 4 de la </w:t>
            </w:r>
            <w:r w:rsidRPr="0010611E">
              <w:rPr>
                <w:i/>
                <w:sz w:val="20"/>
                <w:lang w:val="fr-CA"/>
              </w:rPr>
              <w:t>Loi réglementant certaines drogues et autres substances</w:t>
            </w:r>
            <w:r w:rsidRPr="0010611E">
              <w:rPr>
                <w:sz w:val="20"/>
                <w:lang w:val="fr-CA"/>
              </w:rPr>
              <w:t>, L.R.C. 1996, C-19? — Une excuse légitime, par exemple « [s]</w:t>
            </w:r>
            <w:proofErr w:type="spellStart"/>
            <w:r w:rsidRPr="0010611E">
              <w:rPr>
                <w:sz w:val="20"/>
                <w:lang w:val="fr-CA"/>
              </w:rPr>
              <w:t>auf</w:t>
            </w:r>
            <w:proofErr w:type="spellEnd"/>
            <w:r w:rsidRPr="0010611E">
              <w:rPr>
                <w:sz w:val="20"/>
                <w:lang w:val="fr-CA"/>
              </w:rPr>
              <w:t xml:space="preserve"> dans les cas autorisés aux termes des règlements » prévue à l’article 4 de la </w:t>
            </w:r>
            <w:r w:rsidRPr="0010611E">
              <w:rPr>
                <w:i/>
                <w:sz w:val="20"/>
                <w:lang w:val="fr-CA"/>
              </w:rPr>
              <w:t>Loi réglementant certaines drogues et autres substances</w:t>
            </w:r>
            <w:r w:rsidRPr="0010611E">
              <w:rPr>
                <w:sz w:val="20"/>
                <w:lang w:val="fr-CA"/>
              </w:rPr>
              <w:t xml:space="preserve"> est-elle un élément constitutif de l’infraction de possession simple de marihuana?</w:t>
            </w:r>
          </w:p>
        </w:tc>
      </w:tr>
      <w:tr w:rsidR="006B3BE3" w:rsidRPr="00644959" w:rsidTr="00E209EC">
        <w:tc>
          <w:tcPr>
            <w:tcW w:w="5000" w:type="pct"/>
            <w:gridSpan w:val="2"/>
          </w:tcPr>
          <w:p w:rsidR="006B3BE3" w:rsidRPr="0010611E" w:rsidRDefault="006B3BE3" w:rsidP="00E209EC">
            <w:pPr>
              <w:jc w:val="both"/>
              <w:rPr>
                <w:sz w:val="20"/>
                <w:lang w:val="fr-CA"/>
              </w:rPr>
            </w:pPr>
          </w:p>
        </w:tc>
      </w:tr>
      <w:tr w:rsidR="006B3BE3" w:rsidRPr="0010611E" w:rsidTr="00E209EC">
        <w:tc>
          <w:tcPr>
            <w:tcW w:w="5000" w:type="pct"/>
            <w:gridSpan w:val="2"/>
          </w:tcPr>
          <w:p w:rsidR="006B3BE3" w:rsidRPr="0010611E" w:rsidRDefault="006B3BE3" w:rsidP="00E209EC">
            <w:pPr>
              <w:jc w:val="both"/>
              <w:rPr>
                <w:sz w:val="20"/>
                <w:lang w:val="fr-CA"/>
              </w:rPr>
            </w:pPr>
            <w:r w:rsidRPr="0010611E">
              <w:rPr>
                <w:sz w:val="20"/>
                <w:lang w:val="fr-CA"/>
              </w:rPr>
              <w:t xml:space="preserve">Monsieur Lotfy a été interpellé pour excès de vitesse. L’agent </w:t>
            </w:r>
            <w:proofErr w:type="spellStart"/>
            <w:r w:rsidRPr="0010611E">
              <w:rPr>
                <w:sz w:val="20"/>
                <w:lang w:val="fr-CA"/>
              </w:rPr>
              <w:t>Innes</w:t>
            </w:r>
            <w:proofErr w:type="spellEnd"/>
            <w:r w:rsidRPr="0010611E">
              <w:rPr>
                <w:sz w:val="20"/>
                <w:lang w:val="fr-CA"/>
              </w:rPr>
              <w:t xml:space="preserve"> a observé a) la nervosité inhabituelle de M. Lotfy, b) la forte odeur d’assainisseur d’air détectée lorsqu’il a parlé à M. Lotfy la première fois et c) la faible odeur de marihuana au stade végétatif détectée lorsqu’il a parlé à M. Lotfy la deuxième fois. L’agent </w:t>
            </w:r>
            <w:proofErr w:type="spellStart"/>
            <w:r w:rsidRPr="0010611E">
              <w:rPr>
                <w:sz w:val="20"/>
                <w:lang w:val="fr-CA"/>
              </w:rPr>
              <w:t>Innes</w:t>
            </w:r>
            <w:proofErr w:type="spellEnd"/>
            <w:r w:rsidRPr="0010611E">
              <w:rPr>
                <w:sz w:val="20"/>
                <w:lang w:val="fr-CA"/>
              </w:rPr>
              <w:t xml:space="preserve"> a arrêté M. Lotfy pour possession de marihuana en vue d’en faire le trafic et l’a informé de nouveau de ses droits. Le juge du procès a conclu que l’arrestation était légale. Monsieur Lotfy a été déclaré coupable de possession de marihuana en vue d’en faire le trafic. L’appel de la déclaration de culpabilité a été rejeté.</w:t>
            </w:r>
          </w:p>
          <w:p w:rsidR="006B3BE3" w:rsidRPr="0010611E" w:rsidRDefault="006B3BE3" w:rsidP="00E209EC">
            <w:pPr>
              <w:jc w:val="both"/>
              <w:rPr>
                <w:sz w:val="20"/>
                <w:lang w:val="fr-CA"/>
              </w:rPr>
            </w:pPr>
          </w:p>
        </w:tc>
      </w:tr>
      <w:tr w:rsidR="006B3BE3" w:rsidRPr="00644959" w:rsidTr="00E209EC">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6B3BE3" w:rsidRPr="00644959" w:rsidTr="00E209EC">
              <w:tc>
                <w:tcPr>
                  <w:tcW w:w="2367" w:type="pct"/>
                </w:tcPr>
                <w:p w:rsidR="006B3BE3" w:rsidRPr="0010611E" w:rsidRDefault="006B3BE3" w:rsidP="00E209EC">
                  <w:pPr>
                    <w:jc w:val="both"/>
                    <w:rPr>
                      <w:sz w:val="20"/>
                      <w:lang w:val="fr-CA"/>
                    </w:rPr>
                  </w:pPr>
                  <w:r w:rsidRPr="0010611E">
                    <w:rPr>
                      <w:sz w:val="20"/>
                      <w:lang w:val="fr-CA"/>
                    </w:rPr>
                    <w:t>5 janvier 2016</w:t>
                  </w:r>
                </w:p>
                <w:p w:rsidR="006B3BE3" w:rsidRPr="0010611E" w:rsidRDefault="006B3BE3" w:rsidP="00E209EC">
                  <w:pPr>
                    <w:jc w:val="both"/>
                    <w:rPr>
                      <w:sz w:val="20"/>
                      <w:lang w:val="fr-CA"/>
                    </w:rPr>
                  </w:pPr>
                  <w:r w:rsidRPr="0010611E">
                    <w:rPr>
                      <w:sz w:val="20"/>
                      <w:lang w:val="fr-CA"/>
                    </w:rPr>
                    <w:t>Cour suprême de la Colombie-Britannique</w:t>
                  </w:r>
                </w:p>
                <w:p w:rsidR="006B3BE3" w:rsidRPr="0010611E" w:rsidRDefault="006B3BE3" w:rsidP="00E209EC">
                  <w:pPr>
                    <w:jc w:val="both"/>
                    <w:rPr>
                      <w:sz w:val="20"/>
                      <w:lang w:val="fr-CA"/>
                    </w:rPr>
                  </w:pPr>
                  <w:r w:rsidRPr="0010611E">
                    <w:rPr>
                      <w:sz w:val="20"/>
                      <w:lang w:val="fr-CA"/>
                    </w:rPr>
                    <w:t>(Juge Macintosh)</w:t>
                  </w:r>
                </w:p>
                <w:p w:rsidR="006B3BE3" w:rsidRPr="0010611E" w:rsidRDefault="00B35ED9" w:rsidP="00E209EC">
                  <w:pPr>
                    <w:jc w:val="both"/>
                    <w:rPr>
                      <w:sz w:val="20"/>
                      <w:lang w:val="fr-CA"/>
                    </w:rPr>
                  </w:pPr>
                  <w:hyperlink r:id="rId33" w:history="1">
                    <w:r w:rsidR="006B3BE3" w:rsidRPr="0010611E">
                      <w:rPr>
                        <w:rStyle w:val="Hyperlink"/>
                        <w:sz w:val="20"/>
                        <w:lang w:val="fr-CA"/>
                      </w:rPr>
                      <w:t>2016 BCSC 1530</w:t>
                    </w:r>
                  </w:hyperlink>
                  <w:r w:rsidR="006B3BE3" w:rsidRPr="0010611E">
                    <w:rPr>
                      <w:sz w:val="20"/>
                      <w:lang w:val="fr-CA"/>
                    </w:rPr>
                    <w:t xml:space="preserve"> </w:t>
                  </w:r>
                </w:p>
                <w:p w:rsidR="006B3BE3" w:rsidRPr="0010611E" w:rsidRDefault="006B3BE3" w:rsidP="00E209EC">
                  <w:pPr>
                    <w:jc w:val="both"/>
                    <w:rPr>
                      <w:sz w:val="20"/>
                      <w:lang w:val="fr-CA"/>
                    </w:rPr>
                  </w:pPr>
                </w:p>
              </w:tc>
              <w:tc>
                <w:tcPr>
                  <w:tcW w:w="267" w:type="pct"/>
                </w:tcPr>
                <w:p w:rsidR="006B3BE3" w:rsidRPr="0010611E" w:rsidRDefault="006B3BE3" w:rsidP="00E209EC">
                  <w:pPr>
                    <w:jc w:val="both"/>
                    <w:rPr>
                      <w:sz w:val="20"/>
                      <w:lang w:val="fr-CA"/>
                    </w:rPr>
                  </w:pPr>
                </w:p>
              </w:tc>
              <w:tc>
                <w:tcPr>
                  <w:tcW w:w="2366" w:type="pct"/>
                </w:tcPr>
                <w:p w:rsidR="006B3BE3" w:rsidRPr="0010611E" w:rsidRDefault="006B3BE3" w:rsidP="00E209EC">
                  <w:pPr>
                    <w:jc w:val="both"/>
                    <w:rPr>
                      <w:sz w:val="20"/>
                      <w:lang w:val="fr-CA"/>
                    </w:rPr>
                  </w:pPr>
                  <w:r w:rsidRPr="0010611E">
                    <w:rPr>
                      <w:sz w:val="20"/>
                      <w:lang w:val="fr-CA"/>
                    </w:rPr>
                    <w:t>Déclaration de culpabilité : possession de marihuana en vue d’en faire le trafic</w:t>
                  </w:r>
                </w:p>
                <w:p w:rsidR="006B3BE3" w:rsidRPr="0010611E" w:rsidRDefault="006B3BE3" w:rsidP="00E209EC">
                  <w:pPr>
                    <w:jc w:val="both"/>
                    <w:rPr>
                      <w:sz w:val="20"/>
                      <w:lang w:val="fr-CA"/>
                    </w:rPr>
                  </w:pPr>
                </w:p>
              </w:tc>
            </w:tr>
            <w:tr w:rsidR="006B3BE3" w:rsidRPr="00644959" w:rsidTr="00E209EC">
              <w:tc>
                <w:tcPr>
                  <w:tcW w:w="2367" w:type="pct"/>
                </w:tcPr>
                <w:p w:rsidR="006B3BE3" w:rsidRPr="0010611E" w:rsidRDefault="006B3BE3" w:rsidP="00E209EC">
                  <w:pPr>
                    <w:jc w:val="both"/>
                    <w:rPr>
                      <w:sz w:val="20"/>
                      <w:lang w:val="fr-CA"/>
                    </w:rPr>
                  </w:pPr>
                  <w:r w:rsidRPr="0010611E">
                    <w:rPr>
                      <w:sz w:val="20"/>
                      <w:lang w:val="fr-CA"/>
                    </w:rPr>
                    <w:t>12 octobre 2017</w:t>
                  </w:r>
                </w:p>
                <w:p w:rsidR="006B3BE3" w:rsidRPr="0010611E" w:rsidRDefault="006B3BE3" w:rsidP="00E209EC">
                  <w:pPr>
                    <w:jc w:val="both"/>
                    <w:rPr>
                      <w:sz w:val="20"/>
                      <w:lang w:val="fr-CA"/>
                    </w:rPr>
                  </w:pPr>
                  <w:r w:rsidRPr="0010611E">
                    <w:rPr>
                      <w:sz w:val="20"/>
                      <w:lang w:val="fr-CA"/>
                    </w:rPr>
                    <w:t>Cour d’appel de la Colombie-Britannique</w:t>
                  </w:r>
                </w:p>
                <w:p w:rsidR="006B3BE3" w:rsidRPr="0010611E" w:rsidRDefault="006B3BE3" w:rsidP="00E209EC">
                  <w:pPr>
                    <w:jc w:val="both"/>
                    <w:rPr>
                      <w:sz w:val="20"/>
                      <w:lang w:val="fr-CA"/>
                    </w:rPr>
                  </w:pPr>
                  <w:r w:rsidRPr="0010611E">
                    <w:rPr>
                      <w:sz w:val="20"/>
                      <w:lang w:val="fr-CA"/>
                    </w:rPr>
                    <w:t>(Vancouver)</w:t>
                  </w:r>
                </w:p>
                <w:p w:rsidR="006B3BE3" w:rsidRPr="0010611E" w:rsidRDefault="006B3BE3" w:rsidP="00E209EC">
                  <w:pPr>
                    <w:jc w:val="both"/>
                    <w:rPr>
                      <w:sz w:val="20"/>
                      <w:lang w:val="fr-CA"/>
                    </w:rPr>
                  </w:pPr>
                  <w:r w:rsidRPr="0010611E">
                    <w:rPr>
                      <w:sz w:val="20"/>
                      <w:lang w:val="fr-CA"/>
                    </w:rPr>
                    <w:t xml:space="preserve">(Juges Newbury, </w:t>
                  </w:r>
                  <w:proofErr w:type="spellStart"/>
                  <w:r w:rsidRPr="0010611E">
                    <w:rPr>
                      <w:sz w:val="20"/>
                      <w:lang w:val="fr-CA"/>
                    </w:rPr>
                    <w:t>Frankel</w:t>
                  </w:r>
                  <w:proofErr w:type="spellEnd"/>
                  <w:r w:rsidRPr="0010611E">
                    <w:rPr>
                      <w:sz w:val="20"/>
                      <w:lang w:val="fr-CA"/>
                    </w:rPr>
                    <w:t xml:space="preserve"> et Savage)</w:t>
                  </w:r>
                </w:p>
                <w:p w:rsidR="006B3BE3" w:rsidRPr="0010611E" w:rsidRDefault="00B35ED9" w:rsidP="00E209EC">
                  <w:pPr>
                    <w:jc w:val="both"/>
                    <w:rPr>
                      <w:sz w:val="20"/>
                      <w:lang w:val="fr-CA"/>
                    </w:rPr>
                  </w:pPr>
                  <w:hyperlink r:id="rId34" w:history="1">
                    <w:r w:rsidR="006B3BE3" w:rsidRPr="0010611E">
                      <w:rPr>
                        <w:rStyle w:val="Hyperlink"/>
                        <w:sz w:val="20"/>
                        <w:lang w:val="fr-CA"/>
                      </w:rPr>
                      <w:t>2017 BCCA 418</w:t>
                    </w:r>
                  </w:hyperlink>
                  <w:r w:rsidR="006B3BE3" w:rsidRPr="0010611E">
                    <w:rPr>
                      <w:sz w:val="20"/>
                      <w:lang w:val="fr-CA"/>
                    </w:rPr>
                    <w:t xml:space="preserve"> </w:t>
                  </w:r>
                </w:p>
                <w:p w:rsidR="006B3BE3" w:rsidRPr="0010611E" w:rsidRDefault="006B3BE3" w:rsidP="00E209EC">
                  <w:pPr>
                    <w:jc w:val="both"/>
                    <w:rPr>
                      <w:sz w:val="20"/>
                      <w:lang w:val="fr-CA"/>
                    </w:rPr>
                  </w:pPr>
                </w:p>
              </w:tc>
              <w:tc>
                <w:tcPr>
                  <w:tcW w:w="267" w:type="pct"/>
                </w:tcPr>
                <w:p w:rsidR="006B3BE3" w:rsidRPr="0010611E" w:rsidRDefault="006B3BE3" w:rsidP="00E209EC">
                  <w:pPr>
                    <w:jc w:val="both"/>
                    <w:rPr>
                      <w:sz w:val="20"/>
                      <w:lang w:val="fr-CA"/>
                    </w:rPr>
                  </w:pPr>
                </w:p>
              </w:tc>
              <w:tc>
                <w:tcPr>
                  <w:tcW w:w="2366" w:type="pct"/>
                </w:tcPr>
                <w:p w:rsidR="006B3BE3" w:rsidRPr="0010611E" w:rsidRDefault="006B3BE3" w:rsidP="00E209EC">
                  <w:pPr>
                    <w:jc w:val="both"/>
                    <w:rPr>
                      <w:sz w:val="20"/>
                      <w:lang w:val="fr-CA"/>
                    </w:rPr>
                  </w:pPr>
                  <w:r w:rsidRPr="0010611E">
                    <w:rPr>
                      <w:sz w:val="20"/>
                      <w:lang w:val="fr-CA"/>
                    </w:rPr>
                    <w:t>Rejet de l’appel de la déclaration de culpabilité : motifs à suivre</w:t>
                  </w:r>
                </w:p>
                <w:p w:rsidR="006B3BE3" w:rsidRPr="0010611E" w:rsidRDefault="006B3BE3" w:rsidP="00E209EC">
                  <w:pPr>
                    <w:jc w:val="both"/>
                    <w:rPr>
                      <w:sz w:val="20"/>
                      <w:lang w:val="fr-CA"/>
                    </w:rPr>
                  </w:pPr>
                </w:p>
              </w:tc>
            </w:tr>
            <w:tr w:rsidR="006B3BE3" w:rsidRPr="00644959" w:rsidTr="00E209EC">
              <w:tc>
                <w:tcPr>
                  <w:tcW w:w="2367" w:type="pct"/>
                </w:tcPr>
                <w:p w:rsidR="006B3BE3" w:rsidRPr="0010611E" w:rsidRDefault="006B3BE3" w:rsidP="00E209EC">
                  <w:pPr>
                    <w:jc w:val="both"/>
                    <w:rPr>
                      <w:sz w:val="20"/>
                      <w:lang w:val="fr-CA"/>
                    </w:rPr>
                  </w:pPr>
                  <w:r w:rsidRPr="0010611E">
                    <w:rPr>
                      <w:sz w:val="20"/>
                      <w:lang w:val="fr-CA"/>
                    </w:rPr>
                    <w:t>29 novembre 2017</w:t>
                  </w:r>
                </w:p>
                <w:p w:rsidR="006B3BE3" w:rsidRPr="0010611E" w:rsidRDefault="006B3BE3" w:rsidP="00E209EC">
                  <w:pPr>
                    <w:jc w:val="both"/>
                    <w:rPr>
                      <w:sz w:val="20"/>
                      <w:lang w:val="fr-CA"/>
                    </w:rPr>
                  </w:pPr>
                  <w:r w:rsidRPr="0010611E">
                    <w:rPr>
                      <w:sz w:val="20"/>
                      <w:lang w:val="fr-CA"/>
                    </w:rPr>
                    <w:t>Cour d’appel de la Colombie-Britannique</w:t>
                  </w:r>
                </w:p>
                <w:p w:rsidR="006B3BE3" w:rsidRPr="0010611E" w:rsidRDefault="006B3BE3" w:rsidP="00E209EC">
                  <w:pPr>
                    <w:jc w:val="both"/>
                    <w:rPr>
                      <w:sz w:val="20"/>
                      <w:lang w:val="fr-CA"/>
                    </w:rPr>
                  </w:pPr>
                  <w:r w:rsidRPr="0010611E">
                    <w:rPr>
                      <w:sz w:val="20"/>
                      <w:lang w:val="fr-CA"/>
                    </w:rPr>
                    <w:t>(Vancouver)</w:t>
                  </w:r>
                </w:p>
                <w:p w:rsidR="006B3BE3" w:rsidRPr="0010611E" w:rsidRDefault="006B3BE3" w:rsidP="00E209EC">
                  <w:pPr>
                    <w:jc w:val="both"/>
                    <w:rPr>
                      <w:sz w:val="20"/>
                      <w:lang w:val="fr-CA"/>
                    </w:rPr>
                  </w:pPr>
                  <w:r w:rsidRPr="0010611E">
                    <w:rPr>
                      <w:sz w:val="20"/>
                      <w:lang w:val="fr-CA"/>
                    </w:rPr>
                    <w:t xml:space="preserve">(Juges Newbury, </w:t>
                  </w:r>
                  <w:proofErr w:type="spellStart"/>
                  <w:r w:rsidRPr="0010611E">
                    <w:rPr>
                      <w:sz w:val="20"/>
                      <w:lang w:val="fr-CA"/>
                    </w:rPr>
                    <w:t>Frankel</w:t>
                  </w:r>
                  <w:proofErr w:type="spellEnd"/>
                  <w:r w:rsidRPr="0010611E">
                    <w:rPr>
                      <w:sz w:val="20"/>
                      <w:lang w:val="fr-CA"/>
                    </w:rPr>
                    <w:t xml:space="preserve"> et Savage)</w:t>
                  </w:r>
                </w:p>
                <w:p w:rsidR="006B3BE3" w:rsidRPr="0010611E" w:rsidRDefault="00B35ED9" w:rsidP="00E209EC">
                  <w:pPr>
                    <w:jc w:val="both"/>
                    <w:rPr>
                      <w:sz w:val="20"/>
                      <w:lang w:val="fr-CA"/>
                    </w:rPr>
                  </w:pPr>
                  <w:hyperlink r:id="rId35" w:history="1">
                    <w:r w:rsidR="006B3BE3" w:rsidRPr="0010611E">
                      <w:rPr>
                        <w:rStyle w:val="Hyperlink"/>
                        <w:sz w:val="20"/>
                        <w:lang w:val="fr-CA"/>
                      </w:rPr>
                      <w:t>2017 BCCA 418</w:t>
                    </w:r>
                  </w:hyperlink>
                  <w:r w:rsidR="006B3BE3" w:rsidRPr="0010611E">
                    <w:rPr>
                      <w:sz w:val="20"/>
                      <w:lang w:val="fr-CA"/>
                    </w:rPr>
                    <w:t xml:space="preserve"> </w:t>
                  </w:r>
                </w:p>
                <w:p w:rsidR="006B3BE3" w:rsidRPr="0010611E" w:rsidRDefault="006B3BE3" w:rsidP="00E209EC">
                  <w:pPr>
                    <w:jc w:val="both"/>
                    <w:rPr>
                      <w:sz w:val="20"/>
                      <w:lang w:val="fr-CA"/>
                    </w:rPr>
                  </w:pPr>
                </w:p>
              </w:tc>
              <w:tc>
                <w:tcPr>
                  <w:tcW w:w="267" w:type="pct"/>
                </w:tcPr>
                <w:p w:rsidR="006B3BE3" w:rsidRPr="0010611E" w:rsidRDefault="006B3BE3" w:rsidP="00E209EC">
                  <w:pPr>
                    <w:jc w:val="both"/>
                    <w:rPr>
                      <w:sz w:val="20"/>
                      <w:lang w:val="fr-CA"/>
                    </w:rPr>
                  </w:pPr>
                </w:p>
              </w:tc>
              <w:tc>
                <w:tcPr>
                  <w:tcW w:w="2366" w:type="pct"/>
                </w:tcPr>
                <w:p w:rsidR="006B3BE3" w:rsidRPr="0010611E" w:rsidRDefault="006B3BE3" w:rsidP="00E209EC">
                  <w:pPr>
                    <w:jc w:val="both"/>
                    <w:rPr>
                      <w:sz w:val="20"/>
                      <w:lang w:val="fr-CA"/>
                    </w:rPr>
                  </w:pPr>
                  <w:r w:rsidRPr="0010611E">
                    <w:rPr>
                      <w:sz w:val="20"/>
                      <w:lang w:val="fr-CA"/>
                    </w:rPr>
                    <w:t>Motifs : rejet de l’appel de la déclaration de culpabilité</w:t>
                  </w:r>
                </w:p>
                <w:p w:rsidR="006B3BE3" w:rsidRPr="0010611E" w:rsidRDefault="006B3BE3" w:rsidP="00E209EC">
                  <w:pPr>
                    <w:jc w:val="both"/>
                    <w:rPr>
                      <w:sz w:val="20"/>
                      <w:lang w:val="fr-CA"/>
                    </w:rPr>
                  </w:pPr>
                </w:p>
              </w:tc>
            </w:tr>
            <w:tr w:rsidR="006B3BE3" w:rsidRPr="00644959" w:rsidTr="00E209EC">
              <w:tc>
                <w:tcPr>
                  <w:tcW w:w="2367" w:type="pct"/>
                </w:tcPr>
                <w:p w:rsidR="006B3BE3" w:rsidRPr="0010611E" w:rsidRDefault="006B3BE3" w:rsidP="00E209EC">
                  <w:pPr>
                    <w:jc w:val="both"/>
                    <w:rPr>
                      <w:sz w:val="20"/>
                      <w:lang w:val="fr-CA"/>
                    </w:rPr>
                  </w:pPr>
                  <w:r w:rsidRPr="0010611E">
                    <w:rPr>
                      <w:sz w:val="20"/>
                      <w:lang w:val="fr-CA"/>
                    </w:rPr>
                    <w:t>24 janvier 2018</w:t>
                  </w:r>
                </w:p>
                <w:p w:rsidR="006B3BE3" w:rsidRPr="0010611E" w:rsidRDefault="006B3BE3" w:rsidP="00E209EC">
                  <w:pPr>
                    <w:jc w:val="both"/>
                    <w:rPr>
                      <w:sz w:val="20"/>
                      <w:lang w:val="fr-CA"/>
                    </w:rPr>
                  </w:pPr>
                  <w:r w:rsidRPr="0010611E">
                    <w:rPr>
                      <w:sz w:val="20"/>
                      <w:lang w:val="fr-CA"/>
                    </w:rPr>
                    <w:t>Cour suprême du Canada</w:t>
                  </w:r>
                </w:p>
              </w:tc>
              <w:tc>
                <w:tcPr>
                  <w:tcW w:w="267" w:type="pct"/>
                </w:tcPr>
                <w:p w:rsidR="006B3BE3" w:rsidRPr="0010611E" w:rsidRDefault="006B3BE3" w:rsidP="00E209EC">
                  <w:pPr>
                    <w:jc w:val="both"/>
                    <w:rPr>
                      <w:sz w:val="20"/>
                      <w:lang w:val="fr-CA"/>
                    </w:rPr>
                  </w:pPr>
                </w:p>
              </w:tc>
              <w:tc>
                <w:tcPr>
                  <w:tcW w:w="2366" w:type="pct"/>
                </w:tcPr>
                <w:p w:rsidR="006B3BE3" w:rsidRPr="0010611E" w:rsidRDefault="006B3BE3" w:rsidP="00E209EC">
                  <w:pPr>
                    <w:jc w:val="both"/>
                    <w:rPr>
                      <w:sz w:val="20"/>
                      <w:lang w:val="fr-CA"/>
                    </w:rPr>
                  </w:pPr>
                  <w:r w:rsidRPr="0010611E">
                    <w:rPr>
                      <w:sz w:val="20"/>
                      <w:lang w:val="fr-CA"/>
                    </w:rPr>
                    <w:t>Dépôt de la requête en prorogation du délai de signification et de dépôt de la demande d’autorisation d’appel, de la requête pour audience et de la demande d’autorisation d’appel</w:t>
                  </w:r>
                </w:p>
              </w:tc>
            </w:tr>
          </w:tbl>
          <w:p w:rsidR="006B3BE3" w:rsidRPr="0010611E" w:rsidRDefault="006B3BE3" w:rsidP="00E209EC">
            <w:pPr>
              <w:jc w:val="both"/>
              <w:rPr>
                <w:sz w:val="20"/>
                <w:lang w:val="fr-CA"/>
              </w:rPr>
            </w:pPr>
          </w:p>
        </w:tc>
      </w:tr>
    </w:tbl>
    <w:p w:rsidR="006B3BE3" w:rsidRPr="0010611E" w:rsidRDefault="006B3BE3" w:rsidP="00E8544A">
      <w:pPr>
        <w:rPr>
          <w:sz w:val="20"/>
          <w:szCs w:val="20"/>
          <w:lang w:val="fr-CA"/>
        </w:rPr>
      </w:pPr>
    </w:p>
    <w:p w:rsidR="00E8544A" w:rsidRPr="0010611E" w:rsidRDefault="00B35ED9" w:rsidP="000E2959">
      <w:pPr>
        <w:rPr>
          <w:sz w:val="20"/>
          <w:szCs w:val="20"/>
          <w:lang w:val="fr-CA"/>
        </w:rPr>
      </w:pPr>
      <w:r>
        <w:rPr>
          <w:rFonts w:eastAsia="Times New Roman" w:cs="Times New Roman"/>
          <w:sz w:val="20"/>
          <w:szCs w:val="20"/>
          <w:lang w:val="fr-CA" w:eastAsia="en-CA"/>
        </w:rPr>
        <w:pict>
          <v:rect id="_x0000_i1042" style="width:2in;height:1pt" o:hrpct="0" o:hralign="center" o:hrstd="t" o:hrnoshade="t" o:hr="t" fillcolor="black [3213]" stroked="f"/>
        </w:pict>
      </w:r>
    </w:p>
    <w:p w:rsidR="008D292F" w:rsidRPr="0010611E" w:rsidRDefault="008D292F" w:rsidP="008D292F">
      <w:pPr>
        <w:rPr>
          <w:sz w:val="20"/>
          <w:szCs w:val="20"/>
          <w:lang w:val="fr-CA"/>
        </w:rPr>
      </w:pPr>
    </w:p>
    <w:p w:rsidR="00890FEB" w:rsidRPr="0010611E" w:rsidRDefault="00890FEB" w:rsidP="008D292F">
      <w:pPr>
        <w:rPr>
          <w:sz w:val="20"/>
          <w:szCs w:val="20"/>
          <w:lang w:val="fr-CA"/>
        </w:rPr>
      </w:pPr>
    </w:p>
    <w:p w:rsidR="00890FEB" w:rsidRPr="0010611E" w:rsidRDefault="00890FEB" w:rsidP="008D292F">
      <w:pPr>
        <w:rPr>
          <w:b/>
          <w:sz w:val="20"/>
          <w:szCs w:val="20"/>
          <w:lang w:val="fr-CA"/>
        </w:rPr>
        <w:sectPr w:rsidR="00890FEB" w:rsidRPr="0010611E" w:rsidSect="008D292F">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0611E" w:rsidTr="00BA6468">
        <w:tc>
          <w:tcPr>
            <w:tcW w:w="4230" w:type="dxa"/>
            <w:shd w:val="clear" w:color="auto" w:fill="auto"/>
            <w:tcMar>
              <w:left w:w="0" w:type="dxa"/>
              <w:right w:w="0" w:type="dxa"/>
            </w:tcMar>
          </w:tcPr>
          <w:p w:rsidR="00890FEB" w:rsidRPr="0010611E" w:rsidRDefault="00890FEB" w:rsidP="00EB2B90">
            <w:pPr>
              <w:keepNext/>
              <w:keepLines/>
              <w:tabs>
                <w:tab w:val="left" w:pos="-1440"/>
                <w:tab w:val="left" w:pos="-720"/>
              </w:tabs>
              <w:jc w:val="both"/>
              <w:rPr>
                <w:szCs w:val="24"/>
              </w:rPr>
            </w:pPr>
            <w:r w:rsidRPr="0010611E">
              <w:rPr>
                <w:b/>
                <w:szCs w:val="24"/>
              </w:rPr>
              <w:t>MOTIONS</w:t>
            </w:r>
          </w:p>
        </w:tc>
        <w:tc>
          <w:tcPr>
            <w:tcW w:w="1170" w:type="dxa"/>
            <w:shd w:val="clear" w:color="auto" w:fill="auto"/>
            <w:tcMar>
              <w:left w:w="0" w:type="dxa"/>
              <w:right w:w="0" w:type="dxa"/>
            </w:tcMar>
          </w:tcPr>
          <w:p w:rsidR="00890FEB" w:rsidRPr="0010611E" w:rsidRDefault="00890FEB" w:rsidP="00890FEB">
            <w:pPr>
              <w:keepNext/>
              <w:keepLines/>
              <w:tabs>
                <w:tab w:val="left" w:pos="-1440"/>
                <w:tab w:val="left" w:pos="-720"/>
              </w:tabs>
              <w:jc w:val="center"/>
              <w:rPr>
                <w:szCs w:val="24"/>
              </w:rPr>
            </w:pPr>
          </w:p>
          <w:p w:rsidR="00890FEB" w:rsidRPr="0010611E"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10611E" w:rsidRDefault="00890FEB" w:rsidP="00831CA9">
            <w:pPr>
              <w:keepNext/>
              <w:keepLines/>
              <w:tabs>
                <w:tab w:val="left" w:pos="-1440"/>
                <w:tab w:val="left" w:pos="-720"/>
              </w:tabs>
              <w:rPr>
                <w:szCs w:val="24"/>
                <w:lang w:val="fr-CA"/>
              </w:rPr>
            </w:pPr>
            <w:r w:rsidRPr="0010611E">
              <w:rPr>
                <w:b/>
                <w:szCs w:val="24"/>
                <w:lang w:val="fr-CA"/>
              </w:rPr>
              <w:t>REQUÊTES</w:t>
            </w:r>
          </w:p>
        </w:tc>
      </w:tr>
    </w:tbl>
    <w:p w:rsidR="00890FEB" w:rsidRPr="0010611E" w:rsidRDefault="00890FEB" w:rsidP="00890FEB">
      <w:pPr>
        <w:rPr>
          <w:sz w:val="20"/>
          <w:szCs w:val="20"/>
        </w:rPr>
      </w:pPr>
    </w:p>
    <w:p w:rsidR="00183454" w:rsidRPr="0010611E" w:rsidRDefault="00183454" w:rsidP="00183454">
      <w:pPr>
        <w:tabs>
          <w:tab w:val="left" w:pos="-1440"/>
          <w:tab w:val="left" w:pos="-720"/>
        </w:tabs>
        <w:jc w:val="both"/>
        <w:rPr>
          <w:rFonts w:eastAsia="Times New Roman" w:cs="Times New Roman"/>
          <w:sz w:val="20"/>
          <w:szCs w:val="20"/>
          <w:lang w:val="fr-CA" w:eastAsia="en-CA"/>
        </w:rPr>
      </w:pPr>
      <w:r w:rsidRPr="0010611E">
        <w:rPr>
          <w:rFonts w:eastAsia="Times New Roman" w:cs="Times New Roman"/>
          <w:sz w:val="20"/>
          <w:szCs w:val="20"/>
          <w:lang w:val="fr-CA" w:eastAsia="en-CA"/>
        </w:rPr>
        <w:t>1</w:t>
      </w:r>
      <w:r w:rsidR="00E209EC" w:rsidRPr="0010611E">
        <w:rPr>
          <w:rFonts w:eastAsia="Times New Roman" w:cs="Times New Roman"/>
          <w:sz w:val="20"/>
          <w:szCs w:val="20"/>
          <w:lang w:val="fr-CA" w:eastAsia="en-CA"/>
        </w:rPr>
        <w:t>1</w:t>
      </w:r>
      <w:r w:rsidRPr="0010611E">
        <w:rPr>
          <w:rFonts w:eastAsia="Times New Roman" w:cs="Times New Roman"/>
          <w:sz w:val="20"/>
          <w:szCs w:val="20"/>
          <w:lang w:val="fr-CA" w:eastAsia="en-CA"/>
        </w:rPr>
        <w:t>.0</w:t>
      </w:r>
      <w:r w:rsidR="00E209EC" w:rsidRPr="0010611E">
        <w:rPr>
          <w:rFonts w:eastAsia="Times New Roman" w:cs="Times New Roman"/>
          <w:sz w:val="20"/>
          <w:szCs w:val="20"/>
          <w:lang w:val="fr-CA" w:eastAsia="en-CA"/>
        </w:rPr>
        <w:t>4</w:t>
      </w:r>
      <w:r w:rsidRPr="0010611E">
        <w:rPr>
          <w:rFonts w:eastAsia="Times New Roman" w:cs="Times New Roman"/>
          <w:sz w:val="20"/>
          <w:szCs w:val="20"/>
          <w:lang w:val="fr-CA" w:eastAsia="en-CA"/>
        </w:rPr>
        <w:t>.201</w:t>
      </w:r>
      <w:r w:rsidR="00E209EC" w:rsidRPr="0010611E">
        <w:rPr>
          <w:rFonts w:eastAsia="Times New Roman" w:cs="Times New Roman"/>
          <w:sz w:val="20"/>
          <w:szCs w:val="20"/>
          <w:lang w:val="fr-CA" w:eastAsia="en-CA"/>
        </w:rPr>
        <w:t>8</w:t>
      </w:r>
    </w:p>
    <w:p w:rsidR="00183454" w:rsidRPr="0010611E" w:rsidRDefault="00183454" w:rsidP="00183454">
      <w:pPr>
        <w:tabs>
          <w:tab w:val="left" w:pos="-1440"/>
          <w:tab w:val="left" w:pos="-720"/>
        </w:tabs>
        <w:jc w:val="both"/>
        <w:rPr>
          <w:rFonts w:eastAsia="Times New Roman" w:cs="Times New Roman"/>
          <w:sz w:val="20"/>
          <w:szCs w:val="20"/>
          <w:lang w:val="fr-CA" w:eastAsia="en-CA"/>
        </w:rPr>
      </w:pPr>
    </w:p>
    <w:p w:rsidR="00183454" w:rsidRPr="0010611E" w:rsidRDefault="00183454" w:rsidP="00183454">
      <w:pPr>
        <w:tabs>
          <w:tab w:val="left" w:pos="-1440"/>
          <w:tab w:val="left" w:pos="-720"/>
        </w:tabs>
        <w:jc w:val="both"/>
        <w:rPr>
          <w:rFonts w:eastAsia="Times New Roman" w:cs="Times New Roman"/>
          <w:sz w:val="20"/>
          <w:szCs w:val="20"/>
          <w:lang w:val="fr-CA" w:eastAsia="en-CA"/>
        </w:rPr>
      </w:pPr>
      <w:r w:rsidRPr="0010611E">
        <w:rPr>
          <w:rFonts w:eastAsia="Times New Roman" w:cs="Times New Roman"/>
          <w:sz w:val="20"/>
          <w:szCs w:val="20"/>
          <w:lang w:val="fr-CA" w:eastAsia="en-CA"/>
        </w:rPr>
        <w:t xml:space="preserve">Before / Devant :   </w:t>
      </w:r>
      <w:r w:rsidR="00E209EC" w:rsidRPr="0010611E">
        <w:rPr>
          <w:rFonts w:eastAsia="Times New Roman" w:cs="Times New Roman"/>
          <w:sz w:val="20"/>
          <w:szCs w:val="20"/>
          <w:lang w:val="fr-CA" w:eastAsia="en-CA"/>
        </w:rPr>
        <w:t xml:space="preserve">GASCON </w:t>
      </w:r>
      <w:r w:rsidRPr="0010611E">
        <w:rPr>
          <w:rFonts w:eastAsia="Times New Roman" w:cs="Times New Roman"/>
          <w:sz w:val="20"/>
          <w:szCs w:val="20"/>
          <w:lang w:val="fr-CA" w:eastAsia="en-CA"/>
        </w:rPr>
        <w:t>J. / L</w:t>
      </w:r>
      <w:r w:rsidR="00E209EC" w:rsidRPr="0010611E">
        <w:rPr>
          <w:rFonts w:eastAsia="Times New Roman" w:cs="Times New Roman"/>
          <w:sz w:val="20"/>
          <w:szCs w:val="20"/>
          <w:lang w:val="fr-CA" w:eastAsia="en-CA"/>
        </w:rPr>
        <w:t>E JUGE GASCON</w:t>
      </w:r>
    </w:p>
    <w:p w:rsidR="00183454" w:rsidRPr="0010611E" w:rsidRDefault="00183454" w:rsidP="00183454">
      <w:pPr>
        <w:tabs>
          <w:tab w:val="left" w:pos="-1440"/>
          <w:tab w:val="left" w:pos="-720"/>
        </w:tabs>
        <w:jc w:val="both"/>
        <w:rPr>
          <w:rFonts w:eastAsia="Times New Roman" w:cs="Times New Roman"/>
          <w:sz w:val="20"/>
          <w:szCs w:val="20"/>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917"/>
        <w:gridCol w:w="1137"/>
        <w:gridCol w:w="4219"/>
      </w:tblGrid>
      <w:tr w:rsidR="00E209EC" w:rsidRPr="0010611E" w:rsidTr="00E209EC">
        <w:tc>
          <w:tcPr>
            <w:tcW w:w="4263" w:type="dxa"/>
            <w:gridSpan w:val="2"/>
          </w:tcPr>
          <w:p w:rsidR="00E209EC" w:rsidRPr="0010611E" w:rsidRDefault="00E209EC" w:rsidP="00E209EC">
            <w:pPr>
              <w:rPr>
                <w:b/>
                <w:sz w:val="20"/>
                <w:szCs w:val="20"/>
              </w:rPr>
            </w:pPr>
            <w:r w:rsidRPr="0010611E">
              <w:rPr>
                <w:b/>
                <w:sz w:val="20"/>
                <w:szCs w:val="20"/>
              </w:rPr>
              <w:t>Motions for leave to intervene</w:t>
            </w:r>
            <w:r w:rsidRPr="0010611E">
              <w:rPr>
                <w:sz w:val="20"/>
                <w:szCs w:val="20"/>
              </w:rPr>
              <w:fldChar w:fldCharType="begin"/>
            </w:r>
            <w:r w:rsidRPr="0010611E">
              <w:rPr>
                <w:sz w:val="20"/>
                <w:szCs w:val="20"/>
              </w:rPr>
              <w:instrText xml:space="preserve"> SEQ CHAPTER \h \r 1</w:instrText>
            </w:r>
            <w:r w:rsidRPr="0010611E">
              <w:rPr>
                <w:sz w:val="20"/>
                <w:szCs w:val="20"/>
              </w:rPr>
              <w:fldChar w:fldCharType="end"/>
            </w:r>
          </w:p>
        </w:tc>
        <w:tc>
          <w:tcPr>
            <w:tcW w:w="1137" w:type="dxa"/>
          </w:tcPr>
          <w:p w:rsidR="00E209EC" w:rsidRPr="0010611E" w:rsidRDefault="00E209EC" w:rsidP="00E209EC">
            <w:pPr>
              <w:rPr>
                <w:sz w:val="20"/>
                <w:szCs w:val="20"/>
              </w:rPr>
            </w:pPr>
          </w:p>
          <w:p w:rsidR="00E209EC" w:rsidRPr="0010611E" w:rsidRDefault="00E209EC" w:rsidP="00E209EC">
            <w:pPr>
              <w:rPr>
                <w:sz w:val="20"/>
                <w:szCs w:val="20"/>
              </w:rPr>
            </w:pPr>
          </w:p>
        </w:tc>
        <w:tc>
          <w:tcPr>
            <w:tcW w:w="4219" w:type="dxa"/>
          </w:tcPr>
          <w:p w:rsidR="00E209EC" w:rsidRPr="0010611E" w:rsidRDefault="00E209EC" w:rsidP="00E209EC">
            <w:pPr>
              <w:rPr>
                <w:b/>
                <w:sz w:val="20"/>
                <w:szCs w:val="20"/>
                <w:lang w:val="fr-CA"/>
              </w:rPr>
            </w:pPr>
            <w:r w:rsidRPr="0010611E">
              <w:rPr>
                <w:b/>
                <w:bCs/>
                <w:sz w:val="20"/>
                <w:szCs w:val="20"/>
                <w:lang w:val="fr-CA"/>
              </w:rPr>
              <w:t>Requêtes en autorisation d’intervenir</w:t>
            </w:r>
          </w:p>
        </w:tc>
      </w:tr>
      <w:tr w:rsidR="00E209EC" w:rsidRPr="0010611E" w:rsidTr="00E209EC">
        <w:trPr>
          <w:trHeight w:hRule="exact" w:val="873"/>
        </w:trPr>
        <w:tc>
          <w:tcPr>
            <w:tcW w:w="1346" w:type="dxa"/>
          </w:tcPr>
          <w:p w:rsidR="00E209EC" w:rsidRPr="0010611E" w:rsidRDefault="00E209EC" w:rsidP="00E209EC">
            <w:pPr>
              <w:rPr>
                <w:sz w:val="20"/>
                <w:szCs w:val="20"/>
              </w:rPr>
            </w:pPr>
            <w:r w:rsidRPr="0010611E">
              <w:rPr>
                <w:sz w:val="20"/>
                <w:szCs w:val="20"/>
              </w:rPr>
              <w:t>BY / PAR</w:t>
            </w:r>
          </w:p>
        </w:tc>
        <w:tc>
          <w:tcPr>
            <w:tcW w:w="2917" w:type="dxa"/>
          </w:tcPr>
          <w:p w:rsidR="00E209EC" w:rsidRPr="0010611E" w:rsidRDefault="00E209EC" w:rsidP="00E209EC">
            <w:pPr>
              <w:rPr>
                <w:sz w:val="20"/>
                <w:szCs w:val="20"/>
                <w:lang w:val="en-US"/>
              </w:rPr>
            </w:pPr>
            <w:r w:rsidRPr="0010611E">
              <w:rPr>
                <w:rFonts w:cs="Times New Roman"/>
                <w:bCs/>
                <w:sz w:val="20"/>
                <w:szCs w:val="20"/>
              </w:rPr>
              <w:t>Aboriginal Peoples Television Network, AD IDEM/Canadian Media Lawyers Association</w:t>
            </w:r>
          </w:p>
        </w:tc>
        <w:tc>
          <w:tcPr>
            <w:tcW w:w="1137" w:type="dxa"/>
          </w:tcPr>
          <w:p w:rsidR="00E209EC" w:rsidRPr="0010611E" w:rsidRDefault="00E209EC" w:rsidP="00E209EC">
            <w:pPr>
              <w:rPr>
                <w:sz w:val="20"/>
                <w:szCs w:val="20"/>
                <w:lang w:val="en-US"/>
              </w:rPr>
            </w:pPr>
          </w:p>
        </w:tc>
        <w:tc>
          <w:tcPr>
            <w:tcW w:w="4219" w:type="dxa"/>
          </w:tcPr>
          <w:p w:rsidR="00E209EC" w:rsidRPr="0010611E" w:rsidRDefault="00E209EC" w:rsidP="00E209EC">
            <w:pPr>
              <w:rPr>
                <w:sz w:val="20"/>
                <w:szCs w:val="20"/>
                <w:lang w:val="en-US"/>
              </w:rPr>
            </w:pPr>
          </w:p>
        </w:tc>
      </w:tr>
      <w:tr w:rsidR="00E209EC" w:rsidRPr="0010611E" w:rsidTr="003655EB">
        <w:trPr>
          <w:trHeight w:val="1710"/>
        </w:trPr>
        <w:tc>
          <w:tcPr>
            <w:tcW w:w="1346" w:type="dxa"/>
          </w:tcPr>
          <w:p w:rsidR="00E209EC" w:rsidRPr="0010611E" w:rsidRDefault="00E209EC" w:rsidP="00E209EC">
            <w:pPr>
              <w:rPr>
                <w:sz w:val="20"/>
                <w:szCs w:val="20"/>
                <w:lang w:val="en-US"/>
              </w:rPr>
            </w:pPr>
          </w:p>
        </w:tc>
        <w:tc>
          <w:tcPr>
            <w:tcW w:w="2917" w:type="dxa"/>
          </w:tcPr>
          <w:p w:rsidR="00E209EC" w:rsidRPr="0010611E" w:rsidRDefault="00E209EC" w:rsidP="00E209EC">
            <w:pPr>
              <w:rPr>
                <w:sz w:val="20"/>
                <w:szCs w:val="20"/>
                <w:lang w:val="en-US"/>
              </w:rPr>
            </w:pPr>
            <w:r w:rsidRPr="0010611E">
              <w:rPr>
                <w:rFonts w:cs="Times New Roman"/>
                <w:bCs/>
                <w:sz w:val="20"/>
                <w:szCs w:val="20"/>
              </w:rPr>
              <w:t>Canadian Association of Journalists, the Canadian Journalists for Free Expression, the Canadian Media Guild/Communications Workers of America, the Centre for Free Expression</w:t>
            </w:r>
          </w:p>
        </w:tc>
        <w:tc>
          <w:tcPr>
            <w:tcW w:w="1137" w:type="dxa"/>
          </w:tcPr>
          <w:p w:rsidR="00E209EC" w:rsidRPr="0010611E" w:rsidRDefault="00E209EC" w:rsidP="00E209EC">
            <w:pPr>
              <w:rPr>
                <w:sz w:val="20"/>
                <w:szCs w:val="20"/>
                <w:lang w:val="en-US"/>
              </w:rPr>
            </w:pPr>
          </w:p>
        </w:tc>
        <w:tc>
          <w:tcPr>
            <w:tcW w:w="4219" w:type="dxa"/>
          </w:tcPr>
          <w:p w:rsidR="00E209EC" w:rsidRPr="0010611E" w:rsidRDefault="00E209EC" w:rsidP="00E209EC">
            <w:pPr>
              <w:rPr>
                <w:sz w:val="20"/>
                <w:szCs w:val="20"/>
                <w:lang w:val="en-US"/>
              </w:rPr>
            </w:pPr>
          </w:p>
        </w:tc>
      </w:tr>
      <w:tr w:rsidR="00E209EC" w:rsidRPr="0010611E" w:rsidTr="003655EB">
        <w:trPr>
          <w:trHeight w:val="1350"/>
        </w:trPr>
        <w:tc>
          <w:tcPr>
            <w:tcW w:w="1346" w:type="dxa"/>
          </w:tcPr>
          <w:p w:rsidR="00E209EC" w:rsidRPr="0010611E" w:rsidRDefault="00E209EC" w:rsidP="00E209EC">
            <w:pPr>
              <w:rPr>
                <w:sz w:val="20"/>
                <w:szCs w:val="20"/>
                <w:lang w:val="en-US"/>
              </w:rPr>
            </w:pPr>
          </w:p>
        </w:tc>
        <w:tc>
          <w:tcPr>
            <w:tcW w:w="2917" w:type="dxa"/>
          </w:tcPr>
          <w:p w:rsidR="00E209EC" w:rsidRPr="0010611E" w:rsidRDefault="00E209EC" w:rsidP="00E209EC">
            <w:pPr>
              <w:rPr>
                <w:rFonts w:cs="Times New Roman"/>
                <w:sz w:val="20"/>
                <w:szCs w:val="20"/>
                <w:lang w:val="en-US"/>
              </w:rPr>
            </w:pPr>
            <w:r w:rsidRPr="0010611E">
              <w:rPr>
                <w:rFonts w:cs="Times New Roman"/>
                <w:bCs/>
                <w:sz w:val="20"/>
                <w:szCs w:val="20"/>
              </w:rPr>
              <w:t>Global News, a division of Corus Television Limited Partnership, and Postmedia Network Inc. (together, the “Coalition”) (jointly)</w:t>
            </w:r>
          </w:p>
        </w:tc>
        <w:tc>
          <w:tcPr>
            <w:tcW w:w="1137" w:type="dxa"/>
          </w:tcPr>
          <w:p w:rsidR="00E209EC" w:rsidRPr="0010611E" w:rsidRDefault="00E209EC" w:rsidP="00E209EC">
            <w:pPr>
              <w:rPr>
                <w:sz w:val="20"/>
                <w:szCs w:val="20"/>
                <w:lang w:val="en-US"/>
              </w:rPr>
            </w:pPr>
          </w:p>
        </w:tc>
        <w:tc>
          <w:tcPr>
            <w:tcW w:w="4219" w:type="dxa"/>
          </w:tcPr>
          <w:p w:rsidR="00E209EC" w:rsidRPr="0010611E" w:rsidRDefault="00E209EC" w:rsidP="00E209EC">
            <w:pPr>
              <w:rPr>
                <w:sz w:val="20"/>
                <w:szCs w:val="20"/>
                <w:lang w:val="en-US"/>
              </w:rPr>
            </w:pPr>
          </w:p>
        </w:tc>
      </w:tr>
      <w:tr w:rsidR="00E209EC" w:rsidRPr="0010611E" w:rsidTr="003655EB">
        <w:trPr>
          <w:trHeight w:val="630"/>
        </w:trPr>
        <w:tc>
          <w:tcPr>
            <w:tcW w:w="1346" w:type="dxa"/>
          </w:tcPr>
          <w:p w:rsidR="00E209EC" w:rsidRPr="0010611E" w:rsidRDefault="00E209EC" w:rsidP="00E209EC">
            <w:pPr>
              <w:rPr>
                <w:sz w:val="20"/>
                <w:szCs w:val="20"/>
                <w:lang w:val="en-US"/>
              </w:rPr>
            </w:pPr>
          </w:p>
        </w:tc>
        <w:tc>
          <w:tcPr>
            <w:tcW w:w="2917" w:type="dxa"/>
          </w:tcPr>
          <w:p w:rsidR="00E209EC" w:rsidRPr="0010611E" w:rsidRDefault="00E209EC" w:rsidP="00E209EC">
            <w:pPr>
              <w:rPr>
                <w:rFonts w:cs="Times New Roman"/>
                <w:sz w:val="20"/>
                <w:szCs w:val="20"/>
                <w:lang w:val="en-US"/>
              </w:rPr>
            </w:pPr>
            <w:r w:rsidRPr="0010611E">
              <w:rPr>
                <w:rFonts w:cs="Times New Roman"/>
                <w:bCs/>
                <w:sz w:val="20"/>
                <w:szCs w:val="20"/>
              </w:rPr>
              <w:t>Canadian Broadcasting Corporation / Radio Canada</w:t>
            </w:r>
          </w:p>
        </w:tc>
        <w:tc>
          <w:tcPr>
            <w:tcW w:w="1137" w:type="dxa"/>
          </w:tcPr>
          <w:p w:rsidR="00E209EC" w:rsidRPr="0010611E" w:rsidRDefault="00E209EC" w:rsidP="00E209EC">
            <w:pPr>
              <w:rPr>
                <w:sz w:val="20"/>
                <w:szCs w:val="20"/>
                <w:lang w:val="en-US"/>
              </w:rPr>
            </w:pPr>
          </w:p>
        </w:tc>
        <w:tc>
          <w:tcPr>
            <w:tcW w:w="4219" w:type="dxa"/>
          </w:tcPr>
          <w:p w:rsidR="00E209EC" w:rsidRPr="0010611E" w:rsidRDefault="00E209EC" w:rsidP="00E209EC">
            <w:pPr>
              <w:rPr>
                <w:sz w:val="20"/>
                <w:szCs w:val="20"/>
                <w:lang w:val="en-US"/>
              </w:rPr>
            </w:pPr>
          </w:p>
        </w:tc>
      </w:tr>
      <w:tr w:rsidR="00E209EC" w:rsidRPr="0010611E" w:rsidTr="003655EB">
        <w:trPr>
          <w:trHeight w:val="630"/>
        </w:trPr>
        <w:tc>
          <w:tcPr>
            <w:tcW w:w="1346" w:type="dxa"/>
          </w:tcPr>
          <w:p w:rsidR="00E209EC" w:rsidRPr="0010611E" w:rsidRDefault="00E209EC" w:rsidP="00E209EC">
            <w:pPr>
              <w:rPr>
                <w:sz w:val="20"/>
                <w:szCs w:val="20"/>
                <w:lang w:val="en-US"/>
              </w:rPr>
            </w:pPr>
          </w:p>
        </w:tc>
        <w:tc>
          <w:tcPr>
            <w:tcW w:w="2917" w:type="dxa"/>
          </w:tcPr>
          <w:p w:rsidR="00E209EC" w:rsidRPr="0010611E" w:rsidRDefault="00E209EC" w:rsidP="00E209EC">
            <w:pPr>
              <w:rPr>
                <w:rFonts w:cs="Times New Roman"/>
                <w:sz w:val="20"/>
                <w:szCs w:val="20"/>
              </w:rPr>
            </w:pPr>
            <w:r w:rsidRPr="0010611E">
              <w:rPr>
                <w:rFonts w:cs="Times New Roman"/>
                <w:bCs/>
                <w:sz w:val="20"/>
                <w:szCs w:val="20"/>
              </w:rPr>
              <w:t>Canadian Muslim Lawyers Association</w:t>
            </w:r>
          </w:p>
        </w:tc>
        <w:tc>
          <w:tcPr>
            <w:tcW w:w="1137" w:type="dxa"/>
          </w:tcPr>
          <w:p w:rsidR="00E209EC" w:rsidRPr="0010611E" w:rsidRDefault="00E209EC" w:rsidP="00E209EC">
            <w:pPr>
              <w:rPr>
                <w:sz w:val="20"/>
                <w:szCs w:val="20"/>
                <w:lang w:val="en-US"/>
              </w:rPr>
            </w:pPr>
          </w:p>
        </w:tc>
        <w:tc>
          <w:tcPr>
            <w:tcW w:w="4219" w:type="dxa"/>
          </w:tcPr>
          <w:p w:rsidR="00E209EC" w:rsidRPr="0010611E" w:rsidRDefault="00E209EC" w:rsidP="00E209EC">
            <w:pPr>
              <w:rPr>
                <w:sz w:val="20"/>
                <w:szCs w:val="20"/>
                <w:lang w:val="en-US"/>
              </w:rPr>
            </w:pPr>
          </w:p>
        </w:tc>
      </w:tr>
      <w:tr w:rsidR="00E209EC" w:rsidRPr="0010611E" w:rsidTr="003655EB">
        <w:trPr>
          <w:trHeight w:val="450"/>
        </w:trPr>
        <w:tc>
          <w:tcPr>
            <w:tcW w:w="1346" w:type="dxa"/>
          </w:tcPr>
          <w:p w:rsidR="00E209EC" w:rsidRPr="0010611E" w:rsidRDefault="00E209EC" w:rsidP="00E209EC">
            <w:pPr>
              <w:rPr>
                <w:sz w:val="20"/>
                <w:szCs w:val="20"/>
                <w:lang w:val="en-US"/>
              </w:rPr>
            </w:pPr>
          </w:p>
        </w:tc>
        <w:tc>
          <w:tcPr>
            <w:tcW w:w="2917" w:type="dxa"/>
          </w:tcPr>
          <w:p w:rsidR="00E209EC" w:rsidRPr="0010611E" w:rsidRDefault="003655EB" w:rsidP="00E209EC">
            <w:pPr>
              <w:rPr>
                <w:rFonts w:cs="Times New Roman"/>
                <w:sz w:val="20"/>
                <w:szCs w:val="20"/>
              </w:rPr>
            </w:pPr>
            <w:r w:rsidRPr="0010611E">
              <w:rPr>
                <w:rFonts w:cs="Times New Roman"/>
                <w:bCs/>
                <w:sz w:val="20"/>
                <w:szCs w:val="20"/>
              </w:rPr>
              <w:t>Attorney General of Ontario</w:t>
            </w:r>
          </w:p>
        </w:tc>
        <w:tc>
          <w:tcPr>
            <w:tcW w:w="1137" w:type="dxa"/>
          </w:tcPr>
          <w:p w:rsidR="00E209EC" w:rsidRPr="0010611E" w:rsidRDefault="00E209EC" w:rsidP="00E209EC">
            <w:pPr>
              <w:rPr>
                <w:sz w:val="20"/>
                <w:szCs w:val="20"/>
                <w:lang w:val="en-US"/>
              </w:rPr>
            </w:pPr>
          </w:p>
        </w:tc>
        <w:tc>
          <w:tcPr>
            <w:tcW w:w="4219" w:type="dxa"/>
          </w:tcPr>
          <w:p w:rsidR="00E209EC" w:rsidRPr="0010611E" w:rsidRDefault="00E209EC" w:rsidP="00E209EC">
            <w:pPr>
              <w:rPr>
                <w:sz w:val="20"/>
                <w:szCs w:val="20"/>
                <w:lang w:val="en-US"/>
              </w:rPr>
            </w:pPr>
          </w:p>
        </w:tc>
      </w:tr>
      <w:tr w:rsidR="00E209EC" w:rsidRPr="0010611E" w:rsidTr="003655EB">
        <w:trPr>
          <w:trHeight w:val="630"/>
        </w:trPr>
        <w:tc>
          <w:tcPr>
            <w:tcW w:w="1346" w:type="dxa"/>
          </w:tcPr>
          <w:p w:rsidR="00E209EC" w:rsidRPr="0010611E" w:rsidRDefault="00E209EC" w:rsidP="00E209EC">
            <w:pPr>
              <w:rPr>
                <w:sz w:val="20"/>
                <w:szCs w:val="20"/>
                <w:lang w:val="en-US"/>
              </w:rPr>
            </w:pPr>
          </w:p>
        </w:tc>
        <w:tc>
          <w:tcPr>
            <w:tcW w:w="2917" w:type="dxa"/>
          </w:tcPr>
          <w:p w:rsidR="00E209EC" w:rsidRPr="0010611E" w:rsidRDefault="003655EB" w:rsidP="00E209EC">
            <w:pPr>
              <w:rPr>
                <w:rFonts w:cs="Times New Roman"/>
                <w:sz w:val="20"/>
                <w:szCs w:val="20"/>
              </w:rPr>
            </w:pPr>
            <w:r w:rsidRPr="0010611E">
              <w:rPr>
                <w:rFonts w:cs="Times New Roman"/>
                <w:bCs/>
                <w:sz w:val="20"/>
                <w:szCs w:val="20"/>
              </w:rPr>
              <w:t>Canadian Civil Liberties Association</w:t>
            </w:r>
          </w:p>
        </w:tc>
        <w:tc>
          <w:tcPr>
            <w:tcW w:w="1137" w:type="dxa"/>
          </w:tcPr>
          <w:p w:rsidR="00E209EC" w:rsidRPr="0010611E" w:rsidRDefault="00E209EC" w:rsidP="00E209EC">
            <w:pPr>
              <w:rPr>
                <w:sz w:val="20"/>
                <w:szCs w:val="20"/>
                <w:lang w:val="en-US"/>
              </w:rPr>
            </w:pPr>
          </w:p>
        </w:tc>
        <w:tc>
          <w:tcPr>
            <w:tcW w:w="4219" w:type="dxa"/>
          </w:tcPr>
          <w:p w:rsidR="00E209EC" w:rsidRPr="0010611E" w:rsidRDefault="00E209EC" w:rsidP="00E209EC">
            <w:pPr>
              <w:rPr>
                <w:sz w:val="20"/>
                <w:szCs w:val="20"/>
                <w:lang w:val="en-US"/>
              </w:rPr>
            </w:pPr>
          </w:p>
        </w:tc>
      </w:tr>
      <w:tr w:rsidR="00E209EC" w:rsidRPr="0010611E" w:rsidTr="003655EB">
        <w:trPr>
          <w:trHeight w:val="2070"/>
        </w:trPr>
        <w:tc>
          <w:tcPr>
            <w:tcW w:w="1346" w:type="dxa"/>
          </w:tcPr>
          <w:p w:rsidR="00E209EC" w:rsidRPr="0010611E" w:rsidRDefault="00E209EC" w:rsidP="00E209EC">
            <w:pPr>
              <w:rPr>
                <w:sz w:val="20"/>
                <w:szCs w:val="20"/>
                <w:lang w:val="en-US"/>
              </w:rPr>
            </w:pPr>
          </w:p>
        </w:tc>
        <w:tc>
          <w:tcPr>
            <w:tcW w:w="2917" w:type="dxa"/>
          </w:tcPr>
          <w:p w:rsidR="00E209EC" w:rsidRPr="0010611E" w:rsidRDefault="003655EB" w:rsidP="00E209EC">
            <w:pPr>
              <w:rPr>
                <w:rFonts w:cs="Times New Roman"/>
                <w:sz w:val="20"/>
                <w:szCs w:val="20"/>
              </w:rPr>
            </w:pPr>
            <w:r w:rsidRPr="0010611E">
              <w:rPr>
                <w:rFonts w:cs="Times New Roman"/>
                <w:bCs/>
                <w:sz w:val="20"/>
                <w:szCs w:val="20"/>
              </w:rPr>
              <w:t>Media Legal Defence Initiative, Reporters Without Borders, Reporters Committee for Freedom of the Press, the Media Law Resource Centre, the International Press Institute, ARTICLE 19, PEN International, PEN Canada</w:t>
            </w:r>
          </w:p>
        </w:tc>
        <w:tc>
          <w:tcPr>
            <w:tcW w:w="1137" w:type="dxa"/>
          </w:tcPr>
          <w:p w:rsidR="00E209EC" w:rsidRPr="0010611E" w:rsidRDefault="00E209EC" w:rsidP="00E209EC">
            <w:pPr>
              <w:rPr>
                <w:sz w:val="20"/>
                <w:szCs w:val="20"/>
                <w:lang w:val="en-US"/>
              </w:rPr>
            </w:pPr>
          </w:p>
        </w:tc>
        <w:tc>
          <w:tcPr>
            <w:tcW w:w="4219" w:type="dxa"/>
          </w:tcPr>
          <w:p w:rsidR="00E209EC" w:rsidRPr="0010611E" w:rsidRDefault="00E209EC" w:rsidP="00E209EC">
            <w:pPr>
              <w:rPr>
                <w:sz w:val="20"/>
                <w:szCs w:val="20"/>
                <w:lang w:val="en-US"/>
              </w:rPr>
            </w:pPr>
          </w:p>
        </w:tc>
      </w:tr>
      <w:tr w:rsidR="00E209EC" w:rsidRPr="0010611E" w:rsidTr="003655EB">
        <w:trPr>
          <w:trHeight w:val="2160"/>
        </w:trPr>
        <w:tc>
          <w:tcPr>
            <w:tcW w:w="1346" w:type="dxa"/>
          </w:tcPr>
          <w:p w:rsidR="00E209EC" w:rsidRPr="0010611E" w:rsidRDefault="00E209EC" w:rsidP="00E209EC">
            <w:pPr>
              <w:rPr>
                <w:sz w:val="20"/>
                <w:szCs w:val="20"/>
                <w:lang w:val="en-US"/>
              </w:rPr>
            </w:pPr>
          </w:p>
        </w:tc>
        <w:tc>
          <w:tcPr>
            <w:tcW w:w="2917" w:type="dxa"/>
          </w:tcPr>
          <w:p w:rsidR="00E209EC" w:rsidRPr="0010611E" w:rsidRDefault="003655EB" w:rsidP="00E209EC">
            <w:pPr>
              <w:rPr>
                <w:rFonts w:cs="Times New Roman"/>
                <w:sz w:val="20"/>
                <w:szCs w:val="20"/>
              </w:rPr>
            </w:pPr>
            <w:r w:rsidRPr="0010611E">
              <w:rPr>
                <w:rFonts w:cs="Times New Roman"/>
                <w:bCs/>
                <w:sz w:val="20"/>
                <w:szCs w:val="20"/>
              </w:rPr>
              <w:t>Index on Censorship, the Committee to Protect Journalists, the World Association of Newspapers and News Publishers, and the International Human Rights Program, University of Toronto Faculty of Law (together, the “International Coalition”) (jointly)</w:t>
            </w:r>
          </w:p>
        </w:tc>
        <w:tc>
          <w:tcPr>
            <w:tcW w:w="1137" w:type="dxa"/>
          </w:tcPr>
          <w:p w:rsidR="00E209EC" w:rsidRPr="0010611E" w:rsidRDefault="00E209EC" w:rsidP="00E209EC">
            <w:pPr>
              <w:rPr>
                <w:sz w:val="20"/>
                <w:szCs w:val="20"/>
                <w:lang w:val="en-US"/>
              </w:rPr>
            </w:pPr>
          </w:p>
        </w:tc>
        <w:tc>
          <w:tcPr>
            <w:tcW w:w="4219" w:type="dxa"/>
          </w:tcPr>
          <w:p w:rsidR="00E209EC" w:rsidRPr="0010611E" w:rsidRDefault="00E209EC" w:rsidP="00E209EC">
            <w:pPr>
              <w:rPr>
                <w:sz w:val="20"/>
                <w:szCs w:val="20"/>
                <w:lang w:val="en-US"/>
              </w:rPr>
            </w:pPr>
          </w:p>
        </w:tc>
      </w:tr>
      <w:tr w:rsidR="00E209EC" w:rsidRPr="0010611E" w:rsidTr="00E209EC">
        <w:trPr>
          <w:trHeight w:val="360"/>
        </w:trPr>
        <w:tc>
          <w:tcPr>
            <w:tcW w:w="1346" w:type="dxa"/>
          </w:tcPr>
          <w:p w:rsidR="00E209EC" w:rsidRPr="0010611E" w:rsidRDefault="00E209EC" w:rsidP="00E209EC">
            <w:pPr>
              <w:rPr>
                <w:sz w:val="20"/>
                <w:szCs w:val="20"/>
                <w:lang w:val="en-US"/>
              </w:rPr>
            </w:pPr>
          </w:p>
        </w:tc>
        <w:tc>
          <w:tcPr>
            <w:tcW w:w="2917" w:type="dxa"/>
          </w:tcPr>
          <w:p w:rsidR="00E209EC" w:rsidRPr="0010611E" w:rsidRDefault="003655EB" w:rsidP="00E209EC">
            <w:pPr>
              <w:rPr>
                <w:rFonts w:cs="Times New Roman"/>
                <w:sz w:val="20"/>
                <w:szCs w:val="20"/>
                <w:lang w:val="en-US"/>
              </w:rPr>
            </w:pPr>
            <w:r w:rsidRPr="0010611E">
              <w:rPr>
                <w:rFonts w:cs="Times New Roman"/>
                <w:bCs/>
                <w:sz w:val="20"/>
                <w:szCs w:val="20"/>
              </w:rPr>
              <w:t>British Columbia Civil Liberties Association</w:t>
            </w:r>
          </w:p>
        </w:tc>
        <w:tc>
          <w:tcPr>
            <w:tcW w:w="1137" w:type="dxa"/>
          </w:tcPr>
          <w:p w:rsidR="00E209EC" w:rsidRPr="0010611E" w:rsidRDefault="00E209EC" w:rsidP="00E209EC">
            <w:pPr>
              <w:rPr>
                <w:sz w:val="20"/>
                <w:szCs w:val="20"/>
                <w:lang w:val="en-US"/>
              </w:rPr>
            </w:pPr>
          </w:p>
        </w:tc>
        <w:tc>
          <w:tcPr>
            <w:tcW w:w="4219" w:type="dxa"/>
          </w:tcPr>
          <w:p w:rsidR="00E209EC" w:rsidRPr="0010611E" w:rsidRDefault="00E209EC" w:rsidP="00E209EC">
            <w:pPr>
              <w:rPr>
                <w:sz w:val="20"/>
                <w:szCs w:val="20"/>
                <w:lang w:val="en-US"/>
              </w:rPr>
            </w:pPr>
          </w:p>
        </w:tc>
      </w:tr>
      <w:tr w:rsidR="00E209EC" w:rsidRPr="0010611E" w:rsidTr="00E209EC">
        <w:tc>
          <w:tcPr>
            <w:tcW w:w="1346" w:type="dxa"/>
          </w:tcPr>
          <w:p w:rsidR="00E209EC" w:rsidRPr="0010611E" w:rsidRDefault="00E209EC" w:rsidP="00E209EC">
            <w:pPr>
              <w:rPr>
                <w:sz w:val="20"/>
                <w:szCs w:val="20"/>
              </w:rPr>
            </w:pPr>
            <w:r w:rsidRPr="0010611E">
              <w:rPr>
                <w:sz w:val="20"/>
                <w:szCs w:val="20"/>
              </w:rPr>
              <w:t>IN / DANS :</w:t>
            </w:r>
          </w:p>
        </w:tc>
        <w:tc>
          <w:tcPr>
            <w:tcW w:w="2917" w:type="dxa"/>
          </w:tcPr>
          <w:p w:rsidR="00E209EC" w:rsidRPr="0010611E" w:rsidRDefault="00E209EC" w:rsidP="00E209EC">
            <w:pPr>
              <w:tabs>
                <w:tab w:val="left" w:pos="-1440"/>
                <w:tab w:val="left" w:pos="-720"/>
              </w:tabs>
              <w:jc w:val="both"/>
              <w:rPr>
                <w:sz w:val="20"/>
                <w:szCs w:val="20"/>
                <w:lang w:val="en-US"/>
              </w:rPr>
            </w:pPr>
            <w:r w:rsidRPr="0010611E">
              <w:rPr>
                <w:sz w:val="20"/>
                <w:szCs w:val="20"/>
                <w:lang w:val="en-US"/>
              </w:rPr>
              <w:t>Vice Media Canada Inc. et al.</w:t>
            </w:r>
          </w:p>
          <w:p w:rsidR="00E209EC" w:rsidRPr="0010611E" w:rsidRDefault="00E209EC" w:rsidP="00E209EC">
            <w:pPr>
              <w:tabs>
                <w:tab w:val="left" w:pos="-1440"/>
                <w:tab w:val="left" w:pos="-720"/>
              </w:tabs>
              <w:jc w:val="both"/>
              <w:rPr>
                <w:sz w:val="20"/>
                <w:szCs w:val="20"/>
                <w:lang w:val="en-US"/>
              </w:rPr>
            </w:pPr>
          </w:p>
          <w:p w:rsidR="00E209EC" w:rsidRPr="0010611E" w:rsidRDefault="00E209EC" w:rsidP="00E209EC">
            <w:pPr>
              <w:tabs>
                <w:tab w:val="left" w:pos="-1440"/>
                <w:tab w:val="left" w:pos="-720"/>
              </w:tabs>
              <w:jc w:val="both"/>
              <w:rPr>
                <w:sz w:val="20"/>
                <w:szCs w:val="20"/>
                <w:lang w:val="en-US"/>
              </w:rPr>
            </w:pPr>
            <w:r w:rsidRPr="0010611E">
              <w:rPr>
                <w:sz w:val="20"/>
                <w:szCs w:val="20"/>
                <w:lang w:val="en-US"/>
              </w:rPr>
              <w:tab/>
              <w:t>v. (37574)</w:t>
            </w:r>
          </w:p>
          <w:p w:rsidR="00E209EC" w:rsidRPr="0010611E" w:rsidRDefault="00E209EC" w:rsidP="00E209EC">
            <w:pPr>
              <w:tabs>
                <w:tab w:val="left" w:pos="-1440"/>
                <w:tab w:val="left" w:pos="-720"/>
              </w:tabs>
              <w:jc w:val="both"/>
              <w:rPr>
                <w:sz w:val="20"/>
                <w:szCs w:val="20"/>
                <w:lang w:val="en-US"/>
              </w:rPr>
            </w:pPr>
          </w:p>
          <w:p w:rsidR="00E209EC" w:rsidRPr="0010611E" w:rsidRDefault="00E209EC" w:rsidP="00E209EC">
            <w:pPr>
              <w:rPr>
                <w:sz w:val="20"/>
                <w:szCs w:val="20"/>
                <w:lang w:val="en-US"/>
              </w:rPr>
            </w:pPr>
            <w:r w:rsidRPr="0010611E">
              <w:rPr>
                <w:sz w:val="20"/>
                <w:szCs w:val="20"/>
                <w:lang w:val="en-US"/>
              </w:rPr>
              <w:t>Her Majesty the Queen in Right of Canada (Ont.)</w:t>
            </w:r>
          </w:p>
        </w:tc>
        <w:tc>
          <w:tcPr>
            <w:tcW w:w="1137" w:type="dxa"/>
          </w:tcPr>
          <w:p w:rsidR="00E209EC" w:rsidRPr="0010611E" w:rsidRDefault="00E209EC" w:rsidP="00E209EC">
            <w:pPr>
              <w:rPr>
                <w:sz w:val="20"/>
                <w:szCs w:val="20"/>
                <w:lang w:val="en-US"/>
              </w:rPr>
            </w:pPr>
          </w:p>
        </w:tc>
        <w:tc>
          <w:tcPr>
            <w:tcW w:w="4219" w:type="dxa"/>
          </w:tcPr>
          <w:p w:rsidR="00E209EC" w:rsidRPr="0010611E" w:rsidRDefault="00E209EC" w:rsidP="00E209EC">
            <w:pPr>
              <w:rPr>
                <w:sz w:val="20"/>
                <w:szCs w:val="20"/>
                <w:lang w:val="en-US"/>
              </w:rPr>
            </w:pPr>
          </w:p>
        </w:tc>
      </w:tr>
    </w:tbl>
    <w:p w:rsidR="00183454" w:rsidRPr="0010611E" w:rsidRDefault="00183454" w:rsidP="00183454">
      <w:pPr>
        <w:tabs>
          <w:tab w:val="left" w:pos="-1440"/>
          <w:tab w:val="left" w:pos="-720"/>
        </w:tabs>
        <w:jc w:val="both"/>
        <w:rPr>
          <w:rFonts w:eastAsia="Times New Roman" w:cs="Times New Roman"/>
          <w:sz w:val="20"/>
          <w:szCs w:val="20"/>
          <w:lang w:val="en-US" w:eastAsia="en-CA"/>
        </w:rPr>
      </w:pPr>
    </w:p>
    <w:p w:rsidR="003655EB" w:rsidRPr="0010611E" w:rsidRDefault="003655EB" w:rsidP="003655EB">
      <w:pPr>
        <w:rPr>
          <w:rFonts w:eastAsia="Times New Roman" w:cs="Times New Roman"/>
          <w:b/>
          <w:sz w:val="20"/>
          <w:szCs w:val="20"/>
          <w:lang w:val="en-US" w:eastAsia="en-CA"/>
        </w:rPr>
      </w:pPr>
      <w:r w:rsidRPr="0010611E">
        <w:rPr>
          <w:rFonts w:eastAsia="Times New Roman" w:cs="Times New Roman"/>
          <w:b/>
          <w:sz w:val="20"/>
          <w:szCs w:val="20"/>
          <w:lang w:val="en-US" w:eastAsia="en-CA"/>
        </w:rPr>
        <w:t>GRANTED / ACCUEILLIES</w:t>
      </w:r>
    </w:p>
    <w:p w:rsidR="00183454" w:rsidRPr="0010611E" w:rsidRDefault="00183454" w:rsidP="00183454">
      <w:pPr>
        <w:tabs>
          <w:tab w:val="left" w:pos="-1440"/>
          <w:tab w:val="left" w:pos="-720"/>
        </w:tabs>
        <w:jc w:val="both"/>
        <w:rPr>
          <w:rFonts w:eastAsia="Times New Roman" w:cs="Times New Roman"/>
          <w:sz w:val="20"/>
          <w:szCs w:val="20"/>
          <w:lang w:val="en-US" w:eastAsia="en-CA"/>
        </w:rPr>
      </w:pPr>
    </w:p>
    <w:p w:rsidR="003655EB" w:rsidRPr="0010611E" w:rsidRDefault="003655EB" w:rsidP="003655EB">
      <w:pPr>
        <w:spacing w:line="233" w:lineRule="auto"/>
        <w:rPr>
          <w:rFonts w:cs="Times New Roman"/>
          <w:bCs/>
          <w:sz w:val="20"/>
          <w:szCs w:val="20"/>
        </w:rPr>
      </w:pPr>
      <w:r w:rsidRPr="0010611E">
        <w:rPr>
          <w:rFonts w:cs="Times New Roman"/>
          <w:b/>
          <w:bCs/>
          <w:sz w:val="20"/>
          <w:szCs w:val="20"/>
        </w:rPr>
        <w:t xml:space="preserve">UPON APPLICATIONS </w:t>
      </w:r>
      <w:r w:rsidRPr="0010611E">
        <w:rPr>
          <w:rFonts w:cs="Times New Roman"/>
          <w:bCs/>
          <w:sz w:val="20"/>
          <w:szCs w:val="20"/>
        </w:rPr>
        <w:t xml:space="preserve">by the Aboriginal Peoples Television Network, AD IDEM/Canadian Media Lawyers Association, the Canadian Association of Journalists, the Canadian Journalists for Free Expression, the Canadian Media Guild/Communications Workers of America, the Centre for Free Expression, Global News, a division of Corus Television Limited Partnership, and Postmedia Network Inc. (together, the “Coalition”) (jointly), the Canadian Broadcasting Corporation / Radio Canada, the Canadian Muslim Lawyers Association, the Attorney General of Ontario, the Canadian Civil Liberties Association, the Media Legal Defence Initiative, Reporters Without Borders, Reporters Committee for Freedom of the Press, the Media Law Resource Centre, the International Press Institute, ARTICLE 19, PEN International, PEN Canada, Index on Censorship, the Committee to Protect Journalists, the World Association of Newspapers and News Publishers, and the International Human Rights Program, University of Toronto Faculty of Law (together, the “International Coalition”) (jointly), and the British Columbia Civil Liberties Association </w:t>
      </w:r>
      <w:r w:rsidRPr="0010611E">
        <w:rPr>
          <w:rFonts w:cs="Times New Roman"/>
          <w:sz w:val="20"/>
          <w:szCs w:val="20"/>
        </w:rPr>
        <w:t>for leave to intervene in the above appeal;</w:t>
      </w:r>
    </w:p>
    <w:p w:rsidR="003655EB" w:rsidRPr="0010611E" w:rsidRDefault="003655EB" w:rsidP="003655EB">
      <w:pPr>
        <w:spacing w:line="233" w:lineRule="auto"/>
        <w:rPr>
          <w:rFonts w:cs="Times New Roman"/>
          <w:bCs/>
          <w:sz w:val="20"/>
          <w:szCs w:val="20"/>
        </w:rPr>
      </w:pPr>
    </w:p>
    <w:p w:rsidR="003655EB" w:rsidRPr="0010611E" w:rsidRDefault="003655EB" w:rsidP="003655EB">
      <w:pPr>
        <w:spacing w:line="233" w:lineRule="auto"/>
        <w:rPr>
          <w:rFonts w:cs="Times New Roman"/>
          <w:sz w:val="20"/>
          <w:szCs w:val="20"/>
        </w:rPr>
      </w:pPr>
      <w:r w:rsidRPr="0010611E">
        <w:rPr>
          <w:rFonts w:cs="Times New Roman"/>
          <w:b/>
          <w:sz w:val="20"/>
          <w:szCs w:val="20"/>
        </w:rPr>
        <w:t xml:space="preserve">AND UPON APPLICATION </w:t>
      </w:r>
      <w:r w:rsidRPr="0010611E">
        <w:rPr>
          <w:rFonts w:cs="Times New Roman"/>
          <w:sz w:val="20"/>
          <w:szCs w:val="20"/>
        </w:rPr>
        <w:t>by</w:t>
      </w:r>
      <w:r w:rsidRPr="0010611E">
        <w:rPr>
          <w:rFonts w:cs="Times New Roman"/>
          <w:b/>
          <w:sz w:val="20"/>
          <w:szCs w:val="20"/>
        </w:rPr>
        <w:t xml:space="preserve"> </w:t>
      </w:r>
      <w:r w:rsidRPr="0010611E">
        <w:rPr>
          <w:rFonts w:cs="Times New Roman"/>
          <w:sz w:val="20"/>
          <w:szCs w:val="20"/>
        </w:rPr>
        <w:t>Her Majesty the Queen in Right of Canada for an extension of time to serve and file her response to the motions for leave to intervene;</w:t>
      </w:r>
    </w:p>
    <w:p w:rsidR="003655EB" w:rsidRPr="0010611E" w:rsidRDefault="003655EB" w:rsidP="003655EB">
      <w:pPr>
        <w:spacing w:line="233" w:lineRule="auto"/>
        <w:rPr>
          <w:rFonts w:cs="Times New Roman"/>
          <w:sz w:val="20"/>
          <w:szCs w:val="20"/>
        </w:rPr>
      </w:pPr>
    </w:p>
    <w:p w:rsidR="003655EB" w:rsidRPr="0010611E" w:rsidRDefault="003655EB" w:rsidP="003655EB">
      <w:pPr>
        <w:spacing w:line="233" w:lineRule="auto"/>
        <w:rPr>
          <w:rFonts w:cs="Times New Roman"/>
          <w:sz w:val="20"/>
          <w:szCs w:val="20"/>
        </w:rPr>
      </w:pPr>
      <w:r w:rsidRPr="0010611E">
        <w:rPr>
          <w:rFonts w:cs="Times New Roman"/>
          <w:b/>
          <w:bCs/>
          <w:sz w:val="20"/>
          <w:szCs w:val="20"/>
        </w:rPr>
        <w:t>AND THE MATERIAL FILED</w:t>
      </w:r>
      <w:r w:rsidRPr="0010611E">
        <w:rPr>
          <w:rFonts w:cs="Times New Roman"/>
          <w:sz w:val="20"/>
          <w:szCs w:val="20"/>
        </w:rPr>
        <w:t xml:space="preserve"> having been read;</w:t>
      </w:r>
    </w:p>
    <w:p w:rsidR="003655EB" w:rsidRPr="0010611E" w:rsidRDefault="003655EB" w:rsidP="003655EB">
      <w:pPr>
        <w:spacing w:line="233" w:lineRule="auto"/>
        <w:rPr>
          <w:rFonts w:cs="Times New Roman"/>
          <w:sz w:val="20"/>
          <w:szCs w:val="20"/>
        </w:rPr>
      </w:pPr>
    </w:p>
    <w:p w:rsidR="003655EB" w:rsidRPr="0010611E" w:rsidRDefault="003655EB" w:rsidP="003655EB">
      <w:pPr>
        <w:spacing w:line="233" w:lineRule="auto"/>
        <w:rPr>
          <w:rFonts w:cs="Times New Roman"/>
          <w:sz w:val="20"/>
          <w:szCs w:val="20"/>
        </w:rPr>
      </w:pPr>
      <w:r w:rsidRPr="0010611E">
        <w:rPr>
          <w:rFonts w:cs="Times New Roman"/>
          <w:b/>
          <w:bCs/>
          <w:sz w:val="20"/>
          <w:szCs w:val="20"/>
        </w:rPr>
        <w:t>IT IS HEREBY ORDERED THAT:</w:t>
      </w:r>
    </w:p>
    <w:p w:rsidR="003655EB" w:rsidRPr="0010611E" w:rsidRDefault="003655EB" w:rsidP="003655EB">
      <w:pPr>
        <w:spacing w:line="233" w:lineRule="auto"/>
        <w:rPr>
          <w:rFonts w:cs="Times New Roman"/>
          <w:sz w:val="20"/>
          <w:szCs w:val="20"/>
        </w:rPr>
      </w:pPr>
    </w:p>
    <w:p w:rsidR="003655EB" w:rsidRPr="0010611E" w:rsidRDefault="003655EB" w:rsidP="003655EB">
      <w:pPr>
        <w:spacing w:line="232" w:lineRule="auto"/>
        <w:rPr>
          <w:rFonts w:cs="Times New Roman"/>
          <w:sz w:val="20"/>
          <w:szCs w:val="20"/>
        </w:rPr>
      </w:pPr>
      <w:r w:rsidRPr="0010611E">
        <w:rPr>
          <w:rFonts w:cs="Times New Roman"/>
          <w:sz w:val="20"/>
          <w:szCs w:val="20"/>
        </w:rPr>
        <w:t>The motion for extension of time to serve and file a response to the motions for leave to intervene is granted.</w:t>
      </w:r>
    </w:p>
    <w:p w:rsidR="003655EB" w:rsidRPr="0010611E" w:rsidRDefault="003655EB" w:rsidP="003655EB">
      <w:pPr>
        <w:spacing w:line="232" w:lineRule="auto"/>
        <w:rPr>
          <w:rFonts w:cs="Times New Roman"/>
          <w:sz w:val="20"/>
          <w:szCs w:val="20"/>
        </w:rPr>
      </w:pPr>
    </w:p>
    <w:p w:rsidR="003655EB" w:rsidRPr="0010611E" w:rsidRDefault="003655EB" w:rsidP="003655EB">
      <w:pPr>
        <w:spacing w:line="232" w:lineRule="auto"/>
        <w:rPr>
          <w:rFonts w:cs="Times New Roman"/>
          <w:sz w:val="20"/>
          <w:szCs w:val="20"/>
        </w:rPr>
      </w:pPr>
      <w:r w:rsidRPr="0010611E">
        <w:rPr>
          <w:rFonts w:cs="Times New Roman"/>
          <w:sz w:val="20"/>
          <w:szCs w:val="20"/>
        </w:rPr>
        <w:t>The motions for leave to intervene are granted and the said seven (7) interveners shall be entitled to each serve and file a factum not to exceed ten (10) pages in length on or before May 9, 2018.</w:t>
      </w:r>
    </w:p>
    <w:p w:rsidR="003655EB" w:rsidRPr="0010611E" w:rsidRDefault="003655EB" w:rsidP="003655EB">
      <w:pPr>
        <w:spacing w:line="232" w:lineRule="auto"/>
        <w:rPr>
          <w:rFonts w:cs="Times New Roman"/>
          <w:sz w:val="20"/>
          <w:szCs w:val="20"/>
        </w:rPr>
      </w:pPr>
    </w:p>
    <w:p w:rsidR="003655EB" w:rsidRPr="0010611E" w:rsidRDefault="003655EB" w:rsidP="003655EB">
      <w:pPr>
        <w:spacing w:line="228" w:lineRule="auto"/>
        <w:rPr>
          <w:rFonts w:cs="Times New Roman"/>
          <w:sz w:val="20"/>
          <w:szCs w:val="20"/>
        </w:rPr>
      </w:pPr>
      <w:r w:rsidRPr="0010611E">
        <w:rPr>
          <w:rFonts w:cs="Times New Roman"/>
          <w:bCs/>
          <w:sz w:val="20"/>
          <w:szCs w:val="20"/>
        </w:rPr>
        <w:t>The said seven (7) interveners</w:t>
      </w:r>
      <w:r w:rsidRPr="0010611E">
        <w:rPr>
          <w:rFonts w:cs="Times New Roman"/>
          <w:sz w:val="20"/>
          <w:szCs w:val="20"/>
        </w:rPr>
        <w:t xml:space="preserve"> are each granted permission to present oral argument not exceeding five (5) minutes at the hearing of the appeal.</w:t>
      </w:r>
    </w:p>
    <w:p w:rsidR="003655EB" w:rsidRPr="0010611E" w:rsidRDefault="003655EB" w:rsidP="003655EB">
      <w:pPr>
        <w:spacing w:line="232" w:lineRule="auto"/>
        <w:rPr>
          <w:rFonts w:cs="Times New Roman"/>
          <w:sz w:val="20"/>
          <w:szCs w:val="20"/>
        </w:rPr>
      </w:pPr>
    </w:p>
    <w:p w:rsidR="003655EB" w:rsidRPr="00644959" w:rsidRDefault="003655EB" w:rsidP="003655EB">
      <w:pPr>
        <w:spacing w:line="232" w:lineRule="auto"/>
        <w:rPr>
          <w:rFonts w:cs="Times New Roman"/>
          <w:bCs/>
          <w:sz w:val="20"/>
          <w:szCs w:val="20"/>
        </w:rPr>
      </w:pPr>
      <w:r w:rsidRPr="00644959">
        <w:rPr>
          <w:rFonts w:cs="Times New Roman"/>
          <w:sz w:val="20"/>
          <w:szCs w:val="20"/>
        </w:rPr>
        <w:fldChar w:fldCharType="begin"/>
      </w:r>
      <w:r w:rsidRPr="00644959">
        <w:rPr>
          <w:rFonts w:cs="Times New Roman"/>
          <w:sz w:val="20"/>
          <w:szCs w:val="20"/>
        </w:rPr>
        <w:instrText xml:space="preserve"> SEQ CHAPTER \h \r 1</w:instrText>
      </w:r>
      <w:r w:rsidRPr="00644959">
        <w:rPr>
          <w:rFonts w:cs="Times New Roman"/>
          <w:sz w:val="20"/>
          <w:szCs w:val="20"/>
        </w:rPr>
        <w:fldChar w:fldCharType="end"/>
      </w:r>
      <w:r w:rsidRPr="00644959">
        <w:rPr>
          <w:rFonts w:cs="Times New Roman"/>
          <w:bCs/>
          <w:sz w:val="20"/>
          <w:szCs w:val="20"/>
        </w:rPr>
        <w:t>The interveners are not entitled to raise new issues or to adduce further evidence or otherwise to supplement the record of the parties.</w:t>
      </w:r>
    </w:p>
    <w:p w:rsidR="003655EB" w:rsidRPr="00BA2B62" w:rsidRDefault="003655EB" w:rsidP="003655EB">
      <w:pPr>
        <w:spacing w:line="232" w:lineRule="auto"/>
        <w:rPr>
          <w:rFonts w:cs="Times New Roman"/>
          <w:bCs/>
          <w:sz w:val="20"/>
          <w:szCs w:val="20"/>
        </w:rPr>
      </w:pPr>
    </w:p>
    <w:p w:rsidR="003655EB" w:rsidRPr="0010611E" w:rsidRDefault="003655EB" w:rsidP="003655EB">
      <w:pPr>
        <w:spacing w:line="232" w:lineRule="auto"/>
        <w:rPr>
          <w:rFonts w:cs="Times New Roman"/>
          <w:sz w:val="20"/>
          <w:szCs w:val="20"/>
        </w:rPr>
      </w:pPr>
      <w:r w:rsidRPr="0010611E">
        <w:rPr>
          <w:rFonts w:cs="Times New Roman"/>
          <w:sz w:val="20"/>
          <w:szCs w:val="20"/>
        </w:rPr>
        <w:t>Pursuant to Rule 59(1</w:t>
      </w:r>
      <w:proofErr w:type="gramStart"/>
      <w:r w:rsidRPr="0010611E">
        <w:rPr>
          <w:rFonts w:cs="Times New Roman"/>
          <w:sz w:val="20"/>
          <w:szCs w:val="20"/>
        </w:rPr>
        <w:t>)(</w:t>
      </w:r>
      <w:proofErr w:type="gramEnd"/>
      <w:r w:rsidRPr="0010611E">
        <w:rPr>
          <w:rFonts w:cs="Times New Roman"/>
          <w:i/>
          <w:iCs/>
          <w:sz w:val="20"/>
          <w:szCs w:val="20"/>
        </w:rPr>
        <w:t>a</w:t>
      </w:r>
      <w:r w:rsidRPr="0010611E">
        <w:rPr>
          <w:rFonts w:cs="Times New Roman"/>
          <w:sz w:val="20"/>
          <w:szCs w:val="20"/>
        </w:rPr>
        <w:t xml:space="preserve">) of the </w:t>
      </w:r>
      <w:r w:rsidRPr="0010611E">
        <w:rPr>
          <w:rFonts w:cs="Times New Roman"/>
          <w:i/>
          <w:iCs/>
          <w:sz w:val="20"/>
          <w:szCs w:val="20"/>
        </w:rPr>
        <w:t>Rules of the Supreme Court of Canada</w:t>
      </w:r>
      <w:r w:rsidRPr="0010611E">
        <w:rPr>
          <w:rFonts w:cs="Times New Roman"/>
          <w:sz w:val="20"/>
          <w:szCs w:val="20"/>
        </w:rPr>
        <w:t>, the intervener shall pay to the appellants and respondent any additional disbursements resulting from their intervention.</w:t>
      </w:r>
    </w:p>
    <w:p w:rsidR="003655EB" w:rsidRPr="0010611E" w:rsidRDefault="003655EB" w:rsidP="003655EB">
      <w:pPr>
        <w:spacing w:line="232" w:lineRule="auto"/>
        <w:rPr>
          <w:rFonts w:cs="Times New Roman"/>
          <w:sz w:val="20"/>
          <w:szCs w:val="20"/>
        </w:rPr>
      </w:pPr>
    </w:p>
    <w:p w:rsidR="003655EB" w:rsidRPr="0010611E" w:rsidRDefault="003655EB" w:rsidP="003655EB">
      <w:pPr>
        <w:spacing w:line="232" w:lineRule="auto"/>
        <w:rPr>
          <w:rFonts w:cs="Times New Roman"/>
          <w:sz w:val="20"/>
          <w:szCs w:val="20"/>
        </w:rPr>
      </w:pPr>
    </w:p>
    <w:p w:rsidR="003655EB" w:rsidRPr="0010611E" w:rsidRDefault="003655EB" w:rsidP="003655EB">
      <w:pPr>
        <w:spacing w:line="233" w:lineRule="auto"/>
        <w:rPr>
          <w:rFonts w:cs="Times New Roman"/>
          <w:bCs/>
          <w:sz w:val="20"/>
          <w:szCs w:val="20"/>
          <w:lang w:val="fr-CA"/>
        </w:rPr>
      </w:pPr>
      <w:r w:rsidRPr="0010611E">
        <w:rPr>
          <w:rFonts w:cs="Times New Roman"/>
          <w:b/>
          <w:bCs/>
          <w:sz w:val="20"/>
          <w:szCs w:val="20"/>
          <w:lang w:val="fr-CA"/>
        </w:rPr>
        <w:t xml:space="preserve">À LA SUITE DES DEMANDES </w:t>
      </w:r>
      <w:r w:rsidRPr="0010611E">
        <w:rPr>
          <w:rFonts w:cs="Times New Roman"/>
          <w:bCs/>
          <w:sz w:val="20"/>
          <w:szCs w:val="20"/>
          <w:lang w:val="fr-CA"/>
        </w:rPr>
        <w:t xml:space="preserve">d’intervention présentées par les entités suivantes : Réseau de télévision des peuples autochtones, Avocats pour la défense de l’expression dans les médias/Canadian Media </w:t>
      </w:r>
      <w:proofErr w:type="spellStart"/>
      <w:r w:rsidRPr="0010611E">
        <w:rPr>
          <w:rFonts w:cs="Times New Roman"/>
          <w:bCs/>
          <w:sz w:val="20"/>
          <w:szCs w:val="20"/>
          <w:lang w:val="fr-CA"/>
        </w:rPr>
        <w:t>Lawyers</w:t>
      </w:r>
      <w:proofErr w:type="spellEnd"/>
      <w:r w:rsidRPr="0010611E">
        <w:rPr>
          <w:rFonts w:cs="Times New Roman"/>
          <w:bCs/>
          <w:sz w:val="20"/>
          <w:szCs w:val="20"/>
          <w:lang w:val="fr-CA"/>
        </w:rPr>
        <w:t xml:space="preserve"> Association, Association canadienne des journalistes, Canadian </w:t>
      </w:r>
      <w:proofErr w:type="spellStart"/>
      <w:r w:rsidRPr="0010611E">
        <w:rPr>
          <w:rFonts w:cs="Times New Roman"/>
          <w:bCs/>
          <w:sz w:val="20"/>
          <w:szCs w:val="20"/>
          <w:lang w:val="fr-CA"/>
        </w:rPr>
        <w:t>Journalists</w:t>
      </w:r>
      <w:proofErr w:type="spellEnd"/>
      <w:r w:rsidRPr="0010611E">
        <w:rPr>
          <w:rFonts w:cs="Times New Roman"/>
          <w:bCs/>
          <w:sz w:val="20"/>
          <w:szCs w:val="20"/>
          <w:lang w:val="fr-CA"/>
        </w:rPr>
        <w:t xml:space="preserve"> for Free Expression, Guilde canadienne des médias/Syndicat des Communications d’Amérique Canada, Centre for Free Expression, Global News, a Division of </w:t>
      </w:r>
      <w:proofErr w:type="spellStart"/>
      <w:r w:rsidRPr="0010611E">
        <w:rPr>
          <w:rFonts w:cs="Times New Roman"/>
          <w:bCs/>
          <w:sz w:val="20"/>
          <w:szCs w:val="20"/>
          <w:lang w:val="fr-CA"/>
        </w:rPr>
        <w:t>Corus</w:t>
      </w:r>
      <w:proofErr w:type="spellEnd"/>
      <w:r w:rsidRPr="0010611E">
        <w:rPr>
          <w:rFonts w:cs="Times New Roman"/>
          <w:bCs/>
          <w:sz w:val="20"/>
          <w:szCs w:val="20"/>
          <w:lang w:val="fr-CA"/>
        </w:rPr>
        <w:t xml:space="preserve"> </w:t>
      </w:r>
      <w:proofErr w:type="spellStart"/>
      <w:r w:rsidRPr="0010611E">
        <w:rPr>
          <w:rFonts w:cs="Times New Roman"/>
          <w:bCs/>
          <w:sz w:val="20"/>
          <w:szCs w:val="20"/>
          <w:lang w:val="fr-CA"/>
        </w:rPr>
        <w:t>Television</w:t>
      </w:r>
      <w:proofErr w:type="spellEnd"/>
      <w:r w:rsidRPr="0010611E">
        <w:rPr>
          <w:rFonts w:cs="Times New Roman"/>
          <w:bCs/>
          <w:sz w:val="20"/>
          <w:szCs w:val="20"/>
          <w:lang w:val="fr-CA"/>
        </w:rPr>
        <w:t xml:space="preserve"> Limited </w:t>
      </w:r>
      <w:proofErr w:type="spellStart"/>
      <w:r w:rsidRPr="0010611E">
        <w:rPr>
          <w:rFonts w:cs="Times New Roman"/>
          <w:bCs/>
          <w:sz w:val="20"/>
          <w:szCs w:val="20"/>
          <w:lang w:val="fr-CA"/>
        </w:rPr>
        <w:t>Partnership</w:t>
      </w:r>
      <w:proofErr w:type="spellEnd"/>
      <w:r w:rsidRPr="0010611E">
        <w:rPr>
          <w:rFonts w:cs="Times New Roman"/>
          <w:bCs/>
          <w:sz w:val="20"/>
          <w:szCs w:val="20"/>
          <w:lang w:val="fr-CA"/>
        </w:rPr>
        <w:t xml:space="preserve">, et </w:t>
      </w:r>
      <w:proofErr w:type="spellStart"/>
      <w:r w:rsidRPr="0010611E">
        <w:rPr>
          <w:rFonts w:cs="Times New Roman"/>
          <w:bCs/>
          <w:sz w:val="20"/>
          <w:szCs w:val="20"/>
          <w:lang w:val="fr-CA"/>
        </w:rPr>
        <w:t>Postmedia</w:t>
      </w:r>
      <w:proofErr w:type="spellEnd"/>
      <w:r w:rsidRPr="0010611E">
        <w:rPr>
          <w:rFonts w:cs="Times New Roman"/>
          <w:bCs/>
          <w:sz w:val="20"/>
          <w:szCs w:val="20"/>
          <w:lang w:val="fr-CA"/>
        </w:rPr>
        <w:t xml:space="preserve"> Network Inc. (collectivement, la « Coalition ») (conjointement), Canadian </w:t>
      </w:r>
      <w:proofErr w:type="spellStart"/>
      <w:r w:rsidRPr="0010611E">
        <w:rPr>
          <w:rFonts w:cs="Times New Roman"/>
          <w:bCs/>
          <w:sz w:val="20"/>
          <w:szCs w:val="20"/>
          <w:lang w:val="fr-CA"/>
        </w:rPr>
        <w:t>Broadcasting</w:t>
      </w:r>
      <w:proofErr w:type="spellEnd"/>
      <w:r w:rsidRPr="0010611E">
        <w:rPr>
          <w:rFonts w:cs="Times New Roman"/>
          <w:bCs/>
          <w:sz w:val="20"/>
          <w:szCs w:val="20"/>
          <w:lang w:val="fr-CA"/>
        </w:rPr>
        <w:t xml:space="preserve"> Corporation / Société Radio-Canada, Association canadienne des avocats musulmans, procureur général de l’Ontario, Association canadienne des libertés civiles, Media Legal </w:t>
      </w:r>
      <w:proofErr w:type="spellStart"/>
      <w:r w:rsidRPr="0010611E">
        <w:rPr>
          <w:rFonts w:cs="Times New Roman"/>
          <w:bCs/>
          <w:sz w:val="20"/>
          <w:szCs w:val="20"/>
          <w:lang w:val="fr-CA"/>
        </w:rPr>
        <w:t>Defence</w:t>
      </w:r>
      <w:proofErr w:type="spellEnd"/>
      <w:r w:rsidRPr="0010611E">
        <w:rPr>
          <w:rFonts w:cs="Times New Roman"/>
          <w:bCs/>
          <w:sz w:val="20"/>
          <w:szCs w:val="20"/>
          <w:lang w:val="fr-CA"/>
        </w:rPr>
        <w:t xml:space="preserve"> Initiative, Reporters sans frontières, Reporters </w:t>
      </w:r>
      <w:proofErr w:type="spellStart"/>
      <w:r w:rsidRPr="0010611E">
        <w:rPr>
          <w:rFonts w:cs="Times New Roman"/>
          <w:bCs/>
          <w:sz w:val="20"/>
          <w:szCs w:val="20"/>
          <w:lang w:val="fr-CA"/>
        </w:rPr>
        <w:t>Committee</w:t>
      </w:r>
      <w:proofErr w:type="spellEnd"/>
      <w:r w:rsidRPr="0010611E">
        <w:rPr>
          <w:rFonts w:cs="Times New Roman"/>
          <w:bCs/>
          <w:sz w:val="20"/>
          <w:szCs w:val="20"/>
          <w:lang w:val="fr-CA"/>
        </w:rPr>
        <w:t xml:space="preserve"> for </w:t>
      </w:r>
      <w:proofErr w:type="spellStart"/>
      <w:r w:rsidRPr="0010611E">
        <w:rPr>
          <w:rFonts w:cs="Times New Roman"/>
          <w:bCs/>
          <w:sz w:val="20"/>
          <w:szCs w:val="20"/>
          <w:lang w:val="fr-CA"/>
        </w:rPr>
        <w:t>Freedom</w:t>
      </w:r>
      <w:proofErr w:type="spellEnd"/>
      <w:r w:rsidRPr="0010611E">
        <w:rPr>
          <w:rFonts w:cs="Times New Roman"/>
          <w:bCs/>
          <w:sz w:val="20"/>
          <w:szCs w:val="20"/>
          <w:lang w:val="fr-CA"/>
        </w:rPr>
        <w:t xml:space="preserve"> of the </w:t>
      </w:r>
      <w:proofErr w:type="spellStart"/>
      <w:r w:rsidRPr="0010611E">
        <w:rPr>
          <w:rFonts w:cs="Times New Roman"/>
          <w:bCs/>
          <w:sz w:val="20"/>
          <w:szCs w:val="20"/>
          <w:lang w:val="fr-CA"/>
        </w:rPr>
        <w:t>Press</w:t>
      </w:r>
      <w:proofErr w:type="spellEnd"/>
      <w:r w:rsidRPr="0010611E">
        <w:rPr>
          <w:rFonts w:cs="Times New Roman"/>
          <w:bCs/>
          <w:sz w:val="20"/>
          <w:szCs w:val="20"/>
          <w:lang w:val="fr-CA"/>
        </w:rPr>
        <w:t xml:space="preserve">, Media Law Resource Centre, International </w:t>
      </w:r>
      <w:proofErr w:type="spellStart"/>
      <w:r w:rsidRPr="0010611E">
        <w:rPr>
          <w:rFonts w:cs="Times New Roman"/>
          <w:bCs/>
          <w:sz w:val="20"/>
          <w:szCs w:val="20"/>
          <w:lang w:val="fr-CA"/>
        </w:rPr>
        <w:t>Press</w:t>
      </w:r>
      <w:proofErr w:type="spellEnd"/>
      <w:r w:rsidRPr="0010611E">
        <w:rPr>
          <w:rFonts w:cs="Times New Roman"/>
          <w:bCs/>
          <w:sz w:val="20"/>
          <w:szCs w:val="20"/>
          <w:lang w:val="fr-CA"/>
        </w:rPr>
        <w:t xml:space="preserve"> Institute, ARTICLE 19, PEN International, Pen le Centre canadien de Pen International, Index on </w:t>
      </w:r>
      <w:proofErr w:type="spellStart"/>
      <w:r w:rsidRPr="0010611E">
        <w:rPr>
          <w:rFonts w:cs="Times New Roman"/>
          <w:bCs/>
          <w:sz w:val="20"/>
          <w:szCs w:val="20"/>
          <w:lang w:val="fr-CA"/>
        </w:rPr>
        <w:t>Censorship</w:t>
      </w:r>
      <w:proofErr w:type="spellEnd"/>
      <w:r w:rsidRPr="0010611E">
        <w:rPr>
          <w:rFonts w:cs="Times New Roman"/>
          <w:bCs/>
          <w:sz w:val="20"/>
          <w:szCs w:val="20"/>
          <w:lang w:val="fr-CA"/>
        </w:rPr>
        <w:t xml:space="preserve">, </w:t>
      </w:r>
      <w:proofErr w:type="spellStart"/>
      <w:r w:rsidRPr="0010611E">
        <w:rPr>
          <w:rFonts w:cs="Times New Roman"/>
          <w:bCs/>
          <w:sz w:val="20"/>
          <w:szCs w:val="20"/>
          <w:lang w:val="fr-CA"/>
        </w:rPr>
        <w:t>Committee</w:t>
      </w:r>
      <w:proofErr w:type="spellEnd"/>
      <w:r w:rsidRPr="0010611E">
        <w:rPr>
          <w:rFonts w:cs="Times New Roman"/>
          <w:bCs/>
          <w:sz w:val="20"/>
          <w:szCs w:val="20"/>
          <w:lang w:val="fr-CA"/>
        </w:rPr>
        <w:t xml:space="preserve"> to </w:t>
      </w:r>
      <w:proofErr w:type="spellStart"/>
      <w:r w:rsidRPr="0010611E">
        <w:rPr>
          <w:rFonts w:cs="Times New Roman"/>
          <w:bCs/>
          <w:sz w:val="20"/>
          <w:szCs w:val="20"/>
          <w:lang w:val="fr-CA"/>
        </w:rPr>
        <w:t>Protect</w:t>
      </w:r>
      <w:proofErr w:type="spellEnd"/>
      <w:r w:rsidRPr="0010611E">
        <w:rPr>
          <w:rFonts w:cs="Times New Roman"/>
          <w:bCs/>
          <w:sz w:val="20"/>
          <w:szCs w:val="20"/>
          <w:lang w:val="fr-CA"/>
        </w:rPr>
        <w:t xml:space="preserve"> </w:t>
      </w:r>
      <w:proofErr w:type="spellStart"/>
      <w:r w:rsidRPr="0010611E">
        <w:rPr>
          <w:rFonts w:cs="Times New Roman"/>
          <w:bCs/>
          <w:sz w:val="20"/>
          <w:szCs w:val="20"/>
          <w:lang w:val="fr-CA"/>
        </w:rPr>
        <w:t>Journalists</w:t>
      </w:r>
      <w:proofErr w:type="spellEnd"/>
      <w:r w:rsidRPr="0010611E">
        <w:rPr>
          <w:rFonts w:cs="Times New Roman"/>
          <w:bCs/>
          <w:sz w:val="20"/>
          <w:szCs w:val="20"/>
          <w:lang w:val="fr-CA"/>
        </w:rPr>
        <w:t xml:space="preserve">, World Association of </w:t>
      </w:r>
      <w:proofErr w:type="spellStart"/>
      <w:r w:rsidRPr="0010611E">
        <w:rPr>
          <w:rFonts w:cs="Times New Roman"/>
          <w:bCs/>
          <w:sz w:val="20"/>
          <w:szCs w:val="20"/>
          <w:lang w:val="fr-CA"/>
        </w:rPr>
        <w:t>Newspapers</w:t>
      </w:r>
      <w:proofErr w:type="spellEnd"/>
      <w:r w:rsidRPr="0010611E">
        <w:rPr>
          <w:rFonts w:cs="Times New Roman"/>
          <w:bCs/>
          <w:sz w:val="20"/>
          <w:szCs w:val="20"/>
          <w:lang w:val="fr-CA"/>
        </w:rPr>
        <w:t xml:space="preserve"> and News </w:t>
      </w:r>
      <w:proofErr w:type="spellStart"/>
      <w:r w:rsidRPr="0010611E">
        <w:rPr>
          <w:rFonts w:cs="Times New Roman"/>
          <w:bCs/>
          <w:sz w:val="20"/>
          <w:szCs w:val="20"/>
          <w:lang w:val="fr-CA"/>
        </w:rPr>
        <w:t>Publishers</w:t>
      </w:r>
      <w:proofErr w:type="spellEnd"/>
      <w:r w:rsidRPr="0010611E">
        <w:rPr>
          <w:rFonts w:cs="Times New Roman"/>
          <w:bCs/>
          <w:sz w:val="20"/>
          <w:szCs w:val="20"/>
          <w:lang w:val="fr-CA"/>
        </w:rPr>
        <w:t xml:space="preserve"> et International Human Rights Program, </w:t>
      </w:r>
      <w:proofErr w:type="spellStart"/>
      <w:r w:rsidRPr="0010611E">
        <w:rPr>
          <w:rFonts w:cs="Times New Roman"/>
          <w:bCs/>
          <w:sz w:val="20"/>
          <w:szCs w:val="20"/>
          <w:lang w:val="fr-CA"/>
        </w:rPr>
        <w:t>University</w:t>
      </w:r>
      <w:proofErr w:type="spellEnd"/>
      <w:r w:rsidRPr="0010611E">
        <w:rPr>
          <w:rFonts w:cs="Times New Roman"/>
          <w:bCs/>
          <w:sz w:val="20"/>
          <w:szCs w:val="20"/>
          <w:lang w:val="fr-CA"/>
        </w:rPr>
        <w:t xml:space="preserve"> of Toronto </w:t>
      </w:r>
      <w:proofErr w:type="spellStart"/>
      <w:r w:rsidRPr="0010611E">
        <w:rPr>
          <w:rFonts w:cs="Times New Roman"/>
          <w:bCs/>
          <w:sz w:val="20"/>
          <w:szCs w:val="20"/>
          <w:lang w:val="fr-CA"/>
        </w:rPr>
        <w:t>Faculty</w:t>
      </w:r>
      <w:proofErr w:type="spellEnd"/>
      <w:r w:rsidRPr="0010611E">
        <w:rPr>
          <w:rFonts w:cs="Times New Roman"/>
          <w:bCs/>
          <w:sz w:val="20"/>
          <w:szCs w:val="20"/>
          <w:lang w:val="fr-CA"/>
        </w:rPr>
        <w:t xml:space="preserve"> of Law (collectivement, la « Coalition internationale ») (conjointement), et British Columbia Civil Liberties Association</w:t>
      </w:r>
      <w:r w:rsidRPr="0010611E">
        <w:rPr>
          <w:rFonts w:cs="Times New Roman"/>
          <w:sz w:val="20"/>
          <w:szCs w:val="20"/>
          <w:lang w:val="fr-CA"/>
        </w:rPr>
        <w:t>;</w:t>
      </w:r>
    </w:p>
    <w:p w:rsidR="003655EB" w:rsidRPr="0010611E" w:rsidRDefault="003655EB" w:rsidP="003655EB">
      <w:pPr>
        <w:spacing w:line="233" w:lineRule="auto"/>
        <w:rPr>
          <w:rFonts w:cs="Times New Roman"/>
          <w:bCs/>
          <w:sz w:val="20"/>
          <w:szCs w:val="20"/>
          <w:lang w:val="fr-CA"/>
        </w:rPr>
      </w:pPr>
    </w:p>
    <w:p w:rsidR="003655EB" w:rsidRPr="0010611E" w:rsidRDefault="003655EB" w:rsidP="003655EB">
      <w:pPr>
        <w:spacing w:line="233" w:lineRule="auto"/>
        <w:rPr>
          <w:rFonts w:cs="Times New Roman"/>
          <w:sz w:val="20"/>
          <w:szCs w:val="20"/>
          <w:lang w:val="fr-CA"/>
        </w:rPr>
      </w:pPr>
      <w:r w:rsidRPr="0010611E">
        <w:rPr>
          <w:rFonts w:cs="Times New Roman"/>
          <w:b/>
          <w:sz w:val="20"/>
          <w:szCs w:val="20"/>
          <w:lang w:val="fr-CA"/>
        </w:rPr>
        <w:t xml:space="preserve">ET À LA SUITE DE LA DEMANDE </w:t>
      </w:r>
      <w:r w:rsidRPr="0010611E">
        <w:rPr>
          <w:rFonts w:cs="Times New Roman"/>
          <w:sz w:val="20"/>
          <w:szCs w:val="20"/>
          <w:lang w:val="fr-CA"/>
        </w:rPr>
        <w:t>présentée par Sa Majesté la Reine du chef du Canada en vue d’obtenir une prorogation du délai pour signifier et déposer sa réponse aux requêtes en autorisation d’intervenir;</w:t>
      </w:r>
    </w:p>
    <w:p w:rsidR="003655EB" w:rsidRPr="0010611E" w:rsidRDefault="003655EB" w:rsidP="003655EB">
      <w:pPr>
        <w:spacing w:line="233" w:lineRule="auto"/>
        <w:rPr>
          <w:rFonts w:cs="Times New Roman"/>
          <w:sz w:val="20"/>
          <w:szCs w:val="20"/>
          <w:lang w:val="fr-CA"/>
        </w:rPr>
      </w:pPr>
    </w:p>
    <w:p w:rsidR="003655EB" w:rsidRPr="0010611E" w:rsidRDefault="003655EB" w:rsidP="003655EB">
      <w:pPr>
        <w:spacing w:line="233" w:lineRule="auto"/>
        <w:rPr>
          <w:rFonts w:cs="Times New Roman"/>
          <w:sz w:val="20"/>
          <w:szCs w:val="20"/>
          <w:lang w:val="fr-CA"/>
        </w:rPr>
      </w:pPr>
      <w:r w:rsidRPr="0010611E">
        <w:rPr>
          <w:rFonts w:cs="Times New Roman"/>
          <w:b/>
          <w:bCs/>
          <w:sz w:val="20"/>
          <w:szCs w:val="20"/>
          <w:lang w:val="fr-CA"/>
        </w:rPr>
        <w:t xml:space="preserve">ET APRÈS EXAMEN </w:t>
      </w:r>
      <w:r w:rsidRPr="0010611E">
        <w:rPr>
          <w:rFonts w:cs="Times New Roman"/>
          <w:sz w:val="20"/>
          <w:szCs w:val="20"/>
          <w:lang w:val="fr-CA"/>
        </w:rPr>
        <w:t>des documents déposés;</w:t>
      </w:r>
    </w:p>
    <w:p w:rsidR="003655EB" w:rsidRPr="0010611E" w:rsidRDefault="003655EB" w:rsidP="003655EB">
      <w:pPr>
        <w:spacing w:line="233" w:lineRule="auto"/>
        <w:rPr>
          <w:rFonts w:cs="Times New Roman"/>
          <w:sz w:val="20"/>
          <w:szCs w:val="20"/>
          <w:lang w:val="fr-CA"/>
        </w:rPr>
      </w:pPr>
    </w:p>
    <w:p w:rsidR="003655EB" w:rsidRPr="0010611E" w:rsidRDefault="003655EB" w:rsidP="003655EB">
      <w:pPr>
        <w:spacing w:line="233" w:lineRule="auto"/>
        <w:rPr>
          <w:rFonts w:cs="Times New Roman"/>
          <w:sz w:val="20"/>
          <w:szCs w:val="20"/>
          <w:lang w:val="fr-CA"/>
        </w:rPr>
      </w:pPr>
      <w:r w:rsidRPr="0010611E">
        <w:rPr>
          <w:rFonts w:cs="Times New Roman"/>
          <w:b/>
          <w:bCs/>
          <w:sz w:val="20"/>
          <w:szCs w:val="20"/>
          <w:lang w:val="fr-CA"/>
        </w:rPr>
        <w:t>IL EST ORDONNÉ CE QUI SUIT :</w:t>
      </w:r>
    </w:p>
    <w:p w:rsidR="003655EB" w:rsidRPr="0010611E" w:rsidRDefault="003655EB" w:rsidP="003655EB">
      <w:pPr>
        <w:spacing w:line="233" w:lineRule="auto"/>
        <w:rPr>
          <w:rFonts w:cs="Times New Roman"/>
          <w:sz w:val="20"/>
          <w:szCs w:val="20"/>
          <w:lang w:val="fr-CA"/>
        </w:rPr>
      </w:pPr>
    </w:p>
    <w:p w:rsidR="003655EB" w:rsidRPr="0010611E" w:rsidRDefault="003655EB" w:rsidP="003655EB">
      <w:pPr>
        <w:spacing w:line="232" w:lineRule="auto"/>
        <w:rPr>
          <w:rFonts w:cs="Times New Roman"/>
          <w:sz w:val="20"/>
          <w:szCs w:val="20"/>
          <w:lang w:val="fr-CA"/>
        </w:rPr>
      </w:pPr>
      <w:r w:rsidRPr="0010611E">
        <w:rPr>
          <w:rFonts w:cs="Times New Roman"/>
          <w:sz w:val="20"/>
          <w:szCs w:val="20"/>
          <w:lang w:val="fr-CA"/>
        </w:rPr>
        <w:t>La requête en prorogation du délai pour signifier et déposer la réponse aux requêtes en autorisation d’intervenir est accueillie.</w:t>
      </w:r>
    </w:p>
    <w:p w:rsidR="003655EB" w:rsidRPr="0010611E" w:rsidRDefault="003655EB" w:rsidP="003655EB">
      <w:pPr>
        <w:spacing w:line="232" w:lineRule="auto"/>
        <w:rPr>
          <w:rFonts w:cs="Times New Roman"/>
          <w:sz w:val="20"/>
          <w:szCs w:val="20"/>
          <w:lang w:val="fr-CA"/>
        </w:rPr>
      </w:pPr>
    </w:p>
    <w:p w:rsidR="003655EB" w:rsidRPr="0010611E" w:rsidRDefault="003655EB" w:rsidP="003655EB">
      <w:pPr>
        <w:spacing w:line="232" w:lineRule="auto"/>
        <w:rPr>
          <w:rFonts w:cs="Times New Roman"/>
          <w:sz w:val="20"/>
          <w:szCs w:val="20"/>
          <w:lang w:val="fr-CA"/>
        </w:rPr>
      </w:pPr>
      <w:r w:rsidRPr="0010611E">
        <w:rPr>
          <w:rFonts w:cs="Times New Roman"/>
          <w:sz w:val="20"/>
          <w:szCs w:val="20"/>
          <w:lang w:val="fr-CA"/>
        </w:rPr>
        <w:t xml:space="preserve">Les requêtes en autorisation d’intervenir sont accueillies et les sept (7) intervenants pourront chacun signifier et déposer un mémoire d’au plus dix (10) pages au plus tard le 9 mai 2018. </w:t>
      </w:r>
    </w:p>
    <w:p w:rsidR="003655EB" w:rsidRPr="0010611E" w:rsidRDefault="003655EB" w:rsidP="003655EB">
      <w:pPr>
        <w:spacing w:line="232" w:lineRule="auto"/>
        <w:rPr>
          <w:rFonts w:cs="Times New Roman"/>
          <w:sz w:val="20"/>
          <w:szCs w:val="20"/>
          <w:lang w:val="fr-CA"/>
        </w:rPr>
      </w:pPr>
    </w:p>
    <w:p w:rsidR="003655EB" w:rsidRPr="0010611E" w:rsidRDefault="003655EB" w:rsidP="003655EB">
      <w:pPr>
        <w:spacing w:line="228" w:lineRule="auto"/>
        <w:rPr>
          <w:rFonts w:cs="Times New Roman"/>
          <w:sz w:val="20"/>
          <w:szCs w:val="20"/>
          <w:lang w:val="fr-CA"/>
        </w:rPr>
      </w:pPr>
      <w:r w:rsidRPr="0010611E">
        <w:rPr>
          <w:rFonts w:cs="Times New Roman"/>
          <w:bCs/>
          <w:sz w:val="20"/>
          <w:szCs w:val="20"/>
          <w:lang w:val="fr-CA"/>
        </w:rPr>
        <w:t>Les sept (7) intervenants</w:t>
      </w:r>
      <w:r w:rsidRPr="0010611E">
        <w:rPr>
          <w:rFonts w:cs="Times New Roman"/>
          <w:sz w:val="20"/>
          <w:szCs w:val="20"/>
          <w:lang w:val="fr-CA"/>
        </w:rPr>
        <w:t xml:space="preserve"> sont autorisés à présenter chacun une plaidoirie orale d’au plus cinq (5) minutes lors de l’audition de l’appel.</w:t>
      </w:r>
    </w:p>
    <w:p w:rsidR="003655EB" w:rsidRPr="0010611E" w:rsidRDefault="003655EB" w:rsidP="003655EB">
      <w:pPr>
        <w:spacing w:line="232" w:lineRule="auto"/>
        <w:rPr>
          <w:rFonts w:cs="Times New Roman"/>
          <w:sz w:val="20"/>
          <w:szCs w:val="20"/>
          <w:lang w:val="fr-CA"/>
        </w:rPr>
      </w:pPr>
    </w:p>
    <w:p w:rsidR="003655EB" w:rsidRPr="00644959" w:rsidRDefault="003655EB" w:rsidP="003655EB">
      <w:pPr>
        <w:spacing w:line="232" w:lineRule="auto"/>
        <w:rPr>
          <w:rFonts w:cs="Times New Roman"/>
          <w:bCs/>
          <w:sz w:val="20"/>
          <w:szCs w:val="20"/>
          <w:lang w:val="fr-CA"/>
        </w:rPr>
      </w:pPr>
      <w:r w:rsidRPr="00644959">
        <w:rPr>
          <w:rFonts w:cs="Times New Roman"/>
          <w:sz w:val="20"/>
          <w:szCs w:val="20"/>
          <w:lang w:val="fr-CA"/>
        </w:rPr>
        <w:fldChar w:fldCharType="begin"/>
      </w:r>
      <w:r w:rsidRPr="00644959">
        <w:rPr>
          <w:rFonts w:cs="Times New Roman"/>
          <w:sz w:val="20"/>
          <w:szCs w:val="20"/>
          <w:lang w:val="fr-CA"/>
        </w:rPr>
        <w:instrText xml:space="preserve"> SEQ CHAPTER \h \r 1</w:instrText>
      </w:r>
      <w:r w:rsidRPr="00644959">
        <w:rPr>
          <w:rFonts w:cs="Times New Roman"/>
          <w:sz w:val="20"/>
          <w:szCs w:val="20"/>
          <w:lang w:val="fr-CA"/>
        </w:rPr>
        <w:fldChar w:fldCharType="end"/>
      </w:r>
      <w:r w:rsidRPr="00644959">
        <w:rPr>
          <w:rFonts w:cs="Times New Roman"/>
          <w:sz w:val="20"/>
          <w:szCs w:val="20"/>
          <w:lang w:val="fr-CA"/>
        </w:rPr>
        <w:t>Les</w:t>
      </w:r>
      <w:r w:rsidRPr="00644959">
        <w:rPr>
          <w:rFonts w:cs="Times New Roman"/>
          <w:bCs/>
          <w:sz w:val="20"/>
          <w:szCs w:val="20"/>
          <w:lang w:val="fr-CA"/>
        </w:rPr>
        <w:t xml:space="preserve"> intervenants n’ont pas le droit de soulever de nouvelles questions, de produire d’autres éléments de preuve ni de compléter de quelque autre façon le dossier des parties.</w:t>
      </w:r>
    </w:p>
    <w:p w:rsidR="003655EB" w:rsidRPr="0010611E" w:rsidRDefault="003655EB" w:rsidP="003655EB">
      <w:pPr>
        <w:spacing w:line="232" w:lineRule="auto"/>
        <w:rPr>
          <w:rFonts w:cs="Times New Roman"/>
          <w:b/>
          <w:bCs/>
          <w:sz w:val="20"/>
          <w:szCs w:val="20"/>
          <w:lang w:val="fr-CA"/>
        </w:rPr>
      </w:pPr>
    </w:p>
    <w:p w:rsidR="003655EB" w:rsidRPr="0010611E" w:rsidRDefault="003655EB" w:rsidP="003655EB">
      <w:pPr>
        <w:spacing w:line="232" w:lineRule="auto"/>
        <w:rPr>
          <w:rFonts w:cs="Times New Roman"/>
          <w:b/>
          <w:bCs/>
          <w:sz w:val="20"/>
          <w:szCs w:val="20"/>
          <w:lang w:val="fr-CA"/>
        </w:rPr>
      </w:pPr>
      <w:r w:rsidRPr="0010611E">
        <w:rPr>
          <w:rFonts w:cs="Times New Roman"/>
          <w:sz w:val="20"/>
          <w:szCs w:val="20"/>
          <w:lang w:val="fr-CA"/>
        </w:rPr>
        <w:t>Conformément à l’alinéa 59(1)</w:t>
      </w:r>
      <w:r w:rsidRPr="0010611E">
        <w:rPr>
          <w:rFonts w:cs="Times New Roman"/>
          <w:i/>
          <w:iCs/>
          <w:sz w:val="20"/>
          <w:szCs w:val="20"/>
          <w:lang w:val="fr-CA"/>
        </w:rPr>
        <w:t>a</w:t>
      </w:r>
      <w:r w:rsidRPr="0010611E">
        <w:rPr>
          <w:rFonts w:cs="Times New Roman"/>
          <w:sz w:val="20"/>
          <w:szCs w:val="20"/>
          <w:lang w:val="fr-CA"/>
        </w:rPr>
        <w:t xml:space="preserve">) des </w:t>
      </w:r>
      <w:r w:rsidRPr="0010611E">
        <w:rPr>
          <w:rFonts w:cs="Times New Roman"/>
          <w:i/>
          <w:iCs/>
          <w:sz w:val="20"/>
          <w:szCs w:val="20"/>
          <w:lang w:val="fr-CA"/>
        </w:rPr>
        <w:t>Règles de la Cour suprême du Canada</w:t>
      </w:r>
      <w:r w:rsidRPr="0010611E">
        <w:rPr>
          <w:rFonts w:cs="Times New Roman"/>
          <w:sz w:val="20"/>
          <w:szCs w:val="20"/>
          <w:lang w:val="fr-CA"/>
        </w:rPr>
        <w:t>, les intervenants paieront aux appelants et à l’intimée tous débours supplémentaires résultant de leur intervention.</w:t>
      </w:r>
    </w:p>
    <w:p w:rsidR="00183454" w:rsidRPr="0010611E" w:rsidRDefault="00183454" w:rsidP="00183454">
      <w:pPr>
        <w:tabs>
          <w:tab w:val="left" w:pos="-1440"/>
          <w:tab w:val="left" w:pos="-720"/>
        </w:tabs>
        <w:jc w:val="both"/>
        <w:rPr>
          <w:rFonts w:eastAsia="Times New Roman" w:cs="Times New Roman"/>
          <w:sz w:val="20"/>
          <w:szCs w:val="20"/>
          <w:lang w:val="fr-CA" w:eastAsia="en-CA"/>
        </w:rPr>
      </w:pPr>
    </w:p>
    <w:p w:rsidR="00183454" w:rsidRPr="0010611E" w:rsidRDefault="00B35ED9" w:rsidP="00183454">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045" style="width:2in;height:1pt" o:hrpct="0" o:hralign="center" o:hrstd="t" o:hrnoshade="t" o:hr="t" fillcolor="black [3213]" stroked="f"/>
        </w:pict>
      </w:r>
    </w:p>
    <w:p w:rsidR="003655EB" w:rsidRPr="0010611E" w:rsidRDefault="003655EB">
      <w:pPr>
        <w:rPr>
          <w:rFonts w:eastAsia="Times New Roman" w:cs="Times New Roman"/>
          <w:sz w:val="20"/>
          <w:szCs w:val="20"/>
          <w:lang w:val="en-US" w:eastAsia="en-CA"/>
        </w:rPr>
      </w:pPr>
      <w:r w:rsidRPr="0010611E">
        <w:rPr>
          <w:rFonts w:eastAsia="Times New Roman" w:cs="Times New Roman"/>
          <w:sz w:val="20"/>
          <w:szCs w:val="20"/>
          <w:lang w:val="en-US" w:eastAsia="en-CA"/>
        </w:rPr>
        <w:br w:type="page"/>
      </w:r>
    </w:p>
    <w:p w:rsidR="003655EB" w:rsidRPr="0010611E" w:rsidRDefault="003655EB" w:rsidP="003655EB">
      <w:pPr>
        <w:tabs>
          <w:tab w:val="left" w:pos="-1440"/>
          <w:tab w:val="left" w:pos="-720"/>
        </w:tabs>
        <w:jc w:val="both"/>
        <w:rPr>
          <w:rFonts w:eastAsia="Times New Roman" w:cs="Times New Roman"/>
          <w:sz w:val="20"/>
          <w:szCs w:val="20"/>
          <w:lang w:val="fr-CA" w:eastAsia="en-CA"/>
        </w:rPr>
      </w:pPr>
      <w:r w:rsidRPr="0010611E">
        <w:rPr>
          <w:rFonts w:eastAsia="Times New Roman" w:cs="Times New Roman"/>
          <w:sz w:val="20"/>
          <w:szCs w:val="20"/>
          <w:lang w:val="fr-CA" w:eastAsia="en-CA"/>
        </w:rPr>
        <w:t>09.04.2018</w:t>
      </w:r>
    </w:p>
    <w:p w:rsidR="003655EB" w:rsidRPr="0010611E" w:rsidRDefault="003655EB" w:rsidP="003655EB">
      <w:pPr>
        <w:tabs>
          <w:tab w:val="left" w:pos="-1440"/>
          <w:tab w:val="left" w:pos="-720"/>
        </w:tabs>
        <w:jc w:val="both"/>
        <w:rPr>
          <w:rFonts w:eastAsia="Times New Roman" w:cs="Times New Roman"/>
          <w:sz w:val="20"/>
          <w:szCs w:val="20"/>
          <w:lang w:val="fr-CA" w:eastAsia="en-CA"/>
        </w:rPr>
      </w:pPr>
    </w:p>
    <w:p w:rsidR="003655EB" w:rsidRPr="0010611E" w:rsidRDefault="003655EB" w:rsidP="003655EB">
      <w:pPr>
        <w:tabs>
          <w:tab w:val="left" w:pos="-1440"/>
          <w:tab w:val="left" w:pos="-720"/>
        </w:tabs>
        <w:jc w:val="both"/>
        <w:rPr>
          <w:rFonts w:eastAsia="Times New Roman" w:cs="Times New Roman"/>
          <w:sz w:val="20"/>
          <w:szCs w:val="20"/>
          <w:lang w:val="fr-CA" w:eastAsia="en-CA"/>
        </w:rPr>
      </w:pPr>
      <w:r w:rsidRPr="0010611E">
        <w:rPr>
          <w:rFonts w:eastAsia="Times New Roman" w:cs="Times New Roman"/>
          <w:sz w:val="20"/>
          <w:szCs w:val="20"/>
          <w:lang w:val="fr-CA" w:eastAsia="en-CA"/>
        </w:rPr>
        <w:t xml:space="preserve">Before / Devant :   GASCON J. / LE JUGE GASCON </w:t>
      </w:r>
    </w:p>
    <w:p w:rsidR="003655EB" w:rsidRPr="0010611E" w:rsidRDefault="003655EB" w:rsidP="003655EB">
      <w:pPr>
        <w:tabs>
          <w:tab w:val="left" w:pos="-1440"/>
          <w:tab w:val="left" w:pos="-720"/>
        </w:tabs>
        <w:jc w:val="both"/>
        <w:rPr>
          <w:rFonts w:eastAsia="Times New Roman" w:cs="Times New Roman"/>
          <w:sz w:val="20"/>
          <w:szCs w:val="20"/>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917"/>
        <w:gridCol w:w="1137"/>
        <w:gridCol w:w="4219"/>
      </w:tblGrid>
      <w:tr w:rsidR="003655EB" w:rsidRPr="0010611E" w:rsidTr="00143552">
        <w:tc>
          <w:tcPr>
            <w:tcW w:w="4263" w:type="dxa"/>
            <w:gridSpan w:val="2"/>
          </w:tcPr>
          <w:p w:rsidR="003655EB" w:rsidRPr="0010611E" w:rsidRDefault="002713CE" w:rsidP="00143552">
            <w:pPr>
              <w:rPr>
                <w:b/>
                <w:sz w:val="20"/>
                <w:szCs w:val="20"/>
              </w:rPr>
            </w:pPr>
            <w:r w:rsidRPr="0010611E">
              <w:rPr>
                <w:b/>
                <w:sz w:val="20"/>
                <w:szCs w:val="20"/>
              </w:rPr>
              <w:t>Motion</w:t>
            </w:r>
            <w:r w:rsidR="003655EB" w:rsidRPr="0010611E">
              <w:rPr>
                <w:b/>
                <w:sz w:val="20"/>
                <w:szCs w:val="20"/>
              </w:rPr>
              <w:t xml:space="preserve"> for leave to intervene</w:t>
            </w:r>
            <w:r w:rsidR="003655EB" w:rsidRPr="0010611E">
              <w:rPr>
                <w:sz w:val="20"/>
                <w:szCs w:val="20"/>
              </w:rPr>
              <w:fldChar w:fldCharType="begin"/>
            </w:r>
            <w:r w:rsidR="003655EB" w:rsidRPr="0010611E">
              <w:rPr>
                <w:sz w:val="20"/>
                <w:szCs w:val="20"/>
              </w:rPr>
              <w:instrText xml:space="preserve"> SEQ CHAPTER \h \r 1</w:instrText>
            </w:r>
            <w:r w:rsidR="003655EB" w:rsidRPr="0010611E">
              <w:rPr>
                <w:sz w:val="20"/>
                <w:szCs w:val="20"/>
              </w:rPr>
              <w:fldChar w:fldCharType="end"/>
            </w:r>
          </w:p>
        </w:tc>
        <w:tc>
          <w:tcPr>
            <w:tcW w:w="1137" w:type="dxa"/>
          </w:tcPr>
          <w:p w:rsidR="003655EB" w:rsidRPr="0010611E" w:rsidRDefault="003655EB" w:rsidP="00143552">
            <w:pPr>
              <w:rPr>
                <w:sz w:val="20"/>
                <w:szCs w:val="20"/>
              </w:rPr>
            </w:pPr>
          </w:p>
          <w:p w:rsidR="003655EB" w:rsidRPr="0010611E" w:rsidRDefault="003655EB" w:rsidP="00143552">
            <w:pPr>
              <w:rPr>
                <w:sz w:val="20"/>
                <w:szCs w:val="20"/>
              </w:rPr>
            </w:pPr>
          </w:p>
        </w:tc>
        <w:tc>
          <w:tcPr>
            <w:tcW w:w="4219" w:type="dxa"/>
          </w:tcPr>
          <w:p w:rsidR="003655EB" w:rsidRPr="0010611E" w:rsidRDefault="003655EB" w:rsidP="002713CE">
            <w:pPr>
              <w:rPr>
                <w:b/>
                <w:sz w:val="20"/>
                <w:szCs w:val="20"/>
                <w:lang w:val="fr-CA"/>
              </w:rPr>
            </w:pPr>
            <w:r w:rsidRPr="0010611E">
              <w:rPr>
                <w:b/>
                <w:bCs/>
                <w:sz w:val="20"/>
                <w:szCs w:val="20"/>
                <w:lang w:val="fr-CA"/>
              </w:rPr>
              <w:t>Requête en autorisation d’intervenir</w:t>
            </w:r>
          </w:p>
        </w:tc>
      </w:tr>
      <w:tr w:rsidR="003655EB" w:rsidRPr="0010611E" w:rsidTr="002713CE">
        <w:trPr>
          <w:trHeight w:hRule="exact" w:val="558"/>
        </w:trPr>
        <w:tc>
          <w:tcPr>
            <w:tcW w:w="1346" w:type="dxa"/>
          </w:tcPr>
          <w:p w:rsidR="003655EB" w:rsidRPr="0010611E" w:rsidRDefault="003655EB" w:rsidP="00143552">
            <w:pPr>
              <w:rPr>
                <w:sz w:val="20"/>
                <w:szCs w:val="20"/>
              </w:rPr>
            </w:pPr>
            <w:r w:rsidRPr="0010611E">
              <w:rPr>
                <w:sz w:val="20"/>
                <w:szCs w:val="20"/>
              </w:rPr>
              <w:t>BY / PAR</w:t>
            </w:r>
          </w:p>
        </w:tc>
        <w:tc>
          <w:tcPr>
            <w:tcW w:w="2917" w:type="dxa"/>
          </w:tcPr>
          <w:p w:rsidR="003655EB" w:rsidRPr="0010611E" w:rsidRDefault="002713CE" w:rsidP="00143552">
            <w:pPr>
              <w:rPr>
                <w:sz w:val="20"/>
                <w:szCs w:val="20"/>
                <w:lang w:val="fr-CA"/>
              </w:rPr>
            </w:pPr>
            <w:r w:rsidRPr="0010611E">
              <w:rPr>
                <w:rFonts w:cs="Times New Roman"/>
                <w:sz w:val="20"/>
                <w:szCs w:val="20"/>
              </w:rPr>
              <w:t>Criminal Lawyers’ Association (Ontario)</w:t>
            </w:r>
          </w:p>
        </w:tc>
        <w:tc>
          <w:tcPr>
            <w:tcW w:w="1137" w:type="dxa"/>
          </w:tcPr>
          <w:p w:rsidR="003655EB" w:rsidRPr="0010611E" w:rsidRDefault="003655EB" w:rsidP="00143552">
            <w:pPr>
              <w:rPr>
                <w:sz w:val="20"/>
                <w:szCs w:val="20"/>
                <w:lang w:val="fr-CA"/>
              </w:rPr>
            </w:pPr>
          </w:p>
        </w:tc>
        <w:tc>
          <w:tcPr>
            <w:tcW w:w="4219" w:type="dxa"/>
          </w:tcPr>
          <w:p w:rsidR="003655EB" w:rsidRPr="0010611E" w:rsidRDefault="003655EB" w:rsidP="00143552">
            <w:pPr>
              <w:rPr>
                <w:sz w:val="20"/>
                <w:szCs w:val="20"/>
                <w:lang w:val="fr-CA"/>
              </w:rPr>
            </w:pPr>
          </w:p>
        </w:tc>
      </w:tr>
      <w:tr w:rsidR="003655EB" w:rsidRPr="0010611E" w:rsidTr="00143552">
        <w:tc>
          <w:tcPr>
            <w:tcW w:w="1346" w:type="dxa"/>
          </w:tcPr>
          <w:p w:rsidR="003655EB" w:rsidRPr="0010611E" w:rsidRDefault="003655EB" w:rsidP="00143552">
            <w:pPr>
              <w:rPr>
                <w:sz w:val="20"/>
                <w:szCs w:val="20"/>
              </w:rPr>
            </w:pPr>
            <w:r w:rsidRPr="0010611E">
              <w:rPr>
                <w:sz w:val="20"/>
                <w:szCs w:val="20"/>
              </w:rPr>
              <w:t>IN / DANS :</w:t>
            </w:r>
          </w:p>
        </w:tc>
        <w:tc>
          <w:tcPr>
            <w:tcW w:w="2917" w:type="dxa"/>
          </w:tcPr>
          <w:p w:rsidR="003655EB" w:rsidRPr="0010611E" w:rsidRDefault="003655EB" w:rsidP="00143552">
            <w:pPr>
              <w:tabs>
                <w:tab w:val="left" w:pos="-1440"/>
                <w:tab w:val="left" w:pos="-720"/>
              </w:tabs>
              <w:jc w:val="both"/>
              <w:rPr>
                <w:sz w:val="20"/>
                <w:lang w:val="en-US"/>
              </w:rPr>
            </w:pPr>
            <w:r w:rsidRPr="0010611E">
              <w:rPr>
                <w:sz w:val="20"/>
                <w:lang w:val="en-US"/>
              </w:rPr>
              <w:t>Her Majesty the Queen</w:t>
            </w:r>
          </w:p>
          <w:p w:rsidR="003655EB" w:rsidRPr="0010611E" w:rsidRDefault="003655EB" w:rsidP="00143552">
            <w:pPr>
              <w:tabs>
                <w:tab w:val="left" w:pos="-1440"/>
                <w:tab w:val="left" w:pos="-720"/>
              </w:tabs>
              <w:jc w:val="both"/>
              <w:rPr>
                <w:sz w:val="20"/>
                <w:lang w:val="en-US"/>
              </w:rPr>
            </w:pPr>
          </w:p>
          <w:p w:rsidR="003655EB" w:rsidRPr="0010611E" w:rsidRDefault="003655EB" w:rsidP="00143552">
            <w:pPr>
              <w:tabs>
                <w:tab w:val="left" w:pos="-1440"/>
                <w:tab w:val="left" w:pos="-720"/>
              </w:tabs>
              <w:jc w:val="both"/>
              <w:rPr>
                <w:sz w:val="20"/>
                <w:lang w:val="en-US"/>
              </w:rPr>
            </w:pPr>
            <w:r w:rsidRPr="0010611E">
              <w:rPr>
                <w:sz w:val="20"/>
                <w:lang w:val="en-US"/>
              </w:rPr>
              <w:tab/>
              <w:t>v. (37687)</w:t>
            </w:r>
          </w:p>
          <w:p w:rsidR="003655EB" w:rsidRPr="0010611E" w:rsidRDefault="003655EB" w:rsidP="00143552">
            <w:pPr>
              <w:tabs>
                <w:tab w:val="left" w:pos="-1440"/>
                <w:tab w:val="left" w:pos="-720"/>
              </w:tabs>
              <w:jc w:val="both"/>
              <w:rPr>
                <w:sz w:val="20"/>
                <w:lang w:val="en-US"/>
              </w:rPr>
            </w:pPr>
          </w:p>
          <w:p w:rsidR="003655EB" w:rsidRPr="0010611E" w:rsidRDefault="003655EB" w:rsidP="003655EB">
            <w:pPr>
              <w:rPr>
                <w:sz w:val="20"/>
                <w:szCs w:val="20"/>
                <w:lang w:val="en-US"/>
              </w:rPr>
            </w:pPr>
            <w:r w:rsidRPr="0010611E">
              <w:rPr>
                <w:sz w:val="20"/>
                <w:lang w:val="en-US"/>
              </w:rPr>
              <w:t>Douglas Morrison (Ont.)</w:t>
            </w:r>
          </w:p>
        </w:tc>
        <w:tc>
          <w:tcPr>
            <w:tcW w:w="1137" w:type="dxa"/>
          </w:tcPr>
          <w:p w:rsidR="003655EB" w:rsidRPr="0010611E" w:rsidRDefault="003655EB" w:rsidP="00143552">
            <w:pPr>
              <w:rPr>
                <w:sz w:val="20"/>
                <w:szCs w:val="20"/>
                <w:lang w:val="en-US"/>
              </w:rPr>
            </w:pPr>
          </w:p>
        </w:tc>
        <w:tc>
          <w:tcPr>
            <w:tcW w:w="4219" w:type="dxa"/>
          </w:tcPr>
          <w:p w:rsidR="003655EB" w:rsidRPr="0010611E" w:rsidRDefault="003655EB" w:rsidP="00143552">
            <w:pPr>
              <w:rPr>
                <w:sz w:val="20"/>
                <w:szCs w:val="20"/>
                <w:lang w:val="en-US"/>
              </w:rPr>
            </w:pPr>
          </w:p>
        </w:tc>
      </w:tr>
    </w:tbl>
    <w:p w:rsidR="003655EB" w:rsidRPr="0010611E" w:rsidRDefault="003655EB" w:rsidP="003655EB">
      <w:pPr>
        <w:tabs>
          <w:tab w:val="left" w:pos="-1440"/>
          <w:tab w:val="left" w:pos="-720"/>
        </w:tabs>
        <w:jc w:val="both"/>
        <w:rPr>
          <w:rFonts w:eastAsia="Times New Roman" w:cs="Times New Roman"/>
          <w:b/>
          <w:sz w:val="20"/>
          <w:szCs w:val="20"/>
          <w:lang w:val="en-US" w:eastAsia="en-CA"/>
        </w:rPr>
      </w:pPr>
    </w:p>
    <w:p w:rsidR="003655EB" w:rsidRPr="0010611E" w:rsidRDefault="003655EB" w:rsidP="003655EB">
      <w:pPr>
        <w:rPr>
          <w:rFonts w:eastAsia="Times New Roman" w:cs="Times New Roman"/>
          <w:b/>
          <w:sz w:val="20"/>
          <w:szCs w:val="20"/>
          <w:lang w:val="en-US" w:eastAsia="en-CA"/>
        </w:rPr>
      </w:pPr>
      <w:r w:rsidRPr="0010611E">
        <w:rPr>
          <w:rFonts w:eastAsia="Times New Roman" w:cs="Times New Roman"/>
          <w:b/>
          <w:sz w:val="20"/>
          <w:szCs w:val="20"/>
          <w:lang w:val="en-US" w:eastAsia="en-CA"/>
        </w:rPr>
        <w:t>GRANTED / ACCUEILLIES</w:t>
      </w:r>
    </w:p>
    <w:p w:rsidR="003655EB" w:rsidRPr="0010611E" w:rsidRDefault="003655EB" w:rsidP="003655EB">
      <w:pPr>
        <w:rPr>
          <w:rFonts w:eastAsia="Times New Roman" w:cs="Times New Roman"/>
          <w:sz w:val="20"/>
          <w:szCs w:val="20"/>
          <w:lang w:val="en-US" w:eastAsia="en-CA"/>
        </w:rPr>
      </w:pPr>
    </w:p>
    <w:p w:rsidR="003655EB" w:rsidRPr="0010611E" w:rsidRDefault="003655EB" w:rsidP="003655EB">
      <w:pPr>
        <w:spacing w:line="233" w:lineRule="auto"/>
        <w:rPr>
          <w:rFonts w:cs="Times New Roman"/>
          <w:sz w:val="20"/>
          <w:szCs w:val="20"/>
        </w:rPr>
      </w:pPr>
      <w:r w:rsidRPr="0010611E">
        <w:rPr>
          <w:rFonts w:cs="Times New Roman"/>
          <w:b/>
          <w:bCs/>
          <w:sz w:val="20"/>
          <w:szCs w:val="20"/>
        </w:rPr>
        <w:t xml:space="preserve">UPON APPLICATION </w:t>
      </w:r>
      <w:r w:rsidRPr="0010611E">
        <w:rPr>
          <w:rFonts w:cs="Times New Roman"/>
          <w:bCs/>
          <w:sz w:val="20"/>
          <w:szCs w:val="20"/>
        </w:rPr>
        <w:t xml:space="preserve">by </w:t>
      </w:r>
      <w:r w:rsidRPr="0010611E">
        <w:rPr>
          <w:rFonts w:cs="Times New Roman"/>
          <w:sz w:val="20"/>
          <w:szCs w:val="20"/>
        </w:rPr>
        <w:t>the Criminal Lawyers’ Association (Ontario) for leave to intervene in the above appeal;</w:t>
      </w:r>
    </w:p>
    <w:p w:rsidR="003655EB" w:rsidRPr="0010611E" w:rsidRDefault="003655EB" w:rsidP="003655EB">
      <w:pPr>
        <w:spacing w:line="233" w:lineRule="auto"/>
        <w:rPr>
          <w:rFonts w:cs="Times New Roman"/>
          <w:sz w:val="20"/>
          <w:szCs w:val="20"/>
        </w:rPr>
      </w:pPr>
    </w:p>
    <w:p w:rsidR="003655EB" w:rsidRPr="0010611E" w:rsidRDefault="003655EB" w:rsidP="003655EB">
      <w:pPr>
        <w:spacing w:line="233" w:lineRule="auto"/>
        <w:rPr>
          <w:rFonts w:cs="Times New Roman"/>
          <w:sz w:val="20"/>
          <w:szCs w:val="20"/>
        </w:rPr>
      </w:pPr>
      <w:r w:rsidRPr="0010611E">
        <w:rPr>
          <w:rFonts w:cs="Times New Roman"/>
          <w:b/>
          <w:bCs/>
          <w:sz w:val="20"/>
          <w:szCs w:val="20"/>
        </w:rPr>
        <w:t>AND THE MATERIAL FILED</w:t>
      </w:r>
      <w:r w:rsidRPr="0010611E">
        <w:rPr>
          <w:rFonts w:cs="Times New Roman"/>
          <w:sz w:val="20"/>
          <w:szCs w:val="20"/>
        </w:rPr>
        <w:t xml:space="preserve"> having been read;</w:t>
      </w:r>
    </w:p>
    <w:p w:rsidR="003655EB" w:rsidRPr="0010611E" w:rsidRDefault="003655EB" w:rsidP="003655EB">
      <w:pPr>
        <w:spacing w:line="233" w:lineRule="auto"/>
        <w:rPr>
          <w:rFonts w:cs="Times New Roman"/>
          <w:sz w:val="20"/>
          <w:szCs w:val="20"/>
        </w:rPr>
      </w:pPr>
    </w:p>
    <w:p w:rsidR="003655EB" w:rsidRPr="0010611E" w:rsidRDefault="003655EB" w:rsidP="003655EB">
      <w:pPr>
        <w:spacing w:line="233" w:lineRule="auto"/>
        <w:rPr>
          <w:rFonts w:cs="Times New Roman"/>
          <w:sz w:val="20"/>
          <w:szCs w:val="20"/>
        </w:rPr>
      </w:pPr>
      <w:r w:rsidRPr="0010611E">
        <w:rPr>
          <w:rFonts w:cs="Times New Roman"/>
          <w:b/>
          <w:bCs/>
          <w:sz w:val="20"/>
          <w:szCs w:val="20"/>
        </w:rPr>
        <w:t>IT IS HEREBY ORDERED THAT:</w:t>
      </w:r>
    </w:p>
    <w:p w:rsidR="003655EB" w:rsidRPr="0010611E" w:rsidRDefault="003655EB" w:rsidP="003655EB">
      <w:pPr>
        <w:spacing w:line="233" w:lineRule="auto"/>
        <w:rPr>
          <w:rFonts w:cs="Times New Roman"/>
          <w:sz w:val="20"/>
          <w:szCs w:val="20"/>
        </w:rPr>
      </w:pPr>
    </w:p>
    <w:p w:rsidR="003655EB" w:rsidRPr="0010611E" w:rsidRDefault="003655EB" w:rsidP="003655EB">
      <w:pPr>
        <w:spacing w:line="232" w:lineRule="auto"/>
        <w:rPr>
          <w:rFonts w:cs="Times New Roman"/>
          <w:sz w:val="20"/>
          <w:szCs w:val="20"/>
        </w:rPr>
      </w:pPr>
      <w:r w:rsidRPr="0010611E">
        <w:rPr>
          <w:rFonts w:cs="Times New Roman"/>
          <w:sz w:val="20"/>
          <w:szCs w:val="20"/>
        </w:rPr>
        <w:t>The motion for leave to intervene is granted and the said intervener shall be entitled to serve and file a factum not to exceed ten (10) pages in length on or before May 10, 2018.</w:t>
      </w:r>
    </w:p>
    <w:p w:rsidR="003655EB" w:rsidRPr="0010611E" w:rsidRDefault="003655EB" w:rsidP="003655EB">
      <w:pPr>
        <w:spacing w:line="232" w:lineRule="auto"/>
        <w:rPr>
          <w:rFonts w:cs="Times New Roman"/>
          <w:sz w:val="20"/>
          <w:szCs w:val="20"/>
        </w:rPr>
      </w:pPr>
    </w:p>
    <w:p w:rsidR="003655EB" w:rsidRPr="0010611E" w:rsidRDefault="003655EB" w:rsidP="003655EB">
      <w:pPr>
        <w:spacing w:line="228" w:lineRule="auto"/>
        <w:rPr>
          <w:rFonts w:cs="Times New Roman"/>
          <w:sz w:val="20"/>
          <w:szCs w:val="20"/>
        </w:rPr>
      </w:pPr>
      <w:r w:rsidRPr="0010611E">
        <w:rPr>
          <w:rFonts w:cs="Times New Roman"/>
          <w:bCs/>
          <w:sz w:val="20"/>
          <w:szCs w:val="20"/>
        </w:rPr>
        <w:t>The said intervener</w:t>
      </w:r>
      <w:r w:rsidRPr="0010611E">
        <w:rPr>
          <w:rFonts w:cs="Times New Roman"/>
          <w:sz w:val="20"/>
          <w:szCs w:val="20"/>
        </w:rPr>
        <w:t xml:space="preserve"> is granted permission to present oral arguments not exceeding five (5) minutes at the hearing of the appeal.</w:t>
      </w:r>
    </w:p>
    <w:p w:rsidR="003655EB" w:rsidRPr="0010611E" w:rsidRDefault="003655EB" w:rsidP="003655EB">
      <w:pPr>
        <w:spacing w:line="232" w:lineRule="auto"/>
        <w:rPr>
          <w:rFonts w:cs="Times New Roman"/>
          <w:sz w:val="20"/>
          <w:szCs w:val="20"/>
        </w:rPr>
      </w:pPr>
    </w:p>
    <w:p w:rsidR="003655EB" w:rsidRPr="00E37577" w:rsidRDefault="003655EB" w:rsidP="003655EB">
      <w:pPr>
        <w:spacing w:line="232" w:lineRule="auto"/>
        <w:rPr>
          <w:rFonts w:cs="Times New Roman"/>
          <w:bCs/>
          <w:sz w:val="20"/>
          <w:szCs w:val="20"/>
        </w:rPr>
      </w:pPr>
      <w:r w:rsidRPr="00E37577">
        <w:rPr>
          <w:rFonts w:cs="Times New Roman"/>
          <w:sz w:val="20"/>
          <w:szCs w:val="20"/>
        </w:rPr>
        <w:fldChar w:fldCharType="begin"/>
      </w:r>
      <w:r w:rsidRPr="00E37577">
        <w:rPr>
          <w:rFonts w:cs="Times New Roman"/>
          <w:sz w:val="20"/>
          <w:szCs w:val="20"/>
        </w:rPr>
        <w:instrText xml:space="preserve"> SEQ CHAPTER \h \r 1</w:instrText>
      </w:r>
      <w:r w:rsidRPr="00E37577">
        <w:rPr>
          <w:rFonts w:cs="Times New Roman"/>
          <w:sz w:val="20"/>
          <w:szCs w:val="20"/>
        </w:rPr>
        <w:fldChar w:fldCharType="end"/>
      </w:r>
      <w:r w:rsidRPr="00E37577">
        <w:rPr>
          <w:rFonts w:cs="Times New Roman"/>
          <w:bCs/>
          <w:sz w:val="20"/>
          <w:szCs w:val="20"/>
        </w:rPr>
        <w:t>The intervener is not entitled to raise new issues or to adduce further evidence or otherwise to supplement the record of the parties.</w:t>
      </w:r>
    </w:p>
    <w:p w:rsidR="003655EB" w:rsidRPr="0010611E" w:rsidRDefault="003655EB" w:rsidP="003655EB">
      <w:pPr>
        <w:spacing w:line="232" w:lineRule="auto"/>
        <w:rPr>
          <w:rFonts w:cs="Times New Roman"/>
          <w:b/>
          <w:bCs/>
          <w:sz w:val="20"/>
          <w:szCs w:val="20"/>
        </w:rPr>
      </w:pPr>
    </w:p>
    <w:p w:rsidR="003655EB" w:rsidRPr="0010611E" w:rsidRDefault="003655EB" w:rsidP="003655EB">
      <w:pPr>
        <w:spacing w:line="232" w:lineRule="auto"/>
        <w:rPr>
          <w:rFonts w:cs="Times New Roman"/>
          <w:b/>
          <w:bCs/>
          <w:sz w:val="20"/>
          <w:szCs w:val="20"/>
        </w:rPr>
      </w:pPr>
      <w:r w:rsidRPr="0010611E">
        <w:rPr>
          <w:rFonts w:cs="Times New Roman"/>
          <w:sz w:val="20"/>
          <w:szCs w:val="20"/>
        </w:rPr>
        <w:t>Pursuant to Rule 59(1</w:t>
      </w:r>
      <w:proofErr w:type="gramStart"/>
      <w:r w:rsidRPr="0010611E">
        <w:rPr>
          <w:rFonts w:cs="Times New Roman"/>
          <w:sz w:val="20"/>
          <w:szCs w:val="20"/>
        </w:rPr>
        <w:t>)(</w:t>
      </w:r>
      <w:proofErr w:type="gramEnd"/>
      <w:r w:rsidRPr="0010611E">
        <w:rPr>
          <w:rFonts w:cs="Times New Roman"/>
          <w:i/>
          <w:iCs/>
          <w:sz w:val="20"/>
          <w:szCs w:val="20"/>
        </w:rPr>
        <w:t>a</w:t>
      </w:r>
      <w:r w:rsidRPr="0010611E">
        <w:rPr>
          <w:rFonts w:cs="Times New Roman"/>
          <w:sz w:val="20"/>
          <w:szCs w:val="20"/>
        </w:rPr>
        <w:t xml:space="preserve">) of the </w:t>
      </w:r>
      <w:r w:rsidRPr="0010611E">
        <w:rPr>
          <w:rFonts w:cs="Times New Roman"/>
          <w:i/>
          <w:iCs/>
          <w:sz w:val="20"/>
          <w:szCs w:val="20"/>
        </w:rPr>
        <w:t>Rules of the Supreme Court of Canada</w:t>
      </w:r>
      <w:r w:rsidRPr="0010611E">
        <w:rPr>
          <w:rFonts w:cs="Times New Roman"/>
          <w:sz w:val="20"/>
          <w:szCs w:val="20"/>
        </w:rPr>
        <w:t>, the intervener shall pay to the appellant and respondent any additional disbursements resulting from their intervention.</w:t>
      </w:r>
    </w:p>
    <w:p w:rsidR="003655EB" w:rsidRPr="0010611E" w:rsidRDefault="003655EB" w:rsidP="003655EB">
      <w:pPr>
        <w:rPr>
          <w:rFonts w:cs="Times New Roman"/>
          <w:sz w:val="20"/>
          <w:szCs w:val="20"/>
        </w:rPr>
      </w:pPr>
    </w:p>
    <w:p w:rsidR="003655EB" w:rsidRPr="0010611E" w:rsidRDefault="003655EB" w:rsidP="003655EB">
      <w:pPr>
        <w:rPr>
          <w:rFonts w:cs="Times New Roman"/>
          <w:b/>
          <w:bCs/>
          <w:sz w:val="20"/>
          <w:szCs w:val="20"/>
        </w:rPr>
      </w:pPr>
      <w:r w:rsidRPr="0010611E">
        <w:rPr>
          <w:rFonts w:cs="Times New Roman"/>
          <w:b/>
          <w:bCs/>
          <w:sz w:val="20"/>
          <w:szCs w:val="20"/>
        </w:rPr>
        <w:t>IT IS HEREBY FURTHER ORDERED THAT:</w:t>
      </w:r>
    </w:p>
    <w:p w:rsidR="003655EB" w:rsidRPr="00BA2B62" w:rsidRDefault="003655EB" w:rsidP="003655EB">
      <w:pPr>
        <w:rPr>
          <w:rFonts w:cs="Times New Roman"/>
          <w:bCs/>
          <w:sz w:val="20"/>
          <w:szCs w:val="20"/>
        </w:rPr>
      </w:pPr>
    </w:p>
    <w:p w:rsidR="003655EB" w:rsidRPr="0010611E" w:rsidRDefault="003655EB" w:rsidP="003655EB">
      <w:pPr>
        <w:spacing w:line="228" w:lineRule="auto"/>
        <w:rPr>
          <w:rFonts w:cs="Times New Roman"/>
          <w:sz w:val="20"/>
          <w:szCs w:val="20"/>
        </w:rPr>
      </w:pPr>
      <w:r w:rsidRPr="0010611E">
        <w:rPr>
          <w:rFonts w:cs="Times New Roman"/>
          <w:sz w:val="20"/>
          <w:szCs w:val="20"/>
        </w:rPr>
        <w:t>The Attorney General of Canada, the Attorney General of Quebec, the Attorney General of British Columbia, the Attorney General of Saskatchewan and the Attorney General of Alberta are each granted permission to present oral argument not exceeding five (5) minutes at the hearing of the appeal.</w:t>
      </w:r>
    </w:p>
    <w:p w:rsidR="003655EB" w:rsidRPr="0010611E" w:rsidRDefault="003655EB" w:rsidP="003655EB">
      <w:pPr>
        <w:spacing w:line="228" w:lineRule="auto"/>
        <w:rPr>
          <w:rFonts w:cs="Times New Roman"/>
          <w:sz w:val="20"/>
          <w:szCs w:val="20"/>
        </w:rPr>
      </w:pPr>
    </w:p>
    <w:p w:rsidR="003655EB" w:rsidRPr="0010611E" w:rsidRDefault="003655EB" w:rsidP="003655EB">
      <w:pPr>
        <w:spacing w:line="233" w:lineRule="auto"/>
        <w:rPr>
          <w:rFonts w:cs="Times New Roman"/>
          <w:sz w:val="20"/>
          <w:szCs w:val="20"/>
          <w:lang w:val="fr-CA"/>
        </w:rPr>
      </w:pPr>
      <w:r w:rsidRPr="0010611E">
        <w:rPr>
          <w:rFonts w:cs="Times New Roman"/>
          <w:b/>
          <w:bCs/>
          <w:sz w:val="20"/>
          <w:szCs w:val="20"/>
          <w:lang w:val="fr-CA"/>
        </w:rPr>
        <w:t xml:space="preserve">À LA SUITE DE LA DEMANDE </w:t>
      </w:r>
      <w:r w:rsidRPr="0010611E">
        <w:rPr>
          <w:rFonts w:cs="Times New Roman"/>
          <w:bCs/>
          <w:sz w:val="20"/>
          <w:szCs w:val="20"/>
          <w:lang w:val="fr-CA"/>
        </w:rPr>
        <w:t>présentée par la</w:t>
      </w:r>
      <w:r w:rsidRPr="0010611E">
        <w:rPr>
          <w:rFonts w:cs="Times New Roman"/>
          <w:sz w:val="20"/>
          <w:szCs w:val="20"/>
          <w:lang w:val="fr-CA"/>
        </w:rPr>
        <w:t xml:space="preserve"> Criminal </w:t>
      </w:r>
      <w:proofErr w:type="spellStart"/>
      <w:r w:rsidRPr="0010611E">
        <w:rPr>
          <w:rFonts w:cs="Times New Roman"/>
          <w:sz w:val="20"/>
          <w:szCs w:val="20"/>
          <w:lang w:val="fr-CA"/>
        </w:rPr>
        <w:t>Lawyers</w:t>
      </w:r>
      <w:proofErr w:type="spellEnd"/>
      <w:r w:rsidRPr="0010611E">
        <w:rPr>
          <w:rFonts w:cs="Times New Roman"/>
          <w:sz w:val="20"/>
          <w:szCs w:val="20"/>
          <w:lang w:val="fr-CA"/>
        </w:rPr>
        <w:t>’ Association (Ontario) en vue d’intervenir dans l’appel;</w:t>
      </w:r>
    </w:p>
    <w:p w:rsidR="003655EB" w:rsidRPr="0010611E" w:rsidRDefault="003655EB" w:rsidP="003655EB">
      <w:pPr>
        <w:spacing w:line="233" w:lineRule="auto"/>
        <w:rPr>
          <w:rFonts w:cs="Times New Roman"/>
          <w:sz w:val="20"/>
          <w:szCs w:val="20"/>
          <w:lang w:val="fr-CA"/>
        </w:rPr>
      </w:pPr>
    </w:p>
    <w:p w:rsidR="003655EB" w:rsidRPr="0010611E" w:rsidRDefault="003655EB" w:rsidP="003655EB">
      <w:pPr>
        <w:spacing w:line="233" w:lineRule="auto"/>
        <w:rPr>
          <w:rFonts w:cs="Times New Roman"/>
          <w:sz w:val="20"/>
          <w:szCs w:val="20"/>
          <w:lang w:val="fr-CA"/>
        </w:rPr>
      </w:pPr>
      <w:r w:rsidRPr="0010611E">
        <w:rPr>
          <w:rFonts w:cs="Times New Roman"/>
          <w:b/>
          <w:bCs/>
          <w:sz w:val="20"/>
          <w:szCs w:val="20"/>
          <w:lang w:val="fr-CA"/>
        </w:rPr>
        <w:t>ET APRÈS EXAMEN</w:t>
      </w:r>
      <w:r w:rsidRPr="0010611E">
        <w:rPr>
          <w:rFonts w:cs="Times New Roman"/>
          <w:sz w:val="20"/>
          <w:szCs w:val="20"/>
          <w:lang w:val="fr-CA"/>
        </w:rPr>
        <w:t xml:space="preserve"> des documents déposés;</w:t>
      </w:r>
    </w:p>
    <w:p w:rsidR="003655EB" w:rsidRPr="0010611E" w:rsidRDefault="003655EB" w:rsidP="003655EB">
      <w:pPr>
        <w:spacing w:line="233" w:lineRule="auto"/>
        <w:rPr>
          <w:rFonts w:cs="Times New Roman"/>
          <w:sz w:val="20"/>
          <w:szCs w:val="20"/>
          <w:lang w:val="fr-CA"/>
        </w:rPr>
      </w:pPr>
    </w:p>
    <w:p w:rsidR="003655EB" w:rsidRPr="0010611E" w:rsidRDefault="003655EB" w:rsidP="003655EB">
      <w:pPr>
        <w:spacing w:line="233" w:lineRule="auto"/>
        <w:rPr>
          <w:rFonts w:cs="Times New Roman"/>
          <w:sz w:val="20"/>
          <w:szCs w:val="20"/>
          <w:lang w:val="fr-CA"/>
        </w:rPr>
      </w:pPr>
      <w:r w:rsidRPr="0010611E">
        <w:rPr>
          <w:rFonts w:cs="Times New Roman"/>
          <w:b/>
          <w:bCs/>
          <w:sz w:val="20"/>
          <w:szCs w:val="20"/>
          <w:lang w:val="fr-CA"/>
        </w:rPr>
        <w:t>IL EST ORDONNÉ CE QUI SUIT :</w:t>
      </w:r>
    </w:p>
    <w:p w:rsidR="003655EB" w:rsidRPr="0010611E" w:rsidRDefault="003655EB" w:rsidP="003655EB">
      <w:pPr>
        <w:spacing w:line="233" w:lineRule="auto"/>
        <w:rPr>
          <w:rFonts w:cs="Times New Roman"/>
          <w:sz w:val="20"/>
          <w:szCs w:val="20"/>
          <w:lang w:val="fr-CA"/>
        </w:rPr>
      </w:pPr>
    </w:p>
    <w:p w:rsidR="003655EB" w:rsidRPr="0010611E" w:rsidRDefault="003655EB" w:rsidP="003655EB">
      <w:pPr>
        <w:spacing w:line="232" w:lineRule="auto"/>
        <w:rPr>
          <w:rFonts w:cs="Times New Roman"/>
          <w:sz w:val="20"/>
          <w:szCs w:val="20"/>
          <w:lang w:val="fr-CA"/>
        </w:rPr>
      </w:pPr>
      <w:r w:rsidRPr="0010611E">
        <w:rPr>
          <w:rFonts w:cs="Times New Roman"/>
          <w:sz w:val="20"/>
          <w:szCs w:val="20"/>
          <w:lang w:val="fr-CA"/>
        </w:rPr>
        <w:t>La requête en autorisation d’intervenir est accueillie et cette intervenante pourra signifier et déposer un mémoire d’au plus dix (10) pages au plus tard le 10 mai 2018.</w:t>
      </w:r>
    </w:p>
    <w:p w:rsidR="003655EB" w:rsidRPr="0010611E" w:rsidRDefault="003655EB" w:rsidP="003655EB">
      <w:pPr>
        <w:spacing w:line="232" w:lineRule="auto"/>
        <w:rPr>
          <w:rFonts w:cs="Times New Roman"/>
          <w:sz w:val="20"/>
          <w:szCs w:val="20"/>
          <w:lang w:val="fr-CA"/>
        </w:rPr>
      </w:pPr>
    </w:p>
    <w:p w:rsidR="003655EB" w:rsidRPr="0010611E" w:rsidRDefault="003655EB" w:rsidP="003655EB">
      <w:pPr>
        <w:spacing w:line="228" w:lineRule="auto"/>
        <w:rPr>
          <w:rFonts w:cs="Times New Roman"/>
          <w:sz w:val="20"/>
          <w:szCs w:val="20"/>
          <w:lang w:val="fr-CA"/>
        </w:rPr>
      </w:pPr>
      <w:r w:rsidRPr="0010611E">
        <w:rPr>
          <w:rFonts w:cs="Times New Roman"/>
          <w:bCs/>
          <w:sz w:val="20"/>
          <w:szCs w:val="20"/>
          <w:lang w:val="fr-CA"/>
        </w:rPr>
        <w:t>Cette intervenante pourra présenter une plaidoirie orale d’au plus cinq (5) minutes lors de l’audition de l’appel.</w:t>
      </w:r>
    </w:p>
    <w:p w:rsidR="003655EB" w:rsidRPr="0010611E" w:rsidRDefault="003655EB" w:rsidP="003655EB">
      <w:pPr>
        <w:spacing w:line="232" w:lineRule="auto"/>
        <w:rPr>
          <w:rFonts w:cs="Times New Roman"/>
          <w:sz w:val="20"/>
          <w:szCs w:val="20"/>
          <w:lang w:val="fr-CA"/>
        </w:rPr>
      </w:pPr>
    </w:p>
    <w:p w:rsidR="003655EB" w:rsidRPr="00E37577" w:rsidRDefault="003655EB" w:rsidP="003655EB">
      <w:pPr>
        <w:spacing w:line="232" w:lineRule="auto"/>
        <w:rPr>
          <w:rFonts w:cs="Times New Roman"/>
          <w:bCs/>
          <w:sz w:val="20"/>
          <w:szCs w:val="20"/>
          <w:lang w:val="fr-CA"/>
        </w:rPr>
      </w:pPr>
      <w:r w:rsidRPr="00E37577">
        <w:rPr>
          <w:rFonts w:cs="Times New Roman"/>
          <w:sz w:val="20"/>
          <w:szCs w:val="20"/>
          <w:lang w:val="fr-CA"/>
        </w:rPr>
        <w:fldChar w:fldCharType="begin"/>
      </w:r>
      <w:r w:rsidRPr="00E37577">
        <w:rPr>
          <w:rFonts w:cs="Times New Roman"/>
          <w:sz w:val="20"/>
          <w:szCs w:val="20"/>
          <w:lang w:val="fr-CA"/>
        </w:rPr>
        <w:instrText xml:space="preserve"> SEQ CHAPTER \h \r 1</w:instrText>
      </w:r>
      <w:r w:rsidRPr="00E37577">
        <w:rPr>
          <w:rFonts w:cs="Times New Roman"/>
          <w:sz w:val="20"/>
          <w:szCs w:val="20"/>
          <w:lang w:val="fr-CA"/>
        </w:rPr>
        <w:fldChar w:fldCharType="end"/>
      </w:r>
      <w:r w:rsidRPr="00E37577">
        <w:rPr>
          <w:rFonts w:cs="Times New Roman"/>
          <w:sz w:val="20"/>
          <w:szCs w:val="20"/>
          <w:lang w:val="fr-CA"/>
        </w:rPr>
        <w:t>L’</w:t>
      </w:r>
      <w:r w:rsidRPr="00E37577">
        <w:rPr>
          <w:rFonts w:cs="Times New Roman"/>
          <w:bCs/>
          <w:sz w:val="20"/>
          <w:szCs w:val="20"/>
          <w:lang w:val="fr-CA"/>
        </w:rPr>
        <w:t xml:space="preserve">intervenante n’a pas le droit de soulever de nouvelles questions, de produire d’autres éléments de preuve ni de compléter de quelque autre façon le dossier des parties. </w:t>
      </w:r>
    </w:p>
    <w:p w:rsidR="003655EB" w:rsidRPr="0010611E" w:rsidRDefault="003655EB" w:rsidP="003655EB">
      <w:pPr>
        <w:spacing w:line="232" w:lineRule="auto"/>
        <w:rPr>
          <w:rFonts w:cs="Times New Roman"/>
          <w:b/>
          <w:bCs/>
          <w:sz w:val="20"/>
          <w:szCs w:val="20"/>
          <w:lang w:val="fr-CA"/>
        </w:rPr>
      </w:pPr>
    </w:p>
    <w:p w:rsidR="003655EB" w:rsidRPr="0010611E" w:rsidRDefault="003655EB" w:rsidP="003655EB">
      <w:pPr>
        <w:spacing w:line="232" w:lineRule="auto"/>
        <w:rPr>
          <w:rFonts w:cs="Times New Roman"/>
          <w:b/>
          <w:bCs/>
          <w:sz w:val="20"/>
          <w:szCs w:val="20"/>
          <w:lang w:val="fr-CA"/>
        </w:rPr>
      </w:pPr>
      <w:r w:rsidRPr="0010611E">
        <w:rPr>
          <w:rFonts w:cs="Times New Roman"/>
          <w:sz w:val="20"/>
          <w:szCs w:val="20"/>
          <w:lang w:val="fr-CA"/>
        </w:rPr>
        <w:t>Conformément à l’alinéa 59(1)</w:t>
      </w:r>
      <w:r w:rsidRPr="0010611E">
        <w:rPr>
          <w:rFonts w:cs="Times New Roman"/>
          <w:i/>
          <w:iCs/>
          <w:sz w:val="20"/>
          <w:szCs w:val="20"/>
          <w:lang w:val="fr-CA"/>
        </w:rPr>
        <w:t>a</w:t>
      </w:r>
      <w:r w:rsidRPr="0010611E">
        <w:rPr>
          <w:rFonts w:cs="Times New Roman"/>
          <w:sz w:val="20"/>
          <w:szCs w:val="20"/>
          <w:lang w:val="fr-CA"/>
        </w:rPr>
        <w:t xml:space="preserve">) des </w:t>
      </w:r>
      <w:r w:rsidRPr="0010611E">
        <w:rPr>
          <w:rFonts w:cs="Times New Roman"/>
          <w:i/>
          <w:iCs/>
          <w:sz w:val="20"/>
          <w:szCs w:val="20"/>
          <w:lang w:val="fr-CA"/>
        </w:rPr>
        <w:t>Règles de la Cour suprême du Canada</w:t>
      </w:r>
      <w:r w:rsidRPr="0010611E">
        <w:rPr>
          <w:rFonts w:cs="Times New Roman"/>
          <w:sz w:val="20"/>
          <w:szCs w:val="20"/>
          <w:lang w:val="fr-CA"/>
        </w:rPr>
        <w:t>, l’intervenante paiera à l’appelante et à l’intimé tous dépens supplémentaires résultant de son intervention.</w:t>
      </w:r>
    </w:p>
    <w:p w:rsidR="003655EB" w:rsidRPr="0010611E" w:rsidRDefault="003655EB" w:rsidP="003655EB">
      <w:pPr>
        <w:rPr>
          <w:rFonts w:cs="Times New Roman"/>
          <w:sz w:val="20"/>
          <w:szCs w:val="20"/>
          <w:lang w:val="fr-CA"/>
        </w:rPr>
      </w:pPr>
    </w:p>
    <w:p w:rsidR="003655EB" w:rsidRPr="0010611E" w:rsidRDefault="003655EB" w:rsidP="003655EB">
      <w:pPr>
        <w:rPr>
          <w:rFonts w:cs="Times New Roman"/>
          <w:b/>
          <w:bCs/>
          <w:sz w:val="20"/>
          <w:szCs w:val="20"/>
          <w:lang w:val="fr-CA"/>
        </w:rPr>
      </w:pPr>
      <w:r w:rsidRPr="0010611E">
        <w:rPr>
          <w:rFonts w:cs="Times New Roman"/>
          <w:b/>
          <w:bCs/>
          <w:sz w:val="20"/>
          <w:szCs w:val="20"/>
          <w:lang w:val="fr-CA"/>
        </w:rPr>
        <w:t>IL EST EN OUTRE ORDONNÉ QUE :</w:t>
      </w:r>
    </w:p>
    <w:p w:rsidR="003655EB" w:rsidRPr="0010611E" w:rsidRDefault="003655EB" w:rsidP="003655EB">
      <w:pPr>
        <w:rPr>
          <w:rFonts w:cs="Times New Roman"/>
          <w:b/>
          <w:bCs/>
          <w:sz w:val="20"/>
          <w:szCs w:val="20"/>
          <w:lang w:val="fr-CA"/>
        </w:rPr>
      </w:pPr>
    </w:p>
    <w:p w:rsidR="003655EB" w:rsidRPr="0010611E" w:rsidRDefault="003655EB" w:rsidP="003655EB">
      <w:pPr>
        <w:spacing w:line="228" w:lineRule="auto"/>
        <w:rPr>
          <w:rFonts w:cs="Times New Roman"/>
          <w:sz w:val="20"/>
          <w:szCs w:val="20"/>
          <w:lang w:val="fr-CA"/>
        </w:rPr>
      </w:pPr>
      <w:r w:rsidRPr="0010611E">
        <w:rPr>
          <w:rFonts w:cs="Times New Roman"/>
          <w:sz w:val="20"/>
          <w:szCs w:val="20"/>
          <w:lang w:val="fr-CA"/>
        </w:rPr>
        <w:t>Le procureur général du Canada, le procureur général du Québec, le procureur général de la Colombie-Britannique, le procureur général de la Saskatchewan et le procureur général de l’Alberta sont autorisés à présenter chacun une plaidoirie orale d’au plus cinq (5 minutes) lors de l’audition de l’appel.</w:t>
      </w:r>
    </w:p>
    <w:p w:rsidR="0010587F" w:rsidRPr="0010611E" w:rsidRDefault="0010587F" w:rsidP="0010587F">
      <w:pPr>
        <w:tabs>
          <w:tab w:val="left" w:pos="-1440"/>
          <w:tab w:val="left" w:pos="-720"/>
        </w:tabs>
        <w:jc w:val="both"/>
        <w:rPr>
          <w:sz w:val="20"/>
          <w:szCs w:val="20"/>
          <w:lang w:val="fr-CA"/>
        </w:rPr>
      </w:pPr>
    </w:p>
    <w:p w:rsidR="00CA2DEA" w:rsidRPr="0010611E" w:rsidRDefault="00B35ED9"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46" style="width:2in;height:1pt" o:hrpct="0" o:hralign="center" o:hrstd="t" o:hrnoshade="t" o:hr="t" fillcolor="black [3213]" stroked="f"/>
        </w:pict>
      </w:r>
    </w:p>
    <w:p w:rsidR="003655EB" w:rsidRPr="0010611E" w:rsidRDefault="001733C2" w:rsidP="003655EB">
      <w:pPr>
        <w:tabs>
          <w:tab w:val="left" w:pos="-1440"/>
          <w:tab w:val="left" w:pos="-720"/>
        </w:tabs>
        <w:jc w:val="both"/>
        <w:rPr>
          <w:rFonts w:eastAsia="Times New Roman" w:cs="Times New Roman"/>
          <w:sz w:val="20"/>
          <w:szCs w:val="20"/>
          <w:lang w:val="fr-CA" w:eastAsia="en-CA"/>
        </w:rPr>
      </w:pPr>
      <w:r w:rsidRPr="0010611E">
        <w:rPr>
          <w:rFonts w:eastAsia="Times New Roman" w:cs="Times New Roman"/>
          <w:sz w:val="20"/>
          <w:szCs w:val="20"/>
          <w:lang w:val="fr-CA" w:eastAsia="en-CA"/>
        </w:rPr>
        <w:t>11</w:t>
      </w:r>
      <w:r w:rsidR="003655EB" w:rsidRPr="0010611E">
        <w:rPr>
          <w:rFonts w:eastAsia="Times New Roman" w:cs="Times New Roman"/>
          <w:sz w:val="20"/>
          <w:szCs w:val="20"/>
          <w:lang w:val="fr-CA" w:eastAsia="en-CA"/>
        </w:rPr>
        <w:t>.0</w:t>
      </w:r>
      <w:r w:rsidRPr="0010611E">
        <w:rPr>
          <w:rFonts w:eastAsia="Times New Roman" w:cs="Times New Roman"/>
          <w:sz w:val="20"/>
          <w:szCs w:val="20"/>
          <w:lang w:val="fr-CA" w:eastAsia="en-CA"/>
        </w:rPr>
        <w:t>4</w:t>
      </w:r>
      <w:r w:rsidR="003655EB" w:rsidRPr="0010611E">
        <w:rPr>
          <w:rFonts w:eastAsia="Times New Roman" w:cs="Times New Roman"/>
          <w:sz w:val="20"/>
          <w:szCs w:val="20"/>
          <w:lang w:val="fr-CA" w:eastAsia="en-CA"/>
        </w:rPr>
        <w:t>.2018</w:t>
      </w:r>
    </w:p>
    <w:p w:rsidR="003655EB" w:rsidRPr="0010611E" w:rsidRDefault="003655EB" w:rsidP="003655EB">
      <w:pPr>
        <w:tabs>
          <w:tab w:val="left" w:pos="-1440"/>
          <w:tab w:val="left" w:pos="-720"/>
        </w:tabs>
        <w:jc w:val="both"/>
        <w:rPr>
          <w:rFonts w:eastAsia="Times New Roman" w:cs="Times New Roman"/>
          <w:sz w:val="20"/>
          <w:szCs w:val="20"/>
          <w:lang w:val="fr-CA" w:eastAsia="en-CA"/>
        </w:rPr>
      </w:pPr>
    </w:p>
    <w:p w:rsidR="003655EB" w:rsidRPr="0010611E" w:rsidRDefault="003655EB" w:rsidP="003655EB">
      <w:pPr>
        <w:tabs>
          <w:tab w:val="left" w:pos="-1440"/>
          <w:tab w:val="left" w:pos="-720"/>
        </w:tabs>
        <w:jc w:val="both"/>
        <w:rPr>
          <w:rFonts w:eastAsia="Times New Roman" w:cs="Times New Roman"/>
          <w:sz w:val="20"/>
          <w:szCs w:val="20"/>
          <w:lang w:val="fr-CA" w:eastAsia="en-CA"/>
        </w:rPr>
      </w:pPr>
      <w:r w:rsidRPr="0010611E">
        <w:rPr>
          <w:rFonts w:eastAsia="Times New Roman" w:cs="Times New Roman"/>
          <w:sz w:val="20"/>
          <w:szCs w:val="20"/>
          <w:lang w:val="fr-CA" w:eastAsia="en-CA"/>
        </w:rPr>
        <w:t>Before / Devant :   ROWE J. / LE JUGE ROWE</w:t>
      </w:r>
    </w:p>
    <w:p w:rsidR="003655EB" w:rsidRPr="0010611E" w:rsidRDefault="003655EB" w:rsidP="003655EB">
      <w:pPr>
        <w:tabs>
          <w:tab w:val="left" w:pos="-1440"/>
          <w:tab w:val="left" w:pos="-720"/>
        </w:tabs>
        <w:jc w:val="both"/>
        <w:rPr>
          <w:rFonts w:eastAsia="Times New Roman" w:cs="Times New Roman"/>
          <w:sz w:val="20"/>
          <w:szCs w:val="20"/>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917"/>
        <w:gridCol w:w="1137"/>
        <w:gridCol w:w="4219"/>
      </w:tblGrid>
      <w:tr w:rsidR="003655EB" w:rsidRPr="00644959" w:rsidTr="00143552">
        <w:tc>
          <w:tcPr>
            <w:tcW w:w="4263" w:type="dxa"/>
            <w:gridSpan w:val="2"/>
          </w:tcPr>
          <w:p w:rsidR="003655EB" w:rsidRPr="0010611E" w:rsidRDefault="003655EB" w:rsidP="00A35452">
            <w:pPr>
              <w:rPr>
                <w:b/>
                <w:sz w:val="20"/>
                <w:szCs w:val="20"/>
              </w:rPr>
            </w:pPr>
            <w:r w:rsidRPr="0010611E">
              <w:rPr>
                <w:b/>
                <w:sz w:val="20"/>
                <w:szCs w:val="20"/>
              </w:rPr>
              <w:t xml:space="preserve">Motion </w:t>
            </w:r>
            <w:r w:rsidR="00A35452" w:rsidRPr="0010611E">
              <w:rPr>
                <w:b/>
                <w:sz w:val="20"/>
                <w:szCs w:val="20"/>
              </w:rPr>
              <w:t>t</w:t>
            </w:r>
            <w:r w:rsidRPr="0010611E">
              <w:rPr>
                <w:b/>
                <w:sz w:val="20"/>
                <w:szCs w:val="20"/>
              </w:rPr>
              <w:t>o exten</w:t>
            </w:r>
            <w:r w:rsidR="00A35452" w:rsidRPr="0010611E">
              <w:rPr>
                <w:b/>
                <w:sz w:val="20"/>
                <w:szCs w:val="20"/>
              </w:rPr>
              <w:t>d</w:t>
            </w:r>
            <w:r w:rsidRPr="0010611E">
              <w:rPr>
                <w:b/>
                <w:sz w:val="20"/>
                <w:szCs w:val="20"/>
              </w:rPr>
              <w:t xml:space="preserve"> time</w:t>
            </w:r>
            <w:r w:rsidRPr="0010611E">
              <w:rPr>
                <w:sz w:val="20"/>
                <w:szCs w:val="20"/>
              </w:rPr>
              <w:fldChar w:fldCharType="begin"/>
            </w:r>
            <w:r w:rsidRPr="0010611E">
              <w:rPr>
                <w:sz w:val="20"/>
                <w:szCs w:val="20"/>
              </w:rPr>
              <w:instrText xml:space="preserve"> SEQ CHAPTER \h \r 1</w:instrText>
            </w:r>
            <w:r w:rsidRPr="0010611E">
              <w:rPr>
                <w:sz w:val="20"/>
                <w:szCs w:val="20"/>
              </w:rPr>
              <w:fldChar w:fldCharType="end"/>
            </w:r>
          </w:p>
        </w:tc>
        <w:tc>
          <w:tcPr>
            <w:tcW w:w="1137" w:type="dxa"/>
          </w:tcPr>
          <w:p w:rsidR="003655EB" w:rsidRPr="0010611E" w:rsidRDefault="003655EB" w:rsidP="00143552">
            <w:pPr>
              <w:rPr>
                <w:sz w:val="20"/>
                <w:szCs w:val="20"/>
              </w:rPr>
            </w:pPr>
          </w:p>
          <w:p w:rsidR="003655EB" w:rsidRPr="0010611E" w:rsidRDefault="003655EB" w:rsidP="00143552">
            <w:pPr>
              <w:rPr>
                <w:sz w:val="20"/>
                <w:szCs w:val="20"/>
              </w:rPr>
            </w:pPr>
          </w:p>
        </w:tc>
        <w:tc>
          <w:tcPr>
            <w:tcW w:w="4219" w:type="dxa"/>
          </w:tcPr>
          <w:p w:rsidR="003655EB" w:rsidRPr="0010611E" w:rsidRDefault="003655EB" w:rsidP="00A35452">
            <w:pPr>
              <w:rPr>
                <w:b/>
                <w:sz w:val="20"/>
                <w:szCs w:val="20"/>
                <w:lang w:val="fr-CA"/>
              </w:rPr>
            </w:pPr>
            <w:r w:rsidRPr="0010611E">
              <w:rPr>
                <w:b/>
                <w:bCs/>
                <w:sz w:val="20"/>
                <w:szCs w:val="20"/>
                <w:lang w:val="fr-CA"/>
              </w:rPr>
              <w:t>Requête en prorogation d</w:t>
            </w:r>
            <w:r w:rsidR="00A35452" w:rsidRPr="0010611E">
              <w:rPr>
                <w:b/>
                <w:bCs/>
                <w:sz w:val="20"/>
                <w:szCs w:val="20"/>
                <w:lang w:val="fr-CA"/>
              </w:rPr>
              <w:t>e</w:t>
            </w:r>
            <w:r w:rsidRPr="0010611E">
              <w:rPr>
                <w:b/>
                <w:bCs/>
                <w:sz w:val="20"/>
                <w:szCs w:val="20"/>
                <w:lang w:val="fr-CA"/>
              </w:rPr>
              <w:t xml:space="preserve"> délai</w:t>
            </w:r>
          </w:p>
        </w:tc>
      </w:tr>
      <w:tr w:rsidR="003655EB" w:rsidRPr="00644959" w:rsidTr="002713CE">
        <w:trPr>
          <w:trHeight w:hRule="exact" w:val="558"/>
        </w:trPr>
        <w:tc>
          <w:tcPr>
            <w:tcW w:w="1346" w:type="dxa"/>
          </w:tcPr>
          <w:p w:rsidR="003655EB" w:rsidRPr="0010611E" w:rsidRDefault="003655EB" w:rsidP="00143552">
            <w:pPr>
              <w:rPr>
                <w:sz w:val="20"/>
                <w:szCs w:val="20"/>
              </w:rPr>
            </w:pPr>
            <w:r w:rsidRPr="0010611E">
              <w:rPr>
                <w:sz w:val="20"/>
                <w:szCs w:val="20"/>
              </w:rPr>
              <w:t>BY / PAR</w:t>
            </w:r>
          </w:p>
        </w:tc>
        <w:tc>
          <w:tcPr>
            <w:tcW w:w="2917" w:type="dxa"/>
          </w:tcPr>
          <w:p w:rsidR="003655EB" w:rsidRPr="0010611E" w:rsidRDefault="002713CE" w:rsidP="00143552">
            <w:pPr>
              <w:rPr>
                <w:sz w:val="20"/>
                <w:szCs w:val="20"/>
                <w:lang w:val="fr-CA"/>
              </w:rPr>
            </w:pPr>
            <w:r w:rsidRPr="0010611E">
              <w:rPr>
                <w:rFonts w:cs="Times New Roman"/>
                <w:bCs/>
                <w:sz w:val="20"/>
                <w:lang w:val="fr-CA"/>
              </w:rPr>
              <w:t>Société d’aide juridique du Yukon</w:t>
            </w:r>
          </w:p>
        </w:tc>
        <w:tc>
          <w:tcPr>
            <w:tcW w:w="1137" w:type="dxa"/>
          </w:tcPr>
          <w:p w:rsidR="003655EB" w:rsidRPr="0010611E" w:rsidRDefault="003655EB" w:rsidP="00143552">
            <w:pPr>
              <w:rPr>
                <w:sz w:val="20"/>
                <w:szCs w:val="20"/>
                <w:lang w:val="fr-CA"/>
              </w:rPr>
            </w:pPr>
          </w:p>
        </w:tc>
        <w:tc>
          <w:tcPr>
            <w:tcW w:w="4219" w:type="dxa"/>
          </w:tcPr>
          <w:p w:rsidR="003655EB" w:rsidRPr="0010611E" w:rsidRDefault="003655EB" w:rsidP="00143552">
            <w:pPr>
              <w:rPr>
                <w:sz w:val="20"/>
                <w:szCs w:val="20"/>
                <w:lang w:val="fr-CA"/>
              </w:rPr>
            </w:pPr>
          </w:p>
        </w:tc>
      </w:tr>
      <w:tr w:rsidR="003655EB" w:rsidRPr="00644959" w:rsidTr="00143552">
        <w:tc>
          <w:tcPr>
            <w:tcW w:w="1346" w:type="dxa"/>
          </w:tcPr>
          <w:p w:rsidR="003655EB" w:rsidRPr="0010611E" w:rsidRDefault="003655EB" w:rsidP="00143552">
            <w:pPr>
              <w:rPr>
                <w:sz w:val="20"/>
                <w:szCs w:val="20"/>
              </w:rPr>
            </w:pPr>
            <w:r w:rsidRPr="0010611E">
              <w:rPr>
                <w:sz w:val="20"/>
                <w:szCs w:val="20"/>
              </w:rPr>
              <w:t>IN / DANS :</w:t>
            </w:r>
          </w:p>
        </w:tc>
        <w:tc>
          <w:tcPr>
            <w:tcW w:w="2917" w:type="dxa"/>
          </w:tcPr>
          <w:p w:rsidR="003655EB" w:rsidRPr="0010611E" w:rsidRDefault="002713CE" w:rsidP="00143552">
            <w:pPr>
              <w:rPr>
                <w:sz w:val="20"/>
                <w:szCs w:val="20"/>
                <w:lang w:val="fr-CA"/>
              </w:rPr>
            </w:pPr>
            <w:r w:rsidRPr="0010611E">
              <w:rPr>
                <w:sz w:val="20"/>
                <w:szCs w:val="20"/>
                <w:lang w:val="fr-CA"/>
              </w:rPr>
              <w:t>Alex Boudreault</w:t>
            </w:r>
          </w:p>
          <w:p w:rsidR="003655EB" w:rsidRPr="0010611E" w:rsidRDefault="003655EB" w:rsidP="00143552">
            <w:pPr>
              <w:rPr>
                <w:sz w:val="20"/>
                <w:szCs w:val="20"/>
                <w:lang w:val="fr-CA"/>
              </w:rPr>
            </w:pPr>
          </w:p>
          <w:p w:rsidR="003655EB" w:rsidRPr="0010611E" w:rsidRDefault="002713CE" w:rsidP="00143552">
            <w:pPr>
              <w:rPr>
                <w:sz w:val="20"/>
                <w:szCs w:val="20"/>
                <w:lang w:val="fr-CA"/>
              </w:rPr>
            </w:pPr>
            <w:r w:rsidRPr="0010611E">
              <w:rPr>
                <w:sz w:val="20"/>
                <w:szCs w:val="20"/>
                <w:lang w:val="fr-CA"/>
              </w:rPr>
              <w:tab/>
              <w:t>c</w:t>
            </w:r>
            <w:r w:rsidR="003655EB" w:rsidRPr="0010611E">
              <w:rPr>
                <w:sz w:val="20"/>
                <w:szCs w:val="20"/>
                <w:lang w:val="fr-CA"/>
              </w:rPr>
              <w:t>. (</w:t>
            </w:r>
            <w:r w:rsidRPr="0010611E">
              <w:rPr>
                <w:sz w:val="20"/>
                <w:szCs w:val="20"/>
                <w:lang w:val="fr-CA"/>
              </w:rPr>
              <w:t>37427</w:t>
            </w:r>
            <w:r w:rsidR="003655EB" w:rsidRPr="0010611E">
              <w:rPr>
                <w:sz w:val="20"/>
                <w:szCs w:val="20"/>
                <w:lang w:val="fr-CA"/>
              </w:rPr>
              <w:t>)</w:t>
            </w:r>
          </w:p>
          <w:p w:rsidR="003655EB" w:rsidRPr="0010611E" w:rsidRDefault="003655EB" w:rsidP="00143552">
            <w:pPr>
              <w:ind w:firstLine="720"/>
              <w:rPr>
                <w:sz w:val="20"/>
                <w:szCs w:val="20"/>
                <w:lang w:val="fr-CA"/>
              </w:rPr>
            </w:pPr>
          </w:p>
          <w:p w:rsidR="003655EB" w:rsidRPr="0010611E" w:rsidRDefault="002713CE" w:rsidP="00143552">
            <w:pPr>
              <w:rPr>
                <w:sz w:val="20"/>
                <w:szCs w:val="20"/>
                <w:lang w:val="fr-CA"/>
              </w:rPr>
            </w:pPr>
            <w:r w:rsidRPr="0010611E">
              <w:rPr>
                <w:sz w:val="20"/>
                <w:szCs w:val="20"/>
                <w:lang w:val="fr-CA"/>
              </w:rPr>
              <w:t xml:space="preserve">Sa Majesté la Reine et Procureure générale du Québec </w:t>
            </w:r>
            <w:r w:rsidR="003655EB" w:rsidRPr="0010611E">
              <w:rPr>
                <w:sz w:val="20"/>
                <w:szCs w:val="20"/>
                <w:lang w:val="fr-CA"/>
              </w:rPr>
              <w:t>(</w:t>
            </w:r>
            <w:r w:rsidRPr="0010611E">
              <w:rPr>
                <w:sz w:val="20"/>
                <w:szCs w:val="20"/>
                <w:lang w:val="fr-CA"/>
              </w:rPr>
              <w:t>Qc</w:t>
            </w:r>
            <w:r w:rsidR="003655EB" w:rsidRPr="0010611E">
              <w:rPr>
                <w:sz w:val="20"/>
                <w:szCs w:val="20"/>
                <w:lang w:val="fr-CA"/>
              </w:rPr>
              <w:t>)</w:t>
            </w:r>
          </w:p>
          <w:p w:rsidR="003655EB" w:rsidRPr="0010611E" w:rsidRDefault="003655EB" w:rsidP="00143552">
            <w:pPr>
              <w:rPr>
                <w:sz w:val="20"/>
                <w:szCs w:val="20"/>
                <w:lang w:val="fr-CA"/>
              </w:rPr>
            </w:pPr>
          </w:p>
          <w:p w:rsidR="003655EB" w:rsidRPr="0010611E" w:rsidRDefault="003655EB" w:rsidP="00143552">
            <w:pPr>
              <w:rPr>
                <w:sz w:val="20"/>
                <w:szCs w:val="20"/>
              </w:rPr>
            </w:pPr>
            <w:r w:rsidRPr="0010611E">
              <w:rPr>
                <w:sz w:val="20"/>
                <w:szCs w:val="20"/>
              </w:rPr>
              <w:t xml:space="preserve">- </w:t>
            </w:r>
            <w:r w:rsidR="002713CE" w:rsidRPr="0010611E">
              <w:rPr>
                <w:sz w:val="20"/>
                <w:szCs w:val="20"/>
              </w:rPr>
              <w:t xml:space="preserve">et </w:t>
            </w:r>
            <w:r w:rsidRPr="0010611E">
              <w:rPr>
                <w:sz w:val="20"/>
                <w:szCs w:val="20"/>
              </w:rPr>
              <w:t xml:space="preserve">- </w:t>
            </w:r>
          </w:p>
          <w:p w:rsidR="003655EB" w:rsidRPr="0010611E" w:rsidRDefault="003655EB" w:rsidP="00143552">
            <w:pPr>
              <w:rPr>
                <w:sz w:val="20"/>
                <w:szCs w:val="20"/>
              </w:rPr>
            </w:pPr>
          </w:p>
          <w:p w:rsidR="003655EB" w:rsidRPr="0010611E" w:rsidRDefault="002713CE" w:rsidP="00143552">
            <w:pPr>
              <w:rPr>
                <w:sz w:val="16"/>
                <w:szCs w:val="20"/>
              </w:rPr>
            </w:pPr>
            <w:r w:rsidRPr="0010611E">
              <w:rPr>
                <w:sz w:val="20"/>
              </w:rPr>
              <w:t xml:space="preserve">Edward Tinker, Kelly Judge, Michael Bondoc and Wesley Mead </w:t>
            </w:r>
          </w:p>
          <w:p w:rsidR="003655EB" w:rsidRPr="0010611E" w:rsidRDefault="003655EB" w:rsidP="00143552">
            <w:pPr>
              <w:rPr>
                <w:sz w:val="20"/>
                <w:szCs w:val="20"/>
                <w:lang w:val="fr-CA"/>
              </w:rPr>
            </w:pPr>
            <w:r w:rsidRPr="0010611E">
              <w:rPr>
                <w:sz w:val="20"/>
                <w:szCs w:val="20"/>
              </w:rPr>
              <w:tab/>
            </w:r>
            <w:r w:rsidR="002713CE" w:rsidRPr="0010611E">
              <w:rPr>
                <w:sz w:val="20"/>
                <w:szCs w:val="20"/>
                <w:lang w:val="fr-CA"/>
              </w:rPr>
              <w:t>c</w:t>
            </w:r>
            <w:r w:rsidRPr="0010611E">
              <w:rPr>
                <w:sz w:val="20"/>
                <w:szCs w:val="20"/>
                <w:lang w:val="fr-CA"/>
              </w:rPr>
              <w:t>. (</w:t>
            </w:r>
            <w:r w:rsidR="002713CE" w:rsidRPr="0010611E">
              <w:rPr>
                <w:sz w:val="20"/>
                <w:szCs w:val="20"/>
                <w:lang w:val="fr-CA"/>
              </w:rPr>
              <w:t>37774</w:t>
            </w:r>
            <w:r w:rsidRPr="0010611E">
              <w:rPr>
                <w:sz w:val="20"/>
                <w:szCs w:val="20"/>
                <w:lang w:val="fr-CA"/>
              </w:rPr>
              <w:t>)</w:t>
            </w:r>
          </w:p>
          <w:p w:rsidR="003655EB" w:rsidRPr="0010611E" w:rsidRDefault="003655EB" w:rsidP="00143552">
            <w:pPr>
              <w:rPr>
                <w:sz w:val="20"/>
                <w:szCs w:val="20"/>
                <w:lang w:val="fr-CA"/>
              </w:rPr>
            </w:pPr>
          </w:p>
          <w:p w:rsidR="003655EB" w:rsidRPr="0010611E" w:rsidRDefault="002713CE" w:rsidP="002713CE">
            <w:pPr>
              <w:rPr>
                <w:sz w:val="20"/>
                <w:szCs w:val="20"/>
                <w:lang w:val="fr-CA"/>
              </w:rPr>
            </w:pPr>
            <w:r w:rsidRPr="0010611E">
              <w:rPr>
                <w:sz w:val="20"/>
                <w:szCs w:val="20"/>
                <w:lang w:val="fr-CA"/>
              </w:rPr>
              <w:t xml:space="preserve">Sa Majesté la Reine </w:t>
            </w:r>
            <w:r w:rsidR="003655EB" w:rsidRPr="0010611E">
              <w:rPr>
                <w:sz w:val="20"/>
                <w:szCs w:val="20"/>
                <w:lang w:val="fr-CA"/>
              </w:rPr>
              <w:t>(</w:t>
            </w:r>
            <w:r w:rsidRPr="0010611E">
              <w:rPr>
                <w:sz w:val="20"/>
                <w:szCs w:val="20"/>
                <w:lang w:val="fr-CA"/>
              </w:rPr>
              <w:t>Ont</w:t>
            </w:r>
            <w:r w:rsidR="003655EB" w:rsidRPr="0010611E">
              <w:rPr>
                <w:sz w:val="20"/>
                <w:szCs w:val="20"/>
                <w:lang w:val="fr-CA"/>
              </w:rPr>
              <w:t>.)</w:t>
            </w:r>
          </w:p>
        </w:tc>
        <w:tc>
          <w:tcPr>
            <w:tcW w:w="1137" w:type="dxa"/>
          </w:tcPr>
          <w:p w:rsidR="003655EB" w:rsidRPr="0010611E" w:rsidRDefault="003655EB" w:rsidP="00143552">
            <w:pPr>
              <w:rPr>
                <w:sz w:val="20"/>
                <w:szCs w:val="20"/>
                <w:lang w:val="fr-CA"/>
              </w:rPr>
            </w:pPr>
          </w:p>
        </w:tc>
        <w:tc>
          <w:tcPr>
            <w:tcW w:w="4219" w:type="dxa"/>
          </w:tcPr>
          <w:p w:rsidR="003655EB" w:rsidRPr="0010611E" w:rsidRDefault="003655EB" w:rsidP="00143552">
            <w:pPr>
              <w:rPr>
                <w:sz w:val="20"/>
                <w:szCs w:val="20"/>
                <w:lang w:val="fr-CA"/>
              </w:rPr>
            </w:pPr>
          </w:p>
        </w:tc>
      </w:tr>
    </w:tbl>
    <w:p w:rsidR="002713CE" w:rsidRPr="0010611E" w:rsidRDefault="002713CE" w:rsidP="002713CE">
      <w:pPr>
        <w:rPr>
          <w:rFonts w:eastAsia="Times New Roman" w:cs="Times New Roman"/>
          <w:b/>
          <w:sz w:val="20"/>
          <w:szCs w:val="20"/>
          <w:lang w:val="fr-CA" w:eastAsia="en-CA"/>
        </w:rPr>
      </w:pPr>
    </w:p>
    <w:p w:rsidR="00CA2DEA" w:rsidRPr="0010611E" w:rsidRDefault="002713CE" w:rsidP="002713CE">
      <w:pPr>
        <w:rPr>
          <w:sz w:val="20"/>
          <w:szCs w:val="20"/>
          <w:lang w:val="fr-CA"/>
        </w:rPr>
      </w:pPr>
      <w:r w:rsidRPr="0010611E">
        <w:rPr>
          <w:rFonts w:eastAsia="Times New Roman" w:cs="Times New Roman"/>
          <w:b/>
          <w:sz w:val="20"/>
          <w:szCs w:val="20"/>
          <w:lang w:val="fr-CA" w:eastAsia="en-CA"/>
        </w:rPr>
        <w:t>GRANTED / ACCUEILLIE</w:t>
      </w:r>
    </w:p>
    <w:p w:rsidR="00890FEB" w:rsidRPr="0010611E" w:rsidRDefault="00890FEB" w:rsidP="00831CA9">
      <w:pPr>
        <w:jc w:val="both"/>
        <w:rPr>
          <w:sz w:val="20"/>
          <w:szCs w:val="20"/>
          <w:lang w:val="fr-CA"/>
        </w:rPr>
      </w:pPr>
    </w:p>
    <w:p w:rsidR="002713CE" w:rsidRPr="0010611E" w:rsidRDefault="002713CE" w:rsidP="002713CE">
      <w:pPr>
        <w:spacing w:line="232" w:lineRule="auto"/>
        <w:rPr>
          <w:rFonts w:cs="Times New Roman"/>
          <w:sz w:val="20"/>
          <w:lang w:val="fr-CA"/>
        </w:rPr>
      </w:pPr>
      <w:r w:rsidRPr="0010611E">
        <w:rPr>
          <w:rFonts w:cs="Times New Roman"/>
          <w:b/>
          <w:bCs/>
          <w:sz w:val="20"/>
          <w:lang w:val="fr-CA"/>
        </w:rPr>
        <w:t xml:space="preserve">À LA SUITE DE LA DEMANDE </w:t>
      </w:r>
      <w:r w:rsidRPr="0010611E">
        <w:rPr>
          <w:rFonts w:cs="Times New Roman"/>
          <w:bCs/>
          <w:sz w:val="20"/>
          <w:lang w:val="fr-CA"/>
        </w:rPr>
        <w:t xml:space="preserve">présentée par la Société d’aide juridique du Yukon </w:t>
      </w:r>
      <w:r w:rsidRPr="0010611E">
        <w:rPr>
          <w:rFonts w:cs="Times New Roman"/>
          <w:sz w:val="20"/>
          <w:lang w:val="fr-CA"/>
        </w:rPr>
        <w:t>en prorogation</w:t>
      </w:r>
      <w:r w:rsidRPr="0010611E">
        <w:rPr>
          <w:rFonts w:cs="Times New Roman"/>
          <w:b/>
          <w:sz w:val="20"/>
          <w:lang w:val="fr-CA"/>
        </w:rPr>
        <w:t xml:space="preserve"> </w:t>
      </w:r>
      <w:r w:rsidRPr="0010611E">
        <w:rPr>
          <w:rFonts w:cs="Times New Roman"/>
          <w:sz w:val="20"/>
          <w:lang w:val="fr-CA"/>
        </w:rPr>
        <w:t>du délai</w:t>
      </w:r>
      <w:r w:rsidRPr="0010611E">
        <w:rPr>
          <w:rFonts w:cs="Times New Roman"/>
          <w:b/>
          <w:sz w:val="20"/>
          <w:lang w:val="fr-CA"/>
        </w:rPr>
        <w:t xml:space="preserve"> </w:t>
      </w:r>
      <w:r w:rsidRPr="0010611E">
        <w:rPr>
          <w:rFonts w:cs="Times New Roman"/>
          <w:sz w:val="20"/>
          <w:lang w:val="fr-CA"/>
        </w:rPr>
        <w:t>pour signifier et déposer leur mémoire révisé au plus tard le 12 avril 2018 dans les appels;</w:t>
      </w:r>
    </w:p>
    <w:p w:rsidR="002713CE" w:rsidRPr="0010611E" w:rsidRDefault="002713CE" w:rsidP="002713CE">
      <w:pPr>
        <w:spacing w:line="232" w:lineRule="auto"/>
        <w:rPr>
          <w:rFonts w:cs="Times New Roman"/>
          <w:sz w:val="20"/>
          <w:lang w:val="fr-CA"/>
        </w:rPr>
      </w:pPr>
    </w:p>
    <w:p w:rsidR="002713CE" w:rsidRPr="0010611E" w:rsidRDefault="002713CE" w:rsidP="002713CE">
      <w:pPr>
        <w:spacing w:line="232" w:lineRule="auto"/>
        <w:rPr>
          <w:rFonts w:cs="Times New Roman"/>
          <w:sz w:val="20"/>
          <w:lang w:val="fr-CA"/>
        </w:rPr>
      </w:pPr>
      <w:r w:rsidRPr="0010611E">
        <w:rPr>
          <w:rFonts w:cs="Times New Roman"/>
          <w:b/>
          <w:bCs/>
          <w:sz w:val="20"/>
          <w:lang w:val="fr-CA"/>
        </w:rPr>
        <w:t xml:space="preserve">ET APRÈS EXAMEN </w:t>
      </w:r>
      <w:r w:rsidRPr="0010611E">
        <w:rPr>
          <w:rFonts w:cs="Times New Roman"/>
          <w:bCs/>
          <w:sz w:val="20"/>
          <w:lang w:val="fr-CA"/>
        </w:rPr>
        <w:t>des documents déposés</w:t>
      </w:r>
      <w:r w:rsidRPr="0010611E">
        <w:rPr>
          <w:rFonts w:cs="Times New Roman"/>
          <w:sz w:val="20"/>
          <w:lang w:val="fr-CA"/>
        </w:rPr>
        <w:t>;</w:t>
      </w:r>
    </w:p>
    <w:p w:rsidR="002713CE" w:rsidRPr="0010611E" w:rsidRDefault="002713CE" w:rsidP="002713CE">
      <w:pPr>
        <w:spacing w:line="232" w:lineRule="auto"/>
        <w:rPr>
          <w:rFonts w:cs="Times New Roman"/>
          <w:sz w:val="20"/>
          <w:lang w:val="fr-CA"/>
        </w:rPr>
      </w:pPr>
    </w:p>
    <w:p w:rsidR="002713CE" w:rsidRPr="0010611E" w:rsidRDefault="002713CE" w:rsidP="002713CE">
      <w:pPr>
        <w:spacing w:line="232" w:lineRule="auto"/>
        <w:rPr>
          <w:rFonts w:cs="Times New Roman"/>
          <w:sz w:val="20"/>
          <w:lang w:val="fr-CA"/>
        </w:rPr>
      </w:pPr>
      <w:r w:rsidRPr="0010611E">
        <w:rPr>
          <w:rFonts w:cs="Times New Roman"/>
          <w:b/>
          <w:bCs/>
          <w:sz w:val="20"/>
          <w:lang w:val="fr-CA"/>
        </w:rPr>
        <w:t>IL EST ORDONNÉ CE QUI SUIT :</w:t>
      </w:r>
    </w:p>
    <w:p w:rsidR="002713CE" w:rsidRPr="0010611E" w:rsidRDefault="002713CE" w:rsidP="002713CE">
      <w:pPr>
        <w:spacing w:line="232" w:lineRule="auto"/>
        <w:rPr>
          <w:rFonts w:cs="Times New Roman"/>
          <w:sz w:val="20"/>
          <w:lang w:val="fr-CA"/>
        </w:rPr>
      </w:pPr>
    </w:p>
    <w:p w:rsidR="002713CE" w:rsidRPr="0010611E" w:rsidRDefault="002713CE" w:rsidP="002713CE">
      <w:pPr>
        <w:spacing w:line="232" w:lineRule="auto"/>
        <w:rPr>
          <w:rFonts w:cs="Times New Roman"/>
          <w:sz w:val="20"/>
        </w:rPr>
      </w:pPr>
      <w:r w:rsidRPr="0010611E">
        <w:rPr>
          <w:rFonts w:cs="Times New Roman"/>
          <w:sz w:val="20"/>
        </w:rPr>
        <w:t xml:space="preserve">La </w:t>
      </w:r>
      <w:proofErr w:type="spellStart"/>
      <w:r w:rsidRPr="0010611E">
        <w:rPr>
          <w:rFonts w:cs="Times New Roman"/>
          <w:sz w:val="20"/>
        </w:rPr>
        <w:t>requête</w:t>
      </w:r>
      <w:proofErr w:type="spellEnd"/>
      <w:r w:rsidRPr="0010611E">
        <w:rPr>
          <w:rFonts w:cs="Times New Roman"/>
          <w:sz w:val="20"/>
        </w:rPr>
        <w:t xml:space="preserve"> </w:t>
      </w:r>
      <w:proofErr w:type="gramStart"/>
      <w:r w:rsidRPr="0010611E">
        <w:rPr>
          <w:rFonts w:cs="Times New Roman"/>
          <w:sz w:val="20"/>
        </w:rPr>
        <w:t>est</w:t>
      </w:r>
      <w:proofErr w:type="gramEnd"/>
      <w:r w:rsidRPr="0010611E">
        <w:rPr>
          <w:rFonts w:cs="Times New Roman"/>
          <w:sz w:val="20"/>
        </w:rPr>
        <w:t xml:space="preserve"> accueillie.</w:t>
      </w:r>
    </w:p>
    <w:p w:rsidR="002713CE" w:rsidRPr="00BA2B62" w:rsidRDefault="002713CE" w:rsidP="002713CE">
      <w:pPr>
        <w:spacing w:line="232" w:lineRule="auto"/>
        <w:rPr>
          <w:rFonts w:cs="Times New Roman"/>
          <w:bCs/>
          <w:sz w:val="20"/>
        </w:rPr>
      </w:pPr>
    </w:p>
    <w:p w:rsidR="002713CE" w:rsidRPr="00BA2B62" w:rsidRDefault="002713CE" w:rsidP="002713CE">
      <w:pPr>
        <w:spacing w:line="232" w:lineRule="auto"/>
        <w:rPr>
          <w:rFonts w:cs="Times New Roman"/>
          <w:bCs/>
          <w:sz w:val="20"/>
        </w:rPr>
      </w:pPr>
    </w:p>
    <w:p w:rsidR="002713CE" w:rsidRPr="0010611E" w:rsidRDefault="002713CE" w:rsidP="002713CE">
      <w:pPr>
        <w:spacing w:line="232" w:lineRule="auto"/>
        <w:rPr>
          <w:rFonts w:cs="Times New Roman"/>
          <w:sz w:val="20"/>
        </w:rPr>
      </w:pPr>
      <w:r w:rsidRPr="0010611E">
        <w:rPr>
          <w:rFonts w:cs="Times New Roman"/>
          <w:b/>
          <w:bCs/>
          <w:sz w:val="20"/>
        </w:rPr>
        <w:t xml:space="preserve">UPON APPLICATION </w:t>
      </w:r>
      <w:r w:rsidRPr="0010611E">
        <w:rPr>
          <w:rFonts w:cs="Times New Roman"/>
          <w:sz w:val="20"/>
        </w:rPr>
        <w:t>by the Yukon Legal Services Society for an extension of time to serve and file their revised factum on or before April 12, 2018, in the above appeals;</w:t>
      </w:r>
    </w:p>
    <w:p w:rsidR="002713CE" w:rsidRPr="0010611E" w:rsidRDefault="002713CE" w:rsidP="002713CE">
      <w:pPr>
        <w:spacing w:line="232" w:lineRule="auto"/>
        <w:rPr>
          <w:rFonts w:cs="Times New Roman"/>
          <w:b/>
          <w:bCs/>
          <w:sz w:val="20"/>
        </w:rPr>
      </w:pPr>
    </w:p>
    <w:p w:rsidR="002713CE" w:rsidRPr="0010611E" w:rsidRDefault="002713CE" w:rsidP="002713CE">
      <w:pPr>
        <w:spacing w:line="232" w:lineRule="auto"/>
        <w:rPr>
          <w:rFonts w:cs="Times New Roman"/>
          <w:sz w:val="20"/>
        </w:rPr>
      </w:pPr>
      <w:r w:rsidRPr="0010611E">
        <w:rPr>
          <w:rFonts w:cs="Times New Roman"/>
          <w:b/>
          <w:bCs/>
          <w:sz w:val="20"/>
        </w:rPr>
        <w:t>AND THE MATERIAL FILED</w:t>
      </w:r>
      <w:r w:rsidRPr="0010611E">
        <w:rPr>
          <w:rFonts w:cs="Times New Roman"/>
          <w:sz w:val="20"/>
        </w:rPr>
        <w:t xml:space="preserve"> having been read;</w:t>
      </w:r>
    </w:p>
    <w:p w:rsidR="002713CE" w:rsidRPr="0010611E" w:rsidRDefault="002713CE" w:rsidP="002713CE">
      <w:pPr>
        <w:spacing w:line="232" w:lineRule="auto"/>
        <w:rPr>
          <w:rFonts w:cs="Times New Roman"/>
          <w:sz w:val="20"/>
        </w:rPr>
      </w:pPr>
    </w:p>
    <w:p w:rsidR="002713CE" w:rsidRPr="0010611E" w:rsidRDefault="002713CE" w:rsidP="002713CE">
      <w:pPr>
        <w:spacing w:line="232" w:lineRule="auto"/>
        <w:rPr>
          <w:rFonts w:cs="Times New Roman"/>
          <w:sz w:val="20"/>
        </w:rPr>
      </w:pPr>
      <w:r w:rsidRPr="0010611E">
        <w:rPr>
          <w:rFonts w:cs="Times New Roman"/>
          <w:b/>
          <w:bCs/>
          <w:sz w:val="20"/>
        </w:rPr>
        <w:t>IT IS HEREBY ORDERED THAT:</w:t>
      </w:r>
    </w:p>
    <w:p w:rsidR="002713CE" w:rsidRPr="0010611E" w:rsidRDefault="002713CE" w:rsidP="002713CE">
      <w:pPr>
        <w:spacing w:line="232" w:lineRule="auto"/>
        <w:rPr>
          <w:rFonts w:cs="Times New Roman"/>
          <w:sz w:val="20"/>
        </w:rPr>
      </w:pPr>
    </w:p>
    <w:p w:rsidR="002713CE" w:rsidRPr="0010611E" w:rsidRDefault="002713CE" w:rsidP="002713CE">
      <w:pPr>
        <w:spacing w:line="228" w:lineRule="auto"/>
        <w:rPr>
          <w:rFonts w:cs="Times New Roman"/>
          <w:sz w:val="20"/>
        </w:rPr>
      </w:pPr>
      <w:r w:rsidRPr="0010611E">
        <w:rPr>
          <w:rFonts w:cs="Times New Roman"/>
          <w:sz w:val="20"/>
        </w:rPr>
        <w:t>The motion is granted.</w:t>
      </w:r>
    </w:p>
    <w:p w:rsidR="002713CE" w:rsidRPr="0010611E" w:rsidRDefault="00B35ED9" w:rsidP="00831CA9">
      <w:pPr>
        <w:jc w:val="both"/>
        <w:rPr>
          <w:rFonts w:eastAsia="Times New Roman" w:cs="Times New Roman"/>
          <w:sz w:val="20"/>
          <w:szCs w:val="20"/>
          <w:lang w:val="fr-CA" w:eastAsia="en-CA"/>
        </w:rPr>
      </w:pPr>
      <w:r>
        <w:rPr>
          <w:rFonts w:eastAsia="Times New Roman" w:cs="Times New Roman"/>
          <w:sz w:val="20"/>
          <w:szCs w:val="20"/>
          <w:lang w:val="fr-CA" w:eastAsia="en-CA"/>
        </w:rPr>
        <w:pict>
          <v:rect id="_x0000_i1047" style="width:2in;height:1pt" o:hrpct="0" o:hralign="center" o:hrstd="t" o:hrnoshade="t" o:hr="t" fillcolor="black [3213]" stroked="f"/>
        </w:pict>
      </w:r>
    </w:p>
    <w:p w:rsidR="002713CE" w:rsidRPr="0010611E" w:rsidRDefault="002713CE" w:rsidP="002713CE">
      <w:pPr>
        <w:tabs>
          <w:tab w:val="left" w:pos="-1440"/>
          <w:tab w:val="left" w:pos="-720"/>
        </w:tabs>
        <w:jc w:val="both"/>
        <w:rPr>
          <w:rFonts w:eastAsia="Times New Roman" w:cs="Times New Roman"/>
          <w:sz w:val="20"/>
          <w:szCs w:val="20"/>
          <w:lang w:val="fr-CA" w:eastAsia="en-CA"/>
        </w:rPr>
      </w:pPr>
      <w:r w:rsidRPr="0010611E">
        <w:rPr>
          <w:rFonts w:eastAsia="Times New Roman" w:cs="Times New Roman"/>
          <w:sz w:val="20"/>
          <w:szCs w:val="20"/>
          <w:lang w:val="fr-CA" w:eastAsia="en-CA"/>
        </w:rPr>
        <w:t>11.04.2018</w:t>
      </w:r>
    </w:p>
    <w:p w:rsidR="002713CE" w:rsidRPr="0010611E" w:rsidRDefault="002713CE" w:rsidP="002713CE">
      <w:pPr>
        <w:tabs>
          <w:tab w:val="left" w:pos="-1440"/>
          <w:tab w:val="left" w:pos="-720"/>
        </w:tabs>
        <w:jc w:val="both"/>
        <w:rPr>
          <w:rFonts w:eastAsia="Times New Roman" w:cs="Times New Roman"/>
          <w:sz w:val="20"/>
          <w:szCs w:val="20"/>
          <w:lang w:val="fr-CA" w:eastAsia="en-CA"/>
        </w:rPr>
      </w:pPr>
    </w:p>
    <w:p w:rsidR="002713CE" w:rsidRPr="0010611E" w:rsidRDefault="002713CE" w:rsidP="002713CE">
      <w:pPr>
        <w:tabs>
          <w:tab w:val="left" w:pos="-1440"/>
          <w:tab w:val="left" w:pos="-720"/>
        </w:tabs>
        <w:jc w:val="both"/>
        <w:rPr>
          <w:rFonts w:eastAsia="Times New Roman" w:cs="Times New Roman"/>
          <w:sz w:val="20"/>
          <w:szCs w:val="20"/>
          <w:lang w:val="fr-CA" w:eastAsia="en-CA"/>
        </w:rPr>
      </w:pPr>
      <w:r w:rsidRPr="0010611E">
        <w:rPr>
          <w:rFonts w:eastAsia="Times New Roman" w:cs="Times New Roman"/>
          <w:sz w:val="20"/>
          <w:szCs w:val="20"/>
          <w:lang w:val="fr-CA" w:eastAsia="en-CA"/>
        </w:rPr>
        <w:t>Before / Devant :   GASCON J. / LE JUGE GASCON</w:t>
      </w:r>
    </w:p>
    <w:p w:rsidR="002713CE" w:rsidRPr="0010611E" w:rsidRDefault="002713CE" w:rsidP="002713CE">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1142"/>
        <w:gridCol w:w="4235"/>
      </w:tblGrid>
      <w:tr w:rsidR="002713CE" w:rsidRPr="00644959" w:rsidTr="001733C2">
        <w:trPr>
          <w:trHeight w:val="387"/>
        </w:trPr>
        <w:tc>
          <w:tcPr>
            <w:tcW w:w="4338" w:type="dxa"/>
          </w:tcPr>
          <w:p w:rsidR="002713CE" w:rsidRPr="0010611E" w:rsidRDefault="001733C2" w:rsidP="001733C2">
            <w:pPr>
              <w:tabs>
                <w:tab w:val="left" w:pos="-1440"/>
                <w:tab w:val="left" w:pos="-720"/>
              </w:tabs>
              <w:jc w:val="both"/>
              <w:rPr>
                <w:b/>
              </w:rPr>
            </w:pPr>
            <w:r w:rsidRPr="0010611E">
              <w:rPr>
                <w:b/>
                <w:bCs/>
                <w:lang w:val="en-GB"/>
              </w:rPr>
              <w:t>Motion to extend time</w:t>
            </w:r>
          </w:p>
        </w:tc>
        <w:tc>
          <w:tcPr>
            <w:tcW w:w="1170" w:type="dxa"/>
          </w:tcPr>
          <w:p w:rsidR="002713CE" w:rsidRPr="0010611E" w:rsidRDefault="002713CE" w:rsidP="00143552">
            <w:pPr>
              <w:tabs>
                <w:tab w:val="left" w:pos="-1440"/>
                <w:tab w:val="left" w:pos="-720"/>
              </w:tabs>
              <w:jc w:val="both"/>
            </w:pPr>
          </w:p>
          <w:p w:rsidR="002713CE" w:rsidRPr="0010611E" w:rsidRDefault="002713CE" w:rsidP="00143552">
            <w:pPr>
              <w:tabs>
                <w:tab w:val="left" w:pos="-1440"/>
                <w:tab w:val="left" w:pos="-720"/>
              </w:tabs>
              <w:jc w:val="both"/>
            </w:pPr>
          </w:p>
        </w:tc>
        <w:tc>
          <w:tcPr>
            <w:tcW w:w="4327" w:type="dxa"/>
          </w:tcPr>
          <w:p w:rsidR="002713CE" w:rsidRPr="0010611E" w:rsidRDefault="002713CE" w:rsidP="001733C2">
            <w:pPr>
              <w:tabs>
                <w:tab w:val="left" w:pos="-1440"/>
                <w:tab w:val="left" w:pos="-720"/>
              </w:tabs>
              <w:jc w:val="both"/>
              <w:rPr>
                <w:lang w:val="fr-CA"/>
              </w:rPr>
            </w:pPr>
            <w:r w:rsidRPr="0010611E">
              <w:rPr>
                <w:b/>
                <w:bCs/>
                <w:lang w:val="fr-CA"/>
              </w:rPr>
              <w:t xml:space="preserve">Requête en prorogation de délai </w:t>
            </w:r>
          </w:p>
        </w:tc>
      </w:tr>
      <w:tr w:rsidR="002713CE" w:rsidRPr="0010611E" w:rsidTr="00143552">
        <w:tc>
          <w:tcPr>
            <w:tcW w:w="4338" w:type="dxa"/>
          </w:tcPr>
          <w:p w:rsidR="002713CE" w:rsidRPr="0010611E" w:rsidRDefault="002713CE" w:rsidP="00143552">
            <w:pPr>
              <w:tabs>
                <w:tab w:val="left" w:pos="-1440"/>
                <w:tab w:val="left" w:pos="-720"/>
              </w:tabs>
              <w:jc w:val="both"/>
              <w:rPr>
                <w:lang w:val="en-US"/>
              </w:rPr>
            </w:pPr>
            <w:r w:rsidRPr="0010611E">
              <w:rPr>
                <w:lang w:val="en-US"/>
              </w:rPr>
              <w:t xml:space="preserve">Master Corporal C.J. </w:t>
            </w:r>
            <w:proofErr w:type="spellStart"/>
            <w:r w:rsidRPr="0010611E">
              <w:rPr>
                <w:lang w:val="en-US"/>
              </w:rPr>
              <w:t>Stillman</w:t>
            </w:r>
            <w:proofErr w:type="spellEnd"/>
            <w:r w:rsidRPr="0010611E">
              <w:rPr>
                <w:lang w:val="en-US"/>
              </w:rPr>
              <w:t xml:space="preserve"> et al.</w:t>
            </w:r>
          </w:p>
          <w:p w:rsidR="002713CE" w:rsidRPr="0010611E" w:rsidRDefault="002713CE" w:rsidP="00143552">
            <w:pPr>
              <w:tabs>
                <w:tab w:val="left" w:pos="-1440"/>
                <w:tab w:val="left" w:pos="-720"/>
              </w:tabs>
              <w:jc w:val="both"/>
              <w:rPr>
                <w:lang w:val="en-US"/>
              </w:rPr>
            </w:pPr>
          </w:p>
          <w:p w:rsidR="002713CE" w:rsidRPr="0010611E" w:rsidRDefault="002713CE" w:rsidP="00143552">
            <w:pPr>
              <w:tabs>
                <w:tab w:val="left" w:pos="-1440"/>
                <w:tab w:val="left" w:pos="-720"/>
              </w:tabs>
              <w:jc w:val="both"/>
              <w:rPr>
                <w:lang w:val="en-US"/>
              </w:rPr>
            </w:pPr>
            <w:r w:rsidRPr="0010611E">
              <w:rPr>
                <w:lang w:val="en-US"/>
              </w:rPr>
              <w:tab/>
              <w:t>v. (37701)</w:t>
            </w:r>
          </w:p>
          <w:p w:rsidR="002713CE" w:rsidRPr="0010611E" w:rsidRDefault="002713CE" w:rsidP="00143552">
            <w:pPr>
              <w:tabs>
                <w:tab w:val="left" w:pos="-1440"/>
                <w:tab w:val="left" w:pos="-720"/>
              </w:tabs>
              <w:jc w:val="both"/>
              <w:rPr>
                <w:lang w:val="en-US"/>
              </w:rPr>
            </w:pPr>
          </w:p>
          <w:p w:rsidR="002713CE" w:rsidRPr="0010611E" w:rsidRDefault="002713CE" w:rsidP="002713CE">
            <w:pPr>
              <w:tabs>
                <w:tab w:val="left" w:pos="-1440"/>
                <w:tab w:val="left" w:pos="-720"/>
              </w:tabs>
              <w:jc w:val="both"/>
              <w:rPr>
                <w:lang w:val="en-US"/>
              </w:rPr>
            </w:pPr>
            <w:r w:rsidRPr="0010611E">
              <w:rPr>
                <w:lang w:val="en-US"/>
              </w:rPr>
              <w:t>Her Majesty the Queen (FC)</w:t>
            </w:r>
          </w:p>
        </w:tc>
        <w:tc>
          <w:tcPr>
            <w:tcW w:w="1170" w:type="dxa"/>
          </w:tcPr>
          <w:p w:rsidR="002713CE" w:rsidRPr="0010611E" w:rsidRDefault="002713CE" w:rsidP="00143552">
            <w:pPr>
              <w:tabs>
                <w:tab w:val="left" w:pos="-1440"/>
                <w:tab w:val="left" w:pos="-720"/>
              </w:tabs>
              <w:jc w:val="both"/>
              <w:rPr>
                <w:lang w:val="en-US"/>
              </w:rPr>
            </w:pPr>
          </w:p>
        </w:tc>
        <w:tc>
          <w:tcPr>
            <w:tcW w:w="4327" w:type="dxa"/>
          </w:tcPr>
          <w:p w:rsidR="002713CE" w:rsidRPr="0010611E" w:rsidRDefault="002713CE" w:rsidP="00143552">
            <w:pPr>
              <w:tabs>
                <w:tab w:val="left" w:pos="-1440"/>
                <w:tab w:val="left" w:pos="-720"/>
              </w:tabs>
              <w:jc w:val="both"/>
              <w:rPr>
                <w:lang w:val="en-US"/>
              </w:rPr>
            </w:pPr>
          </w:p>
        </w:tc>
      </w:tr>
    </w:tbl>
    <w:p w:rsidR="002713CE" w:rsidRPr="0010611E" w:rsidRDefault="002713CE" w:rsidP="002713CE">
      <w:pPr>
        <w:tabs>
          <w:tab w:val="left" w:pos="-1440"/>
          <w:tab w:val="left" w:pos="-720"/>
        </w:tabs>
        <w:jc w:val="both"/>
        <w:rPr>
          <w:rFonts w:eastAsia="Times New Roman" w:cs="Times New Roman"/>
          <w:sz w:val="20"/>
          <w:szCs w:val="20"/>
          <w:lang w:val="en-US" w:eastAsia="en-CA"/>
        </w:rPr>
      </w:pPr>
    </w:p>
    <w:p w:rsidR="002713CE" w:rsidRPr="0010611E" w:rsidRDefault="002713CE" w:rsidP="002713CE">
      <w:pPr>
        <w:tabs>
          <w:tab w:val="left" w:pos="-1440"/>
          <w:tab w:val="left" w:pos="-720"/>
        </w:tabs>
        <w:jc w:val="both"/>
        <w:rPr>
          <w:rFonts w:eastAsia="Times New Roman" w:cs="Times New Roman"/>
          <w:b/>
          <w:sz w:val="20"/>
          <w:szCs w:val="20"/>
          <w:lang w:val="en-US" w:eastAsia="en-CA"/>
        </w:rPr>
      </w:pPr>
      <w:r w:rsidRPr="0010611E">
        <w:rPr>
          <w:rFonts w:eastAsia="Times New Roman" w:cs="Times New Roman"/>
          <w:b/>
          <w:sz w:val="20"/>
          <w:szCs w:val="20"/>
          <w:lang w:val="en-US" w:eastAsia="en-CA"/>
        </w:rPr>
        <w:t>GRANTED /ACCEUILLIE</w:t>
      </w:r>
    </w:p>
    <w:p w:rsidR="00831CA9" w:rsidRPr="0010611E" w:rsidRDefault="00831CA9" w:rsidP="00831CA9">
      <w:pPr>
        <w:jc w:val="both"/>
        <w:rPr>
          <w:sz w:val="20"/>
          <w:szCs w:val="20"/>
          <w:lang w:val="en-US"/>
        </w:rPr>
      </w:pPr>
    </w:p>
    <w:p w:rsidR="001733C2" w:rsidRPr="0010611E" w:rsidRDefault="001733C2" w:rsidP="001733C2">
      <w:pPr>
        <w:spacing w:line="232" w:lineRule="auto"/>
        <w:jc w:val="both"/>
        <w:rPr>
          <w:rFonts w:cs="Times New Roman"/>
          <w:b/>
          <w:bCs/>
          <w:sz w:val="20"/>
          <w:szCs w:val="20"/>
        </w:rPr>
      </w:pPr>
      <w:r w:rsidRPr="0010611E">
        <w:rPr>
          <w:rFonts w:cs="Times New Roman"/>
          <w:b/>
          <w:bCs/>
          <w:sz w:val="20"/>
          <w:szCs w:val="20"/>
        </w:rPr>
        <w:t xml:space="preserve">UPON APPLICATION </w:t>
      </w:r>
      <w:r w:rsidRPr="0010611E">
        <w:rPr>
          <w:rFonts w:cs="Times New Roman"/>
          <w:bCs/>
          <w:sz w:val="20"/>
          <w:szCs w:val="20"/>
        </w:rPr>
        <w:t>by the appellants for an order</w:t>
      </w:r>
      <w:r w:rsidRPr="0010611E">
        <w:rPr>
          <w:rFonts w:cs="Times New Roman"/>
          <w:b/>
          <w:bCs/>
          <w:sz w:val="20"/>
          <w:szCs w:val="20"/>
        </w:rPr>
        <w:t xml:space="preserve"> </w:t>
      </w:r>
      <w:r w:rsidRPr="0010611E">
        <w:rPr>
          <w:rFonts w:cs="Times New Roman"/>
          <w:bCs/>
          <w:sz w:val="20"/>
          <w:szCs w:val="20"/>
        </w:rPr>
        <w:t xml:space="preserve">extending the time to serve and file their factum and record to eight (8) weeks after the date on which the reasons </w:t>
      </w:r>
      <w:r w:rsidRPr="0010611E">
        <w:rPr>
          <w:rFonts w:cs="Times New Roman"/>
          <w:sz w:val="20"/>
          <w:szCs w:val="20"/>
          <w:lang w:eastAsia="fr-FR"/>
        </w:rPr>
        <w:t xml:space="preserve">for judgment in </w:t>
      </w:r>
      <w:r w:rsidRPr="0010611E">
        <w:rPr>
          <w:rFonts w:cs="Times New Roman"/>
          <w:i/>
          <w:iCs/>
          <w:sz w:val="20"/>
          <w:szCs w:val="20"/>
          <w:lang w:eastAsia="fr-FR"/>
        </w:rPr>
        <w:t xml:space="preserve">R. v. Beaudry, </w:t>
      </w:r>
      <w:r w:rsidRPr="0010611E">
        <w:rPr>
          <w:rFonts w:cs="Times New Roman"/>
          <w:sz w:val="20"/>
          <w:szCs w:val="20"/>
          <w:lang w:eastAsia="fr-FR"/>
        </w:rPr>
        <w:t>CMAC-588, are released</w:t>
      </w:r>
      <w:r w:rsidRPr="0010611E">
        <w:rPr>
          <w:rFonts w:cs="Times New Roman"/>
          <w:sz w:val="20"/>
          <w:szCs w:val="20"/>
        </w:rPr>
        <w:t>;</w:t>
      </w:r>
    </w:p>
    <w:p w:rsidR="001733C2" w:rsidRPr="0010611E" w:rsidRDefault="001733C2" w:rsidP="001733C2">
      <w:pPr>
        <w:spacing w:line="232" w:lineRule="auto"/>
        <w:jc w:val="both"/>
        <w:rPr>
          <w:rFonts w:cs="Times New Roman"/>
          <w:sz w:val="20"/>
          <w:szCs w:val="20"/>
        </w:rPr>
      </w:pPr>
    </w:p>
    <w:p w:rsidR="001733C2" w:rsidRPr="0010611E" w:rsidRDefault="001733C2" w:rsidP="001733C2">
      <w:pPr>
        <w:spacing w:line="232" w:lineRule="auto"/>
        <w:jc w:val="both"/>
        <w:rPr>
          <w:rFonts w:cs="Times New Roman"/>
          <w:sz w:val="20"/>
          <w:szCs w:val="20"/>
        </w:rPr>
      </w:pPr>
      <w:r w:rsidRPr="0010611E">
        <w:rPr>
          <w:rFonts w:cs="Times New Roman"/>
          <w:b/>
          <w:bCs/>
          <w:sz w:val="20"/>
          <w:szCs w:val="20"/>
        </w:rPr>
        <w:t xml:space="preserve">AND THE MATERIAL FILED </w:t>
      </w:r>
      <w:r w:rsidRPr="0010611E">
        <w:rPr>
          <w:rFonts w:cs="Times New Roman"/>
          <w:bCs/>
          <w:sz w:val="20"/>
          <w:szCs w:val="20"/>
        </w:rPr>
        <w:t>having been read;</w:t>
      </w:r>
    </w:p>
    <w:p w:rsidR="001733C2" w:rsidRPr="0010611E" w:rsidRDefault="001733C2" w:rsidP="001733C2">
      <w:pPr>
        <w:spacing w:line="232" w:lineRule="auto"/>
        <w:jc w:val="both"/>
        <w:rPr>
          <w:rFonts w:cs="Times New Roman"/>
          <w:sz w:val="20"/>
          <w:szCs w:val="20"/>
        </w:rPr>
      </w:pPr>
    </w:p>
    <w:p w:rsidR="001733C2" w:rsidRPr="00BA2B62" w:rsidRDefault="001733C2" w:rsidP="001733C2">
      <w:pPr>
        <w:spacing w:line="232" w:lineRule="auto"/>
        <w:jc w:val="both"/>
        <w:rPr>
          <w:rFonts w:cs="Times New Roman"/>
          <w:bCs/>
          <w:sz w:val="20"/>
          <w:szCs w:val="20"/>
        </w:rPr>
      </w:pPr>
    </w:p>
    <w:p w:rsidR="001733C2" w:rsidRPr="0010611E" w:rsidRDefault="001733C2" w:rsidP="001733C2">
      <w:pPr>
        <w:spacing w:line="232" w:lineRule="auto"/>
        <w:jc w:val="both"/>
        <w:rPr>
          <w:rFonts w:cs="Times New Roman"/>
          <w:sz w:val="20"/>
          <w:szCs w:val="20"/>
        </w:rPr>
      </w:pPr>
      <w:r w:rsidRPr="0010611E">
        <w:rPr>
          <w:rFonts w:cs="Times New Roman"/>
          <w:b/>
          <w:bCs/>
          <w:sz w:val="20"/>
          <w:szCs w:val="20"/>
        </w:rPr>
        <w:t xml:space="preserve">IT IS HEREBY ORDERED THAT: </w:t>
      </w:r>
    </w:p>
    <w:p w:rsidR="001733C2" w:rsidRPr="0010611E" w:rsidRDefault="001733C2" w:rsidP="001733C2">
      <w:pPr>
        <w:spacing w:line="232" w:lineRule="auto"/>
        <w:jc w:val="both"/>
        <w:rPr>
          <w:rFonts w:cs="Times New Roman"/>
          <w:sz w:val="20"/>
          <w:szCs w:val="20"/>
        </w:rPr>
      </w:pPr>
    </w:p>
    <w:p w:rsidR="001733C2" w:rsidRPr="0010611E" w:rsidRDefault="001733C2" w:rsidP="001733C2">
      <w:pPr>
        <w:pStyle w:val="ListParagraph"/>
        <w:widowControl w:val="0"/>
        <w:numPr>
          <w:ilvl w:val="0"/>
          <w:numId w:val="8"/>
        </w:numPr>
        <w:autoSpaceDE w:val="0"/>
        <w:autoSpaceDN w:val="0"/>
        <w:adjustRightInd w:val="0"/>
        <w:spacing w:line="232" w:lineRule="auto"/>
        <w:jc w:val="both"/>
        <w:rPr>
          <w:rFonts w:cs="Times New Roman"/>
          <w:sz w:val="20"/>
          <w:szCs w:val="20"/>
        </w:rPr>
      </w:pPr>
      <w:r w:rsidRPr="0010611E">
        <w:rPr>
          <w:rFonts w:cs="Times New Roman"/>
          <w:sz w:val="20"/>
          <w:szCs w:val="20"/>
        </w:rPr>
        <w:t>The motion is granted. T</w:t>
      </w:r>
      <w:r w:rsidRPr="0010611E">
        <w:rPr>
          <w:rFonts w:cs="Times New Roman"/>
          <w:bCs/>
          <w:sz w:val="20"/>
          <w:szCs w:val="20"/>
        </w:rPr>
        <w:t xml:space="preserve">he appellants are permitted to serve and file their factum, record and books of authority eight weeks after the date of the </w:t>
      </w:r>
      <w:r w:rsidRPr="0010611E">
        <w:rPr>
          <w:rFonts w:cs="Times New Roman"/>
          <w:sz w:val="20"/>
          <w:szCs w:val="20"/>
        </w:rPr>
        <w:t xml:space="preserve">judgment of the Court Martial Appeal Court in </w:t>
      </w:r>
      <w:r w:rsidRPr="0010611E">
        <w:rPr>
          <w:rFonts w:cs="Times New Roman"/>
          <w:i/>
          <w:sz w:val="20"/>
          <w:szCs w:val="20"/>
        </w:rPr>
        <w:t>Beaudry</w:t>
      </w:r>
      <w:r w:rsidRPr="0010611E">
        <w:rPr>
          <w:rFonts w:cs="Times New Roman"/>
          <w:sz w:val="20"/>
          <w:szCs w:val="20"/>
        </w:rPr>
        <w:t>.</w:t>
      </w:r>
    </w:p>
    <w:p w:rsidR="001733C2" w:rsidRPr="0010611E" w:rsidRDefault="001733C2" w:rsidP="001733C2">
      <w:pPr>
        <w:spacing w:line="232" w:lineRule="auto"/>
        <w:jc w:val="both"/>
        <w:rPr>
          <w:rFonts w:cs="Times New Roman"/>
          <w:sz w:val="20"/>
          <w:szCs w:val="20"/>
        </w:rPr>
      </w:pPr>
    </w:p>
    <w:p w:rsidR="001733C2" w:rsidRPr="0010611E" w:rsidRDefault="001733C2" w:rsidP="001733C2">
      <w:pPr>
        <w:pStyle w:val="ListParagraph"/>
        <w:widowControl w:val="0"/>
        <w:numPr>
          <w:ilvl w:val="0"/>
          <w:numId w:val="8"/>
        </w:numPr>
        <w:autoSpaceDE w:val="0"/>
        <w:autoSpaceDN w:val="0"/>
        <w:adjustRightInd w:val="0"/>
        <w:spacing w:line="232" w:lineRule="auto"/>
        <w:jc w:val="both"/>
        <w:rPr>
          <w:rFonts w:cs="Times New Roman"/>
          <w:sz w:val="20"/>
          <w:szCs w:val="20"/>
        </w:rPr>
      </w:pPr>
      <w:r w:rsidRPr="0010611E">
        <w:rPr>
          <w:rFonts w:cs="Times New Roman"/>
          <w:sz w:val="20"/>
          <w:szCs w:val="20"/>
        </w:rPr>
        <w:t xml:space="preserve">The appellants are required to advise the Registrar, in writing, within seven days of the date of any decision or judgment of the Court Martial Appeal Court with respect to the </w:t>
      </w:r>
      <w:r w:rsidRPr="0010611E">
        <w:rPr>
          <w:rFonts w:cs="Times New Roman"/>
          <w:i/>
          <w:sz w:val="20"/>
          <w:szCs w:val="20"/>
        </w:rPr>
        <w:t xml:space="preserve">Beaudry </w:t>
      </w:r>
      <w:r w:rsidRPr="0010611E">
        <w:rPr>
          <w:rFonts w:cs="Times New Roman"/>
          <w:sz w:val="20"/>
          <w:szCs w:val="20"/>
        </w:rPr>
        <w:t xml:space="preserve">case. Once the Registrar is advised of the date, he shall establish a new filing timetable. </w:t>
      </w:r>
    </w:p>
    <w:p w:rsidR="001733C2" w:rsidRPr="0010611E" w:rsidRDefault="001733C2" w:rsidP="001733C2">
      <w:pPr>
        <w:pStyle w:val="ListParagraph"/>
        <w:rPr>
          <w:rFonts w:cs="Times New Roman"/>
          <w:sz w:val="20"/>
          <w:szCs w:val="20"/>
        </w:rPr>
      </w:pPr>
    </w:p>
    <w:p w:rsidR="001733C2" w:rsidRPr="0010611E" w:rsidRDefault="001733C2" w:rsidP="001733C2">
      <w:pPr>
        <w:pStyle w:val="ListParagraph"/>
        <w:widowControl w:val="0"/>
        <w:numPr>
          <w:ilvl w:val="0"/>
          <w:numId w:val="8"/>
        </w:numPr>
        <w:autoSpaceDE w:val="0"/>
        <w:autoSpaceDN w:val="0"/>
        <w:adjustRightInd w:val="0"/>
        <w:spacing w:line="232" w:lineRule="auto"/>
        <w:jc w:val="both"/>
        <w:rPr>
          <w:rFonts w:cs="Times New Roman"/>
          <w:sz w:val="20"/>
          <w:szCs w:val="20"/>
        </w:rPr>
      </w:pPr>
      <w:r w:rsidRPr="0010611E">
        <w:rPr>
          <w:rFonts w:cs="Times New Roman"/>
          <w:sz w:val="20"/>
          <w:szCs w:val="20"/>
        </w:rPr>
        <w:t>The appeal, which is tentatively scheduled to be heard on October 16, 2018, is adjourned</w:t>
      </w:r>
      <w:r w:rsidRPr="0010611E">
        <w:rPr>
          <w:rFonts w:cs="Times New Roman"/>
          <w:i/>
          <w:sz w:val="20"/>
          <w:szCs w:val="20"/>
        </w:rPr>
        <w:t xml:space="preserve"> </w:t>
      </w:r>
      <w:r w:rsidRPr="0010611E">
        <w:rPr>
          <w:rFonts w:cs="Times New Roman"/>
          <w:sz w:val="20"/>
          <w:szCs w:val="20"/>
        </w:rPr>
        <w:t>to a date to be fixed by the Registrar.</w:t>
      </w:r>
    </w:p>
    <w:p w:rsidR="001733C2" w:rsidRPr="0010611E" w:rsidRDefault="001733C2" w:rsidP="001733C2">
      <w:pPr>
        <w:pStyle w:val="ListParagraph"/>
        <w:rPr>
          <w:rFonts w:cs="Times New Roman"/>
          <w:sz w:val="20"/>
          <w:szCs w:val="20"/>
        </w:rPr>
      </w:pPr>
    </w:p>
    <w:p w:rsidR="001733C2" w:rsidRPr="0010611E" w:rsidRDefault="001733C2" w:rsidP="001733C2">
      <w:pPr>
        <w:spacing w:line="232" w:lineRule="auto"/>
        <w:jc w:val="both"/>
        <w:rPr>
          <w:rFonts w:cs="Times New Roman"/>
          <w:b/>
          <w:bCs/>
          <w:sz w:val="20"/>
          <w:szCs w:val="20"/>
          <w:lang w:val="fr-CA"/>
        </w:rPr>
      </w:pPr>
      <w:r w:rsidRPr="0010611E">
        <w:rPr>
          <w:rFonts w:cs="Times New Roman"/>
          <w:b/>
          <w:bCs/>
          <w:sz w:val="20"/>
          <w:szCs w:val="20"/>
          <w:lang w:val="fr-CA"/>
        </w:rPr>
        <w:t xml:space="preserve">À LA SUITE DE LA DEMANDE </w:t>
      </w:r>
      <w:r w:rsidRPr="0010611E">
        <w:rPr>
          <w:rFonts w:cs="Times New Roman"/>
          <w:bCs/>
          <w:sz w:val="20"/>
          <w:szCs w:val="20"/>
          <w:lang w:val="fr-CA"/>
        </w:rPr>
        <w:t xml:space="preserve">présentée par les appelants pour obtenir une prorogation du délai pour déposer et signifier leurs mémoire et dossier jusqu’à huit (8) semaines après la date à laquelle </w:t>
      </w:r>
      <w:r w:rsidRPr="0010611E">
        <w:rPr>
          <w:rFonts w:cs="Times New Roman"/>
          <w:sz w:val="20"/>
          <w:szCs w:val="20"/>
          <w:lang w:val="fr-CA" w:eastAsia="fr-FR"/>
        </w:rPr>
        <w:t>sont rendus</w:t>
      </w:r>
      <w:r w:rsidRPr="0010611E">
        <w:rPr>
          <w:rFonts w:cs="Times New Roman"/>
          <w:bCs/>
          <w:sz w:val="20"/>
          <w:szCs w:val="20"/>
          <w:lang w:val="fr-CA"/>
        </w:rPr>
        <w:t xml:space="preserve"> les motifs dans</w:t>
      </w:r>
      <w:r w:rsidRPr="0010611E">
        <w:rPr>
          <w:rFonts w:cs="Times New Roman"/>
          <w:sz w:val="20"/>
          <w:szCs w:val="20"/>
          <w:lang w:val="fr-CA" w:eastAsia="fr-FR"/>
        </w:rPr>
        <w:t xml:space="preserve"> </w:t>
      </w:r>
      <w:r w:rsidRPr="0010611E">
        <w:rPr>
          <w:rFonts w:cs="Times New Roman"/>
          <w:i/>
          <w:iCs/>
          <w:sz w:val="20"/>
          <w:szCs w:val="20"/>
          <w:lang w:val="fr-CA" w:eastAsia="fr-FR"/>
        </w:rPr>
        <w:t xml:space="preserve">R. c. Beaudry, </w:t>
      </w:r>
      <w:r w:rsidRPr="0010611E">
        <w:rPr>
          <w:rFonts w:cs="Times New Roman"/>
          <w:sz w:val="20"/>
          <w:szCs w:val="20"/>
          <w:lang w:val="fr-CA" w:eastAsia="fr-FR"/>
        </w:rPr>
        <w:t>CMAC-588</w:t>
      </w:r>
      <w:r w:rsidRPr="0010611E">
        <w:rPr>
          <w:rFonts w:cs="Times New Roman"/>
          <w:sz w:val="20"/>
          <w:szCs w:val="20"/>
          <w:lang w:val="fr-CA"/>
        </w:rPr>
        <w:t>;</w:t>
      </w:r>
    </w:p>
    <w:p w:rsidR="001733C2" w:rsidRPr="0010611E" w:rsidRDefault="001733C2" w:rsidP="001733C2">
      <w:pPr>
        <w:spacing w:line="232" w:lineRule="auto"/>
        <w:jc w:val="both"/>
        <w:rPr>
          <w:rFonts w:cs="Times New Roman"/>
          <w:sz w:val="20"/>
          <w:szCs w:val="20"/>
          <w:lang w:val="fr-CA"/>
        </w:rPr>
      </w:pPr>
    </w:p>
    <w:p w:rsidR="001733C2" w:rsidRPr="0010611E" w:rsidRDefault="001733C2" w:rsidP="001733C2">
      <w:pPr>
        <w:spacing w:line="232" w:lineRule="auto"/>
        <w:jc w:val="both"/>
        <w:rPr>
          <w:rFonts w:cs="Times New Roman"/>
          <w:sz w:val="20"/>
          <w:szCs w:val="20"/>
          <w:lang w:val="fr-CA"/>
        </w:rPr>
      </w:pPr>
      <w:r w:rsidRPr="0010611E">
        <w:rPr>
          <w:rFonts w:cs="Times New Roman"/>
          <w:b/>
          <w:bCs/>
          <w:sz w:val="20"/>
          <w:szCs w:val="20"/>
          <w:lang w:val="fr-CA"/>
        </w:rPr>
        <w:t xml:space="preserve">ET APRÈS EXAMEN </w:t>
      </w:r>
      <w:r w:rsidRPr="0010611E">
        <w:rPr>
          <w:rFonts w:cs="Times New Roman"/>
          <w:bCs/>
          <w:sz w:val="20"/>
          <w:szCs w:val="20"/>
          <w:lang w:val="fr-CA"/>
        </w:rPr>
        <w:t>des documents déposés;</w:t>
      </w:r>
    </w:p>
    <w:p w:rsidR="001733C2" w:rsidRPr="0010611E" w:rsidRDefault="001733C2" w:rsidP="001733C2">
      <w:pPr>
        <w:spacing w:line="232" w:lineRule="auto"/>
        <w:jc w:val="both"/>
        <w:rPr>
          <w:rFonts w:cs="Times New Roman"/>
          <w:sz w:val="20"/>
          <w:szCs w:val="20"/>
          <w:lang w:val="fr-CA"/>
        </w:rPr>
      </w:pPr>
    </w:p>
    <w:p w:rsidR="001733C2" w:rsidRPr="00BA2B62" w:rsidRDefault="001733C2" w:rsidP="001733C2">
      <w:pPr>
        <w:spacing w:line="232" w:lineRule="auto"/>
        <w:jc w:val="both"/>
        <w:rPr>
          <w:rFonts w:cs="Times New Roman"/>
          <w:bCs/>
          <w:sz w:val="20"/>
          <w:szCs w:val="20"/>
          <w:lang w:val="fr-CA"/>
        </w:rPr>
      </w:pPr>
    </w:p>
    <w:p w:rsidR="001733C2" w:rsidRPr="0010611E" w:rsidRDefault="001733C2" w:rsidP="001733C2">
      <w:pPr>
        <w:spacing w:line="232" w:lineRule="auto"/>
        <w:jc w:val="both"/>
        <w:rPr>
          <w:rFonts w:cs="Times New Roman"/>
          <w:sz w:val="20"/>
          <w:szCs w:val="20"/>
          <w:lang w:val="fr-CA"/>
        </w:rPr>
      </w:pPr>
      <w:r w:rsidRPr="0010611E">
        <w:rPr>
          <w:rFonts w:cs="Times New Roman"/>
          <w:b/>
          <w:bCs/>
          <w:sz w:val="20"/>
          <w:szCs w:val="20"/>
          <w:lang w:val="fr-CA"/>
        </w:rPr>
        <w:t xml:space="preserve">IL EST ORDONNÉ CE QUI SUIT : </w:t>
      </w:r>
    </w:p>
    <w:p w:rsidR="001733C2" w:rsidRPr="0010611E" w:rsidRDefault="001733C2" w:rsidP="001733C2">
      <w:pPr>
        <w:spacing w:line="232" w:lineRule="auto"/>
        <w:jc w:val="both"/>
        <w:rPr>
          <w:rFonts w:cs="Times New Roman"/>
          <w:sz w:val="20"/>
          <w:szCs w:val="20"/>
          <w:lang w:val="fr-CA"/>
        </w:rPr>
      </w:pPr>
    </w:p>
    <w:p w:rsidR="001733C2" w:rsidRPr="0010611E" w:rsidRDefault="001733C2" w:rsidP="001733C2">
      <w:pPr>
        <w:pStyle w:val="ListParagraph"/>
        <w:widowControl w:val="0"/>
        <w:numPr>
          <w:ilvl w:val="0"/>
          <w:numId w:val="9"/>
        </w:numPr>
        <w:autoSpaceDE w:val="0"/>
        <w:autoSpaceDN w:val="0"/>
        <w:adjustRightInd w:val="0"/>
        <w:spacing w:line="232" w:lineRule="auto"/>
        <w:jc w:val="both"/>
        <w:rPr>
          <w:rFonts w:cs="Times New Roman"/>
          <w:sz w:val="20"/>
          <w:szCs w:val="20"/>
          <w:lang w:val="fr-CA"/>
        </w:rPr>
      </w:pPr>
      <w:r w:rsidRPr="0010611E">
        <w:rPr>
          <w:rFonts w:cs="Times New Roman"/>
          <w:sz w:val="20"/>
          <w:szCs w:val="20"/>
          <w:lang w:val="fr-CA"/>
        </w:rPr>
        <w:t>La requête est accueillie. Les</w:t>
      </w:r>
      <w:r w:rsidRPr="0010611E">
        <w:rPr>
          <w:rFonts w:cs="Times New Roman"/>
          <w:bCs/>
          <w:sz w:val="20"/>
          <w:szCs w:val="20"/>
          <w:lang w:val="fr-CA"/>
        </w:rPr>
        <w:t xml:space="preserve"> appelants pourront signifier et déposer leurs mémoire, dossier et recueil de sources huit semaines après la date à laquelle sont rendus les motifs de la Cour d’appel de la cour martiale dans </w:t>
      </w:r>
      <w:r w:rsidRPr="0010611E">
        <w:rPr>
          <w:rFonts w:cs="Times New Roman"/>
          <w:bCs/>
          <w:i/>
          <w:sz w:val="20"/>
          <w:szCs w:val="20"/>
          <w:lang w:val="fr-CA"/>
        </w:rPr>
        <w:t>Beaudry</w:t>
      </w:r>
      <w:r w:rsidRPr="0010611E">
        <w:rPr>
          <w:rFonts w:cs="Times New Roman"/>
          <w:bCs/>
          <w:sz w:val="20"/>
          <w:szCs w:val="20"/>
          <w:lang w:val="fr-CA"/>
        </w:rPr>
        <w:t>.</w:t>
      </w:r>
    </w:p>
    <w:p w:rsidR="001733C2" w:rsidRPr="0010611E" w:rsidRDefault="001733C2" w:rsidP="001733C2">
      <w:pPr>
        <w:spacing w:line="232" w:lineRule="auto"/>
        <w:jc w:val="both"/>
        <w:rPr>
          <w:rFonts w:cs="Times New Roman"/>
          <w:sz w:val="20"/>
          <w:szCs w:val="20"/>
          <w:lang w:val="fr-CA"/>
        </w:rPr>
      </w:pPr>
    </w:p>
    <w:p w:rsidR="001733C2" w:rsidRPr="0010611E" w:rsidRDefault="001733C2" w:rsidP="001733C2">
      <w:pPr>
        <w:pStyle w:val="ListParagraph"/>
        <w:widowControl w:val="0"/>
        <w:numPr>
          <w:ilvl w:val="0"/>
          <w:numId w:val="9"/>
        </w:numPr>
        <w:autoSpaceDE w:val="0"/>
        <w:autoSpaceDN w:val="0"/>
        <w:adjustRightInd w:val="0"/>
        <w:spacing w:line="232" w:lineRule="auto"/>
        <w:jc w:val="both"/>
        <w:rPr>
          <w:rFonts w:cs="Times New Roman"/>
          <w:sz w:val="20"/>
          <w:szCs w:val="20"/>
          <w:lang w:val="fr-CA"/>
        </w:rPr>
      </w:pPr>
      <w:r w:rsidRPr="0010611E">
        <w:rPr>
          <w:rFonts w:cs="Times New Roman"/>
          <w:sz w:val="20"/>
          <w:szCs w:val="20"/>
          <w:lang w:val="fr-CA"/>
        </w:rPr>
        <w:t xml:space="preserve">Les appelants sont tenus d’aviser par écrit le registraire de tout jugement ou décision de la Cour d’appel de la cour martiale concernant l’affaire </w:t>
      </w:r>
      <w:r w:rsidRPr="0010611E">
        <w:rPr>
          <w:rFonts w:cs="Times New Roman"/>
          <w:i/>
          <w:sz w:val="20"/>
          <w:szCs w:val="20"/>
          <w:lang w:val="fr-CA"/>
        </w:rPr>
        <w:t>Beaudry</w:t>
      </w:r>
      <w:r w:rsidRPr="0010611E">
        <w:rPr>
          <w:rFonts w:cs="Times New Roman"/>
          <w:sz w:val="20"/>
          <w:szCs w:val="20"/>
          <w:lang w:val="fr-CA"/>
        </w:rPr>
        <w:t xml:space="preserve">, dans un délai de sept jours suivant la publication de ce jugement ou de cette décision. Une fois que le registraire est avisé de la date, il établira un nouvel échéancier de dépôt des documents. </w:t>
      </w:r>
    </w:p>
    <w:p w:rsidR="001733C2" w:rsidRPr="0010611E" w:rsidRDefault="001733C2" w:rsidP="001733C2">
      <w:pPr>
        <w:pStyle w:val="ListParagraph"/>
        <w:rPr>
          <w:rFonts w:cs="Times New Roman"/>
          <w:sz w:val="20"/>
          <w:szCs w:val="20"/>
          <w:lang w:val="fr-CA"/>
        </w:rPr>
      </w:pPr>
    </w:p>
    <w:p w:rsidR="001733C2" w:rsidRPr="0010611E" w:rsidRDefault="001733C2" w:rsidP="001733C2">
      <w:pPr>
        <w:pStyle w:val="ListParagraph"/>
        <w:widowControl w:val="0"/>
        <w:numPr>
          <w:ilvl w:val="0"/>
          <w:numId w:val="9"/>
        </w:numPr>
        <w:autoSpaceDE w:val="0"/>
        <w:autoSpaceDN w:val="0"/>
        <w:adjustRightInd w:val="0"/>
        <w:spacing w:line="232" w:lineRule="auto"/>
        <w:jc w:val="both"/>
        <w:rPr>
          <w:rFonts w:cs="Times New Roman"/>
          <w:sz w:val="20"/>
          <w:szCs w:val="20"/>
          <w:lang w:val="fr-CA"/>
        </w:rPr>
      </w:pPr>
      <w:r w:rsidRPr="0010611E">
        <w:rPr>
          <w:rFonts w:cs="Times New Roman"/>
          <w:sz w:val="20"/>
          <w:szCs w:val="20"/>
          <w:lang w:val="fr-CA"/>
        </w:rPr>
        <w:t>L’appel, dont la date d’audition est provisoirement fixée au 16 octobre 2018, est reporté à la date qui sera fixée par le registraire.</w:t>
      </w:r>
    </w:p>
    <w:p w:rsidR="001733C2" w:rsidRPr="0010611E" w:rsidRDefault="001733C2" w:rsidP="00831CA9">
      <w:pPr>
        <w:jc w:val="both"/>
        <w:rPr>
          <w:sz w:val="20"/>
          <w:szCs w:val="20"/>
          <w:lang w:val="fr-CA"/>
        </w:rPr>
      </w:pPr>
    </w:p>
    <w:p w:rsidR="002713CE" w:rsidRPr="0010611E" w:rsidRDefault="00B35ED9" w:rsidP="00831CA9">
      <w:pPr>
        <w:jc w:val="both"/>
        <w:rPr>
          <w:sz w:val="20"/>
          <w:szCs w:val="20"/>
          <w:lang w:val="fr-CA"/>
        </w:rPr>
      </w:pPr>
      <w:r>
        <w:rPr>
          <w:rFonts w:eastAsia="Times New Roman" w:cs="Times New Roman"/>
          <w:sz w:val="20"/>
          <w:szCs w:val="20"/>
          <w:lang w:val="fr-CA" w:eastAsia="en-CA"/>
        </w:rPr>
        <w:pict>
          <v:rect id="_x0000_i1048" style="width:2in;height:1pt" o:hrpct="0" o:hralign="center" o:hrstd="t" o:hrnoshade="t" o:hr="t" fillcolor="black [3213]" stroked="f"/>
        </w:pict>
      </w:r>
    </w:p>
    <w:p w:rsidR="001733C2" w:rsidRPr="0010611E" w:rsidRDefault="001733C2">
      <w:pPr>
        <w:rPr>
          <w:sz w:val="20"/>
          <w:szCs w:val="20"/>
          <w:lang w:val="fr-CA"/>
        </w:rPr>
      </w:pPr>
      <w:r w:rsidRPr="0010611E">
        <w:rPr>
          <w:sz w:val="20"/>
          <w:szCs w:val="20"/>
          <w:lang w:val="fr-CA"/>
        </w:rPr>
        <w:br w:type="page"/>
      </w:r>
    </w:p>
    <w:p w:rsidR="00DA6106" w:rsidRPr="0010611E" w:rsidRDefault="00DA6106" w:rsidP="00DA6106">
      <w:pPr>
        <w:tabs>
          <w:tab w:val="left" w:pos="-1440"/>
          <w:tab w:val="left" w:pos="-720"/>
        </w:tabs>
        <w:jc w:val="both"/>
        <w:rPr>
          <w:rFonts w:eastAsia="Times New Roman" w:cs="Times New Roman"/>
          <w:sz w:val="20"/>
          <w:szCs w:val="20"/>
          <w:lang w:val="fr-CA" w:eastAsia="en-CA"/>
        </w:rPr>
      </w:pPr>
      <w:r w:rsidRPr="0010611E">
        <w:rPr>
          <w:rFonts w:eastAsia="Times New Roman" w:cs="Times New Roman"/>
          <w:sz w:val="20"/>
          <w:szCs w:val="20"/>
          <w:lang w:val="fr-CA" w:eastAsia="en-CA"/>
        </w:rPr>
        <w:t>12.04.2018</w:t>
      </w:r>
    </w:p>
    <w:p w:rsidR="00DA6106" w:rsidRPr="0010611E" w:rsidRDefault="00DA6106" w:rsidP="00DA6106">
      <w:pPr>
        <w:tabs>
          <w:tab w:val="left" w:pos="-1440"/>
          <w:tab w:val="left" w:pos="-720"/>
        </w:tabs>
        <w:jc w:val="both"/>
        <w:rPr>
          <w:rFonts w:eastAsia="Times New Roman" w:cs="Times New Roman"/>
          <w:sz w:val="20"/>
          <w:szCs w:val="20"/>
          <w:lang w:val="fr-CA" w:eastAsia="en-CA"/>
        </w:rPr>
      </w:pPr>
    </w:p>
    <w:p w:rsidR="00DA6106" w:rsidRPr="0010611E" w:rsidRDefault="00DA6106" w:rsidP="00DA6106">
      <w:pPr>
        <w:tabs>
          <w:tab w:val="left" w:pos="-1440"/>
          <w:tab w:val="left" w:pos="-720"/>
        </w:tabs>
        <w:jc w:val="both"/>
        <w:rPr>
          <w:rFonts w:eastAsia="Times New Roman" w:cs="Times New Roman"/>
          <w:sz w:val="20"/>
          <w:szCs w:val="20"/>
          <w:lang w:val="fr-CA" w:eastAsia="en-CA"/>
        </w:rPr>
      </w:pPr>
      <w:r w:rsidRPr="0010611E">
        <w:rPr>
          <w:rFonts w:eastAsia="Times New Roman" w:cs="Times New Roman"/>
          <w:sz w:val="20"/>
          <w:szCs w:val="20"/>
          <w:lang w:val="fr-CA" w:eastAsia="en-CA"/>
        </w:rPr>
        <w:t xml:space="preserve">Before / Devant :   GASCON J. / LE JUGE GASCON </w:t>
      </w:r>
    </w:p>
    <w:p w:rsidR="00DA6106" w:rsidRPr="0010611E" w:rsidRDefault="00DA6106" w:rsidP="00DA6106">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DA6106" w:rsidRPr="0010611E" w:rsidTr="00143552">
        <w:trPr>
          <w:trHeight w:val="387"/>
        </w:trPr>
        <w:tc>
          <w:tcPr>
            <w:tcW w:w="4338" w:type="dxa"/>
          </w:tcPr>
          <w:p w:rsidR="00DA6106" w:rsidRPr="0010611E" w:rsidRDefault="00DA6106" w:rsidP="00143552">
            <w:pPr>
              <w:tabs>
                <w:tab w:val="left" w:pos="-1440"/>
                <w:tab w:val="left" w:pos="-720"/>
              </w:tabs>
              <w:jc w:val="both"/>
              <w:rPr>
                <w:b/>
              </w:rPr>
            </w:pPr>
            <w:r w:rsidRPr="0010611E">
              <w:rPr>
                <w:b/>
                <w:bCs/>
                <w:lang w:val="en-GB"/>
              </w:rPr>
              <w:t>Order</w:t>
            </w:r>
          </w:p>
        </w:tc>
        <w:tc>
          <w:tcPr>
            <w:tcW w:w="1170" w:type="dxa"/>
          </w:tcPr>
          <w:p w:rsidR="00DA6106" w:rsidRPr="0010611E" w:rsidRDefault="00DA6106" w:rsidP="00143552">
            <w:pPr>
              <w:tabs>
                <w:tab w:val="left" w:pos="-1440"/>
                <w:tab w:val="left" w:pos="-720"/>
              </w:tabs>
              <w:jc w:val="both"/>
            </w:pPr>
          </w:p>
          <w:p w:rsidR="00DA6106" w:rsidRPr="0010611E" w:rsidRDefault="00DA6106" w:rsidP="00143552">
            <w:pPr>
              <w:tabs>
                <w:tab w:val="left" w:pos="-1440"/>
                <w:tab w:val="left" w:pos="-720"/>
              </w:tabs>
              <w:jc w:val="both"/>
            </w:pPr>
          </w:p>
        </w:tc>
        <w:tc>
          <w:tcPr>
            <w:tcW w:w="4327" w:type="dxa"/>
          </w:tcPr>
          <w:p w:rsidR="00DA6106" w:rsidRPr="0010611E" w:rsidRDefault="00DA6106" w:rsidP="00143552">
            <w:pPr>
              <w:tabs>
                <w:tab w:val="left" w:pos="-1440"/>
                <w:tab w:val="left" w:pos="-720"/>
              </w:tabs>
              <w:jc w:val="both"/>
              <w:rPr>
                <w:lang w:val="fr-CA"/>
              </w:rPr>
            </w:pPr>
            <w:r w:rsidRPr="0010611E">
              <w:rPr>
                <w:b/>
                <w:bCs/>
                <w:lang w:val="fr-CA"/>
              </w:rPr>
              <w:t>Ordonnance</w:t>
            </w:r>
          </w:p>
        </w:tc>
      </w:tr>
      <w:tr w:rsidR="00DA6106" w:rsidRPr="0010611E" w:rsidTr="00143552">
        <w:tc>
          <w:tcPr>
            <w:tcW w:w="4338" w:type="dxa"/>
          </w:tcPr>
          <w:p w:rsidR="00DA6106" w:rsidRPr="0010611E" w:rsidRDefault="00DA6106" w:rsidP="00143552">
            <w:pPr>
              <w:tabs>
                <w:tab w:val="left" w:pos="-1440"/>
                <w:tab w:val="left" w:pos="-720"/>
              </w:tabs>
              <w:jc w:val="both"/>
              <w:rPr>
                <w:lang w:val="en-US"/>
              </w:rPr>
            </w:pPr>
            <w:r w:rsidRPr="0010611E">
              <w:t>Edward Tinker, Kelly Judge, Michael Bondoc and Wesley Mead</w:t>
            </w:r>
            <w:r w:rsidRPr="0010611E">
              <w:rPr>
                <w:lang w:val="en-US"/>
              </w:rPr>
              <w:t xml:space="preserve"> </w:t>
            </w:r>
          </w:p>
          <w:p w:rsidR="00DA6106" w:rsidRPr="0010611E" w:rsidRDefault="00DA6106" w:rsidP="00143552">
            <w:pPr>
              <w:tabs>
                <w:tab w:val="left" w:pos="-1440"/>
                <w:tab w:val="left" w:pos="-720"/>
              </w:tabs>
              <w:jc w:val="both"/>
              <w:rPr>
                <w:lang w:val="en-US"/>
              </w:rPr>
            </w:pPr>
          </w:p>
          <w:p w:rsidR="00DA6106" w:rsidRPr="0010611E" w:rsidRDefault="00DA6106" w:rsidP="00143552">
            <w:pPr>
              <w:tabs>
                <w:tab w:val="left" w:pos="-1440"/>
                <w:tab w:val="left" w:pos="-720"/>
              </w:tabs>
              <w:jc w:val="both"/>
              <w:rPr>
                <w:lang w:val="en-US"/>
              </w:rPr>
            </w:pPr>
            <w:r w:rsidRPr="0010611E">
              <w:rPr>
                <w:lang w:val="en-US"/>
              </w:rPr>
              <w:tab/>
              <w:t>v. (37774)</w:t>
            </w:r>
          </w:p>
          <w:p w:rsidR="00DA6106" w:rsidRPr="0010611E" w:rsidRDefault="00DA6106" w:rsidP="00143552">
            <w:pPr>
              <w:tabs>
                <w:tab w:val="left" w:pos="-1440"/>
                <w:tab w:val="left" w:pos="-720"/>
              </w:tabs>
              <w:jc w:val="both"/>
              <w:rPr>
                <w:lang w:val="en-US"/>
              </w:rPr>
            </w:pPr>
          </w:p>
          <w:p w:rsidR="00DA6106" w:rsidRPr="0010611E" w:rsidRDefault="00DA6106" w:rsidP="00DA6106">
            <w:pPr>
              <w:tabs>
                <w:tab w:val="left" w:pos="-1440"/>
                <w:tab w:val="left" w:pos="-720"/>
              </w:tabs>
              <w:jc w:val="both"/>
              <w:rPr>
                <w:lang w:val="en-US"/>
              </w:rPr>
            </w:pPr>
            <w:r w:rsidRPr="0010611E">
              <w:rPr>
                <w:lang w:val="en-US"/>
              </w:rPr>
              <w:t>Her Majesty the Queen (Ont.)</w:t>
            </w:r>
          </w:p>
        </w:tc>
        <w:tc>
          <w:tcPr>
            <w:tcW w:w="1170" w:type="dxa"/>
          </w:tcPr>
          <w:p w:rsidR="00DA6106" w:rsidRPr="0010611E" w:rsidRDefault="00DA6106" w:rsidP="00143552">
            <w:pPr>
              <w:tabs>
                <w:tab w:val="left" w:pos="-1440"/>
                <w:tab w:val="left" w:pos="-720"/>
              </w:tabs>
              <w:jc w:val="both"/>
              <w:rPr>
                <w:lang w:val="en-US"/>
              </w:rPr>
            </w:pPr>
          </w:p>
        </w:tc>
        <w:tc>
          <w:tcPr>
            <w:tcW w:w="4327" w:type="dxa"/>
          </w:tcPr>
          <w:p w:rsidR="00DA6106" w:rsidRPr="0010611E" w:rsidRDefault="00DA6106" w:rsidP="00143552">
            <w:pPr>
              <w:tabs>
                <w:tab w:val="left" w:pos="-1440"/>
                <w:tab w:val="left" w:pos="-720"/>
              </w:tabs>
              <w:jc w:val="both"/>
              <w:rPr>
                <w:lang w:val="en-US"/>
              </w:rPr>
            </w:pPr>
          </w:p>
        </w:tc>
      </w:tr>
    </w:tbl>
    <w:p w:rsidR="00DA6106" w:rsidRPr="0010611E" w:rsidRDefault="00DA6106" w:rsidP="00DA6106">
      <w:pPr>
        <w:tabs>
          <w:tab w:val="left" w:pos="-1440"/>
          <w:tab w:val="left" w:pos="-720"/>
        </w:tabs>
        <w:jc w:val="both"/>
        <w:rPr>
          <w:rFonts w:eastAsia="Times New Roman" w:cs="Times New Roman"/>
          <w:b/>
          <w:sz w:val="20"/>
          <w:szCs w:val="20"/>
          <w:lang w:eastAsia="en-CA"/>
        </w:rPr>
      </w:pPr>
    </w:p>
    <w:p w:rsidR="00DA6106" w:rsidRPr="0010611E" w:rsidRDefault="00DA6106" w:rsidP="00DA6106">
      <w:pPr>
        <w:spacing w:line="232" w:lineRule="auto"/>
        <w:rPr>
          <w:rFonts w:cs="Times New Roman"/>
          <w:sz w:val="20"/>
        </w:rPr>
      </w:pPr>
      <w:r w:rsidRPr="0010611E">
        <w:rPr>
          <w:rFonts w:cs="Times New Roman"/>
          <w:b/>
          <w:bCs/>
          <w:sz w:val="20"/>
        </w:rPr>
        <w:t>IT IS HEREBY ORDERED THAT:</w:t>
      </w:r>
    </w:p>
    <w:p w:rsidR="00DA6106" w:rsidRPr="0010611E" w:rsidRDefault="00DA6106" w:rsidP="00DA6106">
      <w:pPr>
        <w:spacing w:line="232" w:lineRule="auto"/>
        <w:rPr>
          <w:rFonts w:cs="Times New Roman"/>
          <w:sz w:val="20"/>
        </w:rPr>
      </w:pPr>
    </w:p>
    <w:p w:rsidR="00DA6106" w:rsidRPr="0010611E" w:rsidRDefault="00DA6106" w:rsidP="00DA6106">
      <w:pPr>
        <w:spacing w:line="228" w:lineRule="auto"/>
        <w:rPr>
          <w:rFonts w:cs="Times New Roman"/>
          <w:sz w:val="20"/>
          <w:lang w:eastAsia="fr-FR"/>
        </w:rPr>
      </w:pPr>
      <w:r w:rsidRPr="0010611E">
        <w:rPr>
          <w:rFonts w:cs="Times New Roman"/>
          <w:sz w:val="20"/>
        </w:rPr>
        <w:t>The Attorney General of Quebec is granted permission to present oral argument not exceeding five (5) minutes at the hearing of the appeal.</w:t>
      </w:r>
    </w:p>
    <w:p w:rsidR="00DA6106" w:rsidRDefault="00DA6106" w:rsidP="00DA6106">
      <w:pPr>
        <w:spacing w:line="232" w:lineRule="auto"/>
        <w:rPr>
          <w:rFonts w:cs="Times New Roman"/>
          <w:sz w:val="20"/>
        </w:rPr>
      </w:pPr>
    </w:p>
    <w:p w:rsidR="00DA6106" w:rsidRPr="0010611E" w:rsidRDefault="00DA6106" w:rsidP="00DA6106">
      <w:pPr>
        <w:spacing w:line="232" w:lineRule="auto"/>
        <w:rPr>
          <w:rFonts w:cs="Times New Roman"/>
          <w:sz w:val="20"/>
        </w:rPr>
      </w:pPr>
    </w:p>
    <w:p w:rsidR="00DA6106" w:rsidRPr="0010611E" w:rsidRDefault="00DA6106" w:rsidP="00DA6106">
      <w:pPr>
        <w:spacing w:line="228" w:lineRule="auto"/>
        <w:ind w:left="-23"/>
        <w:rPr>
          <w:rFonts w:cs="Times New Roman"/>
          <w:b/>
          <w:bCs/>
          <w:sz w:val="20"/>
          <w:lang w:val="fr-CA"/>
        </w:rPr>
      </w:pPr>
      <w:r w:rsidRPr="0010611E">
        <w:rPr>
          <w:rFonts w:cs="Times New Roman"/>
          <w:b/>
          <w:bCs/>
          <w:sz w:val="20"/>
          <w:lang w:val="fr-CA"/>
        </w:rPr>
        <w:t xml:space="preserve">IL EST ORDONNÉ QUE : </w:t>
      </w:r>
    </w:p>
    <w:p w:rsidR="00DA6106" w:rsidRPr="0010611E" w:rsidRDefault="00DA6106" w:rsidP="00DA6106">
      <w:pPr>
        <w:spacing w:line="228" w:lineRule="auto"/>
        <w:ind w:left="-23"/>
        <w:rPr>
          <w:rFonts w:cs="Times New Roman"/>
          <w:b/>
          <w:bCs/>
          <w:sz w:val="20"/>
          <w:lang w:val="fr-CA"/>
        </w:rPr>
      </w:pPr>
    </w:p>
    <w:p w:rsidR="00DA6106" w:rsidRPr="0010611E" w:rsidRDefault="00DA6106" w:rsidP="00DA6106">
      <w:pPr>
        <w:spacing w:line="228" w:lineRule="auto"/>
        <w:rPr>
          <w:rFonts w:cs="Times New Roman"/>
          <w:b/>
          <w:bCs/>
          <w:sz w:val="20"/>
          <w:lang w:val="fr-CA"/>
        </w:rPr>
      </w:pPr>
      <w:r w:rsidRPr="0010611E">
        <w:rPr>
          <w:rFonts w:cs="Times New Roman"/>
          <w:sz w:val="20"/>
          <w:lang w:val="fr-CA"/>
        </w:rPr>
        <w:t>La procureure générale du Québec aura le droit de présenter une plaidoirie orale d’au plus cinq (5) minutes lors de l’audition de l’appel.</w:t>
      </w:r>
    </w:p>
    <w:p w:rsidR="00DA6106" w:rsidRPr="0010611E" w:rsidRDefault="00DA6106" w:rsidP="00DA6106">
      <w:pPr>
        <w:rPr>
          <w:rFonts w:eastAsia="Times New Roman" w:cs="Times New Roman"/>
          <w:sz w:val="20"/>
          <w:szCs w:val="20"/>
          <w:lang w:val="fr-CA" w:eastAsia="en-CA"/>
        </w:rPr>
      </w:pPr>
    </w:p>
    <w:p w:rsidR="002713CE" w:rsidRPr="0010611E" w:rsidRDefault="00B35ED9" w:rsidP="00831CA9">
      <w:pPr>
        <w:jc w:val="both"/>
        <w:rPr>
          <w:sz w:val="20"/>
          <w:szCs w:val="20"/>
          <w:lang w:val="fr-CA"/>
        </w:rPr>
      </w:pPr>
      <w:r>
        <w:rPr>
          <w:rFonts w:eastAsia="Times New Roman" w:cs="Times New Roman"/>
          <w:sz w:val="20"/>
          <w:szCs w:val="20"/>
          <w:lang w:val="fr-CA" w:eastAsia="en-CA"/>
        </w:rPr>
        <w:pict>
          <v:rect id="_x0000_i1049" style="width:2in;height:1pt" o:hrpct="0" o:hralign="center" o:hrstd="t" o:hrnoshade="t" o:hr="t" fillcolor="black [3213]" stroked="f"/>
        </w:pict>
      </w:r>
    </w:p>
    <w:p w:rsidR="001733C2" w:rsidRPr="0010611E" w:rsidRDefault="001733C2" w:rsidP="00831CA9">
      <w:pPr>
        <w:jc w:val="both"/>
        <w:rPr>
          <w:sz w:val="20"/>
          <w:szCs w:val="20"/>
          <w:lang w:val="fr-CA"/>
        </w:rPr>
      </w:pPr>
    </w:p>
    <w:p w:rsidR="003C617C" w:rsidRDefault="003C617C" w:rsidP="00831CA9">
      <w:pPr>
        <w:jc w:val="both"/>
        <w:rPr>
          <w:sz w:val="20"/>
          <w:szCs w:val="20"/>
          <w:lang w:val="fr-CA"/>
        </w:rPr>
      </w:pPr>
    </w:p>
    <w:p w:rsidR="0072056E" w:rsidRPr="0010611E" w:rsidRDefault="0072056E" w:rsidP="00831CA9">
      <w:pPr>
        <w:jc w:val="both"/>
        <w:rPr>
          <w:sz w:val="20"/>
          <w:szCs w:val="20"/>
          <w:lang w:val="fr-CA"/>
        </w:rPr>
      </w:pPr>
    </w:p>
    <w:p w:rsidR="002713CE" w:rsidRPr="0010611E" w:rsidRDefault="002713CE" w:rsidP="00831CA9">
      <w:pPr>
        <w:jc w:val="both"/>
        <w:rPr>
          <w:sz w:val="20"/>
          <w:szCs w:val="20"/>
          <w:lang w:val="fr-CA"/>
        </w:rPr>
        <w:sectPr w:rsidR="002713CE" w:rsidRPr="0010611E" w:rsidSect="00831CA9">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644959" w:rsidTr="0085476B">
        <w:trPr>
          <w:cantSplit/>
        </w:trPr>
        <w:tc>
          <w:tcPr>
            <w:tcW w:w="4410" w:type="dxa"/>
            <w:tcMar>
              <w:left w:w="0" w:type="dxa"/>
              <w:right w:w="0" w:type="dxa"/>
            </w:tcMar>
          </w:tcPr>
          <w:p w:rsidR="00C1697B" w:rsidRPr="0010611E" w:rsidRDefault="00732DB7" w:rsidP="00697C62">
            <w:pPr>
              <w:keepNext/>
              <w:keepLines/>
              <w:widowControl w:val="0"/>
              <w:jc w:val="both"/>
              <w:rPr>
                <w:b/>
                <w:szCs w:val="24"/>
              </w:rPr>
            </w:pPr>
            <w:r w:rsidRPr="0010611E">
              <w:rPr>
                <w:b/>
                <w:szCs w:val="24"/>
              </w:rPr>
              <w:t>APPEALS HEARD SINCE LAST ISSUE AND DISPOSITION</w:t>
            </w:r>
          </w:p>
          <w:p w:rsidR="00732DB7" w:rsidRPr="0010611E" w:rsidRDefault="00732DB7" w:rsidP="00C1697B">
            <w:pPr>
              <w:tabs>
                <w:tab w:val="left" w:pos="1116"/>
              </w:tabs>
              <w:rPr>
                <w:szCs w:val="24"/>
              </w:rPr>
            </w:pPr>
          </w:p>
        </w:tc>
        <w:tc>
          <w:tcPr>
            <w:tcW w:w="720" w:type="dxa"/>
            <w:tcMar>
              <w:left w:w="0" w:type="dxa"/>
              <w:right w:w="0" w:type="dxa"/>
            </w:tcMar>
          </w:tcPr>
          <w:p w:rsidR="00732DB7" w:rsidRPr="0010611E" w:rsidRDefault="00732DB7" w:rsidP="00732DB7">
            <w:pPr>
              <w:keepNext/>
              <w:keepLines/>
              <w:widowControl w:val="0"/>
              <w:jc w:val="center"/>
              <w:rPr>
                <w:b/>
                <w:szCs w:val="24"/>
              </w:rPr>
            </w:pPr>
          </w:p>
          <w:p w:rsidR="00732DB7" w:rsidRPr="0010611E" w:rsidRDefault="00732DB7" w:rsidP="00732DB7">
            <w:pPr>
              <w:keepNext/>
              <w:keepLines/>
              <w:widowControl w:val="0"/>
              <w:jc w:val="center"/>
              <w:rPr>
                <w:b/>
                <w:szCs w:val="24"/>
              </w:rPr>
            </w:pPr>
          </w:p>
          <w:p w:rsidR="00732DB7" w:rsidRPr="0010611E" w:rsidRDefault="00732DB7" w:rsidP="00732DB7">
            <w:pPr>
              <w:keepNext/>
              <w:keepLines/>
              <w:widowControl w:val="0"/>
              <w:jc w:val="center"/>
              <w:rPr>
                <w:b/>
                <w:szCs w:val="24"/>
              </w:rPr>
            </w:pPr>
          </w:p>
        </w:tc>
        <w:tc>
          <w:tcPr>
            <w:tcW w:w="4350" w:type="dxa"/>
            <w:tcMar>
              <w:left w:w="0" w:type="dxa"/>
              <w:right w:w="0" w:type="dxa"/>
            </w:tcMar>
          </w:tcPr>
          <w:p w:rsidR="00732DB7" w:rsidRPr="0010611E" w:rsidRDefault="00732DB7" w:rsidP="00697C62">
            <w:pPr>
              <w:keepNext/>
              <w:keepLines/>
              <w:widowControl w:val="0"/>
              <w:jc w:val="both"/>
              <w:rPr>
                <w:b/>
                <w:szCs w:val="24"/>
                <w:lang w:val="fr-CA"/>
              </w:rPr>
            </w:pPr>
            <w:r w:rsidRPr="0010611E">
              <w:rPr>
                <w:b/>
                <w:szCs w:val="24"/>
                <w:lang w:val="fr-CA"/>
              </w:rPr>
              <w:t>APPELS ENTENDUS DEPUIS LA DERNIÈRE PARUTION ET RÉSULTAT</w:t>
            </w:r>
          </w:p>
        </w:tc>
      </w:tr>
    </w:tbl>
    <w:p w:rsidR="00732DB7" w:rsidRPr="0010611E" w:rsidRDefault="00732DB7" w:rsidP="00732DB7">
      <w:pPr>
        <w:widowControl w:val="0"/>
        <w:rPr>
          <w:sz w:val="20"/>
          <w:szCs w:val="20"/>
          <w:lang w:val="fr-CA"/>
        </w:rPr>
      </w:pPr>
    </w:p>
    <w:p w:rsidR="007C47C2" w:rsidRPr="0010611E" w:rsidRDefault="006B3BE3" w:rsidP="007C47C2">
      <w:pPr>
        <w:widowControl w:val="0"/>
        <w:rPr>
          <w:sz w:val="20"/>
          <w:szCs w:val="20"/>
          <w:lang w:val="en-US"/>
        </w:rPr>
      </w:pPr>
      <w:r w:rsidRPr="0010611E">
        <w:rPr>
          <w:sz w:val="20"/>
          <w:szCs w:val="20"/>
          <w:lang w:val="en-US"/>
        </w:rPr>
        <w:t>17</w:t>
      </w:r>
      <w:r w:rsidR="00E942C2" w:rsidRPr="0010611E">
        <w:rPr>
          <w:sz w:val="20"/>
          <w:szCs w:val="20"/>
          <w:lang w:val="en-US"/>
        </w:rPr>
        <w:t>.0</w:t>
      </w:r>
      <w:r w:rsidRPr="0010611E">
        <w:rPr>
          <w:sz w:val="20"/>
          <w:szCs w:val="20"/>
          <w:lang w:val="en-US"/>
        </w:rPr>
        <w:t>4</w:t>
      </w:r>
      <w:r w:rsidR="00E8544A" w:rsidRPr="0010611E">
        <w:rPr>
          <w:sz w:val="20"/>
          <w:szCs w:val="20"/>
          <w:lang w:val="en-US"/>
        </w:rPr>
        <w:t>.201</w:t>
      </w:r>
      <w:r w:rsidRPr="0010611E">
        <w:rPr>
          <w:sz w:val="20"/>
          <w:szCs w:val="20"/>
          <w:lang w:val="en-US"/>
        </w:rPr>
        <w:t>8</w:t>
      </w:r>
      <w:r w:rsidR="001437EE" w:rsidRPr="0010611E">
        <w:rPr>
          <w:sz w:val="20"/>
          <w:szCs w:val="20"/>
          <w:lang w:val="en-US"/>
        </w:rPr>
        <w:t xml:space="preserve"> / 18.04.2018</w:t>
      </w:r>
    </w:p>
    <w:p w:rsidR="007C47C2" w:rsidRPr="0010611E" w:rsidRDefault="007C47C2" w:rsidP="007C47C2">
      <w:pPr>
        <w:widowControl w:val="0"/>
        <w:rPr>
          <w:sz w:val="20"/>
          <w:szCs w:val="20"/>
          <w:lang w:val="en-US"/>
        </w:rPr>
      </w:pPr>
    </w:p>
    <w:p w:rsidR="007C47C2" w:rsidRPr="0010611E" w:rsidRDefault="007C47C2" w:rsidP="007C47C2">
      <w:pPr>
        <w:widowControl w:val="0"/>
        <w:ind w:left="720" w:hanging="720"/>
        <w:rPr>
          <w:sz w:val="20"/>
          <w:szCs w:val="20"/>
          <w:u w:val="single"/>
          <w:lang w:val="en-US"/>
        </w:rPr>
      </w:pPr>
      <w:r w:rsidRPr="0010611E">
        <w:rPr>
          <w:sz w:val="20"/>
          <w:szCs w:val="20"/>
          <w:lang w:val="en-US"/>
        </w:rPr>
        <w:t xml:space="preserve">Coram: </w:t>
      </w:r>
      <w:r w:rsidRPr="0010611E">
        <w:rPr>
          <w:sz w:val="20"/>
          <w:szCs w:val="20"/>
          <w:lang w:val="en-US"/>
        </w:rPr>
        <w:tab/>
      </w:r>
      <w:r w:rsidR="006B3BE3" w:rsidRPr="0010611E">
        <w:rPr>
          <w:sz w:val="20"/>
          <w:szCs w:val="20"/>
          <w:u w:val="single"/>
          <w:lang w:val="en-US"/>
        </w:rPr>
        <w:t>Wagner C.J. and A</w:t>
      </w:r>
      <w:r w:rsidR="00E8544A" w:rsidRPr="0010611E">
        <w:rPr>
          <w:sz w:val="20"/>
          <w:szCs w:val="20"/>
          <w:u w:val="single"/>
          <w:lang w:val="en-US"/>
        </w:rPr>
        <w:t>bella</w:t>
      </w:r>
      <w:r w:rsidRPr="0010611E">
        <w:rPr>
          <w:sz w:val="20"/>
          <w:szCs w:val="20"/>
          <w:u w:val="single"/>
          <w:lang w:val="en-US"/>
        </w:rPr>
        <w:t xml:space="preserve">, </w:t>
      </w:r>
      <w:r w:rsidR="00E8544A" w:rsidRPr="0010611E">
        <w:rPr>
          <w:sz w:val="20"/>
          <w:szCs w:val="20"/>
          <w:u w:val="single"/>
          <w:lang w:val="en-US"/>
        </w:rPr>
        <w:t>Moldaver</w:t>
      </w:r>
      <w:r w:rsidRPr="0010611E">
        <w:rPr>
          <w:sz w:val="20"/>
          <w:szCs w:val="20"/>
          <w:u w:val="single"/>
          <w:lang w:val="en-US"/>
        </w:rPr>
        <w:t>,</w:t>
      </w:r>
      <w:r w:rsidR="00E8544A" w:rsidRPr="0010611E">
        <w:rPr>
          <w:sz w:val="20"/>
          <w:szCs w:val="20"/>
          <w:u w:val="single"/>
          <w:lang w:val="en-US"/>
        </w:rPr>
        <w:t xml:space="preserve"> Karakatsanis</w:t>
      </w:r>
      <w:r w:rsidRPr="0010611E">
        <w:rPr>
          <w:sz w:val="20"/>
          <w:szCs w:val="20"/>
          <w:u w:val="single"/>
          <w:lang w:val="en-US"/>
        </w:rPr>
        <w:t>,</w:t>
      </w:r>
      <w:r w:rsidR="006B3BE3" w:rsidRPr="0010611E">
        <w:rPr>
          <w:sz w:val="20"/>
          <w:szCs w:val="20"/>
          <w:u w:val="single"/>
          <w:lang w:val="en-US"/>
        </w:rPr>
        <w:t xml:space="preserve"> </w:t>
      </w:r>
      <w:r w:rsidR="00E8544A" w:rsidRPr="0010611E">
        <w:rPr>
          <w:sz w:val="20"/>
          <w:szCs w:val="20"/>
          <w:u w:val="single"/>
          <w:lang w:val="en-US"/>
        </w:rPr>
        <w:t>Gascon, Côté, Brown</w:t>
      </w:r>
      <w:r w:rsidR="006B3BE3" w:rsidRPr="0010611E">
        <w:rPr>
          <w:sz w:val="20"/>
          <w:szCs w:val="20"/>
          <w:u w:val="single"/>
          <w:lang w:val="en-US"/>
        </w:rPr>
        <w:t>, R</w:t>
      </w:r>
      <w:r w:rsidR="00E8544A" w:rsidRPr="0010611E">
        <w:rPr>
          <w:sz w:val="20"/>
          <w:szCs w:val="20"/>
          <w:u w:val="single"/>
          <w:lang w:val="en-US"/>
        </w:rPr>
        <w:t>owe</w:t>
      </w:r>
      <w:r w:rsidR="006B3BE3" w:rsidRPr="0010611E">
        <w:rPr>
          <w:sz w:val="20"/>
          <w:szCs w:val="20"/>
          <w:u w:val="single"/>
          <w:lang w:val="en-US"/>
        </w:rPr>
        <w:t xml:space="preserve"> and Martin JJ.</w:t>
      </w:r>
    </w:p>
    <w:p w:rsidR="007C47C2" w:rsidRPr="0010611E" w:rsidRDefault="007C47C2" w:rsidP="007C47C2">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644959" w:rsidTr="00E942C2">
        <w:tc>
          <w:tcPr>
            <w:tcW w:w="4380" w:type="dxa"/>
            <w:tcMar>
              <w:left w:w="0" w:type="dxa"/>
              <w:right w:w="0" w:type="dxa"/>
            </w:tcMar>
          </w:tcPr>
          <w:p w:rsidR="007C47C2" w:rsidRPr="0010611E" w:rsidRDefault="006B3BE3" w:rsidP="00E942C2">
            <w:pPr>
              <w:widowControl w:val="0"/>
              <w:rPr>
                <w:b/>
                <w:sz w:val="20"/>
                <w:szCs w:val="20"/>
                <w:lang w:val="fr-CA"/>
              </w:rPr>
            </w:pPr>
            <w:r w:rsidRPr="0010611E">
              <w:rPr>
                <w:b/>
                <w:sz w:val="20"/>
                <w:szCs w:val="20"/>
                <w:lang w:val="fr-CA"/>
              </w:rPr>
              <w:t>Alex Boudreault</w:t>
            </w:r>
            <w:r w:rsidR="007C47C2" w:rsidRPr="0010611E">
              <w:rPr>
                <w:b/>
                <w:sz w:val="20"/>
                <w:szCs w:val="20"/>
                <w:lang w:val="fr-CA"/>
              </w:rPr>
              <w:t xml:space="preserve"> </w:t>
            </w:r>
          </w:p>
          <w:p w:rsidR="007C47C2" w:rsidRPr="0010611E" w:rsidRDefault="007C47C2" w:rsidP="00E942C2">
            <w:pPr>
              <w:widowControl w:val="0"/>
              <w:rPr>
                <w:b/>
                <w:sz w:val="20"/>
                <w:szCs w:val="20"/>
                <w:lang w:val="fr-CA"/>
              </w:rPr>
            </w:pPr>
          </w:p>
          <w:p w:rsidR="007C47C2" w:rsidRPr="0010611E" w:rsidRDefault="007C47C2" w:rsidP="00E942C2">
            <w:pPr>
              <w:widowControl w:val="0"/>
              <w:rPr>
                <w:b/>
                <w:sz w:val="20"/>
                <w:szCs w:val="20"/>
                <w:lang w:val="fr-CA"/>
              </w:rPr>
            </w:pPr>
            <w:r w:rsidRPr="0010611E">
              <w:rPr>
                <w:b/>
                <w:sz w:val="20"/>
                <w:szCs w:val="20"/>
                <w:lang w:val="fr-CA"/>
              </w:rPr>
              <w:tab/>
              <w:t xml:space="preserve">c. </w:t>
            </w:r>
            <w:r w:rsidRPr="0010611E">
              <w:rPr>
                <w:sz w:val="20"/>
                <w:szCs w:val="20"/>
                <w:lang w:val="fr-CA"/>
              </w:rPr>
              <w:t>(</w:t>
            </w:r>
            <w:hyperlink r:id="rId48" w:history="1">
              <w:r w:rsidR="006B3BE3" w:rsidRPr="0010611E">
                <w:rPr>
                  <w:rStyle w:val="Hyperlink"/>
                  <w:sz w:val="20"/>
                  <w:szCs w:val="20"/>
                  <w:lang w:val="fr-CA"/>
                </w:rPr>
                <w:t>37427</w:t>
              </w:r>
            </w:hyperlink>
            <w:r w:rsidRPr="0010611E">
              <w:rPr>
                <w:sz w:val="20"/>
                <w:szCs w:val="20"/>
                <w:lang w:val="fr-CA"/>
              </w:rPr>
              <w:t>)</w:t>
            </w:r>
          </w:p>
          <w:p w:rsidR="007C47C2" w:rsidRPr="0010611E" w:rsidRDefault="007C47C2" w:rsidP="00E942C2">
            <w:pPr>
              <w:widowControl w:val="0"/>
              <w:rPr>
                <w:b/>
                <w:sz w:val="20"/>
                <w:szCs w:val="20"/>
                <w:lang w:val="fr-CA"/>
              </w:rPr>
            </w:pPr>
          </w:p>
          <w:p w:rsidR="006B3BE3" w:rsidRPr="0010611E" w:rsidRDefault="006B3BE3" w:rsidP="006B3BE3">
            <w:pPr>
              <w:widowControl w:val="0"/>
              <w:rPr>
                <w:b/>
                <w:sz w:val="20"/>
                <w:szCs w:val="20"/>
                <w:lang w:val="fr-CA"/>
              </w:rPr>
            </w:pPr>
            <w:r w:rsidRPr="0010611E">
              <w:rPr>
                <w:b/>
                <w:sz w:val="20"/>
                <w:szCs w:val="20"/>
                <w:lang w:val="fr-CA"/>
              </w:rPr>
              <w:t>Sa Majesté la Reine et al.</w:t>
            </w:r>
            <w:r w:rsidR="007C47C2" w:rsidRPr="0010611E">
              <w:rPr>
                <w:b/>
                <w:sz w:val="20"/>
                <w:szCs w:val="20"/>
                <w:lang w:val="fr-CA"/>
              </w:rPr>
              <w:t xml:space="preserve"> (Qc) (C</w:t>
            </w:r>
            <w:r w:rsidRPr="0010611E">
              <w:rPr>
                <w:b/>
                <w:sz w:val="20"/>
                <w:szCs w:val="20"/>
                <w:lang w:val="fr-CA"/>
              </w:rPr>
              <w:t>riminelle</w:t>
            </w:r>
            <w:r w:rsidR="007C47C2" w:rsidRPr="0010611E">
              <w:rPr>
                <w:b/>
                <w:sz w:val="20"/>
                <w:szCs w:val="20"/>
                <w:lang w:val="fr-CA"/>
              </w:rPr>
              <w:t>) (Autorisation)</w:t>
            </w:r>
          </w:p>
          <w:p w:rsidR="006B3BE3" w:rsidRPr="0010611E" w:rsidRDefault="006B3BE3" w:rsidP="006B3BE3">
            <w:pPr>
              <w:widowControl w:val="0"/>
              <w:rPr>
                <w:b/>
                <w:sz w:val="20"/>
                <w:szCs w:val="20"/>
                <w:lang w:val="fr-CA"/>
              </w:rPr>
            </w:pPr>
          </w:p>
          <w:p w:rsidR="006B3BE3" w:rsidRPr="0010611E" w:rsidRDefault="006B3BE3" w:rsidP="006B3BE3">
            <w:pPr>
              <w:widowControl w:val="0"/>
              <w:rPr>
                <w:sz w:val="20"/>
                <w:szCs w:val="20"/>
                <w:lang w:val="fr-CA"/>
              </w:rPr>
            </w:pPr>
            <w:r w:rsidRPr="0010611E">
              <w:rPr>
                <w:b/>
                <w:sz w:val="20"/>
                <w:szCs w:val="20"/>
                <w:lang w:val="fr-CA"/>
              </w:rPr>
              <w:t xml:space="preserve">- </w:t>
            </w:r>
            <w:r w:rsidRPr="0010611E">
              <w:rPr>
                <w:sz w:val="20"/>
                <w:szCs w:val="20"/>
                <w:lang w:val="fr-CA"/>
              </w:rPr>
              <w:t>et / and –</w:t>
            </w:r>
          </w:p>
          <w:p w:rsidR="006B3BE3" w:rsidRPr="0010611E" w:rsidRDefault="006B3BE3" w:rsidP="006B3BE3">
            <w:pPr>
              <w:widowControl w:val="0"/>
              <w:rPr>
                <w:sz w:val="20"/>
                <w:szCs w:val="20"/>
                <w:lang w:val="fr-CA"/>
              </w:rPr>
            </w:pPr>
          </w:p>
          <w:p w:rsidR="006B3BE3" w:rsidRPr="0010611E" w:rsidRDefault="006B3BE3" w:rsidP="006B3BE3">
            <w:pPr>
              <w:widowControl w:val="0"/>
              <w:rPr>
                <w:b/>
                <w:sz w:val="20"/>
                <w:szCs w:val="20"/>
                <w:lang w:val="en-US"/>
              </w:rPr>
            </w:pPr>
            <w:r w:rsidRPr="0010611E">
              <w:rPr>
                <w:b/>
                <w:sz w:val="20"/>
                <w:szCs w:val="20"/>
                <w:lang w:val="en-US"/>
              </w:rPr>
              <w:t>Garrett Eckstein</w:t>
            </w:r>
          </w:p>
          <w:p w:rsidR="006B3BE3" w:rsidRPr="0010611E" w:rsidRDefault="006B3BE3" w:rsidP="006B3BE3">
            <w:pPr>
              <w:widowControl w:val="0"/>
              <w:rPr>
                <w:b/>
                <w:sz w:val="20"/>
                <w:szCs w:val="20"/>
                <w:lang w:val="en-US"/>
              </w:rPr>
            </w:pPr>
          </w:p>
          <w:p w:rsidR="006B3BE3" w:rsidRPr="0010611E" w:rsidRDefault="006B3BE3" w:rsidP="006B3BE3">
            <w:pPr>
              <w:widowControl w:val="0"/>
              <w:rPr>
                <w:b/>
                <w:sz w:val="20"/>
                <w:szCs w:val="20"/>
                <w:lang w:val="en-US"/>
              </w:rPr>
            </w:pPr>
            <w:r w:rsidRPr="0010611E">
              <w:rPr>
                <w:b/>
                <w:sz w:val="20"/>
                <w:szCs w:val="20"/>
                <w:lang w:val="en-US"/>
              </w:rPr>
              <w:tab/>
              <w:t xml:space="preserve">v. </w:t>
            </w:r>
            <w:r w:rsidRPr="0010611E">
              <w:rPr>
                <w:sz w:val="20"/>
                <w:szCs w:val="20"/>
                <w:lang w:val="en-US"/>
              </w:rPr>
              <w:t>(</w:t>
            </w:r>
            <w:hyperlink r:id="rId49" w:history="1">
              <w:r w:rsidRPr="0010611E">
                <w:rPr>
                  <w:rStyle w:val="Hyperlink"/>
                  <w:sz w:val="20"/>
                  <w:szCs w:val="20"/>
                  <w:lang w:val="en-US"/>
                </w:rPr>
                <w:t>37782</w:t>
              </w:r>
            </w:hyperlink>
            <w:r w:rsidRPr="0010611E">
              <w:rPr>
                <w:sz w:val="20"/>
                <w:szCs w:val="20"/>
                <w:lang w:val="en-US"/>
              </w:rPr>
              <w:t>)</w:t>
            </w:r>
          </w:p>
          <w:p w:rsidR="006B3BE3" w:rsidRPr="0010611E" w:rsidRDefault="006B3BE3" w:rsidP="006B3BE3">
            <w:pPr>
              <w:widowControl w:val="0"/>
              <w:rPr>
                <w:b/>
                <w:sz w:val="20"/>
                <w:szCs w:val="20"/>
                <w:lang w:val="en-US"/>
              </w:rPr>
            </w:pPr>
          </w:p>
          <w:p w:rsidR="006B3BE3" w:rsidRPr="0010611E" w:rsidRDefault="006B3BE3" w:rsidP="006B3BE3">
            <w:pPr>
              <w:widowControl w:val="0"/>
              <w:rPr>
                <w:b/>
                <w:sz w:val="20"/>
                <w:szCs w:val="20"/>
                <w:lang w:val="en-US"/>
              </w:rPr>
            </w:pPr>
            <w:r w:rsidRPr="0010611E">
              <w:rPr>
                <w:b/>
                <w:sz w:val="20"/>
                <w:szCs w:val="20"/>
                <w:lang w:val="en-US"/>
              </w:rPr>
              <w:t>Her Majesty the Queen (Ont.) (Criminal) (By Leave)</w:t>
            </w:r>
          </w:p>
          <w:p w:rsidR="006B3BE3" w:rsidRPr="0010611E" w:rsidRDefault="006B3BE3" w:rsidP="006B3BE3">
            <w:pPr>
              <w:widowControl w:val="0"/>
              <w:rPr>
                <w:b/>
                <w:sz w:val="20"/>
                <w:szCs w:val="20"/>
                <w:lang w:val="en-US"/>
              </w:rPr>
            </w:pPr>
          </w:p>
          <w:p w:rsidR="006B3BE3" w:rsidRPr="0010611E" w:rsidRDefault="006B3BE3" w:rsidP="006B3BE3">
            <w:pPr>
              <w:widowControl w:val="0"/>
              <w:rPr>
                <w:sz w:val="20"/>
                <w:szCs w:val="20"/>
                <w:lang w:val="en-US"/>
              </w:rPr>
            </w:pPr>
            <w:r w:rsidRPr="0010611E">
              <w:rPr>
                <w:b/>
                <w:sz w:val="20"/>
                <w:szCs w:val="20"/>
                <w:lang w:val="en-US"/>
              </w:rPr>
              <w:t xml:space="preserve">- </w:t>
            </w:r>
            <w:r w:rsidRPr="0010611E">
              <w:rPr>
                <w:sz w:val="20"/>
                <w:szCs w:val="20"/>
                <w:lang w:val="en-US"/>
              </w:rPr>
              <w:t>et / and –</w:t>
            </w:r>
          </w:p>
          <w:p w:rsidR="006B3BE3" w:rsidRPr="0010611E" w:rsidRDefault="006B3BE3" w:rsidP="006B3BE3">
            <w:pPr>
              <w:widowControl w:val="0"/>
              <w:rPr>
                <w:sz w:val="20"/>
                <w:szCs w:val="20"/>
                <w:lang w:val="en-US"/>
              </w:rPr>
            </w:pPr>
          </w:p>
          <w:p w:rsidR="006B3BE3" w:rsidRPr="0010611E" w:rsidRDefault="006B3BE3" w:rsidP="006B3BE3">
            <w:pPr>
              <w:widowControl w:val="0"/>
              <w:rPr>
                <w:b/>
                <w:sz w:val="20"/>
                <w:szCs w:val="20"/>
                <w:lang w:val="en-US"/>
              </w:rPr>
            </w:pPr>
            <w:r w:rsidRPr="0010611E">
              <w:rPr>
                <w:b/>
                <w:sz w:val="20"/>
                <w:szCs w:val="20"/>
                <w:lang w:val="en-US"/>
              </w:rPr>
              <w:t>Edward Tinker et al.</w:t>
            </w:r>
          </w:p>
          <w:p w:rsidR="006B3BE3" w:rsidRPr="0010611E" w:rsidRDefault="006B3BE3" w:rsidP="006B3BE3">
            <w:pPr>
              <w:widowControl w:val="0"/>
              <w:rPr>
                <w:b/>
                <w:sz w:val="20"/>
                <w:szCs w:val="20"/>
                <w:lang w:val="en-US"/>
              </w:rPr>
            </w:pPr>
          </w:p>
          <w:p w:rsidR="006B3BE3" w:rsidRPr="0010611E" w:rsidRDefault="006B3BE3" w:rsidP="006B3BE3">
            <w:pPr>
              <w:widowControl w:val="0"/>
              <w:rPr>
                <w:b/>
                <w:sz w:val="20"/>
                <w:szCs w:val="20"/>
                <w:lang w:val="en-US"/>
              </w:rPr>
            </w:pPr>
            <w:r w:rsidRPr="0010611E">
              <w:rPr>
                <w:b/>
                <w:sz w:val="20"/>
                <w:szCs w:val="20"/>
                <w:lang w:val="en-US"/>
              </w:rPr>
              <w:tab/>
              <w:t xml:space="preserve">v. </w:t>
            </w:r>
            <w:r w:rsidRPr="0010611E">
              <w:rPr>
                <w:sz w:val="20"/>
                <w:szCs w:val="20"/>
                <w:lang w:val="en-US"/>
              </w:rPr>
              <w:t>(</w:t>
            </w:r>
            <w:hyperlink r:id="rId50" w:history="1">
              <w:r w:rsidRPr="0010611E">
                <w:rPr>
                  <w:rStyle w:val="Hyperlink"/>
                  <w:sz w:val="20"/>
                  <w:szCs w:val="20"/>
                  <w:lang w:val="en-US"/>
                </w:rPr>
                <w:t>37774</w:t>
              </w:r>
            </w:hyperlink>
            <w:r w:rsidRPr="0010611E">
              <w:rPr>
                <w:sz w:val="20"/>
                <w:szCs w:val="20"/>
                <w:lang w:val="en-US"/>
              </w:rPr>
              <w:t>)</w:t>
            </w:r>
          </w:p>
          <w:p w:rsidR="006B3BE3" w:rsidRPr="0010611E" w:rsidRDefault="006B3BE3" w:rsidP="006B3BE3">
            <w:pPr>
              <w:widowControl w:val="0"/>
              <w:rPr>
                <w:b/>
                <w:sz w:val="20"/>
                <w:szCs w:val="20"/>
                <w:lang w:val="en-US"/>
              </w:rPr>
            </w:pPr>
          </w:p>
          <w:p w:rsidR="006B3BE3" w:rsidRPr="0010611E" w:rsidRDefault="006B3BE3" w:rsidP="006B3BE3">
            <w:pPr>
              <w:widowControl w:val="0"/>
              <w:rPr>
                <w:b/>
                <w:sz w:val="20"/>
                <w:szCs w:val="20"/>
                <w:lang w:val="en-US"/>
              </w:rPr>
            </w:pPr>
            <w:r w:rsidRPr="0010611E">
              <w:rPr>
                <w:b/>
                <w:sz w:val="20"/>
                <w:szCs w:val="20"/>
                <w:lang w:val="en-US"/>
              </w:rPr>
              <w:t>Her Majesty the Queen (Ont.) (Criminal) (By Leave)</w:t>
            </w:r>
          </w:p>
          <w:p w:rsidR="006B3BE3" w:rsidRPr="0010611E" w:rsidRDefault="006B3BE3" w:rsidP="006B3BE3">
            <w:pPr>
              <w:widowControl w:val="0"/>
              <w:rPr>
                <w:b/>
                <w:sz w:val="20"/>
                <w:szCs w:val="20"/>
                <w:lang w:val="en-US"/>
              </w:rPr>
            </w:pPr>
          </w:p>
          <w:p w:rsidR="006B3BE3" w:rsidRPr="0010611E" w:rsidRDefault="006B3BE3" w:rsidP="006B3BE3">
            <w:pPr>
              <w:widowControl w:val="0"/>
              <w:rPr>
                <w:sz w:val="20"/>
                <w:szCs w:val="20"/>
                <w:lang w:val="en-US"/>
              </w:rPr>
            </w:pPr>
            <w:r w:rsidRPr="0010611E">
              <w:rPr>
                <w:b/>
                <w:sz w:val="20"/>
                <w:szCs w:val="20"/>
                <w:lang w:val="en-US"/>
              </w:rPr>
              <w:t xml:space="preserve">- </w:t>
            </w:r>
            <w:r w:rsidRPr="0010611E">
              <w:rPr>
                <w:sz w:val="20"/>
                <w:szCs w:val="20"/>
                <w:lang w:val="en-US"/>
              </w:rPr>
              <w:t>et / and –</w:t>
            </w:r>
          </w:p>
          <w:p w:rsidR="006B3BE3" w:rsidRPr="0010611E" w:rsidRDefault="006B3BE3" w:rsidP="006B3BE3">
            <w:pPr>
              <w:widowControl w:val="0"/>
              <w:rPr>
                <w:sz w:val="20"/>
                <w:szCs w:val="20"/>
                <w:lang w:val="en-US"/>
              </w:rPr>
            </w:pPr>
          </w:p>
          <w:p w:rsidR="006B3BE3" w:rsidRPr="0010611E" w:rsidRDefault="006B3BE3" w:rsidP="006B3BE3">
            <w:pPr>
              <w:widowControl w:val="0"/>
              <w:rPr>
                <w:b/>
                <w:sz w:val="20"/>
                <w:szCs w:val="20"/>
                <w:lang w:val="fr-CA"/>
              </w:rPr>
            </w:pPr>
            <w:r w:rsidRPr="0010611E">
              <w:rPr>
                <w:b/>
                <w:sz w:val="20"/>
                <w:szCs w:val="20"/>
                <w:lang w:val="fr-CA"/>
              </w:rPr>
              <w:t>Daniel Larocque</w:t>
            </w:r>
          </w:p>
          <w:p w:rsidR="006B3BE3" w:rsidRPr="0010611E" w:rsidRDefault="006B3BE3" w:rsidP="006B3BE3">
            <w:pPr>
              <w:widowControl w:val="0"/>
              <w:rPr>
                <w:b/>
                <w:sz w:val="20"/>
                <w:szCs w:val="20"/>
                <w:lang w:val="fr-CA"/>
              </w:rPr>
            </w:pPr>
          </w:p>
          <w:p w:rsidR="006B3BE3" w:rsidRPr="0010611E" w:rsidRDefault="006B3BE3" w:rsidP="006B3BE3">
            <w:pPr>
              <w:widowControl w:val="0"/>
              <w:rPr>
                <w:b/>
                <w:sz w:val="20"/>
                <w:szCs w:val="20"/>
                <w:lang w:val="fr-CA"/>
              </w:rPr>
            </w:pPr>
            <w:r w:rsidRPr="0010611E">
              <w:rPr>
                <w:b/>
                <w:sz w:val="20"/>
                <w:szCs w:val="20"/>
                <w:lang w:val="fr-CA"/>
              </w:rPr>
              <w:tab/>
              <w:t xml:space="preserve">c. </w:t>
            </w:r>
            <w:r w:rsidRPr="0010611E">
              <w:rPr>
                <w:sz w:val="20"/>
                <w:szCs w:val="20"/>
                <w:lang w:val="fr-CA"/>
              </w:rPr>
              <w:t>(</w:t>
            </w:r>
            <w:hyperlink r:id="rId51" w:history="1">
              <w:r w:rsidRPr="0010611E">
                <w:rPr>
                  <w:rStyle w:val="Hyperlink"/>
                  <w:sz w:val="20"/>
                  <w:szCs w:val="20"/>
                  <w:lang w:val="fr-CA"/>
                </w:rPr>
                <w:t>37783</w:t>
              </w:r>
            </w:hyperlink>
            <w:r w:rsidRPr="0010611E">
              <w:rPr>
                <w:sz w:val="20"/>
                <w:szCs w:val="20"/>
                <w:lang w:val="fr-CA"/>
              </w:rPr>
              <w:t>)</w:t>
            </w:r>
          </w:p>
          <w:p w:rsidR="006B3BE3" w:rsidRPr="0010611E" w:rsidRDefault="006B3BE3" w:rsidP="006B3BE3">
            <w:pPr>
              <w:widowControl w:val="0"/>
              <w:rPr>
                <w:b/>
                <w:sz w:val="20"/>
                <w:szCs w:val="20"/>
                <w:lang w:val="fr-CA"/>
              </w:rPr>
            </w:pPr>
          </w:p>
          <w:p w:rsidR="006B3BE3" w:rsidRPr="0010611E" w:rsidRDefault="006B3BE3" w:rsidP="006B3BE3">
            <w:pPr>
              <w:widowControl w:val="0"/>
              <w:rPr>
                <w:b/>
                <w:sz w:val="20"/>
                <w:szCs w:val="20"/>
                <w:lang w:val="fr-CA"/>
              </w:rPr>
            </w:pPr>
            <w:r w:rsidRPr="0010611E">
              <w:rPr>
                <w:b/>
                <w:sz w:val="20"/>
                <w:szCs w:val="20"/>
                <w:lang w:val="fr-CA"/>
              </w:rPr>
              <w:t>Sa Majesté la Reine et al. (Ont.) (Criminelle) (Autorisation)</w:t>
            </w:r>
          </w:p>
          <w:p w:rsidR="007C47C2" w:rsidRPr="0010611E" w:rsidRDefault="007C47C2" w:rsidP="006B3BE3">
            <w:pPr>
              <w:widowControl w:val="0"/>
              <w:rPr>
                <w:sz w:val="20"/>
                <w:szCs w:val="20"/>
                <w:lang w:val="fr-CA"/>
              </w:rPr>
            </w:pPr>
          </w:p>
        </w:tc>
        <w:tc>
          <w:tcPr>
            <w:tcW w:w="720" w:type="dxa"/>
            <w:tcMar>
              <w:left w:w="0" w:type="dxa"/>
              <w:right w:w="0" w:type="dxa"/>
            </w:tcMar>
          </w:tcPr>
          <w:p w:rsidR="007C47C2" w:rsidRPr="0010611E" w:rsidRDefault="007C47C2" w:rsidP="00E942C2">
            <w:pPr>
              <w:widowControl w:val="0"/>
              <w:jc w:val="center"/>
              <w:rPr>
                <w:sz w:val="20"/>
                <w:szCs w:val="20"/>
                <w:lang w:val="fr-CA"/>
              </w:rPr>
            </w:pPr>
          </w:p>
        </w:tc>
        <w:tc>
          <w:tcPr>
            <w:tcW w:w="4380" w:type="dxa"/>
            <w:tcMar>
              <w:left w:w="0" w:type="dxa"/>
              <w:right w:w="0" w:type="dxa"/>
            </w:tcMar>
          </w:tcPr>
          <w:p w:rsidR="00727C86" w:rsidRPr="0010611E" w:rsidRDefault="00727C86" w:rsidP="00727C86">
            <w:pPr>
              <w:rPr>
                <w:sz w:val="20"/>
                <w:szCs w:val="20"/>
                <w:lang w:val="fr-CA"/>
              </w:rPr>
            </w:pPr>
            <w:r w:rsidRPr="0010611E">
              <w:rPr>
                <w:sz w:val="20"/>
                <w:szCs w:val="20"/>
                <w:lang w:val="fr-CA"/>
              </w:rPr>
              <w:t>Yves Gratton pour l’appelant (37427) Alex Boudreault.</w:t>
            </w:r>
          </w:p>
          <w:p w:rsidR="00727C86" w:rsidRPr="0010611E" w:rsidRDefault="00727C86" w:rsidP="00727C86">
            <w:pPr>
              <w:rPr>
                <w:sz w:val="20"/>
                <w:szCs w:val="20"/>
                <w:lang w:val="fr-CA"/>
              </w:rPr>
            </w:pPr>
          </w:p>
          <w:p w:rsidR="007C47C2" w:rsidRPr="0010611E" w:rsidRDefault="00727C86" w:rsidP="00727C86">
            <w:pPr>
              <w:rPr>
                <w:sz w:val="20"/>
                <w:szCs w:val="20"/>
                <w:lang w:val="en-US"/>
              </w:rPr>
            </w:pPr>
            <w:r w:rsidRPr="0010611E">
              <w:rPr>
                <w:sz w:val="20"/>
                <w:szCs w:val="20"/>
                <w:lang w:val="en-US"/>
              </w:rPr>
              <w:t xml:space="preserve">James </w:t>
            </w:r>
            <w:proofErr w:type="spellStart"/>
            <w:r w:rsidRPr="0010611E">
              <w:rPr>
                <w:sz w:val="20"/>
                <w:szCs w:val="20"/>
                <w:lang w:val="en-US"/>
              </w:rPr>
              <w:t>Foord</w:t>
            </w:r>
            <w:proofErr w:type="spellEnd"/>
            <w:r w:rsidRPr="0010611E">
              <w:rPr>
                <w:sz w:val="20"/>
                <w:szCs w:val="20"/>
                <w:lang w:val="en-US"/>
              </w:rPr>
              <w:t xml:space="preserve"> and Brandon Crawford for the Appellant (37782) Garrett Eckstein.</w:t>
            </w:r>
          </w:p>
          <w:p w:rsidR="00727C86" w:rsidRPr="0010611E" w:rsidRDefault="00727C86" w:rsidP="00727C86">
            <w:pPr>
              <w:rPr>
                <w:sz w:val="20"/>
                <w:szCs w:val="20"/>
                <w:lang w:val="en-US"/>
              </w:rPr>
            </w:pPr>
          </w:p>
          <w:p w:rsidR="00727C86" w:rsidRPr="0010611E" w:rsidRDefault="00727C86" w:rsidP="00727C86">
            <w:pPr>
              <w:rPr>
                <w:sz w:val="20"/>
                <w:szCs w:val="20"/>
                <w:lang w:val="fr-CA"/>
              </w:rPr>
            </w:pPr>
            <w:r w:rsidRPr="0010611E">
              <w:rPr>
                <w:sz w:val="20"/>
                <w:szCs w:val="20"/>
                <w:lang w:val="fr-CA"/>
              </w:rPr>
              <w:t xml:space="preserve">Yves </w:t>
            </w:r>
            <w:proofErr w:type="spellStart"/>
            <w:r w:rsidRPr="0010611E">
              <w:rPr>
                <w:sz w:val="20"/>
                <w:szCs w:val="20"/>
                <w:lang w:val="fr-CA"/>
              </w:rPr>
              <w:t>Jubinville</w:t>
            </w:r>
            <w:proofErr w:type="spellEnd"/>
            <w:r w:rsidRPr="0010611E">
              <w:rPr>
                <w:sz w:val="20"/>
                <w:szCs w:val="20"/>
                <w:lang w:val="fr-CA"/>
              </w:rPr>
              <w:t xml:space="preserve"> et Maryse Renaud pour les appelants (37783) Daniel Larocque, et al.</w:t>
            </w:r>
          </w:p>
          <w:p w:rsidR="00727C86" w:rsidRPr="0010611E" w:rsidRDefault="00727C86" w:rsidP="00727C86">
            <w:pPr>
              <w:rPr>
                <w:sz w:val="20"/>
                <w:szCs w:val="20"/>
                <w:lang w:val="fr-CA"/>
              </w:rPr>
            </w:pPr>
          </w:p>
          <w:p w:rsidR="00727C86" w:rsidRPr="0010611E" w:rsidRDefault="00727C86" w:rsidP="00727C86">
            <w:pPr>
              <w:rPr>
                <w:sz w:val="20"/>
                <w:szCs w:val="20"/>
                <w:lang w:val="en-US"/>
              </w:rPr>
            </w:pPr>
            <w:r w:rsidRPr="0010611E">
              <w:rPr>
                <w:sz w:val="20"/>
                <w:szCs w:val="20"/>
                <w:lang w:val="en-US"/>
              </w:rPr>
              <w:t>Daniel C. Santoro</w:t>
            </w:r>
            <w:r w:rsidRPr="0010611E">
              <w:rPr>
                <w:sz w:val="20"/>
                <w:szCs w:val="20"/>
                <w:lang w:val="en-US"/>
              </w:rPr>
              <w:tab/>
              <w:t xml:space="preserve">, Delmar Doucette and Megan </w:t>
            </w:r>
            <w:proofErr w:type="spellStart"/>
            <w:r w:rsidRPr="0010611E">
              <w:rPr>
                <w:sz w:val="20"/>
                <w:szCs w:val="20"/>
                <w:lang w:val="en-US"/>
              </w:rPr>
              <w:t>Howatt</w:t>
            </w:r>
            <w:proofErr w:type="spellEnd"/>
            <w:r w:rsidRPr="0010611E">
              <w:rPr>
                <w:sz w:val="20"/>
                <w:szCs w:val="20"/>
                <w:lang w:val="en-US"/>
              </w:rPr>
              <w:t xml:space="preserve"> for the Appellants (37774) Edward Tinker, et al.</w:t>
            </w:r>
          </w:p>
          <w:p w:rsidR="00727C86" w:rsidRPr="0010611E" w:rsidRDefault="00727C86" w:rsidP="00727C86">
            <w:pPr>
              <w:rPr>
                <w:sz w:val="20"/>
                <w:szCs w:val="20"/>
                <w:lang w:val="en-US"/>
              </w:rPr>
            </w:pPr>
          </w:p>
          <w:p w:rsidR="00727C86" w:rsidRPr="0010611E" w:rsidRDefault="00727C86" w:rsidP="00727C86">
            <w:pPr>
              <w:rPr>
                <w:sz w:val="20"/>
                <w:szCs w:val="20"/>
                <w:lang w:val="en-US"/>
              </w:rPr>
            </w:pPr>
            <w:r w:rsidRPr="0010611E">
              <w:rPr>
                <w:sz w:val="20"/>
                <w:szCs w:val="20"/>
                <w:lang w:val="en-US"/>
              </w:rPr>
              <w:t xml:space="preserve">Jonathan </w:t>
            </w:r>
            <w:proofErr w:type="spellStart"/>
            <w:r w:rsidRPr="0010611E">
              <w:rPr>
                <w:sz w:val="20"/>
                <w:szCs w:val="20"/>
                <w:lang w:val="en-US"/>
              </w:rPr>
              <w:t>Rudin</w:t>
            </w:r>
            <w:proofErr w:type="spellEnd"/>
            <w:r w:rsidRPr="0010611E">
              <w:rPr>
                <w:sz w:val="20"/>
                <w:szCs w:val="20"/>
                <w:lang w:val="en-US"/>
              </w:rPr>
              <w:t xml:space="preserve"> and Caitlyn E. Kasper for the Intervener (37427-37774) Aboriginal Legal Services.</w:t>
            </w:r>
          </w:p>
          <w:p w:rsidR="00727C86" w:rsidRPr="0010611E" w:rsidRDefault="00727C86" w:rsidP="00727C86">
            <w:pPr>
              <w:rPr>
                <w:sz w:val="20"/>
                <w:szCs w:val="20"/>
                <w:lang w:val="en-US"/>
              </w:rPr>
            </w:pPr>
          </w:p>
          <w:p w:rsidR="00727C86" w:rsidRPr="0010611E" w:rsidRDefault="00727C86" w:rsidP="00727C86">
            <w:pPr>
              <w:rPr>
                <w:sz w:val="20"/>
                <w:szCs w:val="20"/>
                <w:lang w:val="en-US"/>
              </w:rPr>
            </w:pPr>
            <w:r w:rsidRPr="0010611E">
              <w:rPr>
                <w:sz w:val="20"/>
                <w:szCs w:val="20"/>
                <w:lang w:val="en-US"/>
              </w:rPr>
              <w:t xml:space="preserve">Jackie </w:t>
            </w:r>
            <w:proofErr w:type="spellStart"/>
            <w:r w:rsidRPr="0010611E">
              <w:rPr>
                <w:sz w:val="20"/>
                <w:szCs w:val="20"/>
                <w:lang w:val="en-US"/>
              </w:rPr>
              <w:t>Esmonde</w:t>
            </w:r>
            <w:proofErr w:type="spellEnd"/>
            <w:r w:rsidRPr="0010611E">
              <w:rPr>
                <w:sz w:val="20"/>
                <w:szCs w:val="20"/>
                <w:lang w:val="en-US"/>
              </w:rPr>
              <w:t xml:space="preserve">, Daniel Rohde and Marie Chen for the Interveners (37427-37774-37782-37783) </w:t>
            </w:r>
            <w:proofErr w:type="spellStart"/>
            <w:r w:rsidRPr="0010611E">
              <w:rPr>
                <w:sz w:val="20"/>
                <w:szCs w:val="20"/>
                <w:lang w:val="en-US"/>
              </w:rPr>
              <w:t>Colour</w:t>
            </w:r>
            <w:proofErr w:type="spellEnd"/>
            <w:r w:rsidRPr="0010611E">
              <w:rPr>
                <w:sz w:val="20"/>
                <w:szCs w:val="20"/>
                <w:lang w:val="en-US"/>
              </w:rPr>
              <w:t xml:space="preserve"> of Poverty – </w:t>
            </w:r>
            <w:proofErr w:type="spellStart"/>
            <w:r w:rsidRPr="0010611E">
              <w:rPr>
                <w:sz w:val="20"/>
                <w:szCs w:val="20"/>
                <w:lang w:val="en-US"/>
              </w:rPr>
              <w:t>Colour</w:t>
            </w:r>
            <w:proofErr w:type="spellEnd"/>
            <w:r w:rsidRPr="0010611E">
              <w:rPr>
                <w:sz w:val="20"/>
                <w:szCs w:val="20"/>
                <w:lang w:val="en-US"/>
              </w:rPr>
              <w:t xml:space="preserve"> of Change, et al.</w:t>
            </w:r>
          </w:p>
          <w:p w:rsidR="00727C86" w:rsidRPr="0010611E" w:rsidRDefault="00727C86" w:rsidP="00727C86">
            <w:pPr>
              <w:rPr>
                <w:sz w:val="20"/>
                <w:szCs w:val="20"/>
                <w:lang w:val="en-US"/>
              </w:rPr>
            </w:pPr>
          </w:p>
          <w:p w:rsidR="00727C86" w:rsidRPr="0010611E" w:rsidRDefault="00727C86" w:rsidP="00727C86">
            <w:pPr>
              <w:rPr>
                <w:sz w:val="20"/>
                <w:szCs w:val="20"/>
                <w:lang w:val="en-US"/>
              </w:rPr>
            </w:pPr>
            <w:proofErr w:type="spellStart"/>
            <w:r w:rsidRPr="0010611E">
              <w:rPr>
                <w:sz w:val="20"/>
                <w:szCs w:val="20"/>
                <w:lang w:val="en-US"/>
              </w:rPr>
              <w:t>Stobo</w:t>
            </w:r>
            <w:proofErr w:type="spellEnd"/>
            <w:r w:rsidRPr="0010611E">
              <w:rPr>
                <w:sz w:val="20"/>
                <w:szCs w:val="20"/>
                <w:lang w:val="en-US"/>
              </w:rPr>
              <w:t xml:space="preserve"> </w:t>
            </w:r>
            <w:proofErr w:type="spellStart"/>
            <w:r w:rsidRPr="0010611E">
              <w:rPr>
                <w:sz w:val="20"/>
                <w:szCs w:val="20"/>
                <w:lang w:val="en-US"/>
              </w:rPr>
              <w:t>Sniderman</w:t>
            </w:r>
            <w:proofErr w:type="spellEnd"/>
            <w:r w:rsidRPr="0010611E">
              <w:rPr>
                <w:sz w:val="20"/>
                <w:szCs w:val="20"/>
                <w:lang w:val="en-US"/>
              </w:rPr>
              <w:tab/>
              <w:t>for the Intervener (37427-37774) Yukon Legal Services Society.</w:t>
            </w:r>
          </w:p>
          <w:p w:rsidR="00727C86" w:rsidRPr="0010611E" w:rsidRDefault="00727C86" w:rsidP="00727C86">
            <w:pPr>
              <w:rPr>
                <w:sz w:val="20"/>
                <w:szCs w:val="20"/>
                <w:lang w:val="en-US"/>
              </w:rPr>
            </w:pPr>
          </w:p>
          <w:p w:rsidR="00727C86" w:rsidRPr="0010611E" w:rsidRDefault="00727C86" w:rsidP="00727C86">
            <w:pPr>
              <w:rPr>
                <w:sz w:val="20"/>
                <w:szCs w:val="20"/>
                <w:lang w:val="en-US"/>
              </w:rPr>
            </w:pPr>
            <w:r w:rsidRPr="0010611E">
              <w:rPr>
                <w:sz w:val="20"/>
                <w:szCs w:val="20"/>
                <w:lang w:val="en-US"/>
              </w:rPr>
              <w:t xml:space="preserve">Graham </w:t>
            </w:r>
            <w:proofErr w:type="spellStart"/>
            <w:r w:rsidRPr="0010611E">
              <w:rPr>
                <w:sz w:val="20"/>
                <w:szCs w:val="20"/>
                <w:lang w:val="en-US"/>
              </w:rPr>
              <w:t>Kosakoski</w:t>
            </w:r>
            <w:proofErr w:type="spellEnd"/>
            <w:r w:rsidRPr="0010611E">
              <w:rPr>
                <w:sz w:val="20"/>
                <w:szCs w:val="20"/>
                <w:lang w:val="en-US"/>
              </w:rPr>
              <w:t xml:space="preserve"> and D.J. Larkin for the Intervener (37427) Pivot Legal Society.</w:t>
            </w:r>
          </w:p>
          <w:p w:rsidR="00727C86" w:rsidRPr="0010611E" w:rsidRDefault="00727C86" w:rsidP="00727C86">
            <w:pPr>
              <w:rPr>
                <w:sz w:val="20"/>
                <w:szCs w:val="20"/>
                <w:lang w:val="en-US"/>
              </w:rPr>
            </w:pPr>
          </w:p>
          <w:p w:rsidR="00727C86" w:rsidRPr="0010611E" w:rsidRDefault="00727C86" w:rsidP="00727C86">
            <w:pPr>
              <w:rPr>
                <w:sz w:val="20"/>
                <w:szCs w:val="20"/>
                <w:lang w:val="en-US"/>
              </w:rPr>
            </w:pPr>
            <w:proofErr w:type="spellStart"/>
            <w:r w:rsidRPr="0010611E">
              <w:rPr>
                <w:sz w:val="20"/>
                <w:szCs w:val="20"/>
                <w:lang w:val="en-US"/>
              </w:rPr>
              <w:t>Vanora</w:t>
            </w:r>
            <w:proofErr w:type="spellEnd"/>
            <w:r w:rsidRPr="0010611E">
              <w:rPr>
                <w:sz w:val="20"/>
                <w:szCs w:val="20"/>
                <w:lang w:val="en-US"/>
              </w:rPr>
              <w:t xml:space="preserve"> Simpson and Breana </w:t>
            </w:r>
            <w:proofErr w:type="spellStart"/>
            <w:r w:rsidRPr="0010611E">
              <w:rPr>
                <w:sz w:val="20"/>
                <w:szCs w:val="20"/>
                <w:lang w:val="en-US"/>
              </w:rPr>
              <w:t>Vandebeek</w:t>
            </w:r>
            <w:proofErr w:type="spellEnd"/>
            <w:r w:rsidRPr="0010611E">
              <w:rPr>
                <w:sz w:val="20"/>
                <w:szCs w:val="20"/>
                <w:lang w:val="en-US"/>
              </w:rPr>
              <w:t xml:space="preserve"> for the Intervener (37774) Criminal Lawyers’ Association of Ontario.</w:t>
            </w:r>
          </w:p>
          <w:p w:rsidR="00727C86" w:rsidRPr="0010611E" w:rsidRDefault="00727C86" w:rsidP="00727C86">
            <w:pPr>
              <w:rPr>
                <w:sz w:val="20"/>
                <w:szCs w:val="20"/>
                <w:lang w:val="en-US"/>
              </w:rPr>
            </w:pPr>
          </w:p>
          <w:p w:rsidR="00727C86" w:rsidRPr="0010611E" w:rsidRDefault="00727C86" w:rsidP="00727C86">
            <w:pPr>
              <w:rPr>
                <w:sz w:val="20"/>
                <w:szCs w:val="20"/>
                <w:lang w:val="en-US"/>
              </w:rPr>
            </w:pPr>
            <w:r w:rsidRPr="0010611E">
              <w:rPr>
                <w:sz w:val="20"/>
                <w:szCs w:val="20"/>
                <w:lang w:val="en-US"/>
              </w:rPr>
              <w:t xml:space="preserve">Christopher D. </w:t>
            </w:r>
            <w:proofErr w:type="spellStart"/>
            <w:r w:rsidRPr="0010611E">
              <w:rPr>
                <w:sz w:val="20"/>
                <w:szCs w:val="20"/>
                <w:lang w:val="en-US"/>
              </w:rPr>
              <w:t>Bredt</w:t>
            </w:r>
            <w:proofErr w:type="spellEnd"/>
            <w:r w:rsidRPr="0010611E">
              <w:rPr>
                <w:sz w:val="20"/>
                <w:szCs w:val="20"/>
                <w:lang w:val="en-US"/>
              </w:rPr>
              <w:t xml:space="preserve">, Pierre N. </w:t>
            </w:r>
            <w:proofErr w:type="spellStart"/>
            <w:r w:rsidRPr="0010611E">
              <w:rPr>
                <w:sz w:val="20"/>
                <w:szCs w:val="20"/>
                <w:lang w:val="en-US"/>
              </w:rPr>
              <w:t>Gemson</w:t>
            </w:r>
            <w:proofErr w:type="spellEnd"/>
            <w:r w:rsidRPr="0010611E">
              <w:rPr>
                <w:sz w:val="20"/>
                <w:szCs w:val="20"/>
                <w:lang w:val="en-US"/>
              </w:rPr>
              <w:t xml:space="preserve"> and Alannah M. Fotheringham for the Intervener (37427-37774-37782-37783) Canadian Civil Liberties Association.</w:t>
            </w:r>
          </w:p>
          <w:p w:rsidR="00727C86" w:rsidRPr="0010611E" w:rsidRDefault="00727C86" w:rsidP="00727C86">
            <w:pPr>
              <w:rPr>
                <w:sz w:val="20"/>
                <w:szCs w:val="20"/>
                <w:lang w:val="en-US"/>
              </w:rPr>
            </w:pPr>
          </w:p>
          <w:p w:rsidR="00727C86" w:rsidRPr="0010611E" w:rsidRDefault="00727C86" w:rsidP="00727C86">
            <w:pPr>
              <w:rPr>
                <w:sz w:val="20"/>
                <w:szCs w:val="20"/>
                <w:lang w:val="en-US"/>
              </w:rPr>
            </w:pPr>
            <w:r w:rsidRPr="0010611E">
              <w:rPr>
                <w:sz w:val="20"/>
                <w:szCs w:val="20"/>
                <w:lang w:val="en-US"/>
              </w:rPr>
              <w:t xml:space="preserve">Greg J. Allen and Nicole C. </w:t>
            </w:r>
            <w:proofErr w:type="spellStart"/>
            <w:r w:rsidRPr="0010611E">
              <w:rPr>
                <w:sz w:val="20"/>
                <w:szCs w:val="20"/>
                <w:lang w:val="en-US"/>
              </w:rPr>
              <w:t>Gilewicz</w:t>
            </w:r>
            <w:proofErr w:type="spellEnd"/>
            <w:r w:rsidRPr="0010611E">
              <w:rPr>
                <w:sz w:val="20"/>
                <w:szCs w:val="20"/>
                <w:lang w:val="en-US"/>
              </w:rPr>
              <w:t xml:space="preserve"> for the Intervener (37427) British Columbia Civil Liberties Association.</w:t>
            </w:r>
          </w:p>
          <w:p w:rsidR="00727C86" w:rsidRPr="0010611E" w:rsidRDefault="00727C86" w:rsidP="00727C86">
            <w:pPr>
              <w:rPr>
                <w:sz w:val="20"/>
                <w:szCs w:val="20"/>
                <w:lang w:val="en-US"/>
              </w:rPr>
            </w:pPr>
          </w:p>
          <w:p w:rsidR="00727C86" w:rsidRPr="0010611E" w:rsidRDefault="00727C86" w:rsidP="00727C86">
            <w:pPr>
              <w:rPr>
                <w:sz w:val="20"/>
                <w:szCs w:val="20"/>
                <w:lang w:val="fr-CA"/>
              </w:rPr>
            </w:pPr>
            <w:r w:rsidRPr="0010611E">
              <w:rPr>
                <w:sz w:val="20"/>
                <w:szCs w:val="20"/>
                <w:lang w:val="fr-CA"/>
              </w:rPr>
              <w:t xml:space="preserve">Julien Bernard, Julie </w:t>
            </w:r>
            <w:proofErr w:type="spellStart"/>
            <w:r w:rsidRPr="0010611E">
              <w:rPr>
                <w:sz w:val="20"/>
                <w:szCs w:val="20"/>
                <w:lang w:val="fr-CA"/>
              </w:rPr>
              <w:t>Dassylva</w:t>
            </w:r>
            <w:proofErr w:type="spellEnd"/>
            <w:r w:rsidRPr="0010611E">
              <w:rPr>
                <w:sz w:val="20"/>
                <w:szCs w:val="20"/>
                <w:lang w:val="fr-CA"/>
              </w:rPr>
              <w:t xml:space="preserve"> et Sylvain </w:t>
            </w:r>
            <w:proofErr w:type="spellStart"/>
            <w:r w:rsidRPr="0010611E">
              <w:rPr>
                <w:sz w:val="20"/>
                <w:szCs w:val="20"/>
                <w:lang w:val="fr-CA"/>
              </w:rPr>
              <w:t>Leboeuf</w:t>
            </w:r>
            <w:proofErr w:type="spellEnd"/>
            <w:r w:rsidRPr="0010611E">
              <w:rPr>
                <w:sz w:val="20"/>
                <w:szCs w:val="20"/>
                <w:lang w:val="fr-CA"/>
              </w:rPr>
              <w:t xml:space="preserve"> pour l’intimée (37427) Procureure générale du Québec.</w:t>
            </w:r>
          </w:p>
          <w:p w:rsidR="00727C86" w:rsidRPr="0010611E" w:rsidRDefault="00727C86" w:rsidP="00727C86">
            <w:pPr>
              <w:rPr>
                <w:sz w:val="20"/>
                <w:szCs w:val="20"/>
                <w:lang w:val="fr-CA"/>
              </w:rPr>
            </w:pPr>
          </w:p>
          <w:p w:rsidR="00727C86" w:rsidRPr="0010611E" w:rsidRDefault="00727C86" w:rsidP="00727C86">
            <w:pPr>
              <w:rPr>
                <w:sz w:val="20"/>
                <w:szCs w:val="20"/>
                <w:lang w:val="en-US"/>
              </w:rPr>
            </w:pPr>
            <w:r w:rsidRPr="0010611E">
              <w:rPr>
                <w:sz w:val="20"/>
                <w:szCs w:val="20"/>
                <w:lang w:val="en-US"/>
              </w:rPr>
              <w:t xml:space="preserve">Michael </w:t>
            </w:r>
            <w:proofErr w:type="spellStart"/>
            <w:r w:rsidRPr="0010611E">
              <w:rPr>
                <w:sz w:val="20"/>
                <w:szCs w:val="20"/>
                <w:lang w:val="en-US"/>
              </w:rPr>
              <w:t>Perlin</w:t>
            </w:r>
            <w:proofErr w:type="spellEnd"/>
            <w:r w:rsidRPr="0010611E">
              <w:rPr>
                <w:sz w:val="20"/>
                <w:szCs w:val="20"/>
                <w:lang w:val="en-US"/>
              </w:rPr>
              <w:t xml:space="preserve"> and Philippe </w:t>
            </w:r>
            <w:proofErr w:type="spellStart"/>
            <w:r w:rsidRPr="0010611E">
              <w:rPr>
                <w:sz w:val="20"/>
                <w:szCs w:val="20"/>
                <w:lang w:val="en-US"/>
              </w:rPr>
              <w:t>Cowle</w:t>
            </w:r>
            <w:proofErr w:type="spellEnd"/>
            <w:r w:rsidRPr="0010611E">
              <w:rPr>
                <w:sz w:val="20"/>
                <w:szCs w:val="20"/>
                <w:lang w:val="en-US"/>
              </w:rPr>
              <w:t xml:space="preserve"> for the Respondent (37782-37774-37783) Attorney General of Ontario.</w:t>
            </w:r>
          </w:p>
          <w:p w:rsidR="00727C86" w:rsidRPr="0010611E" w:rsidRDefault="00727C86" w:rsidP="00727C86">
            <w:pPr>
              <w:rPr>
                <w:sz w:val="20"/>
                <w:szCs w:val="20"/>
                <w:lang w:val="en-US"/>
              </w:rPr>
            </w:pPr>
          </w:p>
          <w:p w:rsidR="00727C86" w:rsidRPr="0010611E" w:rsidRDefault="00727C86" w:rsidP="00727C86">
            <w:pPr>
              <w:rPr>
                <w:sz w:val="20"/>
                <w:szCs w:val="20"/>
                <w:lang w:val="fr-CA"/>
              </w:rPr>
            </w:pPr>
            <w:r w:rsidRPr="0010611E">
              <w:rPr>
                <w:sz w:val="20"/>
                <w:szCs w:val="20"/>
                <w:lang w:val="fr-CA"/>
              </w:rPr>
              <w:t>Louis-Charles Bal pour l’intimée (37427) Sa Majesté la Reine.</w:t>
            </w:r>
          </w:p>
          <w:p w:rsidR="00727C86" w:rsidRPr="0010611E" w:rsidRDefault="00727C86" w:rsidP="00727C86">
            <w:pPr>
              <w:rPr>
                <w:sz w:val="20"/>
                <w:szCs w:val="20"/>
                <w:lang w:val="fr-CA"/>
              </w:rPr>
            </w:pPr>
          </w:p>
          <w:p w:rsidR="00727C86" w:rsidRPr="0010611E" w:rsidRDefault="00727C86" w:rsidP="00727C86">
            <w:pPr>
              <w:rPr>
                <w:sz w:val="20"/>
                <w:szCs w:val="20"/>
                <w:lang w:val="en-US"/>
              </w:rPr>
            </w:pPr>
            <w:r w:rsidRPr="0010611E">
              <w:rPr>
                <w:sz w:val="20"/>
                <w:szCs w:val="20"/>
                <w:lang w:val="en-US"/>
              </w:rPr>
              <w:t xml:space="preserve">François </w:t>
            </w:r>
            <w:proofErr w:type="spellStart"/>
            <w:r w:rsidRPr="0010611E">
              <w:rPr>
                <w:sz w:val="20"/>
                <w:szCs w:val="20"/>
                <w:lang w:val="en-US"/>
              </w:rPr>
              <w:t>Lacasse</w:t>
            </w:r>
            <w:proofErr w:type="spellEnd"/>
            <w:r w:rsidRPr="0010611E">
              <w:rPr>
                <w:sz w:val="20"/>
                <w:szCs w:val="20"/>
                <w:lang w:val="en-US"/>
              </w:rPr>
              <w:t xml:space="preserve"> and Luc Boucher for the Respondent (37783) Director of Public Prosecutions.</w:t>
            </w:r>
          </w:p>
          <w:p w:rsidR="00727C86" w:rsidRPr="0010611E" w:rsidRDefault="00727C86" w:rsidP="00727C86">
            <w:pPr>
              <w:rPr>
                <w:sz w:val="20"/>
                <w:szCs w:val="20"/>
                <w:lang w:val="en-US"/>
              </w:rPr>
            </w:pPr>
          </w:p>
          <w:p w:rsidR="00727C86" w:rsidRPr="0010611E" w:rsidRDefault="00727C86" w:rsidP="00727C86">
            <w:pPr>
              <w:rPr>
                <w:sz w:val="20"/>
                <w:szCs w:val="20"/>
                <w:lang w:val="en-US"/>
              </w:rPr>
            </w:pPr>
            <w:r w:rsidRPr="0010611E">
              <w:rPr>
                <w:sz w:val="20"/>
                <w:szCs w:val="20"/>
                <w:lang w:val="en-US"/>
              </w:rPr>
              <w:t>Robert A. Fata for the Intervener (37427) Attorney General of Alberta.</w:t>
            </w:r>
          </w:p>
          <w:p w:rsidR="00727C86" w:rsidRPr="0010611E" w:rsidRDefault="00727C86" w:rsidP="00727C86">
            <w:pPr>
              <w:rPr>
                <w:sz w:val="20"/>
                <w:szCs w:val="20"/>
                <w:lang w:val="en-US"/>
              </w:rPr>
            </w:pPr>
          </w:p>
          <w:p w:rsidR="00727C86" w:rsidRPr="0010611E" w:rsidRDefault="00727C86" w:rsidP="00727C86">
            <w:pPr>
              <w:rPr>
                <w:sz w:val="20"/>
                <w:szCs w:val="20"/>
                <w:lang w:val="fr-CA"/>
              </w:rPr>
            </w:pPr>
            <w:r w:rsidRPr="0010611E">
              <w:rPr>
                <w:sz w:val="20"/>
                <w:szCs w:val="20"/>
                <w:lang w:val="fr-CA"/>
              </w:rPr>
              <w:t xml:space="preserve">Sylvain </w:t>
            </w:r>
            <w:proofErr w:type="spellStart"/>
            <w:r w:rsidRPr="0010611E">
              <w:rPr>
                <w:sz w:val="20"/>
                <w:szCs w:val="20"/>
                <w:lang w:val="fr-CA"/>
              </w:rPr>
              <w:t>Leboeuf</w:t>
            </w:r>
            <w:proofErr w:type="spellEnd"/>
            <w:r w:rsidRPr="0010611E">
              <w:rPr>
                <w:sz w:val="20"/>
                <w:szCs w:val="20"/>
                <w:lang w:val="fr-CA"/>
              </w:rPr>
              <w:t xml:space="preserve">, Julien Bernard et Julie </w:t>
            </w:r>
            <w:proofErr w:type="spellStart"/>
            <w:r w:rsidRPr="0010611E">
              <w:rPr>
                <w:sz w:val="20"/>
                <w:szCs w:val="20"/>
                <w:lang w:val="fr-CA"/>
              </w:rPr>
              <w:t>Dassylva</w:t>
            </w:r>
            <w:proofErr w:type="spellEnd"/>
            <w:r w:rsidRPr="0010611E">
              <w:rPr>
                <w:sz w:val="20"/>
                <w:szCs w:val="20"/>
                <w:lang w:val="fr-CA"/>
              </w:rPr>
              <w:t xml:space="preserve"> pour l’intervenante (37774) Procureure générale du Québec.</w:t>
            </w:r>
          </w:p>
        </w:tc>
      </w:tr>
    </w:tbl>
    <w:p w:rsidR="007C47C2" w:rsidRPr="0010611E" w:rsidRDefault="007C47C2" w:rsidP="007C47C2">
      <w:pPr>
        <w:widowControl w:val="0"/>
        <w:rPr>
          <w:sz w:val="20"/>
          <w:szCs w:val="20"/>
          <w:lang w:val="fr-CA"/>
        </w:rPr>
      </w:pPr>
    </w:p>
    <w:p w:rsidR="007C47C2" w:rsidRPr="0010611E" w:rsidRDefault="007C47C2" w:rsidP="007C47C2">
      <w:pPr>
        <w:widowControl w:val="0"/>
        <w:rPr>
          <w:sz w:val="20"/>
          <w:szCs w:val="20"/>
        </w:rPr>
      </w:pPr>
      <w:r w:rsidRPr="0010611E">
        <w:rPr>
          <w:b/>
          <w:sz w:val="20"/>
          <w:szCs w:val="20"/>
        </w:rPr>
        <w:t xml:space="preserve">RESERVED / </w:t>
      </w:r>
      <w:r w:rsidRPr="0010611E">
        <w:rPr>
          <w:b/>
          <w:sz w:val="20"/>
          <w:szCs w:val="20"/>
          <w:lang w:val="fr-CA"/>
        </w:rPr>
        <w:t>EN DÉLIBÉRÉ</w:t>
      </w:r>
    </w:p>
    <w:p w:rsidR="007C47C2" w:rsidRPr="0010611E" w:rsidRDefault="007C47C2" w:rsidP="007C47C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644959" w:rsidTr="00E942C2">
        <w:tc>
          <w:tcPr>
            <w:tcW w:w="4380" w:type="dxa"/>
            <w:tcMar>
              <w:left w:w="0" w:type="dxa"/>
              <w:right w:w="0" w:type="dxa"/>
            </w:tcMar>
          </w:tcPr>
          <w:p w:rsidR="007C47C2" w:rsidRPr="0010611E" w:rsidRDefault="007C47C2" w:rsidP="00E942C2">
            <w:pPr>
              <w:widowControl w:val="0"/>
              <w:jc w:val="both"/>
              <w:rPr>
                <w:b/>
                <w:sz w:val="20"/>
                <w:szCs w:val="20"/>
                <w:u w:val="single"/>
              </w:rPr>
            </w:pPr>
            <w:r w:rsidRPr="0010611E">
              <w:rPr>
                <w:b/>
                <w:sz w:val="20"/>
                <w:szCs w:val="20"/>
                <w:u w:val="single"/>
              </w:rPr>
              <w:t>Nature of the case:</w:t>
            </w:r>
          </w:p>
          <w:p w:rsidR="007C47C2" w:rsidRPr="0010611E" w:rsidRDefault="007C47C2" w:rsidP="00E942C2">
            <w:pPr>
              <w:widowControl w:val="0"/>
              <w:jc w:val="both"/>
              <w:rPr>
                <w:b/>
                <w:sz w:val="20"/>
                <w:szCs w:val="20"/>
              </w:rPr>
            </w:pPr>
          </w:p>
          <w:p w:rsidR="007C47C2" w:rsidRPr="0010611E" w:rsidRDefault="009C247B" w:rsidP="00E942C2">
            <w:pPr>
              <w:widowControl w:val="0"/>
              <w:jc w:val="both"/>
              <w:rPr>
                <w:b/>
                <w:sz w:val="20"/>
                <w:szCs w:val="20"/>
              </w:rPr>
            </w:pPr>
            <w:r w:rsidRPr="0010611E">
              <w:rPr>
                <w:sz w:val="20"/>
                <w:szCs w:val="20"/>
              </w:rPr>
              <w:t xml:space="preserve">Charter of Rights and Freedoms – Constitutional law – Criminal law – Sentencing – Victim surcharge – Cruel and unusual treatment or punishment – Accused ordered to pay surcharge under s. 737 of Criminal Code – Constitutionality of s. 737 </w:t>
            </w:r>
            <w:proofErr w:type="spellStart"/>
            <w:r w:rsidRPr="0010611E">
              <w:rPr>
                <w:sz w:val="20"/>
                <w:szCs w:val="20"/>
              </w:rPr>
              <w:t>Cr.C</w:t>
            </w:r>
            <w:proofErr w:type="spellEnd"/>
            <w:r w:rsidRPr="0010611E">
              <w:rPr>
                <w:sz w:val="20"/>
                <w:szCs w:val="20"/>
              </w:rPr>
              <w:t>. – Whether victim surcharge contained in s. 737 of the Criminal Code constitutes cruel and unusual punishment in violation of s. 12 of the Charter in a manner not saved by s. 1 – Whether victim surcharge constitutes cruel and unusual punishment in violation of s. 7 of the Charter in a manner not saved by s. 1 – Whether any violation can be remedied under s. 52 of the Constitution Act, 1982 by reading-in judicial discretion to waive the surcharge where imposing it would violate the offender’s ss. 7 or 12 of Charter rights – Canadian Charter of Rights and Freedoms, ss. 7 and 12 – Criminal Code, R.S.C. 1985, c. C 46, s. 737.</w:t>
            </w:r>
          </w:p>
        </w:tc>
        <w:tc>
          <w:tcPr>
            <w:tcW w:w="720" w:type="dxa"/>
            <w:tcMar>
              <w:left w:w="0" w:type="dxa"/>
              <w:right w:w="0" w:type="dxa"/>
            </w:tcMar>
          </w:tcPr>
          <w:p w:rsidR="007C47C2" w:rsidRPr="0010611E" w:rsidRDefault="007C47C2" w:rsidP="00E942C2">
            <w:pPr>
              <w:widowControl w:val="0"/>
              <w:jc w:val="center"/>
              <w:rPr>
                <w:sz w:val="20"/>
                <w:szCs w:val="20"/>
              </w:rPr>
            </w:pPr>
          </w:p>
        </w:tc>
        <w:tc>
          <w:tcPr>
            <w:tcW w:w="4380" w:type="dxa"/>
            <w:tcMar>
              <w:left w:w="0" w:type="dxa"/>
              <w:right w:w="0" w:type="dxa"/>
            </w:tcMar>
          </w:tcPr>
          <w:p w:rsidR="007C47C2" w:rsidRPr="0010611E" w:rsidRDefault="007C47C2" w:rsidP="00E942C2">
            <w:pPr>
              <w:widowControl w:val="0"/>
              <w:jc w:val="both"/>
              <w:rPr>
                <w:b/>
                <w:sz w:val="20"/>
                <w:szCs w:val="20"/>
                <w:u w:val="single"/>
                <w:lang w:val="fr-CA"/>
              </w:rPr>
            </w:pPr>
            <w:r w:rsidRPr="0010611E">
              <w:rPr>
                <w:b/>
                <w:sz w:val="20"/>
                <w:szCs w:val="20"/>
                <w:u w:val="single"/>
                <w:lang w:val="fr-CA"/>
              </w:rPr>
              <w:t>Nature de la cause :</w:t>
            </w:r>
          </w:p>
          <w:p w:rsidR="007C47C2" w:rsidRPr="0010611E" w:rsidRDefault="007C47C2" w:rsidP="00E942C2">
            <w:pPr>
              <w:widowControl w:val="0"/>
              <w:jc w:val="both"/>
              <w:rPr>
                <w:sz w:val="20"/>
                <w:szCs w:val="20"/>
                <w:lang w:val="fr-CA"/>
              </w:rPr>
            </w:pPr>
          </w:p>
          <w:p w:rsidR="007C47C2" w:rsidRPr="0010611E" w:rsidRDefault="009C247B" w:rsidP="00E942C2">
            <w:pPr>
              <w:widowControl w:val="0"/>
              <w:jc w:val="both"/>
              <w:rPr>
                <w:sz w:val="20"/>
                <w:szCs w:val="20"/>
                <w:lang w:val="fr-CA"/>
              </w:rPr>
            </w:pPr>
            <w:r w:rsidRPr="0010611E">
              <w:rPr>
                <w:sz w:val="20"/>
                <w:szCs w:val="20"/>
                <w:lang w:val="fr-CA"/>
              </w:rPr>
              <w:t xml:space="preserve">Charte des droits et libertés – Droit constitutionnel – Droit criminel – Détermination de la peine – </w:t>
            </w:r>
            <w:proofErr w:type="spellStart"/>
            <w:r w:rsidRPr="0010611E">
              <w:rPr>
                <w:sz w:val="20"/>
                <w:szCs w:val="20"/>
                <w:lang w:val="fr-CA"/>
              </w:rPr>
              <w:t>Suramende</w:t>
            </w:r>
            <w:proofErr w:type="spellEnd"/>
            <w:r w:rsidRPr="0010611E">
              <w:rPr>
                <w:sz w:val="20"/>
                <w:szCs w:val="20"/>
                <w:lang w:val="fr-CA"/>
              </w:rPr>
              <w:t xml:space="preserve"> compensatoire – Traitements ou peines cruels et inusités – Accusé condamné à une </w:t>
            </w:r>
            <w:proofErr w:type="spellStart"/>
            <w:r w:rsidRPr="0010611E">
              <w:rPr>
                <w:sz w:val="20"/>
                <w:szCs w:val="20"/>
                <w:lang w:val="fr-CA"/>
              </w:rPr>
              <w:t>suramende</w:t>
            </w:r>
            <w:proofErr w:type="spellEnd"/>
            <w:r w:rsidRPr="0010611E">
              <w:rPr>
                <w:sz w:val="20"/>
                <w:szCs w:val="20"/>
                <w:lang w:val="fr-CA"/>
              </w:rPr>
              <w:t xml:space="preserve"> en vertu de l’art. 737 du Code criminel – Constitutionnalité de l’art. 737 C.cr. – La </w:t>
            </w:r>
            <w:proofErr w:type="spellStart"/>
            <w:r w:rsidRPr="0010611E">
              <w:rPr>
                <w:sz w:val="20"/>
                <w:szCs w:val="20"/>
                <w:lang w:val="fr-CA"/>
              </w:rPr>
              <w:t>suramende</w:t>
            </w:r>
            <w:proofErr w:type="spellEnd"/>
            <w:r w:rsidRPr="0010611E">
              <w:rPr>
                <w:sz w:val="20"/>
                <w:szCs w:val="20"/>
                <w:lang w:val="fr-CA"/>
              </w:rPr>
              <w:t xml:space="preserve"> compensatoire prescrite à l’art. 737 du Code criminel constitue-t-elle une peine cruelle et inusitée de même qu’une violation de l’art. 12 de la Charte qui n’est pas sauvegardée par l’article premier? – Peut-on remédier à une violation en vertu de l’art. 52 de la Loi constitutionnelle de 1982 en considérant que les tribunaux jouissent du pouvoir discrétionnaire de ne pas imposer de </w:t>
            </w:r>
            <w:proofErr w:type="spellStart"/>
            <w:r w:rsidRPr="0010611E">
              <w:rPr>
                <w:sz w:val="20"/>
                <w:szCs w:val="20"/>
                <w:lang w:val="fr-CA"/>
              </w:rPr>
              <w:t>suramende</w:t>
            </w:r>
            <w:proofErr w:type="spellEnd"/>
            <w:r w:rsidRPr="0010611E">
              <w:rPr>
                <w:sz w:val="20"/>
                <w:szCs w:val="20"/>
                <w:lang w:val="fr-CA"/>
              </w:rPr>
              <w:t xml:space="preserve"> si son imposition porterait atteinte aux droits garantis au contrevenant par l’art. 12 de la Charte? – Charte canadienne des droits et libertés, art. 12 – Code criminel, L.R.C. 1985, c. C 46, art. 737.</w:t>
            </w:r>
          </w:p>
        </w:tc>
      </w:tr>
    </w:tbl>
    <w:p w:rsidR="007C47C2" w:rsidRPr="0010611E" w:rsidRDefault="007C47C2" w:rsidP="007C47C2">
      <w:pPr>
        <w:widowControl w:val="0"/>
        <w:rPr>
          <w:sz w:val="20"/>
          <w:szCs w:val="20"/>
          <w:lang w:val="fr-CA"/>
        </w:rPr>
      </w:pPr>
    </w:p>
    <w:p w:rsidR="00E940EB" w:rsidRPr="0010611E" w:rsidRDefault="00B35ED9" w:rsidP="00732DB7">
      <w:pPr>
        <w:widowControl w:val="0"/>
        <w:rPr>
          <w:sz w:val="20"/>
          <w:szCs w:val="20"/>
          <w:lang w:val="fr-CA"/>
        </w:rPr>
      </w:pPr>
      <w:r>
        <w:rPr>
          <w:sz w:val="20"/>
          <w:szCs w:val="20"/>
          <w:lang w:val="fr-CA"/>
        </w:rPr>
        <w:pict>
          <v:rect id="_x0000_i1052" style="width:2in;height:1pt" o:hrpct="0" o:hralign="center" o:hrstd="t" o:hrnoshade="t" o:hr="t" fillcolor="black [3213]" stroked="f"/>
        </w:pict>
      </w:r>
    </w:p>
    <w:p w:rsidR="00D004FC" w:rsidRPr="0010611E" w:rsidRDefault="00D004FC" w:rsidP="00732DB7">
      <w:pPr>
        <w:widowControl w:val="0"/>
        <w:rPr>
          <w:sz w:val="20"/>
          <w:szCs w:val="20"/>
          <w:lang w:val="fr-CA"/>
        </w:rPr>
      </w:pPr>
    </w:p>
    <w:p w:rsidR="00DF03D1" w:rsidRPr="0010611E" w:rsidRDefault="00DF03D1">
      <w:pPr>
        <w:rPr>
          <w:sz w:val="20"/>
          <w:szCs w:val="20"/>
          <w:lang w:val="fr-CA"/>
        </w:rPr>
      </w:pPr>
      <w:r w:rsidRPr="0010611E">
        <w:rPr>
          <w:sz w:val="20"/>
          <w:szCs w:val="20"/>
          <w:lang w:val="fr-CA"/>
        </w:rPr>
        <w:br w:type="page"/>
      </w:r>
    </w:p>
    <w:p w:rsidR="00DF03D1" w:rsidRPr="0010611E" w:rsidRDefault="00DF03D1" w:rsidP="00DF03D1">
      <w:pPr>
        <w:widowControl w:val="0"/>
        <w:rPr>
          <w:sz w:val="20"/>
          <w:szCs w:val="20"/>
          <w:lang w:val="en-US"/>
        </w:rPr>
      </w:pPr>
      <w:r w:rsidRPr="0010611E">
        <w:rPr>
          <w:sz w:val="20"/>
          <w:szCs w:val="20"/>
          <w:lang w:val="en-US"/>
        </w:rPr>
        <w:t>20.04.2018</w:t>
      </w:r>
    </w:p>
    <w:p w:rsidR="00DF03D1" w:rsidRPr="0010611E" w:rsidRDefault="00DF03D1" w:rsidP="00DF03D1">
      <w:pPr>
        <w:widowControl w:val="0"/>
        <w:rPr>
          <w:sz w:val="20"/>
          <w:szCs w:val="20"/>
          <w:lang w:val="en-US"/>
        </w:rPr>
      </w:pPr>
    </w:p>
    <w:p w:rsidR="00DF03D1" w:rsidRPr="0010611E" w:rsidRDefault="00DF03D1" w:rsidP="00DF03D1">
      <w:pPr>
        <w:widowControl w:val="0"/>
        <w:ind w:left="720" w:hanging="720"/>
        <w:rPr>
          <w:sz w:val="20"/>
          <w:szCs w:val="20"/>
          <w:u w:val="single"/>
          <w:lang w:val="en-US"/>
        </w:rPr>
      </w:pPr>
      <w:r w:rsidRPr="0010611E">
        <w:rPr>
          <w:sz w:val="20"/>
          <w:szCs w:val="20"/>
          <w:lang w:val="en-US"/>
        </w:rPr>
        <w:t xml:space="preserve">Coram: </w:t>
      </w:r>
      <w:r w:rsidRPr="0010611E">
        <w:rPr>
          <w:sz w:val="20"/>
          <w:szCs w:val="20"/>
          <w:lang w:val="en-US"/>
        </w:rPr>
        <w:tab/>
      </w:r>
      <w:r w:rsidRPr="0010611E">
        <w:rPr>
          <w:sz w:val="20"/>
          <w:szCs w:val="20"/>
          <w:u w:val="single"/>
          <w:lang w:val="en-US"/>
        </w:rPr>
        <w:t>Wagner C.J. and Abella, Moldaver, Karakatsanis, Gascon, Côté, Brown, Rowe and Martin JJ.</w:t>
      </w:r>
    </w:p>
    <w:p w:rsidR="00DF03D1" w:rsidRPr="0010611E" w:rsidRDefault="00DF03D1" w:rsidP="00DF03D1">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F03D1" w:rsidRPr="0010611E" w:rsidTr="00143552">
        <w:tc>
          <w:tcPr>
            <w:tcW w:w="4380" w:type="dxa"/>
            <w:tcMar>
              <w:left w:w="0" w:type="dxa"/>
              <w:right w:w="0" w:type="dxa"/>
            </w:tcMar>
          </w:tcPr>
          <w:p w:rsidR="00DF03D1" w:rsidRPr="0010611E" w:rsidRDefault="00DF03D1" w:rsidP="00143552">
            <w:pPr>
              <w:widowControl w:val="0"/>
              <w:rPr>
                <w:b/>
                <w:sz w:val="20"/>
                <w:szCs w:val="20"/>
                <w:lang w:val="en-US"/>
              </w:rPr>
            </w:pPr>
            <w:r w:rsidRPr="0010611E">
              <w:rPr>
                <w:b/>
                <w:sz w:val="20"/>
                <w:szCs w:val="20"/>
                <w:lang w:val="en-US"/>
              </w:rPr>
              <w:t>Her Majesty the Queen</w:t>
            </w:r>
          </w:p>
          <w:p w:rsidR="00DF03D1" w:rsidRPr="0010611E" w:rsidRDefault="00DF03D1" w:rsidP="00143552">
            <w:pPr>
              <w:widowControl w:val="0"/>
              <w:rPr>
                <w:b/>
                <w:sz w:val="20"/>
                <w:szCs w:val="20"/>
                <w:lang w:val="en-US"/>
              </w:rPr>
            </w:pPr>
          </w:p>
          <w:p w:rsidR="00DF03D1" w:rsidRPr="0010611E" w:rsidRDefault="00DF03D1" w:rsidP="00143552">
            <w:pPr>
              <w:widowControl w:val="0"/>
              <w:rPr>
                <w:b/>
                <w:sz w:val="20"/>
                <w:szCs w:val="20"/>
                <w:lang w:val="en-US"/>
              </w:rPr>
            </w:pPr>
            <w:r w:rsidRPr="0010611E">
              <w:rPr>
                <w:b/>
                <w:sz w:val="20"/>
                <w:szCs w:val="20"/>
                <w:lang w:val="en-US"/>
              </w:rPr>
              <w:tab/>
              <w:t xml:space="preserve">v. </w:t>
            </w:r>
            <w:r w:rsidRPr="0010611E">
              <w:rPr>
                <w:sz w:val="20"/>
                <w:szCs w:val="20"/>
                <w:lang w:val="en-US"/>
              </w:rPr>
              <w:t>(</w:t>
            </w:r>
            <w:hyperlink r:id="rId52" w:history="1">
              <w:r w:rsidRPr="0010611E">
                <w:rPr>
                  <w:rStyle w:val="Hyperlink"/>
                  <w:sz w:val="20"/>
                  <w:szCs w:val="20"/>
                  <w:lang w:val="en-US"/>
                </w:rPr>
                <w:t>37833</w:t>
              </w:r>
            </w:hyperlink>
            <w:r w:rsidRPr="0010611E">
              <w:rPr>
                <w:sz w:val="20"/>
                <w:szCs w:val="20"/>
                <w:lang w:val="en-US"/>
              </w:rPr>
              <w:t>)</w:t>
            </w:r>
          </w:p>
          <w:p w:rsidR="00DF03D1" w:rsidRPr="0010611E" w:rsidRDefault="00DF03D1" w:rsidP="00143552">
            <w:pPr>
              <w:widowControl w:val="0"/>
              <w:rPr>
                <w:b/>
                <w:sz w:val="20"/>
                <w:szCs w:val="20"/>
                <w:lang w:val="en-US"/>
              </w:rPr>
            </w:pPr>
          </w:p>
          <w:p w:rsidR="00DF03D1" w:rsidRPr="0010611E" w:rsidRDefault="00F94461" w:rsidP="00143552">
            <w:pPr>
              <w:widowControl w:val="0"/>
              <w:rPr>
                <w:b/>
                <w:sz w:val="20"/>
                <w:szCs w:val="20"/>
                <w:lang w:val="en-US"/>
              </w:rPr>
            </w:pPr>
            <w:r w:rsidRPr="0010611E">
              <w:rPr>
                <w:b/>
                <w:sz w:val="20"/>
                <w:szCs w:val="20"/>
                <w:lang w:val="en-US"/>
              </w:rPr>
              <w:t>Ryan Jarvis</w:t>
            </w:r>
            <w:r w:rsidR="00DF03D1" w:rsidRPr="0010611E">
              <w:rPr>
                <w:b/>
                <w:sz w:val="20"/>
                <w:szCs w:val="20"/>
                <w:lang w:val="en-US"/>
              </w:rPr>
              <w:t xml:space="preserve"> (Ont.) (Criminal) (By Leave)</w:t>
            </w:r>
          </w:p>
          <w:p w:rsidR="00DF03D1" w:rsidRPr="0010611E" w:rsidRDefault="00DF03D1" w:rsidP="00DF03D1">
            <w:pPr>
              <w:widowControl w:val="0"/>
              <w:rPr>
                <w:sz w:val="20"/>
                <w:szCs w:val="20"/>
                <w:lang w:val="en-US"/>
              </w:rPr>
            </w:pPr>
          </w:p>
        </w:tc>
        <w:tc>
          <w:tcPr>
            <w:tcW w:w="720" w:type="dxa"/>
            <w:tcMar>
              <w:left w:w="0" w:type="dxa"/>
              <w:right w:w="0" w:type="dxa"/>
            </w:tcMar>
          </w:tcPr>
          <w:p w:rsidR="00DF03D1" w:rsidRPr="0010611E" w:rsidRDefault="00DF03D1" w:rsidP="00143552">
            <w:pPr>
              <w:widowControl w:val="0"/>
              <w:jc w:val="center"/>
              <w:rPr>
                <w:sz w:val="20"/>
                <w:szCs w:val="20"/>
                <w:lang w:val="en-US"/>
              </w:rPr>
            </w:pPr>
          </w:p>
        </w:tc>
        <w:tc>
          <w:tcPr>
            <w:tcW w:w="4380" w:type="dxa"/>
            <w:tcMar>
              <w:left w:w="0" w:type="dxa"/>
              <w:right w:w="0" w:type="dxa"/>
            </w:tcMar>
          </w:tcPr>
          <w:p w:rsidR="00F94461" w:rsidRPr="0010611E" w:rsidRDefault="00F94461" w:rsidP="00F94461">
            <w:pPr>
              <w:rPr>
                <w:sz w:val="20"/>
                <w:szCs w:val="20"/>
                <w:lang w:val="en-US"/>
              </w:rPr>
            </w:pPr>
            <w:r w:rsidRPr="0010611E">
              <w:rPr>
                <w:sz w:val="20"/>
                <w:szCs w:val="20"/>
                <w:lang w:val="en-US"/>
              </w:rPr>
              <w:t>Christine Bartlett-Hughes and Jennifer Epstein for the Appellant Her Majesty the Queen.</w:t>
            </w:r>
          </w:p>
          <w:p w:rsidR="00F94461" w:rsidRPr="0010611E" w:rsidRDefault="00F94461" w:rsidP="00F94461">
            <w:pPr>
              <w:rPr>
                <w:sz w:val="20"/>
                <w:szCs w:val="20"/>
                <w:lang w:val="en-US"/>
              </w:rPr>
            </w:pPr>
          </w:p>
          <w:p w:rsidR="00F94461" w:rsidRPr="0010611E" w:rsidRDefault="00F94461" w:rsidP="00F94461">
            <w:pPr>
              <w:rPr>
                <w:sz w:val="20"/>
                <w:szCs w:val="20"/>
                <w:lang w:val="en-US"/>
              </w:rPr>
            </w:pPr>
            <w:r w:rsidRPr="0010611E">
              <w:rPr>
                <w:sz w:val="20"/>
                <w:szCs w:val="20"/>
                <w:lang w:val="en-US"/>
              </w:rPr>
              <w:t xml:space="preserve">Jonathan C. </w:t>
            </w:r>
            <w:proofErr w:type="spellStart"/>
            <w:r w:rsidRPr="0010611E">
              <w:rPr>
                <w:sz w:val="20"/>
                <w:szCs w:val="20"/>
                <w:lang w:val="en-US"/>
              </w:rPr>
              <w:t>Lisus</w:t>
            </w:r>
            <w:proofErr w:type="spellEnd"/>
            <w:r w:rsidRPr="0010611E">
              <w:rPr>
                <w:sz w:val="20"/>
                <w:szCs w:val="20"/>
                <w:lang w:val="en-US"/>
              </w:rPr>
              <w:tab/>
              <w:t xml:space="preserve"> and Zain Naqi for the Intervener Canadian Civil Liberties Association.</w:t>
            </w:r>
          </w:p>
          <w:p w:rsidR="00F94461" w:rsidRPr="0010611E" w:rsidRDefault="00F94461" w:rsidP="00F94461">
            <w:pPr>
              <w:rPr>
                <w:sz w:val="20"/>
                <w:szCs w:val="20"/>
                <w:lang w:val="en-US"/>
              </w:rPr>
            </w:pPr>
          </w:p>
          <w:p w:rsidR="00F94461" w:rsidRPr="0010611E" w:rsidRDefault="00F94461" w:rsidP="00F94461">
            <w:pPr>
              <w:rPr>
                <w:sz w:val="20"/>
                <w:szCs w:val="20"/>
                <w:lang w:val="en-US"/>
              </w:rPr>
            </w:pPr>
            <w:r w:rsidRPr="0010611E">
              <w:rPr>
                <w:sz w:val="20"/>
                <w:szCs w:val="20"/>
                <w:lang w:val="en-US"/>
              </w:rPr>
              <w:t xml:space="preserve">Caroline R. </w:t>
            </w:r>
            <w:proofErr w:type="spellStart"/>
            <w:r w:rsidRPr="0010611E">
              <w:rPr>
                <w:sz w:val="20"/>
                <w:szCs w:val="20"/>
                <w:lang w:val="en-US"/>
              </w:rPr>
              <w:t>Zayid</w:t>
            </w:r>
            <w:proofErr w:type="spellEnd"/>
            <w:r w:rsidRPr="0010611E">
              <w:rPr>
                <w:sz w:val="20"/>
                <w:szCs w:val="20"/>
                <w:lang w:val="en-US"/>
              </w:rPr>
              <w:t>, Adam Goldenberg and Caroline H. Humphrey for the Intervener Ontario College of Teachers.</w:t>
            </w:r>
          </w:p>
          <w:p w:rsidR="00F94461" w:rsidRPr="0010611E" w:rsidRDefault="00F94461" w:rsidP="00F94461">
            <w:pPr>
              <w:rPr>
                <w:sz w:val="20"/>
                <w:szCs w:val="20"/>
                <w:lang w:val="en-US"/>
              </w:rPr>
            </w:pPr>
          </w:p>
          <w:p w:rsidR="00F94461" w:rsidRPr="0010611E" w:rsidRDefault="00F94461" w:rsidP="00F94461">
            <w:pPr>
              <w:rPr>
                <w:sz w:val="20"/>
                <w:szCs w:val="20"/>
                <w:lang w:val="en-US"/>
              </w:rPr>
            </w:pPr>
            <w:r w:rsidRPr="0010611E">
              <w:rPr>
                <w:sz w:val="20"/>
                <w:szCs w:val="20"/>
                <w:lang w:val="en-US"/>
              </w:rPr>
              <w:t xml:space="preserve">Stephen </w:t>
            </w:r>
            <w:proofErr w:type="spellStart"/>
            <w:r w:rsidRPr="0010611E">
              <w:rPr>
                <w:sz w:val="20"/>
                <w:szCs w:val="20"/>
                <w:lang w:val="en-US"/>
              </w:rPr>
              <w:t>McCammon</w:t>
            </w:r>
            <w:proofErr w:type="spellEnd"/>
            <w:r w:rsidRPr="0010611E">
              <w:rPr>
                <w:sz w:val="20"/>
                <w:szCs w:val="20"/>
                <w:lang w:val="en-US"/>
              </w:rPr>
              <w:t xml:space="preserve"> for the Intervener Information and Privacy Commissioner of Ontario.</w:t>
            </w:r>
          </w:p>
          <w:p w:rsidR="00F94461" w:rsidRPr="0010611E" w:rsidRDefault="00F94461" w:rsidP="00F94461">
            <w:pPr>
              <w:rPr>
                <w:sz w:val="20"/>
                <w:szCs w:val="20"/>
                <w:lang w:val="en-US"/>
              </w:rPr>
            </w:pPr>
          </w:p>
          <w:p w:rsidR="00F94461" w:rsidRPr="0010611E" w:rsidRDefault="00F94461" w:rsidP="00F94461">
            <w:pPr>
              <w:rPr>
                <w:sz w:val="20"/>
                <w:szCs w:val="20"/>
                <w:lang w:val="en-US"/>
              </w:rPr>
            </w:pPr>
            <w:r w:rsidRPr="0010611E">
              <w:rPr>
                <w:sz w:val="20"/>
                <w:szCs w:val="20"/>
                <w:lang w:val="en-US"/>
              </w:rPr>
              <w:t xml:space="preserve">Gillian </w:t>
            </w:r>
            <w:proofErr w:type="spellStart"/>
            <w:r w:rsidRPr="0010611E">
              <w:rPr>
                <w:sz w:val="20"/>
                <w:szCs w:val="20"/>
                <w:lang w:val="en-US"/>
              </w:rPr>
              <w:t>Hnatiw</w:t>
            </w:r>
            <w:proofErr w:type="spellEnd"/>
            <w:r w:rsidRPr="0010611E">
              <w:rPr>
                <w:sz w:val="20"/>
                <w:szCs w:val="20"/>
                <w:lang w:val="en-US"/>
              </w:rPr>
              <w:t xml:space="preserve">, Karen Segal and Alex </w:t>
            </w:r>
            <w:proofErr w:type="spellStart"/>
            <w:r w:rsidRPr="0010611E">
              <w:rPr>
                <w:sz w:val="20"/>
                <w:szCs w:val="20"/>
                <w:lang w:val="en-US"/>
              </w:rPr>
              <w:t>Fidler-Wener</w:t>
            </w:r>
            <w:proofErr w:type="spellEnd"/>
            <w:r w:rsidRPr="0010611E">
              <w:rPr>
                <w:sz w:val="20"/>
                <w:szCs w:val="20"/>
                <w:lang w:val="en-US"/>
              </w:rPr>
              <w:t xml:space="preserve"> for the Intervener Women’s Legal Education and Action Fund Inc.</w:t>
            </w:r>
          </w:p>
          <w:p w:rsidR="00F94461" w:rsidRPr="0010611E" w:rsidRDefault="00F94461" w:rsidP="00F94461">
            <w:pPr>
              <w:rPr>
                <w:sz w:val="20"/>
                <w:szCs w:val="20"/>
                <w:lang w:val="en-US"/>
              </w:rPr>
            </w:pPr>
          </w:p>
          <w:p w:rsidR="00F94461" w:rsidRPr="0010611E" w:rsidRDefault="00F94461" w:rsidP="00F94461">
            <w:pPr>
              <w:rPr>
                <w:sz w:val="20"/>
                <w:szCs w:val="20"/>
                <w:lang w:val="en-US"/>
              </w:rPr>
            </w:pPr>
            <w:r w:rsidRPr="0010611E">
              <w:rPr>
                <w:sz w:val="20"/>
                <w:szCs w:val="20"/>
                <w:lang w:val="en-US"/>
              </w:rPr>
              <w:t>Jane Bailey and David Fewer for the Intervener</w:t>
            </w:r>
          </w:p>
          <w:p w:rsidR="00F94461" w:rsidRPr="0010611E" w:rsidRDefault="00F94461" w:rsidP="00F94461">
            <w:pPr>
              <w:rPr>
                <w:sz w:val="20"/>
                <w:szCs w:val="20"/>
                <w:lang w:val="en-US"/>
              </w:rPr>
            </w:pPr>
            <w:r w:rsidRPr="0010611E">
              <w:rPr>
                <w:sz w:val="20"/>
                <w:szCs w:val="20"/>
                <w:lang w:val="en-US"/>
              </w:rPr>
              <w:t>Samuelson-</w:t>
            </w:r>
            <w:proofErr w:type="spellStart"/>
            <w:r w:rsidRPr="0010611E">
              <w:rPr>
                <w:sz w:val="20"/>
                <w:szCs w:val="20"/>
                <w:lang w:val="en-US"/>
              </w:rPr>
              <w:t>Glushko</w:t>
            </w:r>
            <w:proofErr w:type="spellEnd"/>
            <w:r w:rsidRPr="0010611E">
              <w:rPr>
                <w:sz w:val="20"/>
                <w:szCs w:val="20"/>
                <w:lang w:val="en-US"/>
              </w:rPr>
              <w:t xml:space="preserve"> Canadian Internet Policy and Public Interest Clinic.</w:t>
            </w:r>
          </w:p>
          <w:p w:rsidR="00F94461" w:rsidRPr="0010611E" w:rsidRDefault="00F94461" w:rsidP="00F94461">
            <w:pPr>
              <w:rPr>
                <w:sz w:val="20"/>
                <w:szCs w:val="20"/>
                <w:lang w:val="en-US"/>
              </w:rPr>
            </w:pPr>
          </w:p>
          <w:p w:rsidR="00F94461" w:rsidRPr="0010611E" w:rsidRDefault="00F94461" w:rsidP="00F94461">
            <w:pPr>
              <w:rPr>
                <w:sz w:val="20"/>
                <w:szCs w:val="20"/>
              </w:rPr>
            </w:pPr>
            <w:r w:rsidRPr="0010611E">
              <w:rPr>
                <w:sz w:val="20"/>
                <w:szCs w:val="20"/>
              </w:rPr>
              <w:t xml:space="preserve">Lara </w:t>
            </w:r>
            <w:proofErr w:type="spellStart"/>
            <w:r w:rsidRPr="0010611E">
              <w:rPr>
                <w:sz w:val="20"/>
                <w:szCs w:val="20"/>
              </w:rPr>
              <w:t>Vizsolyi</w:t>
            </w:r>
            <w:proofErr w:type="spellEnd"/>
            <w:r w:rsidRPr="0010611E">
              <w:rPr>
                <w:sz w:val="20"/>
                <w:szCs w:val="20"/>
              </w:rPr>
              <w:t xml:space="preserve"> for the Intervener Attorney General of British Columbia.</w:t>
            </w:r>
          </w:p>
          <w:p w:rsidR="00F94461" w:rsidRPr="0010611E" w:rsidRDefault="00F94461" w:rsidP="00F94461">
            <w:pPr>
              <w:rPr>
                <w:sz w:val="20"/>
                <w:szCs w:val="20"/>
              </w:rPr>
            </w:pPr>
          </w:p>
          <w:p w:rsidR="00F94461" w:rsidRPr="0010611E" w:rsidRDefault="00F94461" w:rsidP="00F94461">
            <w:pPr>
              <w:rPr>
                <w:sz w:val="20"/>
                <w:szCs w:val="20"/>
              </w:rPr>
            </w:pPr>
            <w:r w:rsidRPr="0010611E">
              <w:rPr>
                <w:sz w:val="20"/>
                <w:szCs w:val="20"/>
              </w:rPr>
              <w:t xml:space="preserve">Regan Morris and James </w:t>
            </w:r>
            <w:proofErr w:type="spellStart"/>
            <w:r w:rsidRPr="0010611E">
              <w:rPr>
                <w:sz w:val="20"/>
                <w:szCs w:val="20"/>
              </w:rPr>
              <w:t>Nowlan</w:t>
            </w:r>
            <w:proofErr w:type="spellEnd"/>
            <w:r w:rsidRPr="0010611E">
              <w:rPr>
                <w:sz w:val="20"/>
                <w:szCs w:val="20"/>
              </w:rPr>
              <w:t xml:space="preserve"> for the Intervener</w:t>
            </w:r>
          </w:p>
          <w:p w:rsidR="00F94461" w:rsidRPr="0010611E" w:rsidRDefault="00F94461" w:rsidP="00F94461">
            <w:pPr>
              <w:rPr>
                <w:sz w:val="20"/>
                <w:szCs w:val="20"/>
              </w:rPr>
            </w:pPr>
            <w:r w:rsidRPr="0010611E">
              <w:rPr>
                <w:sz w:val="20"/>
                <w:szCs w:val="20"/>
              </w:rPr>
              <w:t>Privacy Commissioner of Canada.</w:t>
            </w:r>
          </w:p>
          <w:p w:rsidR="00F94461" w:rsidRPr="0010611E" w:rsidRDefault="00F94461" w:rsidP="00F94461">
            <w:pPr>
              <w:rPr>
                <w:sz w:val="20"/>
                <w:szCs w:val="20"/>
              </w:rPr>
            </w:pPr>
          </w:p>
          <w:p w:rsidR="00F94461" w:rsidRPr="0010611E" w:rsidRDefault="00F94461" w:rsidP="00F94461">
            <w:pPr>
              <w:rPr>
                <w:sz w:val="20"/>
                <w:szCs w:val="20"/>
                <w:lang w:val="en-US"/>
              </w:rPr>
            </w:pPr>
            <w:r w:rsidRPr="0010611E">
              <w:rPr>
                <w:sz w:val="20"/>
                <w:szCs w:val="20"/>
                <w:lang w:val="en-US"/>
              </w:rPr>
              <w:t xml:space="preserve">Zachary </w:t>
            </w:r>
            <w:proofErr w:type="spellStart"/>
            <w:r w:rsidRPr="0010611E">
              <w:rPr>
                <w:sz w:val="20"/>
                <w:szCs w:val="20"/>
                <w:lang w:val="en-US"/>
              </w:rPr>
              <w:t>Kerbel</w:t>
            </w:r>
            <w:proofErr w:type="spellEnd"/>
            <w:r w:rsidRPr="0010611E">
              <w:rPr>
                <w:sz w:val="20"/>
                <w:szCs w:val="20"/>
                <w:lang w:val="en-US"/>
              </w:rPr>
              <w:t xml:space="preserve">, </w:t>
            </w:r>
            <w:proofErr w:type="spellStart"/>
            <w:r w:rsidRPr="0010611E">
              <w:rPr>
                <w:sz w:val="20"/>
                <w:szCs w:val="20"/>
                <w:lang w:val="en-US"/>
              </w:rPr>
              <w:t>Saman</w:t>
            </w:r>
            <w:proofErr w:type="spellEnd"/>
            <w:r w:rsidRPr="0010611E">
              <w:rPr>
                <w:sz w:val="20"/>
                <w:szCs w:val="20"/>
                <w:lang w:val="en-US"/>
              </w:rPr>
              <w:t xml:space="preserve"> </w:t>
            </w:r>
            <w:proofErr w:type="spellStart"/>
            <w:r w:rsidRPr="0010611E">
              <w:rPr>
                <w:sz w:val="20"/>
                <w:szCs w:val="20"/>
                <w:lang w:val="en-US"/>
              </w:rPr>
              <w:t>Wickramasinghe</w:t>
            </w:r>
            <w:proofErr w:type="spellEnd"/>
            <w:r w:rsidRPr="0010611E">
              <w:rPr>
                <w:sz w:val="20"/>
                <w:szCs w:val="20"/>
                <w:lang w:val="en-US"/>
              </w:rPr>
              <w:t xml:space="preserve"> and Jennifer </w:t>
            </w:r>
            <w:proofErr w:type="spellStart"/>
            <w:r w:rsidRPr="0010611E">
              <w:rPr>
                <w:sz w:val="20"/>
                <w:szCs w:val="20"/>
                <w:lang w:val="en-US"/>
              </w:rPr>
              <w:t>Micallef</w:t>
            </w:r>
            <w:proofErr w:type="spellEnd"/>
            <w:r w:rsidRPr="0010611E">
              <w:rPr>
                <w:sz w:val="20"/>
                <w:szCs w:val="20"/>
                <w:lang w:val="en-US"/>
              </w:rPr>
              <w:tab/>
              <w:t xml:space="preserve"> for the Respondent Ryan Jarvis.</w:t>
            </w:r>
          </w:p>
          <w:p w:rsidR="00F94461" w:rsidRPr="0010611E" w:rsidRDefault="00F94461" w:rsidP="00F94461">
            <w:pPr>
              <w:rPr>
                <w:sz w:val="20"/>
                <w:szCs w:val="20"/>
                <w:lang w:val="en-US"/>
              </w:rPr>
            </w:pPr>
          </w:p>
          <w:p w:rsidR="00F94461" w:rsidRPr="0010611E" w:rsidRDefault="00F94461" w:rsidP="00F94461">
            <w:pPr>
              <w:rPr>
                <w:sz w:val="20"/>
                <w:szCs w:val="20"/>
                <w:lang w:val="en-US"/>
              </w:rPr>
            </w:pPr>
            <w:r w:rsidRPr="0010611E">
              <w:rPr>
                <w:sz w:val="20"/>
                <w:szCs w:val="20"/>
                <w:lang w:val="en-US"/>
              </w:rPr>
              <w:t xml:space="preserve">Matthew R. </w:t>
            </w:r>
            <w:proofErr w:type="spellStart"/>
            <w:r w:rsidRPr="0010611E">
              <w:rPr>
                <w:sz w:val="20"/>
                <w:szCs w:val="20"/>
                <w:lang w:val="en-US"/>
              </w:rPr>
              <w:t>Gourlay</w:t>
            </w:r>
            <w:proofErr w:type="spellEnd"/>
            <w:r w:rsidRPr="0010611E">
              <w:rPr>
                <w:sz w:val="20"/>
                <w:szCs w:val="20"/>
                <w:lang w:val="en-US"/>
              </w:rPr>
              <w:t xml:space="preserve"> and Kate Robertson for the Intervener Criminal Lawyers’ Association (Ontario).</w:t>
            </w:r>
          </w:p>
        </w:tc>
      </w:tr>
    </w:tbl>
    <w:p w:rsidR="00DF03D1" w:rsidRPr="0010611E" w:rsidRDefault="00DF03D1" w:rsidP="00DF03D1">
      <w:pPr>
        <w:widowControl w:val="0"/>
        <w:rPr>
          <w:sz w:val="20"/>
          <w:szCs w:val="20"/>
          <w:lang w:val="en-US"/>
        </w:rPr>
      </w:pPr>
    </w:p>
    <w:p w:rsidR="00DF03D1" w:rsidRPr="0010611E" w:rsidRDefault="00DF03D1" w:rsidP="00DF03D1">
      <w:pPr>
        <w:widowControl w:val="0"/>
        <w:rPr>
          <w:sz w:val="20"/>
          <w:szCs w:val="20"/>
        </w:rPr>
      </w:pPr>
      <w:r w:rsidRPr="0010611E">
        <w:rPr>
          <w:b/>
          <w:sz w:val="20"/>
          <w:szCs w:val="20"/>
        </w:rPr>
        <w:t xml:space="preserve">RESERVED / </w:t>
      </w:r>
      <w:r w:rsidRPr="0010611E">
        <w:rPr>
          <w:b/>
          <w:sz w:val="20"/>
          <w:szCs w:val="20"/>
          <w:lang w:val="en-US"/>
        </w:rPr>
        <w:t>EN DÉLIBÉRÉ</w:t>
      </w:r>
    </w:p>
    <w:p w:rsidR="00DF03D1" w:rsidRPr="0010611E" w:rsidRDefault="00DF03D1" w:rsidP="00DF03D1"/>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F03D1" w:rsidRPr="0010611E" w:rsidTr="00143552">
        <w:tc>
          <w:tcPr>
            <w:tcW w:w="4380" w:type="dxa"/>
            <w:tcMar>
              <w:left w:w="0" w:type="dxa"/>
              <w:right w:w="0" w:type="dxa"/>
            </w:tcMar>
          </w:tcPr>
          <w:p w:rsidR="00DF03D1" w:rsidRPr="0010611E" w:rsidRDefault="00DF03D1" w:rsidP="00143552">
            <w:pPr>
              <w:widowControl w:val="0"/>
              <w:jc w:val="both"/>
              <w:rPr>
                <w:b/>
                <w:sz w:val="20"/>
                <w:szCs w:val="20"/>
                <w:u w:val="single"/>
              </w:rPr>
            </w:pPr>
            <w:r w:rsidRPr="0010611E">
              <w:rPr>
                <w:b/>
                <w:sz w:val="20"/>
                <w:szCs w:val="20"/>
                <w:u w:val="single"/>
              </w:rPr>
              <w:t>Nature of the case:</w:t>
            </w:r>
          </w:p>
          <w:p w:rsidR="00DF03D1" w:rsidRPr="0010611E" w:rsidRDefault="00DF03D1" w:rsidP="00143552">
            <w:pPr>
              <w:widowControl w:val="0"/>
              <w:jc w:val="both"/>
              <w:rPr>
                <w:b/>
                <w:sz w:val="20"/>
                <w:szCs w:val="20"/>
              </w:rPr>
            </w:pPr>
          </w:p>
          <w:p w:rsidR="00DF03D1" w:rsidRPr="0010611E" w:rsidRDefault="00DF03D1" w:rsidP="00143552">
            <w:pPr>
              <w:widowControl w:val="0"/>
              <w:jc w:val="both"/>
              <w:rPr>
                <w:b/>
                <w:sz w:val="20"/>
                <w:szCs w:val="20"/>
              </w:rPr>
            </w:pPr>
            <w:r w:rsidRPr="0010611E">
              <w:rPr>
                <w:sz w:val="20"/>
                <w:lang w:val="en"/>
              </w:rPr>
              <w:t>Criminal law - Voyeurism - Elements of offence - Reasonable expectation of privacy - Whether majority of Court of Appeal erred in concluding that visual recordings of students were not made in circumstances that give rise to reasonable expectation of privacy as required by s. 162(1) of the Criminal Code, R.S.C. 1985, c. C-46.</w:t>
            </w:r>
          </w:p>
        </w:tc>
        <w:tc>
          <w:tcPr>
            <w:tcW w:w="720" w:type="dxa"/>
            <w:tcMar>
              <w:left w:w="0" w:type="dxa"/>
              <w:right w:w="0" w:type="dxa"/>
            </w:tcMar>
          </w:tcPr>
          <w:p w:rsidR="00DF03D1" w:rsidRPr="0010611E" w:rsidRDefault="00DF03D1" w:rsidP="00143552">
            <w:pPr>
              <w:widowControl w:val="0"/>
              <w:jc w:val="center"/>
              <w:rPr>
                <w:sz w:val="20"/>
                <w:szCs w:val="20"/>
              </w:rPr>
            </w:pPr>
          </w:p>
        </w:tc>
        <w:tc>
          <w:tcPr>
            <w:tcW w:w="4380" w:type="dxa"/>
            <w:tcMar>
              <w:left w:w="0" w:type="dxa"/>
              <w:right w:w="0" w:type="dxa"/>
            </w:tcMar>
          </w:tcPr>
          <w:p w:rsidR="00DF03D1" w:rsidRPr="0010611E" w:rsidRDefault="00DF03D1" w:rsidP="00143552">
            <w:pPr>
              <w:widowControl w:val="0"/>
              <w:jc w:val="both"/>
              <w:rPr>
                <w:b/>
                <w:sz w:val="20"/>
                <w:szCs w:val="20"/>
                <w:u w:val="single"/>
                <w:lang w:val="fr-CA"/>
              </w:rPr>
            </w:pPr>
            <w:r w:rsidRPr="0010611E">
              <w:rPr>
                <w:b/>
                <w:sz w:val="20"/>
                <w:szCs w:val="20"/>
                <w:u w:val="single"/>
                <w:lang w:val="fr-CA"/>
              </w:rPr>
              <w:t>Nature de la cause :</w:t>
            </w:r>
          </w:p>
          <w:p w:rsidR="00DF03D1" w:rsidRPr="0010611E" w:rsidRDefault="00DF03D1" w:rsidP="00143552">
            <w:pPr>
              <w:widowControl w:val="0"/>
              <w:jc w:val="both"/>
              <w:rPr>
                <w:sz w:val="20"/>
                <w:szCs w:val="20"/>
                <w:lang w:val="fr-CA"/>
              </w:rPr>
            </w:pPr>
          </w:p>
          <w:p w:rsidR="00DF03D1" w:rsidRPr="0010611E" w:rsidRDefault="00DF03D1" w:rsidP="00143552">
            <w:pPr>
              <w:widowControl w:val="0"/>
              <w:jc w:val="both"/>
              <w:rPr>
                <w:sz w:val="20"/>
                <w:szCs w:val="20"/>
                <w:lang w:val="fr-CA"/>
              </w:rPr>
            </w:pPr>
            <w:r w:rsidRPr="0010611E">
              <w:rPr>
                <w:sz w:val="20"/>
                <w:lang w:val="fr-FR"/>
              </w:rPr>
              <w:t>Droit criminel - Voyeurisme - Éléments de l’infraction - Attente raisonnable de protection en matière de vie privée - Les juges majoritaires de la Cour d’appel ont-ils eu tort de conclure que les enregistrements visuels d’étudiantes n’avaient pas été faits dans des circonstances pour lesquelles il existait une attente raisonnable de protection en matière de vie privée, comme l’exige le par. 162(1) du Code criminel, L.R.C. 1985, ch. C-46?</w:t>
            </w:r>
          </w:p>
        </w:tc>
      </w:tr>
    </w:tbl>
    <w:p w:rsidR="00DF03D1" w:rsidRPr="0010611E" w:rsidRDefault="00DF03D1" w:rsidP="00DF03D1">
      <w:pPr>
        <w:widowControl w:val="0"/>
        <w:rPr>
          <w:sz w:val="20"/>
          <w:szCs w:val="20"/>
          <w:lang w:val="fr-CA"/>
        </w:rPr>
      </w:pPr>
    </w:p>
    <w:p w:rsidR="00DF03D1" w:rsidRPr="0010611E" w:rsidRDefault="00B35ED9" w:rsidP="00DF03D1">
      <w:pPr>
        <w:widowControl w:val="0"/>
        <w:rPr>
          <w:sz w:val="20"/>
          <w:szCs w:val="20"/>
          <w:lang w:val="fr-CA"/>
        </w:rPr>
      </w:pPr>
      <w:r>
        <w:rPr>
          <w:sz w:val="20"/>
          <w:szCs w:val="20"/>
          <w:lang w:val="fr-CA"/>
        </w:rPr>
        <w:pict>
          <v:rect id="_x0000_i1053" style="width:2in;height:1pt" o:hrpct="0" o:hralign="center" o:hrstd="t" o:hrnoshade="t" o:hr="t" fillcolor="black [3213]" stroked="f"/>
        </w:pict>
      </w:r>
    </w:p>
    <w:p w:rsidR="00DF03D1" w:rsidRPr="0010611E" w:rsidRDefault="00DF03D1" w:rsidP="00DF03D1">
      <w:pPr>
        <w:widowControl w:val="0"/>
        <w:rPr>
          <w:sz w:val="20"/>
          <w:szCs w:val="20"/>
          <w:lang w:val="fr-CA"/>
        </w:rPr>
      </w:pPr>
    </w:p>
    <w:p w:rsidR="00732DB7" w:rsidRPr="0010611E" w:rsidRDefault="00732DB7" w:rsidP="00732DB7">
      <w:pPr>
        <w:widowControl w:val="0"/>
        <w:rPr>
          <w:sz w:val="20"/>
          <w:szCs w:val="20"/>
          <w:lang w:val="fr-CA"/>
        </w:rPr>
      </w:pPr>
    </w:p>
    <w:p w:rsidR="00732DB7" w:rsidRPr="0010611E" w:rsidRDefault="00732DB7" w:rsidP="00732DB7">
      <w:pPr>
        <w:widowControl w:val="0"/>
        <w:rPr>
          <w:sz w:val="20"/>
          <w:szCs w:val="20"/>
          <w:lang w:val="fr-CA"/>
        </w:rPr>
        <w:sectPr w:rsidR="00732DB7" w:rsidRPr="0010611E" w:rsidSect="00732DB7">
          <w:headerReference w:type="even" r:id="rId53"/>
          <w:headerReference w:type="default" r:id="rId54"/>
          <w:footerReference w:type="even" r:id="rId55"/>
          <w:footerReference w:type="default" r:id="rId56"/>
          <w:headerReference w:type="first" r:id="rId57"/>
          <w:footerReference w:type="first" r:id="rId58"/>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644959" w:rsidTr="0085476B">
        <w:tc>
          <w:tcPr>
            <w:tcW w:w="4200" w:type="dxa"/>
            <w:tcMar>
              <w:left w:w="0" w:type="dxa"/>
              <w:right w:w="0" w:type="dxa"/>
            </w:tcMar>
          </w:tcPr>
          <w:p w:rsidR="00FF6EEC" w:rsidRPr="0010611E" w:rsidRDefault="00FF6EEC" w:rsidP="0085476B">
            <w:pPr>
              <w:keepNext/>
              <w:keepLines/>
              <w:tabs>
                <w:tab w:val="left" w:pos="-1440"/>
                <w:tab w:val="left" w:pos="-720"/>
              </w:tabs>
              <w:rPr>
                <w:b/>
                <w:szCs w:val="24"/>
              </w:rPr>
            </w:pPr>
            <w:r w:rsidRPr="0010611E">
              <w:rPr>
                <w:b/>
                <w:szCs w:val="24"/>
              </w:rPr>
              <w:t>PRONOUNCEMENTS OF APPEALS</w:t>
            </w:r>
            <w:r w:rsidR="0085476B" w:rsidRPr="0010611E">
              <w:rPr>
                <w:b/>
                <w:szCs w:val="24"/>
              </w:rPr>
              <w:t xml:space="preserve"> </w:t>
            </w:r>
            <w:r w:rsidRPr="0010611E">
              <w:rPr>
                <w:b/>
                <w:szCs w:val="24"/>
              </w:rPr>
              <w:t>RESERVED</w:t>
            </w:r>
          </w:p>
          <w:p w:rsidR="00FF6EEC" w:rsidRPr="0010611E"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10611E"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10611E">
              <w:rPr>
                <w:b/>
                <w:szCs w:val="24"/>
              </w:rPr>
              <w:t>Reasons for judgment are available</w:t>
            </w:r>
          </w:p>
        </w:tc>
        <w:tc>
          <w:tcPr>
            <w:tcW w:w="1200" w:type="dxa"/>
            <w:tcMar>
              <w:left w:w="0" w:type="dxa"/>
              <w:right w:w="0" w:type="dxa"/>
            </w:tcMar>
          </w:tcPr>
          <w:p w:rsidR="00FF6EEC" w:rsidRPr="0010611E" w:rsidRDefault="00FF6EEC" w:rsidP="00FF6EEC">
            <w:pPr>
              <w:keepNext/>
              <w:keepLines/>
              <w:tabs>
                <w:tab w:val="left" w:pos="-1440"/>
                <w:tab w:val="left" w:pos="-720"/>
              </w:tabs>
              <w:jc w:val="center"/>
              <w:rPr>
                <w:b/>
                <w:szCs w:val="24"/>
              </w:rPr>
            </w:pPr>
          </w:p>
          <w:p w:rsidR="00FF6EEC" w:rsidRPr="0010611E" w:rsidRDefault="00FF6EEC" w:rsidP="00FF6EEC">
            <w:pPr>
              <w:keepNext/>
              <w:keepLines/>
              <w:tabs>
                <w:tab w:val="left" w:pos="-1440"/>
                <w:tab w:val="left" w:pos="-720"/>
              </w:tabs>
              <w:jc w:val="center"/>
              <w:rPr>
                <w:b/>
                <w:szCs w:val="24"/>
              </w:rPr>
            </w:pPr>
          </w:p>
          <w:p w:rsidR="00FF6EEC" w:rsidRPr="0010611E" w:rsidRDefault="00FF6EEC" w:rsidP="00FF6EEC">
            <w:pPr>
              <w:keepNext/>
              <w:keepLines/>
              <w:tabs>
                <w:tab w:val="left" w:pos="-1440"/>
                <w:tab w:val="left" w:pos="-720"/>
              </w:tabs>
              <w:jc w:val="center"/>
              <w:rPr>
                <w:b/>
                <w:szCs w:val="24"/>
              </w:rPr>
            </w:pPr>
          </w:p>
          <w:p w:rsidR="00FF6EEC" w:rsidRPr="0010611E" w:rsidRDefault="00FF6EEC" w:rsidP="00FF6EEC">
            <w:pPr>
              <w:keepNext/>
              <w:keepLines/>
              <w:tabs>
                <w:tab w:val="left" w:pos="-1440"/>
                <w:tab w:val="left" w:pos="-720"/>
              </w:tabs>
              <w:jc w:val="center"/>
              <w:rPr>
                <w:b/>
                <w:szCs w:val="24"/>
              </w:rPr>
            </w:pPr>
          </w:p>
          <w:p w:rsidR="00FF6EEC" w:rsidRPr="0010611E"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10611E" w:rsidRDefault="00FF6EEC" w:rsidP="00FF6EEC">
            <w:pPr>
              <w:keepNext/>
              <w:keepLines/>
              <w:tabs>
                <w:tab w:val="left" w:pos="-1440"/>
                <w:tab w:val="left" w:pos="-720"/>
              </w:tabs>
              <w:rPr>
                <w:b/>
                <w:szCs w:val="24"/>
                <w:lang w:val="fr-CA"/>
              </w:rPr>
            </w:pPr>
            <w:r w:rsidRPr="0010611E">
              <w:rPr>
                <w:b/>
                <w:szCs w:val="24"/>
                <w:lang w:val="fr-CA"/>
              </w:rPr>
              <w:t>JUGEMENTS RENDUS SUR LES APPELS EN DÉLIBÉRÉ</w:t>
            </w:r>
          </w:p>
          <w:p w:rsidR="00FF6EEC" w:rsidRPr="0010611E"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10611E"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10611E">
              <w:rPr>
                <w:b/>
                <w:szCs w:val="24"/>
                <w:lang w:val="fr-CA"/>
              </w:rPr>
              <w:t>Les motifs de jugement sont disponibles</w:t>
            </w:r>
          </w:p>
        </w:tc>
      </w:tr>
    </w:tbl>
    <w:p w:rsidR="00FF6EEC" w:rsidRPr="0010611E" w:rsidRDefault="00FF6EEC" w:rsidP="00FF6EEC">
      <w:pPr>
        <w:rPr>
          <w:b/>
          <w:sz w:val="20"/>
          <w:szCs w:val="20"/>
          <w:lang w:val="fr-CA"/>
        </w:rPr>
      </w:pPr>
    </w:p>
    <w:p w:rsidR="0052229C" w:rsidRPr="0010611E" w:rsidRDefault="00DB3DD6" w:rsidP="0052229C">
      <w:pPr>
        <w:rPr>
          <w:b/>
          <w:sz w:val="20"/>
          <w:szCs w:val="20"/>
          <w:lang w:val="en-US"/>
        </w:rPr>
      </w:pPr>
      <w:r w:rsidRPr="0010611E">
        <w:rPr>
          <w:b/>
          <w:sz w:val="20"/>
          <w:szCs w:val="20"/>
          <w:lang w:val="en-US"/>
        </w:rPr>
        <w:t>April 19</w:t>
      </w:r>
      <w:r w:rsidR="0052229C" w:rsidRPr="0010611E">
        <w:rPr>
          <w:b/>
          <w:sz w:val="20"/>
          <w:szCs w:val="20"/>
          <w:lang w:val="en-US"/>
        </w:rPr>
        <w:t>, 201</w:t>
      </w:r>
      <w:r w:rsidRPr="0010611E">
        <w:rPr>
          <w:b/>
          <w:sz w:val="20"/>
          <w:szCs w:val="20"/>
          <w:lang w:val="en-US"/>
        </w:rPr>
        <w:t>8</w:t>
      </w:r>
      <w:r w:rsidR="0052229C" w:rsidRPr="0010611E">
        <w:rPr>
          <w:b/>
          <w:sz w:val="20"/>
          <w:szCs w:val="20"/>
          <w:lang w:val="en-US"/>
        </w:rPr>
        <w:t xml:space="preserve"> / LE 1</w:t>
      </w:r>
      <w:r w:rsidRPr="0010611E">
        <w:rPr>
          <w:b/>
          <w:sz w:val="20"/>
          <w:szCs w:val="20"/>
          <w:lang w:val="en-US"/>
        </w:rPr>
        <w:t>9 AVRIL 2018</w:t>
      </w:r>
    </w:p>
    <w:p w:rsidR="0052229C" w:rsidRPr="0010611E" w:rsidRDefault="0052229C" w:rsidP="0052229C">
      <w:pPr>
        <w:rPr>
          <w:sz w:val="20"/>
          <w:szCs w:val="20"/>
          <w:lang w:val="en-US"/>
        </w:rPr>
      </w:pPr>
    </w:p>
    <w:p w:rsidR="0052229C" w:rsidRPr="0010611E" w:rsidRDefault="000E27A5" w:rsidP="0052229C">
      <w:pPr>
        <w:ind w:left="1440" w:hanging="1440"/>
        <w:jc w:val="both"/>
        <w:rPr>
          <w:sz w:val="20"/>
          <w:lang w:val="en-US"/>
        </w:rPr>
      </w:pPr>
      <w:r w:rsidRPr="0010611E">
        <w:rPr>
          <w:b/>
          <w:sz w:val="20"/>
        </w:rPr>
        <w:fldChar w:fldCharType="begin"/>
      </w:r>
      <w:r w:rsidR="0052229C" w:rsidRPr="0010611E">
        <w:rPr>
          <w:b/>
          <w:sz w:val="20"/>
          <w:lang w:val="en-US"/>
        </w:rPr>
        <w:instrText xml:space="preserve"> SEQ CHAPTER \h \r 1</w:instrText>
      </w:r>
      <w:r w:rsidRPr="0010611E">
        <w:rPr>
          <w:b/>
          <w:sz w:val="20"/>
        </w:rPr>
        <w:fldChar w:fldCharType="end"/>
      </w:r>
      <w:r w:rsidR="0052229C" w:rsidRPr="0010611E">
        <w:rPr>
          <w:b/>
          <w:sz w:val="20"/>
          <w:lang w:val="en-US"/>
        </w:rPr>
        <w:t>3</w:t>
      </w:r>
      <w:r w:rsidR="00DB3DD6" w:rsidRPr="0010611E">
        <w:rPr>
          <w:b/>
          <w:sz w:val="20"/>
          <w:lang w:val="en-US"/>
        </w:rPr>
        <w:t>7398</w:t>
      </w:r>
      <w:r w:rsidR="0052229C" w:rsidRPr="0010611E">
        <w:rPr>
          <w:sz w:val="20"/>
          <w:lang w:val="en-US"/>
        </w:rPr>
        <w:tab/>
      </w:r>
      <w:r w:rsidR="00DB3DD6" w:rsidRPr="0010611E">
        <w:rPr>
          <w:b/>
          <w:sz w:val="20"/>
          <w:u w:val="single"/>
          <w:lang w:val="en-US"/>
        </w:rPr>
        <w:t xml:space="preserve">Her Majesty </w:t>
      </w:r>
      <w:proofErr w:type="gramStart"/>
      <w:r w:rsidR="00DB3DD6" w:rsidRPr="0010611E">
        <w:rPr>
          <w:b/>
          <w:sz w:val="20"/>
          <w:u w:val="single"/>
          <w:lang w:val="en-US"/>
        </w:rPr>
        <w:t>The</w:t>
      </w:r>
      <w:proofErr w:type="gramEnd"/>
      <w:r w:rsidR="00DB3DD6" w:rsidRPr="0010611E">
        <w:rPr>
          <w:b/>
          <w:sz w:val="20"/>
          <w:u w:val="single"/>
          <w:lang w:val="en-US"/>
        </w:rPr>
        <w:t xml:space="preserve"> Queen v</w:t>
      </w:r>
      <w:r w:rsidR="0052229C" w:rsidRPr="0010611E">
        <w:rPr>
          <w:b/>
          <w:sz w:val="20"/>
          <w:u w:val="single"/>
          <w:lang w:val="en-US"/>
        </w:rPr>
        <w:t xml:space="preserve">. </w:t>
      </w:r>
      <w:r w:rsidR="00DB3DD6" w:rsidRPr="0010611E">
        <w:rPr>
          <w:b/>
          <w:sz w:val="20"/>
          <w:u w:val="single"/>
          <w:lang w:val="en-US"/>
        </w:rPr>
        <w:t>Gerard Comeau</w:t>
      </w:r>
      <w:r w:rsidR="00DB3DD6" w:rsidRPr="0010611E">
        <w:rPr>
          <w:b/>
          <w:sz w:val="20"/>
          <w:lang w:val="en-US"/>
        </w:rPr>
        <w:t xml:space="preserve"> </w:t>
      </w:r>
      <w:r w:rsidR="0052229C" w:rsidRPr="0010611E">
        <w:rPr>
          <w:iCs/>
          <w:sz w:val="20"/>
          <w:lang w:val="en-US"/>
        </w:rPr>
        <w:t>(</w:t>
      </w:r>
      <w:r w:rsidR="00DB3DD6" w:rsidRPr="0010611E">
        <w:rPr>
          <w:iCs/>
          <w:sz w:val="20"/>
          <w:lang w:val="en-US"/>
        </w:rPr>
        <w:t>N.B.</w:t>
      </w:r>
      <w:r w:rsidR="0052229C" w:rsidRPr="0010611E">
        <w:rPr>
          <w:iCs/>
          <w:sz w:val="20"/>
          <w:lang w:val="en-US"/>
        </w:rPr>
        <w:t>)</w:t>
      </w:r>
    </w:p>
    <w:p w:rsidR="0052229C" w:rsidRPr="0010611E"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10611E">
        <w:rPr>
          <w:b/>
          <w:sz w:val="20"/>
          <w:lang w:val="en-US"/>
        </w:rPr>
        <w:t>201</w:t>
      </w:r>
      <w:r w:rsidR="00DB3DD6" w:rsidRPr="0010611E">
        <w:rPr>
          <w:b/>
          <w:sz w:val="20"/>
          <w:lang w:val="en-US"/>
        </w:rPr>
        <w:t>8</w:t>
      </w:r>
      <w:r w:rsidRPr="0010611E">
        <w:rPr>
          <w:b/>
          <w:sz w:val="20"/>
          <w:lang w:val="en-US"/>
        </w:rPr>
        <w:t xml:space="preserve"> SCC 1</w:t>
      </w:r>
      <w:r w:rsidR="00B82251" w:rsidRPr="0010611E">
        <w:rPr>
          <w:b/>
          <w:sz w:val="20"/>
          <w:lang w:val="en-US"/>
        </w:rPr>
        <w:t>5</w:t>
      </w:r>
      <w:r w:rsidRPr="0010611E">
        <w:rPr>
          <w:b/>
          <w:sz w:val="20"/>
          <w:lang w:val="en-US"/>
        </w:rPr>
        <w:t xml:space="preserve"> / 201</w:t>
      </w:r>
      <w:r w:rsidR="00DB3DD6" w:rsidRPr="0010611E">
        <w:rPr>
          <w:b/>
          <w:sz w:val="20"/>
          <w:lang w:val="en-US"/>
        </w:rPr>
        <w:t>8</w:t>
      </w:r>
      <w:r w:rsidRPr="0010611E">
        <w:rPr>
          <w:b/>
          <w:sz w:val="20"/>
          <w:lang w:val="en-US"/>
        </w:rPr>
        <w:t xml:space="preserve"> CSC 1</w:t>
      </w:r>
      <w:r w:rsidR="00B82251" w:rsidRPr="0010611E">
        <w:rPr>
          <w:b/>
          <w:sz w:val="20"/>
          <w:lang w:val="en-US"/>
        </w:rPr>
        <w:t>5</w:t>
      </w:r>
    </w:p>
    <w:p w:rsidR="0052229C" w:rsidRPr="0010611E"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56248C" w:rsidRPr="0010611E" w:rsidRDefault="0052229C" w:rsidP="0056248C">
      <w:pPr>
        <w:widowControl w:val="0"/>
        <w:ind w:left="720" w:hanging="720"/>
        <w:rPr>
          <w:sz w:val="20"/>
          <w:szCs w:val="20"/>
          <w:u w:val="single"/>
          <w:lang w:val="en-US"/>
        </w:rPr>
      </w:pPr>
      <w:r w:rsidRPr="0010611E">
        <w:rPr>
          <w:sz w:val="20"/>
          <w:lang w:val="en-US"/>
        </w:rPr>
        <w:t>Coram:</w:t>
      </w:r>
      <w:r w:rsidRPr="0010611E">
        <w:rPr>
          <w:sz w:val="20"/>
          <w:lang w:val="en-US"/>
        </w:rPr>
        <w:tab/>
      </w:r>
      <w:r w:rsidR="00DB3DD6" w:rsidRPr="0010611E">
        <w:rPr>
          <w:sz w:val="20"/>
          <w:szCs w:val="20"/>
          <w:u w:val="single"/>
        </w:rPr>
        <w:t>McLachlin C.J. and Abella, Moldaver, Karakatsanis, Wagner, Gascon, Côté, Brown and Rowe JJ.</w:t>
      </w:r>
    </w:p>
    <w:p w:rsidR="0052229C" w:rsidRPr="00B35ED9" w:rsidRDefault="0052229C" w:rsidP="0052229C">
      <w:pPr>
        <w:ind w:left="1440" w:hanging="1440"/>
        <w:rPr>
          <w:sz w:val="16"/>
          <w:lang w:val="en-US"/>
        </w:rPr>
      </w:pPr>
      <w:bookmarkStart w:id="1" w:name="_GoBack"/>
      <w:bookmarkEnd w:id="1"/>
    </w:p>
    <w:p w:rsidR="001418A7" w:rsidRPr="0010611E" w:rsidRDefault="001418A7" w:rsidP="001418A7">
      <w:pPr>
        <w:jc w:val="both"/>
        <w:rPr>
          <w:sz w:val="20"/>
        </w:rPr>
      </w:pPr>
      <w:r w:rsidRPr="0010611E">
        <w:rPr>
          <w:sz w:val="20"/>
        </w:rPr>
        <w:t xml:space="preserve">The appeal from the judgment </w:t>
      </w:r>
      <w:bookmarkStart w:id="2" w:name="BM_1_"/>
      <w:bookmarkEnd w:id="2"/>
      <w:r w:rsidRPr="0010611E">
        <w:rPr>
          <w:sz w:val="20"/>
        </w:rPr>
        <w:t>of the Court of Appeal of New Brunswick, Number 35-16-CA, dated October 20, 2016, heard on December 6, 2017, is allowed, with costs to the respondent. Section 134(</w:t>
      </w:r>
      <w:r w:rsidRPr="0010611E">
        <w:rPr>
          <w:i/>
          <w:sz w:val="20"/>
        </w:rPr>
        <w:t>b</w:t>
      </w:r>
      <w:r w:rsidRPr="0010611E">
        <w:rPr>
          <w:sz w:val="20"/>
        </w:rPr>
        <w:t xml:space="preserve">) of the </w:t>
      </w:r>
      <w:r w:rsidRPr="0010611E">
        <w:rPr>
          <w:i/>
          <w:sz w:val="20"/>
        </w:rPr>
        <w:t>Liquor Control Act</w:t>
      </w:r>
      <w:r w:rsidRPr="0010611E">
        <w:rPr>
          <w:sz w:val="20"/>
        </w:rPr>
        <w:t>, R.S.N.B. 1973, c. L-10, is constitutional.</w:t>
      </w:r>
    </w:p>
    <w:p w:rsidR="001418A7" w:rsidRPr="0010611E" w:rsidRDefault="001418A7" w:rsidP="001418A7">
      <w:pPr>
        <w:jc w:val="both"/>
        <w:rPr>
          <w:sz w:val="20"/>
        </w:rPr>
      </w:pPr>
    </w:p>
    <w:p w:rsidR="001418A7" w:rsidRPr="0010611E" w:rsidRDefault="001418A7" w:rsidP="001418A7">
      <w:pPr>
        <w:jc w:val="both"/>
        <w:rPr>
          <w:sz w:val="20"/>
        </w:rPr>
      </w:pPr>
      <w:r w:rsidRPr="0010611E">
        <w:rPr>
          <w:sz w:val="20"/>
        </w:rPr>
        <w:t>The constitutional question is answered as follows:</w:t>
      </w:r>
    </w:p>
    <w:p w:rsidR="001418A7" w:rsidRPr="0010611E" w:rsidRDefault="001418A7" w:rsidP="001418A7">
      <w:pPr>
        <w:jc w:val="both"/>
        <w:rPr>
          <w:sz w:val="20"/>
        </w:rPr>
      </w:pPr>
    </w:p>
    <w:p w:rsidR="001418A7" w:rsidRPr="0010611E" w:rsidRDefault="001418A7" w:rsidP="001418A7">
      <w:pPr>
        <w:ind w:left="392"/>
        <w:jc w:val="both"/>
        <w:rPr>
          <w:sz w:val="20"/>
        </w:rPr>
      </w:pPr>
      <w:r w:rsidRPr="0010611E">
        <w:rPr>
          <w:sz w:val="20"/>
        </w:rPr>
        <w:t xml:space="preserve">Question: Does s. 121 of the </w:t>
      </w:r>
      <w:r w:rsidRPr="0010611E">
        <w:rPr>
          <w:i/>
          <w:sz w:val="20"/>
        </w:rPr>
        <w:t>Constitution Act, 1867</w:t>
      </w:r>
      <w:r w:rsidRPr="0010611E">
        <w:rPr>
          <w:sz w:val="20"/>
        </w:rPr>
        <w:t xml:space="preserve"> (U.K.), 30 &amp; 31 Vict., c. 3, render unconstitutional s. 134(</w:t>
      </w:r>
      <w:r w:rsidRPr="0010611E">
        <w:rPr>
          <w:i/>
          <w:sz w:val="20"/>
        </w:rPr>
        <w:t>b</w:t>
      </w:r>
      <w:r w:rsidRPr="0010611E">
        <w:rPr>
          <w:sz w:val="20"/>
        </w:rPr>
        <w:t xml:space="preserve">) of the </w:t>
      </w:r>
      <w:r w:rsidRPr="0010611E">
        <w:rPr>
          <w:i/>
          <w:sz w:val="20"/>
        </w:rPr>
        <w:t>Liquor Control Act</w:t>
      </w:r>
      <w:r w:rsidRPr="0010611E">
        <w:rPr>
          <w:sz w:val="20"/>
        </w:rPr>
        <w:t xml:space="preserve">, R.S.N.B. 1973, c. L-10, which along with s. 3 of the </w:t>
      </w:r>
      <w:r w:rsidRPr="0010611E">
        <w:rPr>
          <w:i/>
          <w:sz w:val="20"/>
        </w:rPr>
        <w:t>Importation of Intoxicating Liquors Act</w:t>
      </w:r>
      <w:r w:rsidRPr="0010611E">
        <w:rPr>
          <w:sz w:val="20"/>
        </w:rPr>
        <w:t>, R.S.C. 1985, c. I-3, establishes a federal-provincial regulatory scheme in respect of intoxicating liquor?</w:t>
      </w:r>
    </w:p>
    <w:p w:rsidR="001418A7" w:rsidRPr="0010611E" w:rsidRDefault="001418A7" w:rsidP="001418A7">
      <w:pPr>
        <w:ind w:left="392"/>
        <w:jc w:val="both"/>
        <w:rPr>
          <w:sz w:val="20"/>
        </w:rPr>
      </w:pPr>
    </w:p>
    <w:p w:rsidR="00DB3DD6" w:rsidRPr="0010611E" w:rsidRDefault="001418A7" w:rsidP="001418A7">
      <w:pPr>
        <w:jc w:val="both"/>
        <w:rPr>
          <w:rFonts w:eastAsia="Calibri"/>
          <w:sz w:val="16"/>
          <w:lang w:val="fr-CA"/>
        </w:rPr>
      </w:pPr>
      <w:r w:rsidRPr="0010611E">
        <w:rPr>
          <w:sz w:val="20"/>
          <w:lang w:val="fr-CA"/>
        </w:rPr>
        <w:t>Answer: No.</w:t>
      </w:r>
    </w:p>
    <w:p w:rsidR="00DB3DD6" w:rsidRPr="0010611E" w:rsidRDefault="00DB3DD6" w:rsidP="00DB3DD6">
      <w:pPr>
        <w:jc w:val="both"/>
        <w:rPr>
          <w:rFonts w:eastAsia="Calibri"/>
          <w:sz w:val="20"/>
          <w:lang w:val="fr-CA"/>
        </w:rPr>
      </w:pPr>
    </w:p>
    <w:p w:rsidR="001418A7" w:rsidRPr="0010611E" w:rsidRDefault="001418A7" w:rsidP="001418A7">
      <w:pPr>
        <w:jc w:val="both"/>
        <w:rPr>
          <w:sz w:val="20"/>
          <w:lang w:val="fr-CA"/>
        </w:rPr>
      </w:pPr>
      <w:r w:rsidRPr="0010611E">
        <w:rPr>
          <w:sz w:val="20"/>
          <w:lang w:val="fr-CA"/>
        </w:rPr>
        <w:t>L’appel interjeté contre l’arrêt de la Cour d’appel du Nouveau-Brunswick, numéro 35-16-CA, daté du 20 octobre 2016, entendu le 6 décembre 2017, est accueilli, avec dépens en faveur de l’intimé. L’alinéa 134</w:t>
      </w:r>
      <w:r w:rsidRPr="0010611E">
        <w:rPr>
          <w:i/>
          <w:sz w:val="20"/>
          <w:lang w:val="fr-CA"/>
        </w:rPr>
        <w:t>b</w:t>
      </w:r>
      <w:r w:rsidRPr="0010611E">
        <w:rPr>
          <w:sz w:val="20"/>
          <w:lang w:val="fr-CA"/>
        </w:rPr>
        <w:t xml:space="preserve">) de la </w:t>
      </w:r>
      <w:r w:rsidRPr="0010611E">
        <w:rPr>
          <w:i/>
          <w:sz w:val="20"/>
          <w:lang w:val="fr-CA"/>
        </w:rPr>
        <w:t>Loi sur la réglementation des alcools</w:t>
      </w:r>
      <w:r w:rsidRPr="0010611E">
        <w:rPr>
          <w:sz w:val="20"/>
          <w:lang w:val="fr-CA"/>
        </w:rPr>
        <w:t>, L.R.N.-B. 1973, c. L-10, est constitutionnel.</w:t>
      </w:r>
    </w:p>
    <w:p w:rsidR="001418A7" w:rsidRPr="0010611E" w:rsidRDefault="001418A7" w:rsidP="001418A7">
      <w:pPr>
        <w:jc w:val="both"/>
        <w:rPr>
          <w:sz w:val="20"/>
          <w:lang w:val="fr-CA"/>
        </w:rPr>
      </w:pPr>
    </w:p>
    <w:p w:rsidR="001418A7" w:rsidRPr="0010611E" w:rsidRDefault="001418A7" w:rsidP="001418A7">
      <w:pPr>
        <w:jc w:val="both"/>
        <w:rPr>
          <w:sz w:val="20"/>
          <w:lang w:val="fr-CA"/>
        </w:rPr>
      </w:pPr>
      <w:r w:rsidRPr="0010611E">
        <w:rPr>
          <w:sz w:val="20"/>
          <w:lang w:val="fr-CA"/>
        </w:rPr>
        <w:t>La question constitutionnelle reçoit la réponse suivante :</w:t>
      </w:r>
    </w:p>
    <w:p w:rsidR="001418A7" w:rsidRPr="0010611E" w:rsidRDefault="001418A7" w:rsidP="001418A7">
      <w:pPr>
        <w:jc w:val="both"/>
        <w:rPr>
          <w:sz w:val="20"/>
          <w:lang w:val="fr-CA"/>
        </w:rPr>
      </w:pPr>
    </w:p>
    <w:p w:rsidR="001418A7" w:rsidRPr="0010611E" w:rsidRDefault="001418A7" w:rsidP="001418A7">
      <w:pPr>
        <w:ind w:left="381"/>
        <w:jc w:val="both"/>
        <w:rPr>
          <w:sz w:val="20"/>
          <w:lang w:val="fr-CA"/>
        </w:rPr>
      </w:pPr>
      <w:r w:rsidRPr="0010611E">
        <w:rPr>
          <w:sz w:val="20"/>
          <w:lang w:val="fr-CA"/>
        </w:rPr>
        <w:t xml:space="preserve">Question : L’article 121 de la </w:t>
      </w:r>
      <w:r w:rsidRPr="0010611E">
        <w:rPr>
          <w:i/>
          <w:sz w:val="20"/>
          <w:lang w:val="fr-CA"/>
        </w:rPr>
        <w:t>Loi constitutionnelle de 1867</w:t>
      </w:r>
      <w:r w:rsidRPr="0010611E">
        <w:rPr>
          <w:sz w:val="20"/>
          <w:lang w:val="fr-CA"/>
        </w:rPr>
        <w:t xml:space="preserve"> (R.-U.), 30 &amp; 31 Vict., c. 3, rend-il inconstitutionnel l’al. 134</w:t>
      </w:r>
      <w:r w:rsidRPr="0010611E">
        <w:rPr>
          <w:i/>
          <w:sz w:val="20"/>
          <w:lang w:val="fr-CA"/>
        </w:rPr>
        <w:t>b</w:t>
      </w:r>
      <w:r w:rsidRPr="0010611E">
        <w:rPr>
          <w:sz w:val="20"/>
          <w:lang w:val="fr-CA"/>
        </w:rPr>
        <w:t xml:space="preserve">) de la </w:t>
      </w:r>
      <w:r w:rsidRPr="0010611E">
        <w:rPr>
          <w:i/>
          <w:sz w:val="20"/>
          <w:lang w:val="fr-CA"/>
        </w:rPr>
        <w:t>Loi sur la réglementation des alcools</w:t>
      </w:r>
      <w:r w:rsidRPr="0010611E">
        <w:rPr>
          <w:sz w:val="20"/>
          <w:lang w:val="fr-CA"/>
        </w:rPr>
        <w:t xml:space="preserve">, L.R.N.-B. 1973, c. L-10, qui, avec l’art. 3 de la </w:t>
      </w:r>
      <w:r w:rsidRPr="0010611E">
        <w:rPr>
          <w:i/>
          <w:sz w:val="20"/>
          <w:lang w:val="fr-CA"/>
        </w:rPr>
        <w:t>Loi sur l’importation de boissons enivrantes</w:t>
      </w:r>
      <w:r w:rsidRPr="0010611E">
        <w:rPr>
          <w:sz w:val="20"/>
          <w:lang w:val="fr-CA"/>
        </w:rPr>
        <w:t>, L.R.C. 1985, c. I-3, établit un régime de réglementation fédéral-provincial à l’égard des boissons enivrantes?</w:t>
      </w:r>
    </w:p>
    <w:p w:rsidR="001418A7" w:rsidRPr="0010611E" w:rsidRDefault="001418A7" w:rsidP="001418A7">
      <w:pPr>
        <w:ind w:left="381"/>
        <w:jc w:val="both"/>
        <w:rPr>
          <w:sz w:val="20"/>
          <w:lang w:val="fr-CA"/>
        </w:rPr>
      </w:pPr>
    </w:p>
    <w:p w:rsidR="00660261" w:rsidRPr="0010611E" w:rsidRDefault="001418A7" w:rsidP="001418A7">
      <w:pPr>
        <w:spacing w:line="0" w:lineRule="atLeast"/>
        <w:rPr>
          <w:sz w:val="20"/>
          <w:lang w:val="fr-CA"/>
        </w:rPr>
      </w:pPr>
      <w:r w:rsidRPr="0010611E">
        <w:rPr>
          <w:sz w:val="20"/>
          <w:lang w:val="fr-CA"/>
        </w:rPr>
        <w:t>Réponse : Non.</w:t>
      </w:r>
    </w:p>
    <w:p w:rsidR="00660261" w:rsidRPr="0010611E" w:rsidRDefault="00660261" w:rsidP="001418A7">
      <w:pPr>
        <w:spacing w:line="0" w:lineRule="atLeast"/>
        <w:rPr>
          <w:sz w:val="20"/>
          <w:lang w:val="fr-CA"/>
        </w:rPr>
      </w:pPr>
    </w:p>
    <w:p w:rsidR="0052229C" w:rsidRPr="0010611E" w:rsidRDefault="00B35ED9" w:rsidP="001418A7">
      <w:pPr>
        <w:spacing w:line="0" w:lineRule="atLeast"/>
        <w:rPr>
          <w:sz w:val="16"/>
          <w:szCs w:val="20"/>
          <w:lang w:val="fr-CA"/>
        </w:rPr>
      </w:pPr>
      <w:r>
        <w:rPr>
          <w:b/>
          <w:sz w:val="16"/>
          <w:szCs w:val="20"/>
        </w:rPr>
        <w:pict>
          <v:rect id="_x0000_i1056" style="width:144.3pt;height:1pt" o:hrpct="300" o:hralign="center" o:hrstd="t" o:hrnoshade="t" o:hr="t" fillcolor="black [3213]" stroked="f"/>
        </w:pict>
      </w:r>
    </w:p>
    <w:p w:rsidR="0052229C" w:rsidRPr="0010611E" w:rsidRDefault="0052229C" w:rsidP="0052229C">
      <w:pPr>
        <w:spacing w:line="0" w:lineRule="atLeast"/>
        <w:rPr>
          <w:sz w:val="20"/>
          <w:szCs w:val="20"/>
          <w:lang w:val="fr-CA"/>
        </w:rPr>
      </w:pPr>
    </w:p>
    <w:p w:rsidR="006F53CF" w:rsidRPr="0010611E" w:rsidRDefault="006F53CF">
      <w:pPr>
        <w:rPr>
          <w:b/>
          <w:sz w:val="20"/>
          <w:szCs w:val="20"/>
          <w:lang w:val="fr-CA"/>
        </w:rPr>
      </w:pPr>
      <w:r w:rsidRPr="0010611E">
        <w:rPr>
          <w:b/>
          <w:sz w:val="20"/>
          <w:szCs w:val="20"/>
          <w:lang w:val="fr-CA"/>
        </w:rPr>
        <w:br w:type="page"/>
      </w:r>
    </w:p>
    <w:p w:rsidR="00DB3DD6" w:rsidRPr="00250D3A" w:rsidRDefault="00DB3DD6" w:rsidP="00DB3DD6">
      <w:pPr>
        <w:rPr>
          <w:b/>
          <w:sz w:val="20"/>
          <w:szCs w:val="20"/>
          <w:lang w:val="en-US"/>
        </w:rPr>
      </w:pPr>
      <w:r w:rsidRPr="00250D3A">
        <w:rPr>
          <w:b/>
          <w:sz w:val="20"/>
          <w:szCs w:val="20"/>
          <w:lang w:val="en-US"/>
        </w:rPr>
        <w:t>April 20, 2018 / LE 20 AVRIL 2018</w:t>
      </w:r>
    </w:p>
    <w:p w:rsidR="00DB3DD6" w:rsidRPr="00250D3A" w:rsidRDefault="00DB3DD6" w:rsidP="00DB3DD6">
      <w:pPr>
        <w:rPr>
          <w:sz w:val="20"/>
          <w:szCs w:val="20"/>
          <w:lang w:val="en-US"/>
        </w:rPr>
      </w:pPr>
    </w:p>
    <w:p w:rsidR="00DB3DD6" w:rsidRPr="0010611E" w:rsidRDefault="00DB3DD6" w:rsidP="00DB3DD6">
      <w:pPr>
        <w:ind w:left="1440" w:hanging="1440"/>
        <w:jc w:val="both"/>
        <w:rPr>
          <w:sz w:val="20"/>
          <w:lang w:val="en-US"/>
        </w:rPr>
      </w:pPr>
      <w:r w:rsidRPr="0010611E">
        <w:rPr>
          <w:b/>
          <w:sz w:val="20"/>
        </w:rPr>
        <w:fldChar w:fldCharType="begin"/>
      </w:r>
      <w:r w:rsidRPr="0010611E">
        <w:rPr>
          <w:b/>
          <w:sz w:val="20"/>
          <w:lang w:val="en-US"/>
        </w:rPr>
        <w:instrText xml:space="preserve"> SEQ CHAPTER \h \r 1</w:instrText>
      </w:r>
      <w:r w:rsidRPr="0010611E">
        <w:rPr>
          <w:b/>
          <w:sz w:val="20"/>
        </w:rPr>
        <w:fldChar w:fldCharType="end"/>
      </w:r>
      <w:r w:rsidRPr="0010611E">
        <w:rPr>
          <w:b/>
          <w:sz w:val="20"/>
          <w:lang w:val="en-US"/>
        </w:rPr>
        <w:t>37250</w:t>
      </w:r>
      <w:r w:rsidRPr="0010611E">
        <w:rPr>
          <w:sz w:val="20"/>
          <w:lang w:val="en-US"/>
        </w:rPr>
        <w:tab/>
      </w:r>
      <w:r w:rsidRPr="0010611E">
        <w:rPr>
          <w:b/>
          <w:sz w:val="20"/>
          <w:u w:val="single"/>
          <w:lang w:val="en-US"/>
        </w:rPr>
        <w:t>Office of the Child</w:t>
      </w:r>
      <w:r w:rsidR="0014235A" w:rsidRPr="0010611E">
        <w:rPr>
          <w:b/>
          <w:sz w:val="20"/>
          <w:u w:val="single"/>
          <w:lang w:val="en-US"/>
        </w:rPr>
        <w:t>r</w:t>
      </w:r>
      <w:r w:rsidRPr="0010611E">
        <w:rPr>
          <w:b/>
          <w:sz w:val="20"/>
          <w:u w:val="single"/>
          <w:lang w:val="en-US"/>
        </w:rPr>
        <w:t>en’s Lawyer v. John Paul Balev and Catharine</w:t>
      </w:r>
      <w:r w:rsidR="0014235A" w:rsidRPr="0010611E">
        <w:rPr>
          <w:b/>
          <w:sz w:val="20"/>
          <w:u w:val="single"/>
          <w:lang w:val="en-US"/>
        </w:rPr>
        <w:t>-</w:t>
      </w:r>
      <w:r w:rsidRPr="0010611E">
        <w:rPr>
          <w:b/>
          <w:sz w:val="20"/>
          <w:u w:val="single"/>
          <w:lang w:val="en-US"/>
        </w:rPr>
        <w:t xml:space="preserve">Rose </w:t>
      </w:r>
      <w:proofErr w:type="spellStart"/>
      <w:r w:rsidRPr="0010611E">
        <w:rPr>
          <w:b/>
          <w:sz w:val="20"/>
          <w:u w:val="single"/>
          <w:lang w:val="en-US"/>
        </w:rPr>
        <w:t>Baggott</w:t>
      </w:r>
      <w:proofErr w:type="spellEnd"/>
      <w:r w:rsidRPr="0010611E">
        <w:rPr>
          <w:b/>
          <w:sz w:val="20"/>
          <w:lang w:val="en-US"/>
        </w:rPr>
        <w:t xml:space="preserve"> </w:t>
      </w:r>
      <w:r w:rsidRPr="0010611E">
        <w:rPr>
          <w:iCs/>
          <w:sz w:val="20"/>
          <w:lang w:val="en-US"/>
        </w:rPr>
        <w:t>(Ont.)</w:t>
      </w:r>
    </w:p>
    <w:p w:rsidR="00DB3DD6" w:rsidRPr="0010611E" w:rsidRDefault="00DB3DD6" w:rsidP="00DB3DD6">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10611E">
        <w:rPr>
          <w:b/>
          <w:sz w:val="20"/>
          <w:lang w:val="en-US"/>
        </w:rPr>
        <w:t>2018 SCC 1</w:t>
      </w:r>
      <w:r w:rsidR="00F42924" w:rsidRPr="0010611E">
        <w:rPr>
          <w:b/>
          <w:sz w:val="20"/>
          <w:lang w:val="en-US"/>
        </w:rPr>
        <w:t>6</w:t>
      </w:r>
      <w:r w:rsidRPr="0010611E">
        <w:rPr>
          <w:b/>
          <w:sz w:val="20"/>
          <w:lang w:val="en-US"/>
        </w:rPr>
        <w:t xml:space="preserve"> / 2018 CSC 1</w:t>
      </w:r>
      <w:r w:rsidR="00F42924" w:rsidRPr="0010611E">
        <w:rPr>
          <w:b/>
          <w:sz w:val="20"/>
          <w:lang w:val="en-US"/>
        </w:rPr>
        <w:t>6</w:t>
      </w:r>
    </w:p>
    <w:p w:rsidR="00DB3DD6" w:rsidRPr="0010611E" w:rsidRDefault="00DB3DD6" w:rsidP="00DB3DD6">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6F53CF" w:rsidRPr="0010611E" w:rsidRDefault="006F53CF" w:rsidP="006F53CF">
      <w:pPr>
        <w:widowControl w:val="0"/>
        <w:ind w:left="720" w:hanging="720"/>
        <w:rPr>
          <w:sz w:val="20"/>
          <w:szCs w:val="20"/>
          <w:u w:val="single"/>
          <w:lang w:val="en-US"/>
        </w:rPr>
      </w:pPr>
      <w:r w:rsidRPr="0010611E">
        <w:rPr>
          <w:sz w:val="20"/>
          <w:lang w:val="en-US"/>
        </w:rPr>
        <w:t>Coram:</w:t>
      </w:r>
      <w:r w:rsidRPr="0010611E">
        <w:rPr>
          <w:sz w:val="20"/>
          <w:lang w:val="en-US"/>
        </w:rPr>
        <w:tab/>
      </w:r>
      <w:r w:rsidRPr="0010611E">
        <w:rPr>
          <w:sz w:val="20"/>
          <w:szCs w:val="20"/>
          <w:u w:val="single"/>
        </w:rPr>
        <w:t>McLachlin C.J. and Abella, Moldaver, Karakatsanis, Wagner, Gascon, Côté, Brown and Rowe JJ.</w:t>
      </w:r>
    </w:p>
    <w:p w:rsidR="00D004FC" w:rsidRPr="0010611E"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en-US"/>
        </w:rPr>
      </w:pPr>
    </w:p>
    <w:p w:rsidR="006F53CF" w:rsidRPr="0010611E" w:rsidRDefault="006F53CF"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16"/>
          <w:szCs w:val="20"/>
          <w:lang w:val="en-US"/>
        </w:rPr>
      </w:pPr>
      <w:r w:rsidRPr="0010611E">
        <w:rPr>
          <w:sz w:val="20"/>
        </w:rPr>
        <w:t xml:space="preserve">The appeal from the judgment of the Court of Appeal for Ontario, Number C62066, 2016 ONCA 680, dated September 13, 2016, heard on November 9, 2017, is moot, thus it is not necessary to decide whether the application judge erred in ordering the children returned to Germany.  The Court disposes of the appeal by adopting a hybrid approach to determining habitual residence under Article 3 of the </w:t>
      </w:r>
      <w:r w:rsidRPr="0010611E">
        <w:rPr>
          <w:i/>
          <w:sz w:val="20"/>
        </w:rPr>
        <w:t>Convention on the Civil Aspects of International Child Abduction</w:t>
      </w:r>
      <w:r w:rsidRPr="0010611E">
        <w:rPr>
          <w:sz w:val="20"/>
        </w:rPr>
        <w:t>, Can. T.S. 1983 No. 35, and a non-technical approach to considering the child’s objection under Article 13(2). There is no order as to costs.</w:t>
      </w:r>
    </w:p>
    <w:p w:rsidR="00732DB7" w:rsidRPr="0010611E" w:rsidRDefault="00732DB7" w:rsidP="00732DB7">
      <w:pPr>
        <w:widowControl w:val="0"/>
        <w:rPr>
          <w:sz w:val="20"/>
          <w:szCs w:val="20"/>
        </w:rPr>
      </w:pPr>
    </w:p>
    <w:p w:rsidR="00697C62" w:rsidRPr="0010611E" w:rsidRDefault="00697C62" w:rsidP="00732DB7">
      <w:pPr>
        <w:widowControl w:val="0"/>
        <w:rPr>
          <w:sz w:val="20"/>
          <w:szCs w:val="20"/>
        </w:rPr>
      </w:pPr>
    </w:p>
    <w:p w:rsidR="006F53CF" w:rsidRPr="0010611E" w:rsidRDefault="006F53CF" w:rsidP="006F53CF">
      <w:pPr>
        <w:jc w:val="both"/>
        <w:rPr>
          <w:sz w:val="20"/>
          <w:lang w:val="fr-CA"/>
        </w:rPr>
      </w:pPr>
      <w:r w:rsidRPr="0010611E">
        <w:rPr>
          <w:sz w:val="20"/>
          <w:lang w:val="fr-CA"/>
        </w:rPr>
        <w:t>L’appel interjeté contre l’arrêt de la Cour d’appel de l’Ontario, numéro C62066, 2016 ONCA 680, daté du 13 septembre 2016, entendu le 9 novembre 2017, est théorique, de sorte qu’il n’est pas n</w:t>
      </w:r>
      <w:r w:rsidRPr="0010611E">
        <w:rPr>
          <w:rFonts w:cs="Times New Roman"/>
          <w:sz w:val="20"/>
          <w:lang w:val="fr-CA"/>
        </w:rPr>
        <w:t>é</w:t>
      </w:r>
      <w:r w:rsidRPr="0010611E">
        <w:rPr>
          <w:sz w:val="20"/>
          <w:lang w:val="fr-CA"/>
        </w:rPr>
        <w:t xml:space="preserve">cessaire de décider si la juge des requêtes a eu tort d’ordonner le retour des enfants en Allemagne. La Cour statue sur l’appel en adoptant l’approche hybride pour déterminer le lieu de la résidence habituelle de l’enfant suivant l’article 3 de la </w:t>
      </w:r>
      <w:r w:rsidRPr="0010611E">
        <w:rPr>
          <w:i/>
          <w:sz w:val="20"/>
          <w:lang w:val="fr-CA"/>
        </w:rPr>
        <w:t xml:space="preserve">Convention sur les aspects civils de l’enlèvement international d’enfants, </w:t>
      </w:r>
      <w:r w:rsidRPr="0010611E">
        <w:rPr>
          <w:sz w:val="20"/>
          <w:lang w:val="fr-CA"/>
        </w:rPr>
        <w:t xml:space="preserve">R.T. Can. 1983 </w:t>
      </w:r>
      <w:proofErr w:type="gramStart"/>
      <w:r w:rsidRPr="0010611E">
        <w:rPr>
          <w:sz w:val="20"/>
          <w:lang w:val="fr-CA"/>
        </w:rPr>
        <w:t>n</w:t>
      </w:r>
      <w:r w:rsidRPr="0010611E">
        <w:rPr>
          <w:sz w:val="20"/>
          <w:vertAlign w:val="superscript"/>
          <w:lang w:val="fr-CA"/>
        </w:rPr>
        <w:t>o</w:t>
      </w:r>
      <w:proofErr w:type="gramEnd"/>
      <w:r w:rsidRPr="0010611E">
        <w:rPr>
          <w:sz w:val="20"/>
          <w:lang w:val="fr-CA"/>
        </w:rPr>
        <w:t> 35, et une approche non technique pour se prononcer sur l’opposition de l’enfant prévue au paragraphe 13(2). Aucuns dépens ne sont adjugés.</w:t>
      </w:r>
    </w:p>
    <w:p w:rsidR="00660261" w:rsidRPr="0010611E" w:rsidRDefault="00660261" w:rsidP="006F53CF">
      <w:pPr>
        <w:jc w:val="both"/>
        <w:rPr>
          <w:sz w:val="20"/>
          <w:lang w:val="fr-CA"/>
        </w:rPr>
      </w:pPr>
    </w:p>
    <w:p w:rsidR="00660261" w:rsidRPr="0010611E" w:rsidRDefault="00B35ED9" w:rsidP="006F53CF">
      <w:pPr>
        <w:jc w:val="both"/>
        <w:rPr>
          <w:sz w:val="20"/>
          <w:lang w:val="fr-CA"/>
        </w:rPr>
      </w:pPr>
      <w:r>
        <w:rPr>
          <w:rFonts w:eastAsia="Times New Roman" w:cs="Times New Roman"/>
          <w:sz w:val="20"/>
          <w:szCs w:val="20"/>
          <w:lang w:val="fr-CA" w:eastAsia="en-CA"/>
        </w:rPr>
        <w:pict>
          <v:rect id="_x0000_i1057" style="width:2in;height:1pt" o:hrpct="0" o:hralign="center" o:hrstd="t" o:hrnoshade="t" o:hr="t" fillcolor="black [3213]" stroked="f"/>
        </w:pict>
      </w:r>
    </w:p>
    <w:p w:rsidR="00660261" w:rsidRPr="0010611E" w:rsidRDefault="00660261" w:rsidP="006F53CF">
      <w:pPr>
        <w:jc w:val="both"/>
        <w:rPr>
          <w:sz w:val="20"/>
          <w:lang w:val="fr-CA"/>
        </w:rPr>
      </w:pPr>
    </w:p>
    <w:p w:rsidR="00660261" w:rsidRPr="0010611E" w:rsidRDefault="00660261" w:rsidP="006F53CF">
      <w:pPr>
        <w:jc w:val="both"/>
        <w:rPr>
          <w:sz w:val="20"/>
          <w:lang w:val="fr-CA"/>
        </w:rPr>
      </w:pPr>
    </w:p>
    <w:p w:rsidR="006F53CF" w:rsidRPr="0010611E" w:rsidRDefault="006F53CF" w:rsidP="00732DB7">
      <w:pPr>
        <w:widowControl w:val="0"/>
        <w:rPr>
          <w:sz w:val="20"/>
          <w:szCs w:val="20"/>
        </w:rPr>
        <w:sectPr w:rsidR="006F53CF" w:rsidRPr="0010611E" w:rsidSect="00782AE4">
          <w:headerReference w:type="even" r:id="rId59"/>
          <w:headerReference w:type="default" r:id="rId60"/>
          <w:footerReference w:type="even" r:id="rId61"/>
          <w:footerReference w:type="default" r:id="rId62"/>
          <w:headerReference w:type="first" r:id="rId63"/>
          <w:footerReference w:type="first" r:id="rId64"/>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10611E" w:rsidTr="0085476B">
        <w:tc>
          <w:tcPr>
            <w:tcW w:w="4200" w:type="dxa"/>
            <w:tcMar>
              <w:left w:w="0" w:type="dxa"/>
              <w:right w:w="0" w:type="dxa"/>
            </w:tcMar>
          </w:tcPr>
          <w:p w:rsidR="00782AE4" w:rsidRPr="0010611E" w:rsidRDefault="00782AE4" w:rsidP="00782AE4">
            <w:pPr>
              <w:keepNext/>
              <w:keepLines/>
              <w:jc w:val="both"/>
              <w:rPr>
                <w:b/>
                <w:szCs w:val="24"/>
              </w:rPr>
            </w:pPr>
            <w:r w:rsidRPr="0010611E">
              <w:rPr>
                <w:b/>
                <w:szCs w:val="24"/>
              </w:rPr>
              <w:t>HEADNOTES OF RECENT</w:t>
            </w:r>
          </w:p>
          <w:p w:rsidR="00782AE4" w:rsidRPr="0010611E" w:rsidRDefault="00782AE4" w:rsidP="00782AE4">
            <w:pPr>
              <w:keepNext/>
              <w:keepLines/>
              <w:jc w:val="both"/>
              <w:rPr>
                <w:b/>
                <w:szCs w:val="24"/>
              </w:rPr>
            </w:pPr>
            <w:r w:rsidRPr="0010611E">
              <w:rPr>
                <w:b/>
                <w:szCs w:val="24"/>
              </w:rPr>
              <w:t>JUDGMENTS</w:t>
            </w:r>
          </w:p>
        </w:tc>
        <w:tc>
          <w:tcPr>
            <w:tcW w:w="1200" w:type="dxa"/>
            <w:tcMar>
              <w:left w:w="0" w:type="dxa"/>
              <w:right w:w="0" w:type="dxa"/>
            </w:tcMar>
          </w:tcPr>
          <w:p w:rsidR="00782AE4" w:rsidRPr="0010611E" w:rsidRDefault="00782AE4" w:rsidP="00102926">
            <w:pPr>
              <w:keepNext/>
              <w:keepLines/>
              <w:jc w:val="center"/>
              <w:rPr>
                <w:b/>
                <w:szCs w:val="24"/>
              </w:rPr>
            </w:pPr>
          </w:p>
          <w:p w:rsidR="00782AE4" w:rsidRPr="0010611E" w:rsidRDefault="00782AE4" w:rsidP="00102926">
            <w:pPr>
              <w:keepNext/>
              <w:keepLines/>
              <w:jc w:val="center"/>
              <w:rPr>
                <w:b/>
                <w:szCs w:val="24"/>
              </w:rPr>
            </w:pPr>
          </w:p>
          <w:p w:rsidR="00782AE4" w:rsidRPr="0010611E" w:rsidRDefault="00782AE4" w:rsidP="00102926">
            <w:pPr>
              <w:keepNext/>
              <w:keepLines/>
              <w:jc w:val="center"/>
              <w:rPr>
                <w:b/>
                <w:szCs w:val="24"/>
              </w:rPr>
            </w:pPr>
          </w:p>
        </w:tc>
        <w:tc>
          <w:tcPr>
            <w:tcW w:w="4080" w:type="dxa"/>
            <w:tcMar>
              <w:left w:w="0" w:type="dxa"/>
              <w:right w:w="0" w:type="dxa"/>
            </w:tcMar>
          </w:tcPr>
          <w:p w:rsidR="00782AE4" w:rsidRPr="0010611E" w:rsidRDefault="00782AE4" w:rsidP="00782AE4">
            <w:pPr>
              <w:keepNext/>
              <w:keepLines/>
              <w:rPr>
                <w:b/>
                <w:szCs w:val="24"/>
              </w:rPr>
            </w:pPr>
            <w:r w:rsidRPr="0010611E">
              <w:rPr>
                <w:b/>
                <w:szCs w:val="24"/>
              </w:rPr>
              <w:t>SOMMAIRES DE JUGEMENTS RÉCENTS</w:t>
            </w:r>
          </w:p>
        </w:tc>
      </w:tr>
    </w:tbl>
    <w:p w:rsidR="005C6840" w:rsidRPr="0010611E" w:rsidRDefault="005C6840" w:rsidP="005C6840">
      <w:pPr>
        <w:jc w:val="both"/>
        <w:rPr>
          <w:sz w:val="20"/>
          <w:szCs w:val="20"/>
        </w:rPr>
      </w:pPr>
    </w:p>
    <w:p w:rsidR="00DB3DD6" w:rsidRPr="0010611E" w:rsidRDefault="00DB3DD6" w:rsidP="00DB3DD6">
      <w:pPr>
        <w:ind w:left="1440" w:hanging="1440"/>
        <w:jc w:val="both"/>
        <w:rPr>
          <w:sz w:val="20"/>
          <w:szCs w:val="20"/>
          <w:lang w:val="fr-CA"/>
        </w:rPr>
      </w:pPr>
      <w:r w:rsidRPr="0010611E">
        <w:rPr>
          <w:rFonts w:eastAsia="Calibri"/>
          <w:i/>
          <w:sz w:val="20"/>
          <w:szCs w:val="20"/>
          <w:lang w:val="en-US"/>
        </w:rPr>
        <w:t xml:space="preserve">Her Majesty </w:t>
      </w:r>
      <w:proofErr w:type="gramStart"/>
      <w:r w:rsidRPr="0010611E">
        <w:rPr>
          <w:rFonts w:eastAsia="Calibri"/>
          <w:i/>
          <w:sz w:val="20"/>
          <w:szCs w:val="20"/>
          <w:lang w:val="en-US"/>
        </w:rPr>
        <w:t>The</w:t>
      </w:r>
      <w:proofErr w:type="gramEnd"/>
      <w:r w:rsidRPr="0010611E">
        <w:rPr>
          <w:rFonts w:eastAsia="Calibri"/>
          <w:i/>
          <w:sz w:val="20"/>
          <w:szCs w:val="20"/>
          <w:lang w:val="en-US"/>
        </w:rPr>
        <w:t xml:space="preserve"> Queen v. Gerard Comeau </w:t>
      </w:r>
      <w:r w:rsidRPr="0010611E">
        <w:rPr>
          <w:sz w:val="20"/>
          <w:szCs w:val="20"/>
          <w:lang w:val="en-US"/>
        </w:rPr>
        <w:t xml:space="preserve">(N.B.) </w:t>
      </w:r>
      <w:r w:rsidRPr="0010611E">
        <w:rPr>
          <w:sz w:val="20"/>
          <w:szCs w:val="20"/>
          <w:lang w:val="fr-CA"/>
        </w:rPr>
        <w:t>(</w:t>
      </w:r>
      <w:hyperlink r:id="rId65" w:history="1">
        <w:r w:rsidRPr="0010611E">
          <w:rPr>
            <w:rStyle w:val="Hyperlink"/>
            <w:sz w:val="20"/>
            <w:szCs w:val="20"/>
            <w:lang w:val="fr-CA"/>
          </w:rPr>
          <w:t>37398</w:t>
        </w:r>
      </w:hyperlink>
      <w:r w:rsidRPr="0010611E">
        <w:rPr>
          <w:sz w:val="20"/>
          <w:szCs w:val="20"/>
          <w:lang w:val="fr-CA"/>
        </w:rPr>
        <w:t>)</w:t>
      </w:r>
    </w:p>
    <w:p w:rsidR="00DB3DD6" w:rsidRPr="0010611E" w:rsidRDefault="00DB3DD6" w:rsidP="00DB3DD6">
      <w:pPr>
        <w:jc w:val="both"/>
        <w:rPr>
          <w:b/>
          <w:sz w:val="20"/>
          <w:szCs w:val="20"/>
          <w:lang w:val="fr-CA"/>
        </w:rPr>
      </w:pPr>
      <w:proofErr w:type="spellStart"/>
      <w:r w:rsidRPr="0010611E">
        <w:rPr>
          <w:b/>
          <w:sz w:val="20"/>
          <w:szCs w:val="20"/>
          <w:lang w:val="fr-CA"/>
        </w:rPr>
        <w:t>Indexed</w:t>
      </w:r>
      <w:proofErr w:type="spellEnd"/>
      <w:r w:rsidRPr="0010611E">
        <w:rPr>
          <w:b/>
          <w:sz w:val="20"/>
          <w:szCs w:val="20"/>
          <w:lang w:val="fr-CA"/>
        </w:rPr>
        <w:t xml:space="preserve"> as: </w:t>
      </w:r>
      <w:r w:rsidRPr="0010611E">
        <w:rPr>
          <w:rStyle w:val="SCCAppellantForIndexChar"/>
          <w:rFonts w:eastAsiaTheme="minorHAnsi"/>
          <w:sz w:val="20"/>
        </w:rPr>
        <w:t>R.</w:t>
      </w:r>
      <w:r w:rsidRPr="0010611E">
        <w:rPr>
          <w:b/>
          <w:sz w:val="20"/>
          <w:szCs w:val="20"/>
          <w:lang w:val="fr-CA"/>
        </w:rPr>
        <w:t xml:space="preserve"> </w:t>
      </w:r>
      <w:r w:rsidRPr="0010611E">
        <w:rPr>
          <w:b/>
          <w:i/>
          <w:sz w:val="20"/>
          <w:szCs w:val="20"/>
          <w:lang w:val="fr-CA"/>
        </w:rPr>
        <w:t>v.</w:t>
      </w:r>
      <w:r w:rsidRPr="0010611E">
        <w:rPr>
          <w:b/>
          <w:sz w:val="20"/>
          <w:szCs w:val="20"/>
          <w:lang w:val="fr-CA"/>
        </w:rPr>
        <w:t xml:space="preserve"> Comeau</w:t>
      </w:r>
      <w:r w:rsidRPr="0010611E">
        <w:rPr>
          <w:rStyle w:val="SCCRespondentForIndexChar"/>
          <w:rFonts w:eastAsiaTheme="minorHAnsi"/>
          <w:sz w:val="20"/>
          <w:lang w:val="fr-CA"/>
        </w:rPr>
        <w:t xml:space="preserve"> / </w:t>
      </w:r>
      <w:r w:rsidRPr="0010611E">
        <w:rPr>
          <w:b/>
          <w:sz w:val="20"/>
          <w:szCs w:val="20"/>
          <w:lang w:val="fr-CA"/>
        </w:rPr>
        <w:t>Répertorié: </w:t>
      </w:r>
      <w:r w:rsidRPr="0010611E">
        <w:rPr>
          <w:rStyle w:val="SCCAppellantForIndexChar"/>
          <w:rFonts w:eastAsiaTheme="minorHAnsi"/>
          <w:sz w:val="20"/>
        </w:rPr>
        <w:t>R.</w:t>
      </w:r>
      <w:r w:rsidRPr="0010611E">
        <w:rPr>
          <w:b/>
          <w:sz w:val="20"/>
          <w:szCs w:val="20"/>
          <w:lang w:val="fr-CA"/>
        </w:rPr>
        <w:t xml:space="preserve"> </w:t>
      </w:r>
      <w:r w:rsidRPr="0010611E">
        <w:rPr>
          <w:b/>
          <w:i/>
          <w:sz w:val="20"/>
          <w:szCs w:val="20"/>
          <w:lang w:val="fr-CA"/>
        </w:rPr>
        <w:t>c.</w:t>
      </w:r>
      <w:r w:rsidRPr="0010611E">
        <w:rPr>
          <w:b/>
          <w:sz w:val="20"/>
          <w:szCs w:val="20"/>
          <w:lang w:val="fr-CA"/>
        </w:rPr>
        <w:t xml:space="preserve"> Comeau</w:t>
      </w:r>
    </w:p>
    <w:p w:rsidR="00DB3DD6" w:rsidRPr="0010611E" w:rsidRDefault="00DB3DD6" w:rsidP="00DB3DD6">
      <w:pPr>
        <w:pStyle w:val="SCCSystemYear"/>
        <w:jc w:val="both"/>
        <w:rPr>
          <w:sz w:val="20"/>
        </w:rPr>
      </w:pPr>
      <w:proofErr w:type="spellStart"/>
      <w:r w:rsidRPr="0010611E">
        <w:rPr>
          <w:sz w:val="20"/>
        </w:rPr>
        <w:t>Neutral</w:t>
      </w:r>
      <w:proofErr w:type="spellEnd"/>
      <w:r w:rsidRPr="0010611E">
        <w:rPr>
          <w:sz w:val="20"/>
        </w:rPr>
        <w:t xml:space="preserve"> citation: 2018 SCC </w:t>
      </w:r>
      <w:r w:rsidR="00727BE5" w:rsidRPr="0010611E">
        <w:rPr>
          <w:sz w:val="20"/>
        </w:rPr>
        <w:t>15</w:t>
      </w:r>
      <w:r w:rsidRPr="0010611E">
        <w:rPr>
          <w:sz w:val="20"/>
        </w:rPr>
        <w:t xml:space="preserve"> / Référence neutre : 2018 CSC 1</w:t>
      </w:r>
      <w:r w:rsidR="00727BE5" w:rsidRPr="0010611E">
        <w:rPr>
          <w:sz w:val="20"/>
        </w:rPr>
        <w:t>5</w:t>
      </w:r>
    </w:p>
    <w:p w:rsidR="00DB3DD6" w:rsidRPr="0010611E" w:rsidRDefault="00DB3DD6" w:rsidP="00DB3DD6">
      <w:pPr>
        <w:rPr>
          <w:rFonts w:cs="Times New Roman"/>
          <w:sz w:val="20"/>
          <w:szCs w:val="20"/>
          <w:lang w:val="fr-CA"/>
        </w:rPr>
      </w:pPr>
      <w:r w:rsidRPr="0010611E">
        <w:rPr>
          <w:rFonts w:cs="Times New Roman"/>
          <w:sz w:val="20"/>
          <w:szCs w:val="20"/>
          <w:lang w:val="fr-CA"/>
        </w:rPr>
        <w:t>Hearing: December 6, 2017 / Judgment: April 19, 2018</w:t>
      </w:r>
    </w:p>
    <w:p w:rsidR="00DB3DD6" w:rsidRPr="0010611E" w:rsidRDefault="00DB3DD6" w:rsidP="00DB3DD6">
      <w:pPr>
        <w:rPr>
          <w:rFonts w:cs="Times New Roman"/>
          <w:sz w:val="20"/>
          <w:szCs w:val="20"/>
          <w:lang w:val="fr-CA"/>
        </w:rPr>
      </w:pPr>
      <w:r w:rsidRPr="0010611E">
        <w:rPr>
          <w:rFonts w:cs="Times New Roman"/>
          <w:sz w:val="20"/>
          <w:szCs w:val="20"/>
          <w:lang w:val="fr-CA"/>
        </w:rPr>
        <w:t>Audition : Le 6 décembre 2017 / Jugement : Le 19 avril 2018</w:t>
      </w:r>
    </w:p>
    <w:p w:rsidR="00DB3DD6" w:rsidRPr="0010611E" w:rsidRDefault="00B35ED9" w:rsidP="00DB3DD6">
      <w:pPr>
        <w:rPr>
          <w:rFonts w:cs="Times New Roman"/>
          <w:sz w:val="20"/>
          <w:szCs w:val="20"/>
          <w:lang w:val="fr-CA"/>
        </w:rPr>
      </w:pPr>
      <w:r>
        <w:rPr>
          <w:rFonts w:cs="Times New Roman"/>
          <w:i/>
          <w:sz w:val="20"/>
          <w:szCs w:val="20"/>
        </w:rPr>
        <w:pict>
          <v:rect id="_x0000_i1060" style="width:480.95pt;height:1pt" o:hralign="center" o:hrstd="t" o:hrnoshade="t" o:hr="t" fillcolor="black [3213]" stroked="f"/>
        </w:pict>
      </w:r>
    </w:p>
    <w:p w:rsidR="00DB3DD6" w:rsidRPr="0010611E" w:rsidRDefault="00DB3DD6" w:rsidP="00DB3DD6">
      <w:pPr>
        <w:rPr>
          <w:rFonts w:cs="Times New Roman"/>
          <w:sz w:val="20"/>
          <w:szCs w:val="20"/>
          <w:lang w:val="fr-CA"/>
        </w:rPr>
      </w:pPr>
    </w:p>
    <w:p w:rsidR="004A72A5" w:rsidRPr="0010611E" w:rsidRDefault="004A72A5" w:rsidP="004A72A5">
      <w:pPr>
        <w:jc w:val="both"/>
        <w:rPr>
          <w:sz w:val="20"/>
          <w:szCs w:val="20"/>
        </w:rPr>
      </w:pPr>
      <w:r w:rsidRPr="0010611E">
        <w:rPr>
          <w:sz w:val="20"/>
          <w:szCs w:val="20"/>
        </w:rPr>
        <w:t>Present:  C.J. McLachlin and Abella, Moldaver, Karakatsanis, Wagner, Gascon, Côté, Brown and Rowe JJ.</w:t>
      </w:r>
    </w:p>
    <w:p w:rsidR="004A72A5" w:rsidRPr="0010611E" w:rsidRDefault="004A72A5" w:rsidP="00FD1C43">
      <w:pPr>
        <w:pStyle w:val="SCCNormalDoubleSpacing"/>
        <w:spacing w:before="480" w:after="480"/>
        <w:ind w:firstLine="720"/>
        <w:rPr>
          <w:i/>
          <w:sz w:val="20"/>
        </w:rPr>
      </w:pPr>
      <w:r w:rsidRPr="0010611E">
        <w:rPr>
          <w:i/>
          <w:sz w:val="20"/>
        </w:rPr>
        <w:t>Constitutional law — Interprovincial trade — Provincial offences — Restricted access to liquor from other provinces — New Brunswick resident charged under s. 134(b) of Liquor Control Act for having quantities of alcohol in excess of applicable limit — Whether s. 134(b) of Liquor Control Act infringes s. 121 of Constitution Act, 1867 — Whether s. 121 is free trade provision that bars any impediment to interprovincial commerce — Meaning of “admitted free” in s. 121 —Whether trial judge erred in departing from binding precedent on basis of historical evidence and expert’s opinion of evidence — Constitution Act, 1867, s. 121 — Liquor Control Act, R.S.N.B. 1973, c. L</w:t>
      </w:r>
      <w:r w:rsidRPr="0010611E">
        <w:rPr>
          <w:i/>
          <w:sz w:val="20"/>
        </w:rPr>
        <w:noBreakHyphen/>
        <w:t>10, s. 134(b).</w:t>
      </w:r>
    </w:p>
    <w:p w:rsidR="004A72A5" w:rsidRPr="0010611E" w:rsidRDefault="004A72A5" w:rsidP="004A72A5">
      <w:pPr>
        <w:pStyle w:val="SCCNormalDoubleSpacing"/>
        <w:spacing w:before="480" w:after="480"/>
        <w:rPr>
          <w:sz w:val="20"/>
        </w:rPr>
      </w:pPr>
      <w:r w:rsidRPr="0010611E">
        <w:rPr>
          <w:sz w:val="20"/>
        </w:rPr>
        <w:tab/>
        <w:t>Together with other provisions of the New Brunswick</w:t>
      </w:r>
      <w:r w:rsidRPr="0010611E">
        <w:rPr>
          <w:i/>
          <w:sz w:val="20"/>
        </w:rPr>
        <w:t xml:space="preserve"> Liquor Control Act</w:t>
      </w:r>
      <w:r w:rsidRPr="0010611E">
        <w:rPr>
          <w:sz w:val="20"/>
        </w:rPr>
        <w:t>, s. 134(</w:t>
      </w:r>
      <w:r w:rsidRPr="0010611E">
        <w:rPr>
          <w:i/>
          <w:sz w:val="20"/>
        </w:rPr>
        <w:t>b</w:t>
      </w:r>
      <w:r w:rsidRPr="0010611E">
        <w:rPr>
          <w:sz w:val="20"/>
        </w:rPr>
        <w:t>) makes it an offence to “have or keep liquor” in an amount that exceeds a prescribed threshold purchased from any Canadian source other than the New Brunswick Liquor Corporation. C is a resident of New Brunswick who entered Quebec, visited three different stores, and purchased quantities of alcohol in excess of the applicable limit. Returning from Quebec to New Brunswick, C was stopped by the RCMP; he was charged under s. 134(</w:t>
      </w:r>
      <w:r w:rsidRPr="0010611E">
        <w:rPr>
          <w:i/>
          <w:sz w:val="20"/>
        </w:rPr>
        <w:t>b</w:t>
      </w:r>
      <w:r w:rsidRPr="0010611E">
        <w:rPr>
          <w:sz w:val="20"/>
        </w:rPr>
        <w:t xml:space="preserve">) and was issued a fine. C challenged the charge on the basis that s. 121 of the </w:t>
      </w:r>
      <w:r w:rsidRPr="0010611E">
        <w:rPr>
          <w:i/>
          <w:sz w:val="20"/>
        </w:rPr>
        <w:t>Constitution Act, 1867</w:t>
      </w:r>
      <w:r w:rsidRPr="0010611E">
        <w:rPr>
          <w:sz w:val="20"/>
        </w:rPr>
        <w:t xml:space="preserve"> — which provides that all articles of manufacture from any province shall be “admitted free” into each of the other provinces — renders s. 134(</w:t>
      </w:r>
      <w:r w:rsidRPr="0010611E">
        <w:rPr>
          <w:i/>
          <w:sz w:val="20"/>
        </w:rPr>
        <w:t>b</w:t>
      </w:r>
      <w:r w:rsidRPr="0010611E">
        <w:rPr>
          <w:sz w:val="20"/>
        </w:rPr>
        <w:t>) unconstitutional. The trial judge found s. 134(</w:t>
      </w:r>
      <w:r w:rsidRPr="0010611E">
        <w:rPr>
          <w:i/>
          <w:sz w:val="20"/>
        </w:rPr>
        <w:t>b</w:t>
      </w:r>
      <w:r w:rsidRPr="0010611E">
        <w:rPr>
          <w:sz w:val="20"/>
        </w:rPr>
        <w:t>) to be of no force and effect against C and dismissed the charge. The Court of Appeal dismissed the Crown’s application for leave to appeal.</w:t>
      </w:r>
    </w:p>
    <w:p w:rsidR="004A72A5" w:rsidRPr="0010611E" w:rsidRDefault="004A72A5" w:rsidP="004A72A5">
      <w:pPr>
        <w:pStyle w:val="SCCNormalDoubleSpacing"/>
        <w:spacing w:before="480" w:after="480"/>
        <w:rPr>
          <w:sz w:val="20"/>
        </w:rPr>
      </w:pPr>
      <w:r w:rsidRPr="0010611E">
        <w:rPr>
          <w:sz w:val="20"/>
        </w:rPr>
        <w:tab/>
      </w:r>
      <w:r w:rsidRPr="0010611E">
        <w:rPr>
          <w:rStyle w:val="QuoteChar"/>
          <w:sz w:val="20"/>
        </w:rPr>
        <w:t>Held:</w:t>
      </w:r>
      <w:r w:rsidRPr="0010611E">
        <w:rPr>
          <w:sz w:val="20"/>
        </w:rPr>
        <w:t xml:space="preserve"> The appeal should be allowed. Section 134(</w:t>
      </w:r>
      <w:r w:rsidRPr="0010611E">
        <w:rPr>
          <w:i/>
          <w:sz w:val="20"/>
        </w:rPr>
        <w:t>b</w:t>
      </w:r>
      <w:r w:rsidRPr="0010611E">
        <w:rPr>
          <w:sz w:val="20"/>
        </w:rPr>
        <w:t xml:space="preserve">) of the </w:t>
      </w:r>
      <w:r w:rsidRPr="0010611E">
        <w:rPr>
          <w:i/>
          <w:sz w:val="20"/>
        </w:rPr>
        <w:t>Liquor Control Act</w:t>
      </w:r>
      <w:r w:rsidRPr="0010611E">
        <w:rPr>
          <w:sz w:val="20"/>
        </w:rPr>
        <w:t xml:space="preserve"> does not infringe s. 121 of the </w:t>
      </w:r>
      <w:r w:rsidRPr="0010611E">
        <w:rPr>
          <w:i/>
          <w:sz w:val="20"/>
        </w:rPr>
        <w:t>Constitution Act, 1867</w:t>
      </w:r>
      <w:r w:rsidRPr="0010611E">
        <w:rPr>
          <w:sz w:val="20"/>
        </w:rPr>
        <w:t>.</w:t>
      </w:r>
    </w:p>
    <w:p w:rsidR="004A72A5" w:rsidRPr="0010611E" w:rsidRDefault="004A72A5" w:rsidP="004A72A5">
      <w:pPr>
        <w:pStyle w:val="SCCNormalDoubleSpacing"/>
        <w:spacing w:before="480" w:after="480"/>
        <w:rPr>
          <w:sz w:val="20"/>
        </w:rPr>
      </w:pPr>
      <w:r w:rsidRPr="0010611E">
        <w:rPr>
          <w:sz w:val="20"/>
        </w:rPr>
        <w:tab/>
        <w:t xml:space="preserve">Common law courts are bound by authoritative precedent. Subject to extraordinary exceptions, a lower court must apply the decisions of higher courts to the facts before it. A legal precedent may be revisited if new legal issues are raised as a consequence of significant developments in the law, or if there is a change in the circumstances or evidence that fundamentally shifts the parameters of the debate. Not only is the exception narrow, it is not a general invitation to reconsider binding authority on the basis of any type of evidence. For a binding precedent from a higher court to be cast aside, the new evidence must fundamentally shift how jurists understand the legal question at issue. </w:t>
      </w:r>
    </w:p>
    <w:p w:rsidR="004A72A5" w:rsidRPr="0010611E" w:rsidRDefault="004A72A5" w:rsidP="004A72A5">
      <w:pPr>
        <w:pStyle w:val="SCCNormalDoubleSpacing"/>
        <w:spacing w:before="480" w:after="480"/>
        <w:rPr>
          <w:sz w:val="20"/>
        </w:rPr>
      </w:pPr>
      <w:r w:rsidRPr="0010611E">
        <w:rPr>
          <w:sz w:val="20"/>
        </w:rPr>
        <w:tab/>
        <w:t xml:space="preserve">This high threshold was not met in this case. The trial judge relied on evidence presented by an historian whom he accepted as an expert. The trial judge accepted the expert’s description of the drafters’ motivations for including s. 121 in the </w:t>
      </w:r>
      <w:r w:rsidRPr="0010611E">
        <w:rPr>
          <w:i/>
          <w:sz w:val="20"/>
        </w:rPr>
        <w:t>Constitution Act, 1867</w:t>
      </w:r>
      <w:r w:rsidRPr="0010611E">
        <w:rPr>
          <w:sz w:val="20"/>
        </w:rPr>
        <w:t xml:space="preserve">, and the expert’s opinion that those motivations drive how s. 121 is to be interpreted. Neither class of evidence constitutes evolving legislative and social facts or a comparable fundamental shift; the evidence is simply a description of historical information and one expert’s assessment of that information. The trial judge’s reliance on the expert’s opinion of the correct interpretation of s. 121 was erroneous. To depart from precedent on the basis of such opinion evidence is to cede the judge’s primary task to an expert. And to rely on such evidence to rebut </w:t>
      </w:r>
      <w:r w:rsidRPr="0010611E">
        <w:rPr>
          <w:i/>
          <w:sz w:val="20"/>
        </w:rPr>
        <w:t>stare decisis</w:t>
      </w:r>
      <w:r w:rsidRPr="0010611E">
        <w:rPr>
          <w:sz w:val="20"/>
        </w:rPr>
        <w:t xml:space="preserve"> is to substitute one expert’s opinion on domestic law for that expressed by appellate courts in binding judgments. This would introduce the very instability in the law that the principle of </w:t>
      </w:r>
      <w:r w:rsidRPr="0010611E">
        <w:rPr>
          <w:i/>
          <w:sz w:val="20"/>
        </w:rPr>
        <w:t>stare decisis</w:t>
      </w:r>
      <w:r w:rsidRPr="0010611E">
        <w:rPr>
          <w:sz w:val="20"/>
        </w:rPr>
        <w:t xml:space="preserve"> aims to avoid. </w:t>
      </w:r>
    </w:p>
    <w:p w:rsidR="004A72A5" w:rsidRPr="0010611E" w:rsidRDefault="004A72A5" w:rsidP="004A72A5">
      <w:pPr>
        <w:pStyle w:val="SCCNormalDoubleSpacing"/>
        <w:spacing w:before="480" w:after="480"/>
        <w:rPr>
          <w:rFonts w:eastAsia="Calibri"/>
          <w:sz w:val="20"/>
          <w:lang w:bidi="en-US"/>
        </w:rPr>
      </w:pPr>
      <w:r w:rsidRPr="0010611E">
        <w:rPr>
          <w:sz w:val="20"/>
        </w:rPr>
        <w:tab/>
        <w:t xml:space="preserve">The modern approach to statutory interpretation provides a guide for determining how “admitted free” in s. 121 should be interpreted. The text of the provision must be read harmoniously with the context and purpose of the statute. Constitutional texts must be interpreted in a broad and purposive manner and </w:t>
      </w:r>
      <w:r w:rsidRPr="0010611E">
        <w:rPr>
          <w:rFonts w:eastAsia="Calibri"/>
          <w:sz w:val="20"/>
          <w:lang w:bidi="en-US"/>
        </w:rPr>
        <w:t>in a manner that is sensitive to evolving circumstances. Applying this framework to s. 121, the text, historical context, legislative context, and underlying constitutional principles do not support the contention that s. 121 should be interpreted as prohibiting any and all burdens on the passage of goods over provincial boundaries, essentially imposing an absolute free trade regime within Canada. Rather, these considerations support a flexible, purposive view of s. 121 — one that respects an appropriate balance between federal and provincial powers.</w:t>
      </w:r>
    </w:p>
    <w:p w:rsidR="004A72A5" w:rsidRPr="0010611E" w:rsidRDefault="004A72A5" w:rsidP="004A72A5">
      <w:pPr>
        <w:pStyle w:val="SCCNormalDoubleSpacing"/>
        <w:spacing w:before="480" w:after="480"/>
        <w:rPr>
          <w:sz w:val="20"/>
        </w:rPr>
      </w:pPr>
      <w:r w:rsidRPr="0010611E">
        <w:rPr>
          <w:rFonts w:eastAsia="Calibri"/>
          <w:sz w:val="20"/>
          <w:lang w:bidi="en-US"/>
        </w:rPr>
        <w:tab/>
        <w:t xml:space="preserve">With respect to the text of s. 121, the phrase “admitted free” is ambiguous, and </w:t>
      </w:r>
      <w:r w:rsidRPr="0010611E">
        <w:rPr>
          <w:sz w:val="20"/>
        </w:rPr>
        <w:t>falls to be interpreted on the basis of the historical, legislative and constitutional contexts. To achieve economic union, the framers of the Constitution agreed that individual provinces needed to relinquish their tariff powers. The historical context supports the view that, at a minimum, s. 121 prohibits the imposition of charges on goods crossing provincial boundaries — tariffs and tariff</w:t>
      </w:r>
      <w:r w:rsidRPr="0010611E">
        <w:rPr>
          <w:sz w:val="20"/>
        </w:rPr>
        <w:noBreakHyphen/>
        <w:t xml:space="preserve">like measures. But the historical evidence nowhere suggests that provinces would lose their power to legislate under s. 92 of the </w:t>
      </w:r>
      <w:r w:rsidRPr="0010611E">
        <w:rPr>
          <w:i/>
          <w:sz w:val="20"/>
        </w:rPr>
        <w:t xml:space="preserve">Constitution Act, 1867 </w:t>
      </w:r>
      <w:r w:rsidRPr="0010611E">
        <w:rPr>
          <w:sz w:val="20"/>
        </w:rPr>
        <w:t xml:space="preserve">for the benefit of their constituents even if that might have impacts on interprovincial trade. </w:t>
      </w:r>
    </w:p>
    <w:p w:rsidR="004A72A5" w:rsidRPr="0010611E" w:rsidRDefault="004A72A5" w:rsidP="004A72A5">
      <w:pPr>
        <w:pStyle w:val="SCCNormalDoubleSpacing"/>
        <w:spacing w:before="480" w:after="480"/>
        <w:rPr>
          <w:sz w:val="20"/>
        </w:rPr>
      </w:pPr>
      <w:r w:rsidRPr="0010611E">
        <w:rPr>
          <w:sz w:val="20"/>
        </w:rPr>
        <w:tab/>
        <w:t xml:space="preserve">As well, the legislative context of s. 121 indicates that it was part of a scheme that enabled the shifting of customs, excise, and similar levies from the former colonies to the Dominion; that it should be interpreted as applying to measures that increase the price of goods when they cross a provincial border; and that it should not be read so expansively that it would impinge on legislative powers under ss. 91 and 92 of the </w:t>
      </w:r>
      <w:r w:rsidRPr="0010611E">
        <w:rPr>
          <w:i/>
          <w:sz w:val="20"/>
        </w:rPr>
        <w:t>Constitution Act, 1867</w:t>
      </w:r>
      <w:r w:rsidRPr="0010611E">
        <w:rPr>
          <w:sz w:val="20"/>
        </w:rPr>
        <w:t>.</w:t>
      </w:r>
    </w:p>
    <w:p w:rsidR="004A72A5" w:rsidRPr="0010611E" w:rsidRDefault="004A72A5" w:rsidP="004A72A5">
      <w:pPr>
        <w:pStyle w:val="SCCNormalDoubleSpacing"/>
        <w:spacing w:before="480" w:after="480"/>
        <w:rPr>
          <w:sz w:val="20"/>
        </w:rPr>
      </w:pPr>
      <w:r w:rsidRPr="0010611E">
        <w:rPr>
          <w:sz w:val="20"/>
        </w:rPr>
        <w:tab/>
        <w:t>In addition, foundational principles underlying the Constitution may aid in its interpretation. In this case, the federalism principle is vital. It recognizes the autonomy of provincial governments to develop their societies within their respective spheres of jurisdiction and requires a court interpreting constitutional texts to consider how different interpretations impact the balance between federal and provincial interests. Reading s. 121 to require full economic integration would significantly undermine the shape of Canadian federalism, which is built upon regional diversity within a single nation. The need to maintain balance embodied in the federalism principle supports an interpretation of s. 121 that prohibits laws directed at curtailing the passage of goods over interprovincial borders, but allows legislatures to pass laws to achieve other goals within their powers, even though the laws may have the incidental effect of impeding the passage of goods over interprovincial borders.</w:t>
      </w:r>
    </w:p>
    <w:p w:rsidR="004A72A5" w:rsidRPr="0010611E" w:rsidRDefault="004A72A5" w:rsidP="004A72A5">
      <w:pPr>
        <w:pStyle w:val="SCCNormalDoubleSpacing"/>
        <w:spacing w:before="480" w:after="480"/>
        <w:rPr>
          <w:sz w:val="20"/>
        </w:rPr>
      </w:pPr>
      <w:r w:rsidRPr="0010611E">
        <w:rPr>
          <w:sz w:val="20"/>
        </w:rPr>
        <w:tab/>
        <w:t xml:space="preserve">The lines of jurisprudential authority </w:t>
      </w:r>
      <w:proofErr w:type="gramStart"/>
      <w:r w:rsidRPr="0010611E">
        <w:rPr>
          <w:sz w:val="20"/>
        </w:rPr>
        <w:t>about</w:t>
      </w:r>
      <w:proofErr w:type="gramEnd"/>
      <w:r w:rsidRPr="0010611E">
        <w:rPr>
          <w:sz w:val="20"/>
        </w:rPr>
        <w:t xml:space="preserve"> the ambit of s. 121 can be distilled into two related propositions. First, the purpose of s. 121 is to prohibit laws that in essence and purpose restrict or limit the free flow of goods across the country. Second, laws that pose only incidental effects on trade as part of broader regulatory schemes not aimed at impeding trade do not have the purpose of restricting interprovincial trade and hence do not violate s. 121. Therefore, s. 121 does not catch burdens on goods crossing provincial borders that are merely incidental effects of a law or scheme aimed at some other purpose. To prohibit incidental impacts on cross</w:t>
      </w:r>
      <w:r w:rsidRPr="0010611E">
        <w:rPr>
          <w:sz w:val="20"/>
        </w:rPr>
        <w:noBreakHyphen/>
        <w:t xml:space="preserve">border trade would allow s. 121 to trump valid exercises of legislative power, and create legislative hiatuses where neither level of government could act. </w:t>
      </w:r>
    </w:p>
    <w:p w:rsidR="004A72A5" w:rsidRPr="0010611E" w:rsidRDefault="004A72A5" w:rsidP="004A72A5">
      <w:pPr>
        <w:pStyle w:val="SCCNormalDoubleSpacing"/>
        <w:spacing w:before="480" w:after="480"/>
        <w:rPr>
          <w:sz w:val="20"/>
        </w:rPr>
      </w:pPr>
      <w:r w:rsidRPr="0010611E">
        <w:rPr>
          <w:sz w:val="20"/>
        </w:rPr>
        <w:tab/>
        <w:t>It follows that a claimant alleging that a law violates s. 121 must establish that the law in essence and purpose restricts trade across a provincial border. The law must impact the interprovincial movement of goods like a tariff, which, in the extreme, could be an outright prohibition. The claimant must establish that the law imposes an additional burden on goods by virtue of them coming in from outside the province. And, restriction of cross</w:t>
      </w:r>
      <w:r w:rsidRPr="0010611E">
        <w:rPr>
          <w:sz w:val="20"/>
        </w:rPr>
        <w:noBreakHyphen/>
        <w:t xml:space="preserve">border trade must be the primary purpose of the law, thereby excluding laws enacted for other purposes, such as laws that form rational parts of broader legislative schemes with purposes unrelated to impeding interprovincial trade. </w:t>
      </w:r>
    </w:p>
    <w:p w:rsidR="004A72A5" w:rsidRPr="0010611E" w:rsidRDefault="004A72A5" w:rsidP="004A72A5">
      <w:pPr>
        <w:pStyle w:val="SCCNormalDoubleSpacing"/>
        <w:spacing w:before="480" w:after="480"/>
        <w:rPr>
          <w:sz w:val="20"/>
        </w:rPr>
      </w:pPr>
      <w:r w:rsidRPr="0010611E">
        <w:rPr>
          <w:sz w:val="20"/>
        </w:rPr>
        <w:tab/>
        <w:t>In this case, s. 134(</w:t>
      </w:r>
      <w:r w:rsidRPr="0010611E">
        <w:rPr>
          <w:i/>
          <w:sz w:val="20"/>
        </w:rPr>
        <w:t>b</w:t>
      </w:r>
      <w:r w:rsidRPr="0010611E">
        <w:rPr>
          <w:sz w:val="20"/>
        </w:rPr>
        <w:t>) impedes liquor purchases originating anywhere other than the New Brunswick Liquor Corporation. In essence, it functions like a tariff, even though it may have other purely internal effects. However, the text and effects are aligned and suggest the primary purpose of s. 134(</w:t>
      </w:r>
      <w:r w:rsidRPr="0010611E">
        <w:rPr>
          <w:i/>
          <w:sz w:val="20"/>
        </w:rPr>
        <w:t>b</w:t>
      </w:r>
      <w:r w:rsidRPr="0010611E">
        <w:rPr>
          <w:sz w:val="20"/>
        </w:rPr>
        <w:t>) is not to impede trade, but rather to restrict access to any non</w:t>
      </w:r>
      <w:r w:rsidRPr="0010611E">
        <w:rPr>
          <w:sz w:val="20"/>
        </w:rPr>
        <w:noBreakHyphen/>
        <w:t>Corporation liquor, not just liquor brought in from another province. The objective of the New Brunswick regulatory scheme is not to restrict trade across a provincial boundary, but to enable public supervision of the production, movement, sale, and use of alcohol within New Brunswick. Finally, s. 134(</w:t>
      </w:r>
      <w:r w:rsidRPr="0010611E">
        <w:rPr>
          <w:i/>
          <w:sz w:val="20"/>
        </w:rPr>
        <w:t>b</w:t>
      </w:r>
      <w:r w:rsidRPr="0010611E">
        <w:rPr>
          <w:sz w:val="20"/>
        </w:rPr>
        <w:t>) is not divorced from the objective of the larger scheme. It plainly serves New Brunswick’s choice to control the supply and use of liquor within the province. The primary purpose of s. 134(</w:t>
      </w:r>
      <w:r w:rsidRPr="0010611E">
        <w:rPr>
          <w:i/>
          <w:sz w:val="20"/>
        </w:rPr>
        <w:t>b</w:t>
      </w:r>
      <w:r w:rsidRPr="0010611E">
        <w:rPr>
          <w:sz w:val="20"/>
        </w:rPr>
        <w:t>) is to prohibit holding excessive quantities of liquor from supplies not managed by the province. While one effect of s. 134(</w:t>
      </w:r>
      <w:r w:rsidRPr="0010611E">
        <w:rPr>
          <w:i/>
          <w:sz w:val="20"/>
        </w:rPr>
        <w:t>b</w:t>
      </w:r>
      <w:r w:rsidRPr="0010611E">
        <w:rPr>
          <w:sz w:val="20"/>
        </w:rPr>
        <w:t>) is to impede interprovincial trade, this effect is only incidental in light of the objective of the provincial scheme in general. Therefore, while s. 134(</w:t>
      </w:r>
      <w:r w:rsidRPr="0010611E">
        <w:rPr>
          <w:i/>
          <w:sz w:val="20"/>
        </w:rPr>
        <w:t>b</w:t>
      </w:r>
      <w:r w:rsidRPr="0010611E">
        <w:rPr>
          <w:sz w:val="20"/>
        </w:rPr>
        <w:t>) in essence impedes cross</w:t>
      </w:r>
      <w:r w:rsidRPr="0010611E">
        <w:rPr>
          <w:sz w:val="20"/>
        </w:rPr>
        <w:noBreakHyphen/>
        <w:t>border trade, this is not its primary purpose. Section 134(</w:t>
      </w:r>
      <w:r w:rsidRPr="0010611E">
        <w:rPr>
          <w:i/>
          <w:sz w:val="20"/>
        </w:rPr>
        <w:t>b</w:t>
      </w:r>
      <w:r w:rsidRPr="0010611E">
        <w:rPr>
          <w:sz w:val="20"/>
        </w:rPr>
        <w:t xml:space="preserve">) does not infringe s. 121 of the </w:t>
      </w:r>
      <w:r w:rsidRPr="0010611E">
        <w:rPr>
          <w:i/>
          <w:sz w:val="20"/>
        </w:rPr>
        <w:t>Constitution Act, 1867</w:t>
      </w:r>
      <w:r w:rsidRPr="0010611E">
        <w:rPr>
          <w:sz w:val="20"/>
        </w:rPr>
        <w:t>.</w:t>
      </w:r>
    </w:p>
    <w:p w:rsidR="004A72A5" w:rsidRPr="0010611E" w:rsidRDefault="004A72A5" w:rsidP="004A72A5">
      <w:pPr>
        <w:pStyle w:val="SCCNormalDoubleSpacing"/>
        <w:spacing w:before="480" w:after="480"/>
        <w:ind w:firstLine="720"/>
        <w:rPr>
          <w:sz w:val="20"/>
        </w:rPr>
      </w:pPr>
      <w:r w:rsidRPr="0010611E">
        <w:rPr>
          <w:sz w:val="20"/>
        </w:rPr>
        <w:t>APPEAL from a judgment of the New Brunswick Court of Appeal (</w:t>
      </w:r>
      <w:proofErr w:type="spellStart"/>
      <w:r w:rsidRPr="0010611E">
        <w:rPr>
          <w:sz w:val="20"/>
        </w:rPr>
        <w:t>Larlee</w:t>
      </w:r>
      <w:proofErr w:type="spellEnd"/>
      <w:r w:rsidRPr="0010611E">
        <w:rPr>
          <w:sz w:val="20"/>
        </w:rPr>
        <w:t xml:space="preserve"> J.A.), 2016 CanLII 73665, [2016] N.B.J. No. 232 (QL), 2016 </w:t>
      </w:r>
      <w:proofErr w:type="spellStart"/>
      <w:r w:rsidRPr="0010611E">
        <w:rPr>
          <w:sz w:val="20"/>
        </w:rPr>
        <w:t>CarswellNB</w:t>
      </w:r>
      <w:proofErr w:type="spellEnd"/>
      <w:r w:rsidRPr="0010611E">
        <w:rPr>
          <w:sz w:val="20"/>
        </w:rPr>
        <w:t xml:space="preserve"> 445 (WL Can.), dismissing an application for leave to appeal a decision of LeBlanc Prov. Ct. J., 2016 NBPC 3, 448 N.B.R. (2d) 1, 1179 A.P.R. 1, 398 D.L.R. (4th) 123, [2016] N.B.J. No. 87 (QL), 2016 </w:t>
      </w:r>
      <w:proofErr w:type="spellStart"/>
      <w:r w:rsidRPr="0010611E">
        <w:rPr>
          <w:sz w:val="20"/>
        </w:rPr>
        <w:t>CarswellNB</w:t>
      </w:r>
      <w:proofErr w:type="spellEnd"/>
      <w:r w:rsidRPr="0010611E">
        <w:rPr>
          <w:sz w:val="20"/>
        </w:rPr>
        <w:t xml:space="preserve"> 167 (WL Can.), declaring s. 134(</w:t>
      </w:r>
      <w:r w:rsidRPr="0010611E">
        <w:rPr>
          <w:i/>
          <w:sz w:val="20"/>
        </w:rPr>
        <w:t>b</w:t>
      </w:r>
      <w:r w:rsidRPr="0010611E">
        <w:rPr>
          <w:sz w:val="20"/>
        </w:rPr>
        <w:t xml:space="preserve">) of the </w:t>
      </w:r>
      <w:r w:rsidRPr="0010611E">
        <w:rPr>
          <w:i/>
          <w:sz w:val="20"/>
        </w:rPr>
        <w:t>Liquor Control Act</w:t>
      </w:r>
      <w:r w:rsidRPr="0010611E">
        <w:rPr>
          <w:sz w:val="20"/>
        </w:rPr>
        <w:t>, R.S.N.B. 1973, c. L</w:t>
      </w:r>
      <w:r w:rsidRPr="0010611E">
        <w:rPr>
          <w:sz w:val="20"/>
        </w:rPr>
        <w:noBreakHyphen/>
        <w:t>10, of no force or effect with respect to Mr. Comeau. Appeal allowed.</w:t>
      </w:r>
    </w:p>
    <w:p w:rsidR="004A72A5" w:rsidRPr="0010611E" w:rsidRDefault="004A72A5" w:rsidP="004A72A5">
      <w:pPr>
        <w:pStyle w:val="SCCNormalDoubleSpacing"/>
        <w:rPr>
          <w:sz w:val="20"/>
        </w:rPr>
      </w:pPr>
      <w:r w:rsidRPr="0010611E">
        <w:rPr>
          <w:rStyle w:val="SCCCounselNameChar"/>
          <w:sz w:val="20"/>
        </w:rPr>
        <w:tab/>
        <w:t>William B. Richards</w:t>
      </w:r>
      <w:r w:rsidRPr="0010611E">
        <w:rPr>
          <w:rStyle w:val="SCCCounselSeparatorChar"/>
          <w:rFonts w:eastAsia="Calibri"/>
          <w:sz w:val="20"/>
          <w:lang w:val="en-US"/>
        </w:rPr>
        <w:t xml:space="preserve"> and </w:t>
      </w:r>
      <w:r w:rsidRPr="0010611E">
        <w:rPr>
          <w:rStyle w:val="SCCCounselNameChar"/>
          <w:sz w:val="20"/>
        </w:rPr>
        <w:t>Kathryn A. Gregory</w:t>
      </w:r>
      <w:r w:rsidRPr="0010611E">
        <w:rPr>
          <w:rStyle w:val="SCCCounselPartyRoleChar"/>
          <w:sz w:val="20"/>
        </w:rPr>
        <w:t xml:space="preserve">, </w:t>
      </w:r>
      <w:r w:rsidRPr="0010611E">
        <w:rPr>
          <w:rStyle w:val="SCCCounselPartyRoleChar"/>
          <w:i/>
          <w:sz w:val="20"/>
        </w:rPr>
        <w:t>Q.C.</w:t>
      </w:r>
      <w:r w:rsidRPr="0010611E">
        <w:rPr>
          <w:rStyle w:val="SCCCounselPartyRoleChar"/>
          <w:sz w:val="20"/>
        </w:rPr>
        <w:t>, for the appellant.</w:t>
      </w:r>
    </w:p>
    <w:p w:rsidR="004A72A5" w:rsidRPr="0010611E" w:rsidRDefault="004A72A5" w:rsidP="004A72A5">
      <w:pPr>
        <w:pStyle w:val="SCCNormalDoubleSpacing"/>
        <w:rPr>
          <w:sz w:val="20"/>
        </w:rPr>
      </w:pPr>
      <w:r w:rsidRPr="0010611E">
        <w:rPr>
          <w:rStyle w:val="SCCCounselNameChar"/>
          <w:sz w:val="20"/>
        </w:rPr>
        <w:tab/>
        <w:t>Ian A. Blue, Q.C.</w:t>
      </w:r>
      <w:r w:rsidRPr="0010611E">
        <w:rPr>
          <w:rStyle w:val="SCCCounselSeparatorChar"/>
          <w:rFonts w:eastAsia="Calibri"/>
          <w:sz w:val="20"/>
          <w:lang w:val="en-US"/>
        </w:rPr>
        <w:t xml:space="preserve">, </w:t>
      </w:r>
      <w:r w:rsidRPr="0010611E">
        <w:rPr>
          <w:rStyle w:val="SCCCounselNameChar"/>
          <w:sz w:val="20"/>
        </w:rPr>
        <w:t xml:space="preserve">Arnold </w:t>
      </w:r>
      <w:proofErr w:type="spellStart"/>
      <w:r w:rsidRPr="0010611E">
        <w:rPr>
          <w:rStyle w:val="SCCCounselNameChar"/>
          <w:sz w:val="20"/>
        </w:rPr>
        <w:t>Schwisberg</w:t>
      </w:r>
      <w:proofErr w:type="spellEnd"/>
      <w:r w:rsidRPr="0010611E">
        <w:rPr>
          <w:rStyle w:val="SCCCounselSeparatorChar"/>
          <w:rFonts w:eastAsia="Calibri"/>
          <w:sz w:val="20"/>
          <w:lang w:val="en-US"/>
        </w:rPr>
        <w:t xml:space="preserve">, </w:t>
      </w:r>
      <w:r w:rsidRPr="0010611E">
        <w:rPr>
          <w:rStyle w:val="SCCCounselNameChar"/>
          <w:sz w:val="20"/>
        </w:rPr>
        <w:t>Mikael Bernard</w:t>
      </w:r>
      <w:r w:rsidRPr="0010611E">
        <w:rPr>
          <w:rStyle w:val="SCCCounselPartyRoleChar"/>
          <w:sz w:val="20"/>
        </w:rPr>
        <w:t xml:space="preserve"> and </w:t>
      </w:r>
      <w:r w:rsidRPr="0010611E">
        <w:rPr>
          <w:rStyle w:val="SCCCounselPartyRoleChar"/>
          <w:i/>
          <w:sz w:val="20"/>
        </w:rPr>
        <w:t xml:space="preserve">Daria </w:t>
      </w:r>
      <w:proofErr w:type="spellStart"/>
      <w:r w:rsidRPr="0010611E">
        <w:rPr>
          <w:rStyle w:val="SCCCounselPartyRoleChar"/>
          <w:i/>
          <w:sz w:val="20"/>
        </w:rPr>
        <w:t>Peregoudova</w:t>
      </w:r>
      <w:proofErr w:type="spellEnd"/>
      <w:r w:rsidRPr="0010611E">
        <w:rPr>
          <w:rStyle w:val="SCCCounselPartyRoleChar"/>
          <w:sz w:val="20"/>
        </w:rPr>
        <w:t>, for the respondent.</w:t>
      </w:r>
    </w:p>
    <w:p w:rsidR="004A72A5" w:rsidRPr="0010611E" w:rsidRDefault="004A72A5" w:rsidP="004A72A5">
      <w:pPr>
        <w:pStyle w:val="SCCNormalDoubleSpacing"/>
        <w:rPr>
          <w:rStyle w:val="SCCCounselPartyRoleChar"/>
          <w:sz w:val="20"/>
        </w:rPr>
      </w:pPr>
      <w:r w:rsidRPr="0010611E">
        <w:rPr>
          <w:rStyle w:val="SCCCounselNameChar"/>
          <w:sz w:val="20"/>
        </w:rPr>
        <w:tab/>
        <w:t xml:space="preserve">François </w:t>
      </w:r>
      <w:proofErr w:type="spellStart"/>
      <w:r w:rsidRPr="0010611E">
        <w:rPr>
          <w:rStyle w:val="SCCCounselNameChar"/>
          <w:sz w:val="20"/>
        </w:rPr>
        <w:t>Joyal</w:t>
      </w:r>
      <w:proofErr w:type="spellEnd"/>
      <w:r w:rsidRPr="0010611E">
        <w:rPr>
          <w:rStyle w:val="SCCCounselPartyRoleChar"/>
          <w:sz w:val="20"/>
        </w:rPr>
        <w:t xml:space="preserve"> and </w:t>
      </w:r>
      <w:r w:rsidRPr="0010611E">
        <w:rPr>
          <w:rStyle w:val="SCCCounselPartyRoleChar"/>
          <w:i/>
          <w:sz w:val="20"/>
        </w:rPr>
        <w:t>Ian Demers</w:t>
      </w:r>
      <w:r w:rsidRPr="0010611E">
        <w:rPr>
          <w:rStyle w:val="SCCCounselPartyRoleChar"/>
          <w:sz w:val="20"/>
        </w:rPr>
        <w:t>, for the intervener the Attorney General of Canada.</w:t>
      </w:r>
    </w:p>
    <w:p w:rsidR="004A72A5" w:rsidRPr="0010611E" w:rsidRDefault="004A72A5" w:rsidP="004A72A5">
      <w:pPr>
        <w:pStyle w:val="SCCNormalDoubleSpacing"/>
        <w:rPr>
          <w:sz w:val="20"/>
        </w:rPr>
      </w:pPr>
      <w:r w:rsidRPr="0010611E">
        <w:rPr>
          <w:rStyle w:val="SCCCounselPartyRoleChar"/>
          <w:sz w:val="20"/>
        </w:rPr>
        <w:tab/>
      </w:r>
      <w:r w:rsidRPr="0010611E">
        <w:rPr>
          <w:rStyle w:val="SCCCounselNameChar"/>
          <w:sz w:val="20"/>
        </w:rPr>
        <w:t>Michael S. Dunn</w:t>
      </w:r>
      <w:r w:rsidRPr="0010611E">
        <w:rPr>
          <w:rStyle w:val="SCCCounselSeparatorChar"/>
          <w:rFonts w:eastAsia="Calibri"/>
          <w:sz w:val="20"/>
          <w:lang w:val="en-US"/>
        </w:rPr>
        <w:t xml:space="preserve"> and </w:t>
      </w:r>
      <w:proofErr w:type="spellStart"/>
      <w:r w:rsidRPr="0010611E">
        <w:rPr>
          <w:rStyle w:val="SCCCounselNameChar"/>
          <w:sz w:val="20"/>
        </w:rPr>
        <w:t>Padraic</w:t>
      </w:r>
      <w:proofErr w:type="spellEnd"/>
      <w:r w:rsidRPr="0010611E">
        <w:rPr>
          <w:rStyle w:val="SCCCounselNameChar"/>
          <w:sz w:val="20"/>
        </w:rPr>
        <w:t xml:space="preserve"> Ryan</w:t>
      </w:r>
      <w:r w:rsidRPr="0010611E">
        <w:rPr>
          <w:rStyle w:val="SCCCounselPartyRoleChar"/>
          <w:sz w:val="20"/>
        </w:rPr>
        <w:t>, for the intervener the Attorney General of Ontario.</w:t>
      </w:r>
    </w:p>
    <w:p w:rsidR="004A72A5" w:rsidRPr="0010611E" w:rsidRDefault="004A72A5" w:rsidP="004A72A5">
      <w:pPr>
        <w:pStyle w:val="SCCNormalDoubleSpacing"/>
        <w:rPr>
          <w:sz w:val="20"/>
        </w:rPr>
      </w:pPr>
      <w:r w:rsidRPr="0010611E">
        <w:rPr>
          <w:rStyle w:val="SCCCounselNameChar"/>
          <w:sz w:val="20"/>
        </w:rPr>
        <w:tab/>
        <w:t>Jean</w:t>
      </w:r>
      <w:r w:rsidRPr="0010611E">
        <w:rPr>
          <w:rStyle w:val="SCCCounselNameChar"/>
          <w:sz w:val="20"/>
        </w:rPr>
        <w:noBreakHyphen/>
        <w:t>Vincent Lacroix</w:t>
      </w:r>
      <w:r w:rsidRPr="0010611E">
        <w:rPr>
          <w:rStyle w:val="SCCCounselSeparatorChar"/>
          <w:rFonts w:eastAsia="Calibri"/>
          <w:sz w:val="20"/>
          <w:lang w:val="en-US"/>
        </w:rPr>
        <w:t xml:space="preserve"> and </w:t>
      </w:r>
      <w:r w:rsidRPr="0010611E">
        <w:rPr>
          <w:rStyle w:val="SCCCounselNameChar"/>
          <w:sz w:val="20"/>
        </w:rPr>
        <w:t xml:space="preserve">Laurie </w:t>
      </w:r>
      <w:proofErr w:type="spellStart"/>
      <w:r w:rsidRPr="0010611E">
        <w:rPr>
          <w:rStyle w:val="SCCCounselNameChar"/>
          <w:sz w:val="20"/>
        </w:rPr>
        <w:t>Anctil</w:t>
      </w:r>
      <w:proofErr w:type="spellEnd"/>
      <w:r w:rsidRPr="0010611E">
        <w:rPr>
          <w:rStyle w:val="SCCCounselPartyRoleChar"/>
          <w:sz w:val="20"/>
        </w:rPr>
        <w:t>, for the intervener the Attorney General of Quebec.</w:t>
      </w:r>
    </w:p>
    <w:p w:rsidR="004A72A5" w:rsidRPr="0010611E" w:rsidRDefault="004A72A5" w:rsidP="004A72A5">
      <w:pPr>
        <w:pStyle w:val="SCCNormalDoubleSpacing"/>
        <w:rPr>
          <w:sz w:val="20"/>
        </w:rPr>
      </w:pPr>
      <w:r w:rsidRPr="0010611E">
        <w:rPr>
          <w:rStyle w:val="SCCCounselNameChar"/>
          <w:sz w:val="20"/>
        </w:rPr>
        <w:tab/>
        <w:t>No one appeared</w:t>
      </w:r>
      <w:r w:rsidRPr="0010611E">
        <w:rPr>
          <w:rStyle w:val="SCCCounselPartyRoleChar"/>
          <w:sz w:val="20"/>
        </w:rPr>
        <w:t xml:space="preserve"> for the intervener the Attorney General of Nova Scotia.</w:t>
      </w:r>
    </w:p>
    <w:p w:rsidR="004A72A5" w:rsidRPr="0010611E" w:rsidRDefault="004A72A5" w:rsidP="004A72A5">
      <w:pPr>
        <w:pStyle w:val="SCCNormalDoubleSpacing"/>
        <w:rPr>
          <w:sz w:val="20"/>
        </w:rPr>
      </w:pPr>
      <w:r w:rsidRPr="0010611E">
        <w:rPr>
          <w:rStyle w:val="SCCCounselNameChar"/>
          <w:sz w:val="20"/>
        </w:rPr>
        <w:tab/>
        <w:t>J. Gareth Morley</w:t>
      </w:r>
      <w:r w:rsidRPr="0010611E">
        <w:rPr>
          <w:rStyle w:val="SCCCounselSeparatorChar"/>
          <w:rFonts w:eastAsia="Calibri"/>
          <w:sz w:val="20"/>
          <w:lang w:val="en-US"/>
        </w:rPr>
        <w:t xml:space="preserve"> and </w:t>
      </w:r>
      <w:proofErr w:type="spellStart"/>
      <w:r w:rsidRPr="0010611E">
        <w:rPr>
          <w:rStyle w:val="SCCCounselNameChar"/>
          <w:sz w:val="20"/>
        </w:rPr>
        <w:t>Tyna</w:t>
      </w:r>
      <w:proofErr w:type="spellEnd"/>
      <w:r w:rsidRPr="0010611E">
        <w:rPr>
          <w:rStyle w:val="SCCCounselNameChar"/>
          <w:sz w:val="20"/>
        </w:rPr>
        <w:t xml:space="preserve"> Mason</w:t>
      </w:r>
      <w:r w:rsidRPr="0010611E">
        <w:rPr>
          <w:rStyle w:val="SCCCounselPartyRoleChar"/>
          <w:sz w:val="20"/>
        </w:rPr>
        <w:t>, for the intervener the Attorney General of British Columbia.</w:t>
      </w:r>
    </w:p>
    <w:p w:rsidR="004A72A5" w:rsidRPr="0010611E" w:rsidRDefault="004A72A5" w:rsidP="004A72A5">
      <w:pPr>
        <w:pStyle w:val="SCCNormalDoubleSpacing"/>
        <w:rPr>
          <w:sz w:val="20"/>
        </w:rPr>
      </w:pPr>
      <w:r w:rsidRPr="0010611E">
        <w:rPr>
          <w:rStyle w:val="SCCCounselNameChar"/>
          <w:sz w:val="20"/>
        </w:rPr>
        <w:tab/>
        <w:t xml:space="preserve">Jonathan M. </w:t>
      </w:r>
      <w:proofErr w:type="spellStart"/>
      <w:r w:rsidRPr="0010611E">
        <w:rPr>
          <w:rStyle w:val="SCCCounselNameChar"/>
          <w:sz w:val="20"/>
        </w:rPr>
        <w:t>Coady</w:t>
      </w:r>
      <w:proofErr w:type="spellEnd"/>
      <w:r w:rsidRPr="0010611E">
        <w:rPr>
          <w:rStyle w:val="SCCCounselSeparatorChar"/>
          <w:rFonts w:eastAsia="Calibri"/>
          <w:sz w:val="20"/>
          <w:lang w:val="en-US"/>
        </w:rPr>
        <w:t xml:space="preserve"> and </w:t>
      </w:r>
      <w:r w:rsidRPr="0010611E">
        <w:rPr>
          <w:rStyle w:val="SCCCounselSeparatorChar"/>
          <w:rFonts w:eastAsia="Calibri"/>
          <w:i/>
          <w:sz w:val="20"/>
          <w:lang w:val="en-US"/>
        </w:rPr>
        <w:t>Thomas Laughlin</w:t>
      </w:r>
      <w:r w:rsidRPr="0010611E">
        <w:rPr>
          <w:rStyle w:val="SCCCounselPartyRoleChar"/>
          <w:sz w:val="20"/>
        </w:rPr>
        <w:t>, for the intervener the Attorney General of Prince Edward Island.</w:t>
      </w:r>
    </w:p>
    <w:p w:rsidR="004A72A5" w:rsidRPr="0010611E" w:rsidRDefault="004A72A5" w:rsidP="004A72A5">
      <w:pPr>
        <w:pStyle w:val="SCCNormalDoubleSpacing"/>
        <w:rPr>
          <w:sz w:val="20"/>
        </w:rPr>
      </w:pPr>
      <w:r w:rsidRPr="0010611E">
        <w:rPr>
          <w:rStyle w:val="SCCCounselNameChar"/>
          <w:sz w:val="20"/>
        </w:rPr>
        <w:tab/>
        <w:t xml:space="preserve">Theodore J. C. </w:t>
      </w:r>
      <w:proofErr w:type="spellStart"/>
      <w:r w:rsidRPr="0010611E">
        <w:rPr>
          <w:rStyle w:val="SCCCounselNameChar"/>
          <w:sz w:val="20"/>
        </w:rPr>
        <w:t>Litowski</w:t>
      </w:r>
      <w:proofErr w:type="spellEnd"/>
      <w:r w:rsidRPr="0010611E">
        <w:rPr>
          <w:rStyle w:val="SCCCounselPartyRoleChar"/>
          <w:sz w:val="20"/>
        </w:rPr>
        <w:t>, for the intervener the Attorney General of Saskatchewan.</w:t>
      </w:r>
    </w:p>
    <w:p w:rsidR="004A72A5" w:rsidRPr="0010611E" w:rsidRDefault="004A72A5" w:rsidP="004A72A5">
      <w:pPr>
        <w:pStyle w:val="SCCNormalDoubleSpacing"/>
        <w:rPr>
          <w:sz w:val="20"/>
        </w:rPr>
      </w:pPr>
      <w:r w:rsidRPr="0010611E">
        <w:rPr>
          <w:rStyle w:val="SCCCounselNameChar"/>
          <w:sz w:val="20"/>
        </w:rPr>
        <w:tab/>
        <w:t xml:space="preserve">Robert J. </w:t>
      </w:r>
      <w:proofErr w:type="spellStart"/>
      <w:r w:rsidRPr="0010611E">
        <w:rPr>
          <w:rStyle w:val="SCCCounselNameChar"/>
          <w:sz w:val="20"/>
        </w:rPr>
        <w:t>Normey</w:t>
      </w:r>
      <w:proofErr w:type="spellEnd"/>
      <w:r w:rsidRPr="0010611E">
        <w:rPr>
          <w:rStyle w:val="SCCCounselPartyRoleChar"/>
          <w:sz w:val="20"/>
        </w:rPr>
        <w:t>, for the intervener the Attorney General of Alberta.</w:t>
      </w:r>
    </w:p>
    <w:p w:rsidR="004A72A5" w:rsidRPr="0010611E" w:rsidRDefault="004A72A5" w:rsidP="004A72A5">
      <w:pPr>
        <w:pStyle w:val="SCCNormalDoubleSpacing"/>
        <w:rPr>
          <w:sz w:val="20"/>
        </w:rPr>
      </w:pPr>
      <w:r w:rsidRPr="0010611E">
        <w:rPr>
          <w:rStyle w:val="SCCCounselNameChar"/>
          <w:sz w:val="20"/>
        </w:rPr>
        <w:t xml:space="preserve">Philip Osborne </w:t>
      </w:r>
      <w:r w:rsidRPr="0010611E">
        <w:rPr>
          <w:rStyle w:val="SCCCounselSeparatorChar"/>
          <w:rFonts w:eastAsia="Calibri"/>
          <w:sz w:val="20"/>
          <w:lang w:val="en-US"/>
        </w:rPr>
        <w:t>and</w:t>
      </w:r>
      <w:r w:rsidRPr="0010611E">
        <w:rPr>
          <w:rStyle w:val="SCCCounselNameChar"/>
          <w:sz w:val="20"/>
        </w:rPr>
        <w:t xml:space="preserve"> Barbara Barrowman</w:t>
      </w:r>
      <w:r w:rsidRPr="0010611E">
        <w:rPr>
          <w:rStyle w:val="SCCCounselPartyRoleChar"/>
          <w:sz w:val="20"/>
        </w:rPr>
        <w:t>, for the intervener the Attorney General of Newfoundland and Labrador.</w:t>
      </w:r>
    </w:p>
    <w:p w:rsidR="004A72A5" w:rsidRPr="0010611E" w:rsidRDefault="004A72A5" w:rsidP="004A72A5">
      <w:pPr>
        <w:pStyle w:val="SCCNormalDoubleSpacing"/>
        <w:rPr>
          <w:sz w:val="20"/>
        </w:rPr>
      </w:pPr>
      <w:r w:rsidRPr="0010611E">
        <w:rPr>
          <w:rStyle w:val="SCCCounselNameChar"/>
          <w:sz w:val="20"/>
        </w:rPr>
        <w:tab/>
        <w:t xml:space="preserve">Bradley </w:t>
      </w:r>
      <w:proofErr w:type="spellStart"/>
      <w:r w:rsidRPr="0010611E">
        <w:rPr>
          <w:rStyle w:val="SCCCounselNameChar"/>
          <w:sz w:val="20"/>
        </w:rPr>
        <w:t>Patzer</w:t>
      </w:r>
      <w:proofErr w:type="spellEnd"/>
      <w:r w:rsidRPr="0010611E">
        <w:rPr>
          <w:rStyle w:val="SCCCounselPartyRoleChar"/>
          <w:sz w:val="20"/>
        </w:rPr>
        <w:t>, for the intervener the Attorney General of the Northwest Territories.</w:t>
      </w:r>
    </w:p>
    <w:p w:rsidR="004A72A5" w:rsidRPr="0010611E" w:rsidRDefault="004A72A5" w:rsidP="004A72A5">
      <w:pPr>
        <w:pStyle w:val="SCCNormalDoubleSpacing"/>
        <w:rPr>
          <w:sz w:val="20"/>
        </w:rPr>
      </w:pPr>
      <w:r w:rsidRPr="0010611E">
        <w:rPr>
          <w:rStyle w:val="SCCCounselNameChar"/>
          <w:sz w:val="20"/>
        </w:rPr>
        <w:t xml:space="preserve">John L. MacLean </w:t>
      </w:r>
      <w:r w:rsidRPr="0010611E">
        <w:rPr>
          <w:rStyle w:val="SCCCounselSeparatorChar"/>
          <w:rFonts w:eastAsia="Calibri"/>
          <w:sz w:val="20"/>
          <w:lang w:val="en-US"/>
        </w:rPr>
        <w:t>and</w:t>
      </w:r>
      <w:r w:rsidRPr="0010611E">
        <w:rPr>
          <w:rStyle w:val="SCCCounselNameChar"/>
          <w:sz w:val="20"/>
        </w:rPr>
        <w:t xml:space="preserve"> Adrienne Silk</w:t>
      </w:r>
      <w:r w:rsidRPr="0010611E">
        <w:rPr>
          <w:rStyle w:val="SCCCounselPartyRoleChar"/>
          <w:sz w:val="20"/>
        </w:rPr>
        <w:t>, for the intervener the Government of Nunavut as represented by the Minister of Justice.</w:t>
      </w:r>
    </w:p>
    <w:p w:rsidR="004A72A5" w:rsidRPr="0010611E" w:rsidRDefault="004A72A5" w:rsidP="004A72A5">
      <w:pPr>
        <w:pStyle w:val="SCCNormalDoubleSpacing"/>
        <w:ind w:left="720"/>
        <w:rPr>
          <w:rStyle w:val="SCCCounselPartyRoleChar"/>
          <w:sz w:val="20"/>
        </w:rPr>
      </w:pPr>
      <w:proofErr w:type="spellStart"/>
      <w:r w:rsidRPr="0010611E">
        <w:rPr>
          <w:rStyle w:val="SCCCounselNameChar"/>
          <w:sz w:val="20"/>
        </w:rPr>
        <w:t>Shea</w:t>
      </w:r>
      <w:proofErr w:type="spellEnd"/>
      <w:r w:rsidRPr="0010611E">
        <w:rPr>
          <w:rStyle w:val="SCCCounselNameChar"/>
          <w:sz w:val="20"/>
        </w:rPr>
        <w:t xml:space="preserve"> Coulson</w:t>
      </w:r>
      <w:r w:rsidRPr="0010611E">
        <w:rPr>
          <w:rStyle w:val="SCCCounselPartyRoleChar"/>
          <w:sz w:val="20"/>
        </w:rPr>
        <w:t xml:space="preserve"> and </w:t>
      </w:r>
      <w:r w:rsidRPr="0010611E">
        <w:rPr>
          <w:rStyle w:val="SCCCounselPartyRoleChar"/>
          <w:i/>
          <w:sz w:val="20"/>
        </w:rPr>
        <w:t>Allan L. Doolittle</w:t>
      </w:r>
      <w:r w:rsidRPr="0010611E">
        <w:rPr>
          <w:rStyle w:val="SCCCounselPartyRoleChar"/>
          <w:sz w:val="20"/>
        </w:rPr>
        <w:t>, for the interveners Liquidity Wines Ltd., Painted Rock Estate Winery Ltd.,</w:t>
      </w:r>
    </w:p>
    <w:p w:rsidR="004A72A5" w:rsidRPr="0010611E" w:rsidRDefault="004A72A5" w:rsidP="004A72A5">
      <w:pPr>
        <w:pStyle w:val="SCCNormalDoubleSpacing"/>
        <w:rPr>
          <w:sz w:val="20"/>
        </w:rPr>
      </w:pPr>
      <w:r w:rsidRPr="0010611E">
        <w:rPr>
          <w:rStyle w:val="SCCCounselPartyRoleChar"/>
          <w:sz w:val="20"/>
        </w:rPr>
        <w:t>50th Parallel Estate Limited Partnership, Okanagan Crush Pad Winery Ltd. and Noble Ridge Vineyard and Winery Limited Partnership.</w:t>
      </w:r>
    </w:p>
    <w:p w:rsidR="004A72A5" w:rsidRPr="0010611E" w:rsidRDefault="004A72A5" w:rsidP="004A72A5">
      <w:pPr>
        <w:pStyle w:val="SCCNormalDoubleSpacing"/>
        <w:rPr>
          <w:sz w:val="20"/>
        </w:rPr>
      </w:pPr>
      <w:r w:rsidRPr="0010611E">
        <w:rPr>
          <w:rStyle w:val="SCCCounselNameChar"/>
          <w:sz w:val="20"/>
        </w:rPr>
        <w:tab/>
        <w:t>Malcolm Lavoie</w:t>
      </w:r>
      <w:r w:rsidRPr="0010611E">
        <w:rPr>
          <w:rStyle w:val="SCCCounselPartyRoleChar"/>
          <w:sz w:val="20"/>
        </w:rPr>
        <w:t>, for the intervener Artisan Ales Consulting Inc.</w:t>
      </w:r>
    </w:p>
    <w:p w:rsidR="004A72A5" w:rsidRPr="0010611E" w:rsidRDefault="004A72A5" w:rsidP="004A72A5">
      <w:pPr>
        <w:pStyle w:val="SCCNormalDoubleSpacing"/>
        <w:rPr>
          <w:sz w:val="20"/>
        </w:rPr>
      </w:pPr>
      <w:r w:rsidRPr="0010611E">
        <w:rPr>
          <w:rStyle w:val="SCCCounselNameChar"/>
          <w:sz w:val="20"/>
        </w:rPr>
        <w:tab/>
        <w:t xml:space="preserve">Mark </w:t>
      </w:r>
      <w:proofErr w:type="spellStart"/>
      <w:r w:rsidRPr="0010611E">
        <w:rPr>
          <w:rStyle w:val="SCCCounselNameChar"/>
          <w:sz w:val="20"/>
        </w:rPr>
        <w:t>Gelowitz</w:t>
      </w:r>
      <w:proofErr w:type="spellEnd"/>
      <w:r w:rsidRPr="0010611E">
        <w:rPr>
          <w:rStyle w:val="SCCCounselSeparatorChar"/>
          <w:rFonts w:eastAsia="Calibri"/>
          <w:sz w:val="20"/>
          <w:lang w:val="en-US"/>
        </w:rPr>
        <w:t xml:space="preserve"> and </w:t>
      </w:r>
      <w:r w:rsidRPr="0010611E">
        <w:rPr>
          <w:rStyle w:val="SCCCounselNameChar"/>
          <w:sz w:val="20"/>
        </w:rPr>
        <w:t>Robert Carson</w:t>
      </w:r>
      <w:r w:rsidRPr="0010611E">
        <w:rPr>
          <w:rStyle w:val="SCCCounselPartyRoleChar"/>
          <w:sz w:val="20"/>
        </w:rPr>
        <w:t>, for the intervener the Montreal Economic Institute.</w:t>
      </w:r>
    </w:p>
    <w:p w:rsidR="004A72A5" w:rsidRPr="0010611E" w:rsidRDefault="004A72A5" w:rsidP="004A72A5">
      <w:pPr>
        <w:pStyle w:val="SCCNormalDoubleSpacing"/>
        <w:rPr>
          <w:sz w:val="20"/>
        </w:rPr>
      </w:pPr>
      <w:r w:rsidRPr="0010611E">
        <w:rPr>
          <w:rStyle w:val="SCCCounselNameChar"/>
          <w:sz w:val="20"/>
        </w:rPr>
        <w:tab/>
        <w:t xml:space="preserve">J. Scott </w:t>
      </w:r>
      <w:proofErr w:type="spellStart"/>
      <w:r w:rsidRPr="0010611E">
        <w:rPr>
          <w:rStyle w:val="SCCCounselNameChar"/>
          <w:sz w:val="20"/>
        </w:rPr>
        <w:t>Maidment</w:t>
      </w:r>
      <w:proofErr w:type="spellEnd"/>
      <w:r w:rsidRPr="0010611E">
        <w:rPr>
          <w:rStyle w:val="SCCCounselSeparatorChar"/>
          <w:rFonts w:eastAsia="Calibri"/>
          <w:sz w:val="20"/>
          <w:lang w:val="en-US"/>
        </w:rPr>
        <w:t xml:space="preserve"> and </w:t>
      </w:r>
      <w:r w:rsidRPr="0010611E">
        <w:rPr>
          <w:rStyle w:val="SCCCounselNameChar"/>
          <w:sz w:val="20"/>
        </w:rPr>
        <w:t>Samantha Gordon</w:t>
      </w:r>
      <w:r w:rsidRPr="0010611E">
        <w:rPr>
          <w:rStyle w:val="SCCCounselPartyRoleChar"/>
          <w:sz w:val="20"/>
        </w:rPr>
        <w:t>, for the intervener Federal Express Canada Corporation.</w:t>
      </w:r>
    </w:p>
    <w:p w:rsidR="004A72A5" w:rsidRPr="0010611E" w:rsidRDefault="004A72A5" w:rsidP="004A72A5">
      <w:pPr>
        <w:pStyle w:val="SCCNormalDoubleSpacing"/>
        <w:rPr>
          <w:sz w:val="20"/>
        </w:rPr>
      </w:pPr>
      <w:r w:rsidRPr="0010611E">
        <w:rPr>
          <w:rStyle w:val="SCCCounselNameChar"/>
          <w:sz w:val="20"/>
        </w:rPr>
        <w:t xml:space="preserve">Christopher D. </w:t>
      </w:r>
      <w:proofErr w:type="spellStart"/>
      <w:r w:rsidRPr="0010611E">
        <w:rPr>
          <w:rStyle w:val="SCCCounselNameChar"/>
          <w:sz w:val="20"/>
        </w:rPr>
        <w:t>Bredt</w:t>
      </w:r>
      <w:proofErr w:type="spellEnd"/>
      <w:r w:rsidRPr="0010611E">
        <w:rPr>
          <w:rStyle w:val="SCCCounselSeparatorChar"/>
          <w:rFonts w:eastAsia="Calibri"/>
          <w:sz w:val="20"/>
          <w:lang w:val="en-US"/>
        </w:rPr>
        <w:t xml:space="preserve"> and </w:t>
      </w:r>
      <w:proofErr w:type="spellStart"/>
      <w:r w:rsidRPr="0010611E">
        <w:rPr>
          <w:rStyle w:val="SCCCounselNameChar"/>
          <w:sz w:val="20"/>
        </w:rPr>
        <w:t>Ewa</w:t>
      </w:r>
      <w:proofErr w:type="spellEnd"/>
      <w:r w:rsidRPr="0010611E">
        <w:rPr>
          <w:rStyle w:val="SCCCounselNameChar"/>
          <w:sz w:val="20"/>
        </w:rPr>
        <w:t xml:space="preserve"> </w:t>
      </w:r>
      <w:proofErr w:type="spellStart"/>
      <w:r w:rsidRPr="0010611E">
        <w:rPr>
          <w:rStyle w:val="SCCCounselNameChar"/>
          <w:sz w:val="20"/>
        </w:rPr>
        <w:t>Krajewska</w:t>
      </w:r>
      <w:proofErr w:type="spellEnd"/>
      <w:r w:rsidRPr="0010611E">
        <w:rPr>
          <w:rStyle w:val="SCCCounselPartyRoleChar"/>
          <w:sz w:val="20"/>
        </w:rPr>
        <w:t>, for the interveners the Canadian Chamber of Commerce and the Canadian Federation of Independent Business.</w:t>
      </w:r>
    </w:p>
    <w:p w:rsidR="004A72A5" w:rsidRPr="0010611E" w:rsidRDefault="004A72A5" w:rsidP="004A72A5">
      <w:pPr>
        <w:pStyle w:val="SCCNormalDoubleSpacing"/>
        <w:rPr>
          <w:sz w:val="20"/>
        </w:rPr>
      </w:pPr>
      <w:r w:rsidRPr="0010611E">
        <w:rPr>
          <w:rStyle w:val="SCCCounselNameChar"/>
          <w:sz w:val="20"/>
        </w:rPr>
        <w:tab/>
        <w:t xml:space="preserve">Kirk </w:t>
      </w:r>
      <w:proofErr w:type="spellStart"/>
      <w:r w:rsidRPr="0010611E">
        <w:rPr>
          <w:rStyle w:val="SCCCounselNameChar"/>
          <w:sz w:val="20"/>
        </w:rPr>
        <w:t>Tousaw</w:t>
      </w:r>
      <w:proofErr w:type="spellEnd"/>
      <w:r w:rsidRPr="0010611E">
        <w:rPr>
          <w:rStyle w:val="SCCCounselSeparatorChar"/>
          <w:rFonts w:eastAsia="Calibri"/>
          <w:sz w:val="20"/>
          <w:lang w:val="en-US"/>
        </w:rPr>
        <w:t xml:space="preserve"> and </w:t>
      </w:r>
      <w:r w:rsidRPr="0010611E">
        <w:rPr>
          <w:rStyle w:val="SCCCounselNameChar"/>
          <w:sz w:val="20"/>
        </w:rPr>
        <w:t>Jack Lloyd</w:t>
      </w:r>
      <w:r w:rsidRPr="0010611E">
        <w:rPr>
          <w:rStyle w:val="SCCCounselPartyRoleChar"/>
          <w:sz w:val="20"/>
        </w:rPr>
        <w:t>, for the intervener Cannabis Culture.</w:t>
      </w:r>
    </w:p>
    <w:p w:rsidR="004A72A5" w:rsidRPr="0010611E" w:rsidRDefault="004A72A5" w:rsidP="004A72A5">
      <w:pPr>
        <w:pStyle w:val="SCCNormalDoubleSpacing"/>
        <w:rPr>
          <w:sz w:val="20"/>
        </w:rPr>
      </w:pPr>
      <w:r w:rsidRPr="0010611E">
        <w:rPr>
          <w:rStyle w:val="SCCCounselNameChar"/>
          <w:sz w:val="20"/>
        </w:rPr>
        <w:t xml:space="preserve">Jennifer </w:t>
      </w:r>
      <w:proofErr w:type="spellStart"/>
      <w:r w:rsidRPr="0010611E">
        <w:rPr>
          <w:rStyle w:val="SCCCounselNameChar"/>
          <w:sz w:val="20"/>
        </w:rPr>
        <w:t>Klinck</w:t>
      </w:r>
      <w:proofErr w:type="spellEnd"/>
      <w:r w:rsidRPr="0010611E">
        <w:rPr>
          <w:rStyle w:val="SCCCounselSeparatorChar"/>
          <w:rFonts w:eastAsia="Calibri"/>
          <w:sz w:val="20"/>
          <w:lang w:val="en-US"/>
        </w:rPr>
        <w:t xml:space="preserve"> and </w:t>
      </w:r>
      <w:r w:rsidRPr="0010611E">
        <w:rPr>
          <w:rStyle w:val="SCCCounselNameChar"/>
          <w:sz w:val="20"/>
        </w:rPr>
        <w:t>Marion Sandilands</w:t>
      </w:r>
      <w:r w:rsidRPr="0010611E">
        <w:rPr>
          <w:rStyle w:val="SCCCounselPartyRoleChar"/>
          <w:sz w:val="20"/>
        </w:rPr>
        <w:t>, for the intervener the Association of Canadian Distillers, operating as Spirits Canada.</w:t>
      </w:r>
    </w:p>
    <w:p w:rsidR="004A72A5" w:rsidRPr="0010611E" w:rsidRDefault="004A72A5" w:rsidP="004A72A5">
      <w:pPr>
        <w:pStyle w:val="SCCNormalDoubleSpacing"/>
        <w:rPr>
          <w:sz w:val="20"/>
        </w:rPr>
      </w:pPr>
      <w:r w:rsidRPr="0010611E">
        <w:rPr>
          <w:rStyle w:val="SCCCounselNameChar"/>
          <w:sz w:val="20"/>
        </w:rPr>
        <w:tab/>
        <w:t xml:space="preserve">Steven I. </w:t>
      </w:r>
      <w:proofErr w:type="spellStart"/>
      <w:r w:rsidRPr="0010611E">
        <w:rPr>
          <w:rStyle w:val="SCCCounselNameChar"/>
          <w:sz w:val="20"/>
        </w:rPr>
        <w:t>Sofer</w:t>
      </w:r>
      <w:proofErr w:type="spellEnd"/>
      <w:r w:rsidRPr="0010611E">
        <w:rPr>
          <w:rStyle w:val="SCCCounselSeparatorChar"/>
          <w:rFonts w:eastAsia="Calibri"/>
          <w:sz w:val="20"/>
          <w:lang w:val="en-US"/>
        </w:rPr>
        <w:t xml:space="preserve"> and </w:t>
      </w:r>
      <w:r w:rsidRPr="0010611E">
        <w:rPr>
          <w:rStyle w:val="SCCCounselNameChar"/>
          <w:sz w:val="20"/>
        </w:rPr>
        <w:t>Paul Seaman</w:t>
      </w:r>
      <w:r w:rsidRPr="0010611E">
        <w:rPr>
          <w:rStyle w:val="SCCCounselPartyRoleChar"/>
          <w:sz w:val="20"/>
        </w:rPr>
        <w:t>, for the intervener Canada’s National Brewers.</w:t>
      </w:r>
    </w:p>
    <w:p w:rsidR="004A72A5" w:rsidRPr="0010611E" w:rsidRDefault="004A72A5" w:rsidP="004A72A5">
      <w:pPr>
        <w:pStyle w:val="SCCNormalDoubleSpacing"/>
        <w:ind w:left="720"/>
        <w:rPr>
          <w:sz w:val="20"/>
        </w:rPr>
      </w:pPr>
      <w:r w:rsidRPr="0010611E">
        <w:rPr>
          <w:rStyle w:val="SCCCounselNameChar"/>
          <w:sz w:val="20"/>
        </w:rPr>
        <w:t>David K. Wilson</w:t>
      </w:r>
      <w:r w:rsidRPr="0010611E">
        <w:rPr>
          <w:rStyle w:val="SCCCounselSeparatorChar"/>
          <w:rFonts w:eastAsia="Calibri"/>
          <w:sz w:val="20"/>
          <w:lang w:val="en-US"/>
        </w:rPr>
        <w:t xml:space="preserve">, </w:t>
      </w:r>
      <w:r w:rsidRPr="0010611E">
        <w:rPr>
          <w:rStyle w:val="SCCCounselNameChar"/>
          <w:sz w:val="20"/>
        </w:rPr>
        <w:t>Owen M. Rees</w:t>
      </w:r>
      <w:r w:rsidRPr="0010611E">
        <w:rPr>
          <w:rStyle w:val="SCCCounselSeparatorChar"/>
          <w:rFonts w:eastAsia="Calibri"/>
          <w:sz w:val="20"/>
          <w:lang w:val="en-US"/>
        </w:rPr>
        <w:t xml:space="preserve"> and </w:t>
      </w:r>
      <w:r w:rsidRPr="0010611E">
        <w:rPr>
          <w:rStyle w:val="SCCCounselNameChar"/>
          <w:sz w:val="20"/>
        </w:rPr>
        <w:t xml:space="preserve">Julie </w:t>
      </w:r>
      <w:proofErr w:type="spellStart"/>
      <w:r w:rsidRPr="0010611E">
        <w:rPr>
          <w:rStyle w:val="SCCCounselNameChar"/>
          <w:sz w:val="20"/>
        </w:rPr>
        <w:t>Mouris</w:t>
      </w:r>
      <w:proofErr w:type="spellEnd"/>
      <w:r w:rsidRPr="0010611E">
        <w:rPr>
          <w:rStyle w:val="SCCCounselPartyRoleChar"/>
          <w:sz w:val="20"/>
        </w:rPr>
        <w:t>, for the interveners the Dairy Farmers of Canada, the Egg Farmers of Canada, the Chicken Farmers of Canada, the Turkey Farmers of Canada and the Canadian Hatching Egg Producers.</w:t>
      </w:r>
    </w:p>
    <w:p w:rsidR="004A72A5" w:rsidRPr="0010611E" w:rsidRDefault="004A72A5" w:rsidP="004A72A5">
      <w:pPr>
        <w:pStyle w:val="SCCNormalDoubleSpacing"/>
        <w:ind w:left="720"/>
        <w:rPr>
          <w:sz w:val="20"/>
        </w:rPr>
      </w:pPr>
      <w:r w:rsidRPr="0010611E">
        <w:rPr>
          <w:rStyle w:val="SCCCounselNameChar"/>
          <w:sz w:val="20"/>
        </w:rPr>
        <w:t>Paul J. Bates</w:t>
      </w:r>
      <w:r w:rsidRPr="0010611E">
        <w:rPr>
          <w:rStyle w:val="SCCCounselSeparatorChar"/>
          <w:rFonts w:eastAsia="Calibri"/>
          <w:sz w:val="20"/>
          <w:lang w:val="en-US"/>
        </w:rPr>
        <w:t xml:space="preserve">, </w:t>
      </w:r>
      <w:r w:rsidRPr="0010611E">
        <w:rPr>
          <w:rStyle w:val="SCCCounselNameChar"/>
          <w:sz w:val="20"/>
        </w:rPr>
        <w:t xml:space="preserve">Ronald </w:t>
      </w:r>
      <w:proofErr w:type="spellStart"/>
      <w:r w:rsidRPr="0010611E">
        <w:rPr>
          <w:rStyle w:val="SCCCounselNameChar"/>
          <w:sz w:val="20"/>
        </w:rPr>
        <w:t>Podolny</w:t>
      </w:r>
      <w:proofErr w:type="spellEnd"/>
      <w:r w:rsidRPr="0010611E">
        <w:rPr>
          <w:rStyle w:val="SCCCounselNameChar"/>
          <w:sz w:val="20"/>
        </w:rPr>
        <w:t>,</w:t>
      </w:r>
      <w:r w:rsidRPr="0010611E">
        <w:rPr>
          <w:rStyle w:val="SCCCounselSeparatorChar"/>
          <w:rFonts w:eastAsia="Calibri"/>
          <w:sz w:val="20"/>
          <w:lang w:val="en-US"/>
        </w:rPr>
        <w:t xml:space="preserve"> </w:t>
      </w:r>
      <w:r w:rsidRPr="0010611E">
        <w:rPr>
          <w:rStyle w:val="SCCCounselNameChar"/>
          <w:sz w:val="20"/>
        </w:rPr>
        <w:t xml:space="preserve">Tyler J. </w:t>
      </w:r>
      <w:proofErr w:type="spellStart"/>
      <w:r w:rsidRPr="0010611E">
        <w:rPr>
          <w:rStyle w:val="SCCCounselNameChar"/>
          <w:sz w:val="20"/>
        </w:rPr>
        <w:t>Planeta</w:t>
      </w:r>
      <w:proofErr w:type="spellEnd"/>
      <w:r w:rsidRPr="0010611E">
        <w:rPr>
          <w:rStyle w:val="SCCCounselSeparatorChar"/>
          <w:rFonts w:eastAsia="Calibri"/>
          <w:sz w:val="20"/>
          <w:lang w:val="en-US"/>
        </w:rPr>
        <w:t xml:space="preserve"> and </w:t>
      </w:r>
      <w:r w:rsidRPr="0010611E">
        <w:rPr>
          <w:rStyle w:val="SCCCounselSeparatorChar"/>
          <w:rFonts w:eastAsia="Calibri"/>
          <w:i/>
          <w:sz w:val="20"/>
          <w:lang w:val="en-US"/>
        </w:rPr>
        <w:t xml:space="preserve">Michael </w:t>
      </w:r>
      <w:proofErr w:type="spellStart"/>
      <w:r w:rsidRPr="0010611E">
        <w:rPr>
          <w:rStyle w:val="SCCCounselSeparatorChar"/>
          <w:rFonts w:eastAsia="Calibri"/>
          <w:i/>
          <w:sz w:val="20"/>
          <w:lang w:val="en-US"/>
        </w:rPr>
        <w:t>Sobkin</w:t>
      </w:r>
      <w:proofErr w:type="spellEnd"/>
      <w:r w:rsidRPr="0010611E">
        <w:rPr>
          <w:rStyle w:val="SCCCounselPartyRoleChar"/>
          <w:sz w:val="20"/>
        </w:rPr>
        <w:t>, for the intervener the Consumers Council of Canada.</w:t>
      </w:r>
    </w:p>
    <w:p w:rsidR="004A72A5" w:rsidRPr="0010611E" w:rsidRDefault="004A72A5" w:rsidP="004A72A5">
      <w:pPr>
        <w:pStyle w:val="SCCNormalDoubleSpacing"/>
        <w:ind w:left="720"/>
        <w:rPr>
          <w:sz w:val="20"/>
        </w:rPr>
      </w:pPr>
      <w:r w:rsidRPr="0010611E">
        <w:rPr>
          <w:rStyle w:val="SCCCounselNameChar"/>
          <w:sz w:val="20"/>
        </w:rPr>
        <w:t>Robert W. Staley</w:t>
      </w:r>
      <w:r w:rsidRPr="0010611E">
        <w:rPr>
          <w:rStyle w:val="SCCCounselSeparatorChar"/>
          <w:rFonts w:eastAsia="Calibri"/>
          <w:sz w:val="20"/>
          <w:lang w:val="en-US"/>
        </w:rPr>
        <w:t xml:space="preserve">, </w:t>
      </w:r>
      <w:proofErr w:type="spellStart"/>
      <w:r w:rsidRPr="0010611E">
        <w:rPr>
          <w:rStyle w:val="SCCCounselNameChar"/>
          <w:sz w:val="20"/>
        </w:rPr>
        <w:t>Ranjan</w:t>
      </w:r>
      <w:proofErr w:type="spellEnd"/>
      <w:r w:rsidRPr="0010611E">
        <w:rPr>
          <w:rStyle w:val="SCCCounselNameChar"/>
          <w:sz w:val="20"/>
        </w:rPr>
        <w:t> K. Agarwal</w:t>
      </w:r>
      <w:r w:rsidRPr="0010611E">
        <w:rPr>
          <w:rStyle w:val="SCCCounselSeparatorChar"/>
          <w:rFonts w:eastAsia="Calibri"/>
          <w:sz w:val="20"/>
          <w:lang w:val="en-US"/>
        </w:rPr>
        <w:t xml:space="preserve"> and </w:t>
      </w:r>
      <w:r w:rsidRPr="0010611E">
        <w:rPr>
          <w:rStyle w:val="SCCCounselNameChar"/>
          <w:sz w:val="20"/>
        </w:rPr>
        <w:t xml:space="preserve">Jessica M. </w:t>
      </w:r>
      <w:proofErr w:type="spellStart"/>
      <w:r w:rsidRPr="0010611E">
        <w:rPr>
          <w:rStyle w:val="SCCCounselNameChar"/>
          <w:sz w:val="20"/>
        </w:rPr>
        <w:t>Starck</w:t>
      </w:r>
      <w:proofErr w:type="spellEnd"/>
      <w:r w:rsidRPr="0010611E">
        <w:rPr>
          <w:rStyle w:val="SCCCounselPartyRoleChar"/>
          <w:sz w:val="20"/>
        </w:rPr>
        <w:t>, for the intervener the Canadian Vintners Association.</w:t>
      </w:r>
    </w:p>
    <w:p w:rsidR="004A72A5" w:rsidRPr="0010611E" w:rsidRDefault="004A72A5" w:rsidP="004A72A5">
      <w:pPr>
        <w:pStyle w:val="SCCNormalDoubleSpacing"/>
        <w:rPr>
          <w:sz w:val="20"/>
        </w:rPr>
      </w:pPr>
      <w:r w:rsidRPr="0010611E">
        <w:rPr>
          <w:rStyle w:val="SCCCounselNameChar"/>
          <w:sz w:val="20"/>
        </w:rPr>
        <w:tab/>
        <w:t>Robert Martz</w:t>
      </w:r>
      <w:r w:rsidRPr="0010611E">
        <w:rPr>
          <w:rStyle w:val="SCCCounselSeparatorChar"/>
          <w:rFonts w:eastAsia="Calibri"/>
          <w:sz w:val="20"/>
          <w:lang w:val="en-US"/>
        </w:rPr>
        <w:t xml:space="preserve"> and </w:t>
      </w:r>
      <w:r w:rsidRPr="0010611E">
        <w:rPr>
          <w:rStyle w:val="SCCCounselNameChar"/>
          <w:sz w:val="20"/>
        </w:rPr>
        <w:t xml:space="preserve">Paul </w:t>
      </w:r>
      <w:proofErr w:type="spellStart"/>
      <w:r w:rsidRPr="0010611E">
        <w:rPr>
          <w:rStyle w:val="SCCCounselNameChar"/>
          <w:sz w:val="20"/>
        </w:rPr>
        <w:t>Chiswell</w:t>
      </w:r>
      <w:proofErr w:type="spellEnd"/>
      <w:r w:rsidRPr="0010611E">
        <w:rPr>
          <w:rStyle w:val="SCCCounselPartyRoleChar"/>
          <w:sz w:val="20"/>
        </w:rPr>
        <w:t>, for the intervener the Alberta Small Brewers Association.</w:t>
      </w:r>
    </w:p>
    <w:p w:rsidR="00DB3DD6" w:rsidRPr="0010611E" w:rsidRDefault="00DB3DD6" w:rsidP="00DB3DD6">
      <w:pPr>
        <w:pStyle w:val="SCCNormalDoubleSpacing"/>
        <w:spacing w:line="240" w:lineRule="auto"/>
        <w:rPr>
          <w:sz w:val="20"/>
        </w:rPr>
      </w:pPr>
    </w:p>
    <w:p w:rsidR="00DB3DD6" w:rsidRPr="0010611E" w:rsidRDefault="00DB3DD6" w:rsidP="00DB3DD6">
      <w:pPr>
        <w:rPr>
          <w:rFonts w:cs="Times New Roman"/>
          <w:sz w:val="20"/>
          <w:szCs w:val="20"/>
          <w:lang w:val="fr-CA"/>
        </w:rPr>
      </w:pPr>
      <w:r w:rsidRPr="0010611E">
        <w:rPr>
          <w:rFonts w:cs="Times New Roman"/>
          <w:sz w:val="20"/>
          <w:szCs w:val="20"/>
          <w:lang w:val="fr-CA"/>
        </w:rPr>
        <w:t>________________________</w:t>
      </w:r>
    </w:p>
    <w:p w:rsidR="004A72A5" w:rsidRPr="0010611E" w:rsidRDefault="004A72A5" w:rsidP="00DB3DD6">
      <w:pPr>
        <w:rPr>
          <w:rFonts w:cs="Times New Roman"/>
          <w:sz w:val="20"/>
          <w:szCs w:val="20"/>
          <w:lang w:val="fr-CA"/>
        </w:rPr>
      </w:pPr>
    </w:p>
    <w:p w:rsidR="004A72A5" w:rsidRPr="0010611E" w:rsidRDefault="004A72A5" w:rsidP="004A72A5">
      <w:pPr>
        <w:jc w:val="both"/>
        <w:rPr>
          <w:sz w:val="20"/>
          <w:szCs w:val="20"/>
          <w:lang w:val="fr-CA"/>
        </w:rPr>
      </w:pPr>
      <w:r w:rsidRPr="0010611E">
        <w:rPr>
          <w:sz w:val="20"/>
          <w:szCs w:val="20"/>
          <w:lang w:val="fr-CA"/>
        </w:rPr>
        <w:t>Présents : La juge en chef McLachlin et les juges Abella, Moldaver, Karakatsanis, Wagner, Gascon, Côté, Brown et Rowe</w:t>
      </w:r>
    </w:p>
    <w:p w:rsidR="004A72A5" w:rsidRPr="0010611E" w:rsidRDefault="004A72A5" w:rsidP="004A72A5">
      <w:pPr>
        <w:pStyle w:val="SCCNormalDoubleSpacing"/>
        <w:spacing w:before="480" w:after="480"/>
        <w:ind w:firstLine="720"/>
        <w:rPr>
          <w:i/>
          <w:sz w:val="20"/>
          <w:lang w:val="fr-CA"/>
        </w:rPr>
      </w:pPr>
      <w:r w:rsidRPr="0010611E">
        <w:rPr>
          <w:i/>
          <w:sz w:val="20"/>
          <w:lang w:val="fr-CA"/>
        </w:rPr>
        <w:t>Droit constitutionnel — Commerce interprovincial — Infractions provinciales — Accès restreint à des boissons alcooliques provenant d’autres provinces — Résident du Nouveau-Brunswick accusé en application de l’al. 134b) de la Loi sur la réglementation des alcools pour avoir eu en sa possession plus d’alcool que la limite permise — L’alinéa 134b) de la Loi sur la réglementation des alcools contrevient</w:t>
      </w:r>
      <w:r w:rsidRPr="0010611E">
        <w:rPr>
          <w:i/>
          <w:sz w:val="20"/>
          <w:lang w:val="fr-CA"/>
        </w:rPr>
        <w:noBreakHyphen/>
        <w:t>il à l’art. 121 de la Loi constitutionnelle de 1867? — L’article 121 est</w:t>
      </w:r>
      <w:r w:rsidRPr="0010611E">
        <w:rPr>
          <w:i/>
          <w:sz w:val="20"/>
          <w:lang w:val="fr-CA"/>
        </w:rPr>
        <w:noBreakHyphen/>
        <w:t>il une disposition de libre-échange qui proscrit toute entrave au commerce interprovincial? — Quel est le sens de l’expression « admis en franchise » qui figure à l’art. 121? — Le juge du procès a</w:t>
      </w:r>
      <w:r w:rsidRPr="0010611E">
        <w:rPr>
          <w:i/>
          <w:sz w:val="20"/>
          <w:lang w:val="fr-CA"/>
        </w:rPr>
        <w:noBreakHyphen/>
        <w:t>t</w:t>
      </w:r>
      <w:r w:rsidRPr="0010611E">
        <w:rPr>
          <w:i/>
          <w:sz w:val="20"/>
          <w:lang w:val="fr-CA"/>
        </w:rPr>
        <w:noBreakHyphen/>
        <w:t>il eu tort de déroger aux précédents qui font autorité sur le fondement de la preuve historique et de l’opinion d’un expert sur le sens de cette preuve? — Loi constitutionnelle de 1867, art. 121 — Loi sur la réglementation des alcools, L.R.N.</w:t>
      </w:r>
      <w:r w:rsidRPr="0010611E">
        <w:rPr>
          <w:i/>
          <w:sz w:val="20"/>
          <w:lang w:val="fr-CA"/>
        </w:rPr>
        <w:noBreakHyphen/>
        <w:t>B. 1973, c. L</w:t>
      </w:r>
      <w:r w:rsidRPr="0010611E">
        <w:rPr>
          <w:i/>
          <w:sz w:val="20"/>
          <w:lang w:val="fr-CA"/>
        </w:rPr>
        <w:noBreakHyphen/>
        <w:t>10, art. 134b).</w:t>
      </w:r>
    </w:p>
    <w:p w:rsidR="004A72A5" w:rsidRPr="0010611E" w:rsidRDefault="004A72A5" w:rsidP="004A72A5">
      <w:pPr>
        <w:pStyle w:val="SCCNormalDoubleSpacing"/>
        <w:spacing w:before="480" w:after="480"/>
        <w:rPr>
          <w:sz w:val="20"/>
          <w:lang w:val="fr-CA"/>
        </w:rPr>
      </w:pPr>
      <w:r w:rsidRPr="0010611E">
        <w:rPr>
          <w:sz w:val="20"/>
          <w:lang w:val="fr-CA"/>
        </w:rPr>
        <w:tab/>
        <w:t xml:space="preserve">Conjugué à d’autres dispositions de la </w:t>
      </w:r>
      <w:r w:rsidRPr="0010611E">
        <w:rPr>
          <w:i/>
          <w:sz w:val="20"/>
          <w:lang w:val="fr-CA"/>
        </w:rPr>
        <w:t>Loi sur la réglementation des alcools</w:t>
      </w:r>
      <w:r w:rsidRPr="0010611E">
        <w:rPr>
          <w:sz w:val="20"/>
          <w:lang w:val="fr-CA"/>
        </w:rPr>
        <w:t xml:space="preserve"> du Nouveau</w:t>
      </w:r>
      <w:r w:rsidRPr="0010611E">
        <w:rPr>
          <w:sz w:val="20"/>
          <w:lang w:val="fr-CA"/>
        </w:rPr>
        <w:noBreakHyphen/>
        <w:t>Brunswick, l’al. 134</w:t>
      </w:r>
      <w:r w:rsidRPr="0010611E">
        <w:rPr>
          <w:i/>
          <w:sz w:val="20"/>
          <w:lang w:val="fr-CA"/>
        </w:rPr>
        <w:t>b</w:t>
      </w:r>
      <w:r w:rsidRPr="0010611E">
        <w:rPr>
          <w:sz w:val="20"/>
          <w:lang w:val="fr-CA"/>
        </w:rPr>
        <w:t>) de cette dernière érige en infraction le fait « [d’</w:t>
      </w:r>
      <w:proofErr w:type="gramStart"/>
      <w:r w:rsidRPr="0010611E">
        <w:rPr>
          <w:sz w:val="20"/>
          <w:lang w:val="fr-CA"/>
        </w:rPr>
        <w:t>]avoir</w:t>
      </w:r>
      <w:proofErr w:type="gramEnd"/>
      <w:r w:rsidRPr="0010611E">
        <w:rPr>
          <w:sz w:val="20"/>
          <w:lang w:val="fr-CA"/>
        </w:rPr>
        <w:t xml:space="preserve"> ou [de] garder des boissons alcooliques » en quantité supérieure à la limite prescrite de celles pouvant être achetées d’une source canadienne autre que la Société des alcools du Nouveau</w:t>
      </w:r>
      <w:r w:rsidRPr="0010611E">
        <w:rPr>
          <w:sz w:val="20"/>
          <w:lang w:val="fr-CA"/>
        </w:rPr>
        <w:noBreakHyphen/>
        <w:t xml:space="preserve">Brunswick. </w:t>
      </w:r>
      <w:proofErr w:type="spellStart"/>
      <w:r w:rsidRPr="0010611E">
        <w:rPr>
          <w:sz w:val="20"/>
          <w:lang w:val="fr-CA"/>
        </w:rPr>
        <w:t>C est</w:t>
      </w:r>
      <w:proofErr w:type="spellEnd"/>
      <w:r w:rsidRPr="0010611E">
        <w:rPr>
          <w:sz w:val="20"/>
          <w:lang w:val="fr-CA"/>
        </w:rPr>
        <w:t xml:space="preserve"> un résident du Nouveau-Brunswick qui s’est rendu au Québec, puis dans trois magasins où il s’est procuré des quantités d’alcool excédant la limite applicable. Alors qu’il revenait au Nouveau-Brunswick, C a été arrêté par la GRC; il a été accusé, en application de l’al. 134</w:t>
      </w:r>
      <w:r w:rsidRPr="0010611E">
        <w:rPr>
          <w:i/>
          <w:sz w:val="20"/>
          <w:lang w:val="fr-CA"/>
        </w:rPr>
        <w:t>b</w:t>
      </w:r>
      <w:r w:rsidRPr="0010611E">
        <w:rPr>
          <w:sz w:val="20"/>
          <w:lang w:val="fr-CA"/>
        </w:rPr>
        <w:t>),</w:t>
      </w:r>
      <w:r w:rsidRPr="0010611E">
        <w:rPr>
          <w:i/>
          <w:sz w:val="20"/>
          <w:lang w:val="fr-CA"/>
        </w:rPr>
        <w:t xml:space="preserve"> </w:t>
      </w:r>
      <w:r w:rsidRPr="0010611E">
        <w:rPr>
          <w:sz w:val="20"/>
          <w:lang w:val="fr-CA"/>
        </w:rPr>
        <w:t xml:space="preserve">et a été condamné à payer une amende. C a contesté l’accusation, faisant valoir que l’art. 121 de la </w:t>
      </w:r>
      <w:r w:rsidRPr="0010611E">
        <w:rPr>
          <w:i/>
          <w:sz w:val="20"/>
          <w:lang w:val="fr-CA"/>
        </w:rPr>
        <w:t>Loi constitutionnelle de 1867</w:t>
      </w:r>
      <w:r w:rsidRPr="0010611E">
        <w:rPr>
          <w:sz w:val="20"/>
          <w:lang w:val="fr-CA"/>
        </w:rPr>
        <w:t xml:space="preserve"> — qui prévoit que tous articles de la manufacture d’aucune des provinces seront « admis en franchise » dans chacune des autres provinces — rend l’al. 134</w:t>
      </w:r>
      <w:r w:rsidRPr="0010611E">
        <w:rPr>
          <w:i/>
          <w:sz w:val="20"/>
          <w:lang w:val="fr-CA"/>
        </w:rPr>
        <w:t>b</w:t>
      </w:r>
      <w:r w:rsidRPr="0010611E">
        <w:rPr>
          <w:sz w:val="20"/>
          <w:lang w:val="fr-CA"/>
        </w:rPr>
        <w:t xml:space="preserve">) inconstitutionnel. Le juge du </w:t>
      </w:r>
      <w:proofErr w:type="gramStart"/>
      <w:r w:rsidRPr="0010611E">
        <w:rPr>
          <w:sz w:val="20"/>
          <w:lang w:val="fr-CA"/>
        </w:rPr>
        <w:t>procès a</w:t>
      </w:r>
      <w:proofErr w:type="gramEnd"/>
      <w:r w:rsidRPr="0010611E">
        <w:rPr>
          <w:sz w:val="20"/>
          <w:lang w:val="fr-CA"/>
        </w:rPr>
        <w:t xml:space="preserve"> conclu que l’al. 134</w:t>
      </w:r>
      <w:r w:rsidRPr="0010611E">
        <w:rPr>
          <w:i/>
          <w:sz w:val="20"/>
          <w:lang w:val="fr-CA"/>
        </w:rPr>
        <w:t>b</w:t>
      </w:r>
      <w:r w:rsidRPr="0010611E">
        <w:rPr>
          <w:sz w:val="20"/>
          <w:lang w:val="fr-CA"/>
        </w:rPr>
        <w:t>) était inopérant contre C, et a rejeté l’accusation. La Cour d’appel a rejeté la demande d’autorisation d’appel du ministère public.</w:t>
      </w:r>
    </w:p>
    <w:p w:rsidR="004A72A5" w:rsidRPr="0010611E" w:rsidRDefault="004A72A5" w:rsidP="004A72A5">
      <w:pPr>
        <w:pStyle w:val="SCCNormalDoubleSpacing"/>
        <w:spacing w:before="480" w:after="480"/>
        <w:rPr>
          <w:sz w:val="20"/>
          <w:lang w:val="fr-CA"/>
        </w:rPr>
      </w:pPr>
      <w:r w:rsidRPr="0010611E">
        <w:rPr>
          <w:sz w:val="20"/>
          <w:lang w:val="fr-CA"/>
        </w:rPr>
        <w:tab/>
      </w:r>
      <w:r w:rsidRPr="0010611E">
        <w:rPr>
          <w:i/>
          <w:sz w:val="20"/>
          <w:lang w:val="fr-CA"/>
        </w:rPr>
        <w:t>Arrêt</w:t>
      </w:r>
      <w:r w:rsidRPr="0010611E">
        <w:rPr>
          <w:sz w:val="20"/>
          <w:lang w:val="fr-CA"/>
        </w:rPr>
        <w:t> : Le pourvoi est accueilli. L’alinéa 134</w:t>
      </w:r>
      <w:r w:rsidRPr="0010611E">
        <w:rPr>
          <w:i/>
          <w:sz w:val="20"/>
          <w:lang w:val="fr-CA"/>
        </w:rPr>
        <w:t>b</w:t>
      </w:r>
      <w:r w:rsidRPr="0010611E">
        <w:rPr>
          <w:sz w:val="20"/>
          <w:lang w:val="fr-CA"/>
        </w:rPr>
        <w:t xml:space="preserve">) de la </w:t>
      </w:r>
      <w:r w:rsidRPr="0010611E">
        <w:rPr>
          <w:i/>
          <w:sz w:val="20"/>
          <w:lang w:val="fr-CA"/>
        </w:rPr>
        <w:t>Loi sur la réglementation des alcools</w:t>
      </w:r>
      <w:r w:rsidRPr="0010611E">
        <w:rPr>
          <w:sz w:val="20"/>
          <w:lang w:val="fr-CA"/>
        </w:rPr>
        <w:t xml:space="preserve"> ne contrevient pas à l’art. 121 de la </w:t>
      </w:r>
      <w:r w:rsidRPr="0010611E">
        <w:rPr>
          <w:i/>
          <w:sz w:val="20"/>
          <w:lang w:val="fr-CA"/>
        </w:rPr>
        <w:t>Loi constitutionnelle de 1867</w:t>
      </w:r>
      <w:r w:rsidRPr="0010611E">
        <w:rPr>
          <w:sz w:val="20"/>
          <w:lang w:val="fr-CA"/>
        </w:rPr>
        <w:t>.</w:t>
      </w:r>
    </w:p>
    <w:p w:rsidR="004A72A5" w:rsidRPr="0010611E" w:rsidRDefault="004A72A5" w:rsidP="004A72A5">
      <w:pPr>
        <w:pStyle w:val="SCCNormalDoubleSpacing"/>
        <w:spacing w:before="480" w:after="480"/>
        <w:rPr>
          <w:sz w:val="20"/>
          <w:lang w:val="fr-CA"/>
        </w:rPr>
      </w:pPr>
      <w:r w:rsidRPr="0010611E">
        <w:rPr>
          <w:sz w:val="20"/>
          <w:lang w:val="fr-CA"/>
        </w:rPr>
        <w:tab/>
        <w:t>Les tribunaux de common law sont liés par les précédents faisant autorité. Sous réserve d’exceptions extraordinaires, une juridiction inférieure doit appliquer les décisions des juridictions supérieures aux faits dont elle est saisie. Un précédent juridique peut être réexaminé lorsque de nouvelles questions de droit sont soulevées par suite d’une évolution importante du droit ou lorsqu’une modification de la situation ou de la preuve change radicalement la donne. Non seulement l’exception est</w:t>
      </w:r>
      <w:r w:rsidRPr="0010611E">
        <w:rPr>
          <w:sz w:val="20"/>
          <w:lang w:val="fr-CA"/>
        </w:rPr>
        <w:noBreakHyphen/>
        <w:t xml:space="preserve">elle restreinte, mais il ne s’agit pas d’une invitation générale à réexaminer les précédents qui font autorité sur le fondement de n’importe quel type de preuve. Pour qu’un précédent contraignant d’une juridiction supérieure puisse être écarté, les nouveaux éléments de preuve doivent changer la façon dont les juristes comprennent la question juridique en jeu. </w:t>
      </w:r>
    </w:p>
    <w:p w:rsidR="004A72A5" w:rsidRPr="0010611E" w:rsidRDefault="004A72A5" w:rsidP="004A72A5">
      <w:pPr>
        <w:pStyle w:val="SCCNormalDoubleSpacing"/>
        <w:spacing w:before="480" w:after="480"/>
        <w:rPr>
          <w:sz w:val="20"/>
          <w:lang w:val="fr-CA"/>
        </w:rPr>
      </w:pPr>
      <w:r w:rsidRPr="0010611E">
        <w:rPr>
          <w:sz w:val="20"/>
          <w:lang w:val="fr-CA"/>
        </w:rPr>
        <w:tab/>
        <w:t xml:space="preserve">En l’espèce, ce seuil exigeant n’a pas été atteint. Le juge du procès s’est fondé sur la preuve présentée par un historien auquel il a reconnu le statut d’expert. Le juge du procès a accepté la description qu’a donnée cet expert quant aux motivations des rédacteurs à l’appui de l’inclusion de l’art. 121 dans la </w:t>
      </w:r>
      <w:r w:rsidRPr="0010611E">
        <w:rPr>
          <w:i/>
          <w:sz w:val="20"/>
          <w:lang w:val="fr-CA"/>
        </w:rPr>
        <w:t>Loi constitutionnelle de 1867</w:t>
      </w:r>
      <w:r w:rsidRPr="0010611E">
        <w:rPr>
          <w:sz w:val="20"/>
          <w:lang w:val="fr-CA"/>
        </w:rPr>
        <w:t xml:space="preserve">, ainsi que son opinion selon laquelle ces motivations indiquent la façon dont l’art. 121 doit être interprété. Or, aucun de ces types de preuve ne constitue une preuve de l’évolution des faits législatifs et sociaux ou d’un changement comparable radical de la donne; il s’agit simplement d’une description de renseignements historiques et de l’évaluation de ces renseignements par un expert. Le juge du procès s’est appuyé sur l’opinion de l’expert concernant l’interprétation qu’il convient de donner à l’art. 121. Ce faisant, il a commis une erreur. Déroger à un précédent sur le fondement d’une telle preuve d’opinion revient à céder la principale tâche du juge à un expert. En outre, se fonder sur une telle preuve pour réfuter le </w:t>
      </w:r>
      <w:proofErr w:type="spellStart"/>
      <w:r w:rsidRPr="0010611E">
        <w:rPr>
          <w:i/>
          <w:sz w:val="20"/>
          <w:lang w:val="fr-CA"/>
        </w:rPr>
        <w:t>stare</w:t>
      </w:r>
      <w:proofErr w:type="spellEnd"/>
      <w:r w:rsidRPr="0010611E">
        <w:rPr>
          <w:i/>
          <w:sz w:val="20"/>
          <w:lang w:val="fr-CA"/>
        </w:rPr>
        <w:t xml:space="preserve"> </w:t>
      </w:r>
      <w:proofErr w:type="spellStart"/>
      <w:r w:rsidRPr="0010611E">
        <w:rPr>
          <w:i/>
          <w:sz w:val="20"/>
          <w:lang w:val="fr-CA"/>
        </w:rPr>
        <w:t>decisis</w:t>
      </w:r>
      <w:proofErr w:type="spellEnd"/>
      <w:r w:rsidRPr="0010611E">
        <w:rPr>
          <w:sz w:val="20"/>
          <w:lang w:val="fr-CA"/>
        </w:rPr>
        <w:t xml:space="preserve"> revient à substituer l’opinion de l’expert sur le droit interne à celle exprimée par les tribunaux d’appel dans des jugements qui font autorité. Une telle approche entraînerait l’instabilité du droit, ce que le principe de </w:t>
      </w:r>
      <w:proofErr w:type="spellStart"/>
      <w:r w:rsidRPr="0010611E">
        <w:rPr>
          <w:i/>
          <w:sz w:val="20"/>
          <w:lang w:val="fr-CA"/>
        </w:rPr>
        <w:t>stare</w:t>
      </w:r>
      <w:proofErr w:type="spellEnd"/>
      <w:r w:rsidRPr="0010611E">
        <w:rPr>
          <w:i/>
          <w:sz w:val="20"/>
          <w:lang w:val="fr-CA"/>
        </w:rPr>
        <w:t xml:space="preserve"> </w:t>
      </w:r>
      <w:proofErr w:type="spellStart"/>
      <w:r w:rsidRPr="0010611E">
        <w:rPr>
          <w:i/>
          <w:sz w:val="20"/>
          <w:lang w:val="fr-CA"/>
        </w:rPr>
        <w:t>decisis</w:t>
      </w:r>
      <w:proofErr w:type="spellEnd"/>
      <w:r w:rsidRPr="0010611E">
        <w:rPr>
          <w:sz w:val="20"/>
          <w:lang w:val="fr-CA"/>
        </w:rPr>
        <w:t xml:space="preserve"> vise spécifiquement à éviter. </w:t>
      </w:r>
    </w:p>
    <w:p w:rsidR="004A72A5" w:rsidRPr="0010611E" w:rsidRDefault="004A72A5" w:rsidP="004A72A5">
      <w:pPr>
        <w:pStyle w:val="SCCNormalDoubleSpacing"/>
        <w:spacing w:before="480" w:after="480"/>
        <w:rPr>
          <w:rFonts w:eastAsia="Calibri"/>
          <w:sz w:val="20"/>
          <w:lang w:val="fr-CA" w:bidi="en-US"/>
        </w:rPr>
      </w:pPr>
      <w:r w:rsidRPr="0010611E">
        <w:rPr>
          <w:sz w:val="20"/>
          <w:lang w:val="fr-CA"/>
        </w:rPr>
        <w:tab/>
      </w:r>
      <w:r w:rsidRPr="0010611E">
        <w:rPr>
          <w:rFonts w:eastAsia="Calibri"/>
          <w:sz w:val="20"/>
          <w:lang w:val="fr-CA" w:bidi="en-US"/>
        </w:rPr>
        <w:t xml:space="preserve">La méthode moderne d’interprétation législative fournit les paramètres pour décider de quelle façon l’expression « admis en franchise » qui figure à l’art. 121 doit être interprétée. Le texte de la disposition doit être interprété d’une manière qui s’accorde avec le contexte et l’objet de la loi. Les textes constitutionnels doivent être interprétés généreusement en fonction de leur objet, et d’une façon qui tient compte de l’évolution des circonstances. </w:t>
      </w:r>
      <w:r w:rsidRPr="0010611E">
        <w:rPr>
          <w:sz w:val="20"/>
          <w:lang w:val="fr-CA"/>
        </w:rPr>
        <w:t>Appliquant ce cadre d’analyse à l’art. 121</w:t>
      </w:r>
      <w:r w:rsidRPr="0010611E">
        <w:rPr>
          <w:rFonts w:eastAsia="Calibri"/>
          <w:sz w:val="20"/>
          <w:lang w:val="fr-CA" w:bidi="en-US"/>
        </w:rPr>
        <w:t xml:space="preserve">, </w:t>
      </w:r>
      <w:r w:rsidRPr="0010611E">
        <w:rPr>
          <w:sz w:val="20"/>
          <w:lang w:val="fr-CA"/>
        </w:rPr>
        <w:t>le libellé, les contextes historique et législatif de même que les principes constitutionnels sous</w:t>
      </w:r>
      <w:r w:rsidRPr="0010611E">
        <w:rPr>
          <w:sz w:val="20"/>
          <w:lang w:val="fr-CA"/>
        </w:rPr>
        <w:noBreakHyphen/>
        <w:t>jacents n’étayent pas la prétention selon laquelle l’art. 121 doit s’interpréter comme interdisant toute entrave à la circulation des biens d’une province à une autre, ce qui équivaudrait pour l’essentiel à forcer l’existence d’un régime de libre-échange absolu au Canada. Ces éléments appuient plutôt une conception souple et téléologique de l’art. 121, une conception qui respecte un juste équilibre entre les compétences fédérales, d’une part, et provinciales, d’autre part</w:t>
      </w:r>
      <w:r w:rsidRPr="0010611E">
        <w:rPr>
          <w:rFonts w:eastAsia="Calibri"/>
          <w:sz w:val="20"/>
          <w:lang w:val="fr-CA" w:bidi="en-US"/>
        </w:rPr>
        <w:t>.</w:t>
      </w:r>
    </w:p>
    <w:p w:rsidR="004A72A5" w:rsidRPr="0010611E" w:rsidRDefault="004A72A5" w:rsidP="004A72A5">
      <w:pPr>
        <w:pStyle w:val="SCCNormalDoubleSpacing"/>
        <w:spacing w:before="480" w:after="480"/>
        <w:rPr>
          <w:sz w:val="20"/>
          <w:lang w:val="fr-CA"/>
        </w:rPr>
      </w:pPr>
      <w:r w:rsidRPr="0010611E">
        <w:rPr>
          <w:rFonts w:eastAsia="Calibri"/>
          <w:sz w:val="20"/>
          <w:lang w:val="fr-CA" w:bidi="en-US"/>
        </w:rPr>
        <w:tab/>
        <w:t xml:space="preserve">En ce qui a trait au libellé de l’art. 121, </w:t>
      </w:r>
      <w:r w:rsidRPr="0010611E">
        <w:rPr>
          <w:sz w:val="20"/>
          <w:lang w:val="fr-CA"/>
        </w:rPr>
        <w:t xml:space="preserve">l’expression « admis en franchise » est </w:t>
      </w:r>
      <w:proofErr w:type="gramStart"/>
      <w:r w:rsidRPr="0010611E">
        <w:rPr>
          <w:sz w:val="20"/>
          <w:lang w:val="fr-CA"/>
        </w:rPr>
        <w:t>ambiguë</w:t>
      </w:r>
      <w:proofErr w:type="gramEnd"/>
      <w:r w:rsidRPr="0010611E">
        <w:rPr>
          <w:sz w:val="20"/>
          <w:lang w:val="fr-CA"/>
        </w:rPr>
        <w:t xml:space="preserve">, et il convient de l’interpréter en fonction des contextes historique, législatif et constitutionnel. Pour que l’union économique se réalise, les auteurs de la Constitution ont reconnu que chaque province devait renoncer à son pouvoir en matière de tarif. Le contexte historique appuie l’avis selon lequel, à tout le moins, l’art. 121 </w:t>
      </w:r>
      <w:proofErr w:type="gramStart"/>
      <w:r w:rsidRPr="0010611E">
        <w:rPr>
          <w:sz w:val="20"/>
          <w:lang w:val="fr-CA"/>
        </w:rPr>
        <w:t>interdit</w:t>
      </w:r>
      <w:proofErr w:type="gramEnd"/>
      <w:r w:rsidRPr="0010611E">
        <w:rPr>
          <w:sz w:val="20"/>
          <w:lang w:val="fr-CA"/>
        </w:rPr>
        <w:t xml:space="preserve"> l’imposition de tarifs et d’autres mesures semblables sur les biens qui circulent d’une province à une autre. La preuve historique n’indique toutefois nullement que les provinces perdraient leur pouvoir de légiférer en vertu de l’art. 92 de la </w:t>
      </w:r>
      <w:r w:rsidRPr="0010611E">
        <w:rPr>
          <w:i/>
          <w:sz w:val="20"/>
          <w:lang w:val="fr-CA"/>
        </w:rPr>
        <w:t>Loi constitutionnelle de 1867</w:t>
      </w:r>
      <w:r w:rsidRPr="0010611E">
        <w:rPr>
          <w:sz w:val="20"/>
          <w:lang w:val="fr-CA"/>
        </w:rPr>
        <w:t xml:space="preserve"> dans l’intérêt de leurs citoyens, même si cela pouvait avoir une incidence sur le commerce interprovincial. </w:t>
      </w:r>
    </w:p>
    <w:p w:rsidR="004A72A5" w:rsidRPr="0010611E" w:rsidRDefault="004A72A5" w:rsidP="004A72A5">
      <w:pPr>
        <w:pStyle w:val="SCCNormalDoubleSpacing"/>
        <w:spacing w:before="480" w:after="480"/>
        <w:rPr>
          <w:sz w:val="20"/>
          <w:lang w:val="fr-CA"/>
        </w:rPr>
      </w:pPr>
      <w:r w:rsidRPr="0010611E">
        <w:rPr>
          <w:sz w:val="20"/>
          <w:lang w:val="fr-CA"/>
        </w:rPr>
        <w:tab/>
        <w:t xml:space="preserve">En outre, le contexte législatif de l’art. 121 indique qu’il faisait partie d’un régime permettant que les droits de douane et d’accise ainsi que les taxes semblables passent des anciennes colonies au Dominion; qu’il doit être interprété comme s’appliquant aux mesures qui ont pour effet d’augmenter le prix des biens lorsqu’ils franchissent une frontière provinciale; et qu’il ne doit pas recevoir une interprétation large au point qu’il empièterait sur les pouvoirs législatifs prévus aux art. 91 et 92 de la </w:t>
      </w:r>
      <w:r w:rsidRPr="0010611E">
        <w:rPr>
          <w:i/>
          <w:sz w:val="20"/>
          <w:lang w:val="fr-CA"/>
        </w:rPr>
        <w:t>Loi constitutionnelle de 1867</w:t>
      </w:r>
      <w:r w:rsidRPr="0010611E">
        <w:rPr>
          <w:sz w:val="20"/>
          <w:lang w:val="fr-CA"/>
        </w:rPr>
        <w:t>.</w:t>
      </w:r>
    </w:p>
    <w:p w:rsidR="004A72A5" w:rsidRPr="0010611E" w:rsidRDefault="004A72A5" w:rsidP="004A72A5">
      <w:pPr>
        <w:pStyle w:val="SCCNormalDoubleSpacing"/>
        <w:spacing w:before="480" w:after="480"/>
        <w:rPr>
          <w:sz w:val="20"/>
          <w:lang w:val="fr-CA"/>
        </w:rPr>
      </w:pPr>
      <w:r w:rsidRPr="0010611E">
        <w:rPr>
          <w:sz w:val="20"/>
          <w:lang w:val="fr-CA"/>
        </w:rPr>
        <w:tab/>
        <w:t xml:space="preserve">Qui plus est, les principes fondamentaux à la base de la Constitution peuvent aider à son interprétation. Dans le présent cas, le principe du fédéralisme est primordial. Il reconnaît l’autonomie dont les gouvernements provinciaux disposent pour assurer le développement de leur société dans leurs propres sphères de compétence et il exige que le tribunal qui interprète des textes constitutionnels tienne compte des répercussions des différentes interprétations sur l’équilibre entre les intérêts du fédéral et ceux des provinces. Une interprétation de l’art. 121 qui </w:t>
      </w:r>
      <w:proofErr w:type="gramStart"/>
      <w:r w:rsidRPr="0010611E">
        <w:rPr>
          <w:sz w:val="20"/>
          <w:lang w:val="fr-CA"/>
        </w:rPr>
        <w:t>exigerait</w:t>
      </w:r>
      <w:proofErr w:type="gramEnd"/>
      <w:r w:rsidRPr="0010611E">
        <w:rPr>
          <w:sz w:val="20"/>
          <w:lang w:val="fr-CA"/>
        </w:rPr>
        <w:t xml:space="preserve"> une pleine intégration économique minerait considérablement la nature du fédéralisme canadien, qui repose sur la diversité des régions au sein d’une même nation. La nécessité de maintenir l’équilibre consacré par le principe du fédéralisme appuie l’interprétation de l’art. 121 qui interdit les lois visant à restreindre la circulation des biens entre les provinces, mais qui permet aux législatures d’en adopter qui visent la réalisation d’autres objectifs dans les limites de leurs pouvoirs, même si ces lois peuvent avoir comme effet accessoire d’entraver la circulation des biens d’une province à une autre.</w:t>
      </w:r>
    </w:p>
    <w:p w:rsidR="004A72A5" w:rsidRPr="0010611E" w:rsidRDefault="004A72A5" w:rsidP="004A72A5">
      <w:pPr>
        <w:pStyle w:val="SCCNormalDoubleSpacing"/>
        <w:spacing w:before="480" w:after="480"/>
        <w:rPr>
          <w:sz w:val="20"/>
          <w:lang w:val="fr-CA"/>
        </w:rPr>
      </w:pPr>
      <w:r w:rsidRPr="0010611E">
        <w:rPr>
          <w:sz w:val="20"/>
          <w:lang w:val="fr-CA"/>
        </w:rPr>
        <w:tab/>
        <w:t xml:space="preserve">Les courants jurisprudentiels quant à la portée de l’art. 121 peuvent être regroupés en deux propositions connexes. Premièrement, l’objet de l’art. 121 est d’interdire les lois qui, de par leur essence et leur objet, restreignent ou limitent la libre circulation des biens dans tout le pays. Deuxièmement, les lois qui n’ont qu’un effet accessoire sur le commerce dans le contexte de régimes réglementaires plus larges qui ne visent pas à entraver le commerce n’ont pas pour objet de restreindre le commerce interprovincial et n’enfreignent donc pas l’art. 121. Ainsi, ce dernier ne vise pas les entraves au passage des biens d’une province à une autre qui sont simplement accessoires à une loi ou à un régime législatif visant un autre objet. L’interdiction des effets accessoires d’une loi ou d’un régime sur le commerce transfrontalier permettrait à l’art. 121 de primer sur l’exercice valide d’un pouvoir législatif et créerait des lacunes législatives à l’égard desquelles aucun ordre de gouvernement ne pourrait agir. </w:t>
      </w:r>
    </w:p>
    <w:p w:rsidR="004A72A5" w:rsidRPr="0010611E" w:rsidRDefault="004A72A5" w:rsidP="004A72A5">
      <w:pPr>
        <w:pStyle w:val="SCCNormalDoubleSpacing"/>
        <w:spacing w:before="480" w:after="480"/>
        <w:rPr>
          <w:sz w:val="20"/>
          <w:lang w:val="fr-CA"/>
        </w:rPr>
      </w:pPr>
      <w:r w:rsidRPr="0010611E">
        <w:rPr>
          <w:sz w:val="20"/>
          <w:lang w:val="fr-CA"/>
        </w:rPr>
        <w:tab/>
        <w:t xml:space="preserve">Un demandeur qui plaide qu’une loi enfreint l’art. 121 doit donc </w:t>
      </w:r>
      <w:proofErr w:type="gramStart"/>
      <w:r w:rsidRPr="0010611E">
        <w:rPr>
          <w:sz w:val="20"/>
          <w:lang w:val="fr-CA"/>
        </w:rPr>
        <w:t>démontrer</w:t>
      </w:r>
      <w:proofErr w:type="gramEnd"/>
      <w:r w:rsidRPr="0010611E">
        <w:rPr>
          <w:sz w:val="20"/>
          <w:lang w:val="fr-CA"/>
        </w:rPr>
        <w:t xml:space="preserve"> que cette loi, de par son essence et son objet, restreint le commerce interprovincial. La loi doit avoir, comme un tarif, une incidence sur la circulation interprovinciale de biens, une incidence qui, à la limite, peut consister en une interdiction pure et simple. </w:t>
      </w:r>
      <w:r w:rsidRPr="0010611E">
        <w:rPr>
          <w:sz w:val="20"/>
          <w:lang w:val="fr-FR"/>
        </w:rPr>
        <w:t xml:space="preserve">Le demandeur doit établir que la loi impose une charge supplémentaire sur les biens du fait qu’ils proviennent de l’extérieur de la province. </w:t>
      </w:r>
      <w:r w:rsidRPr="0010611E">
        <w:rPr>
          <w:sz w:val="20"/>
          <w:lang w:val="fr-CA"/>
        </w:rPr>
        <w:t>Il faut aussi que la restriction au commerce interprovincial constitue l’objet principal de la loi, de sorte que ne sont pas visées les lois adoptées pour l’atteinte d’autres objets, comme des lois qui font rationnellement partie de régimes législatifs plus larges dont les objets ne sont pas liés à l’entrave au commerce interprovincial. </w:t>
      </w:r>
    </w:p>
    <w:p w:rsidR="004A72A5" w:rsidRPr="0010611E" w:rsidRDefault="004A72A5" w:rsidP="004A72A5">
      <w:pPr>
        <w:pStyle w:val="SCCNormalDoubleSpacing"/>
        <w:rPr>
          <w:sz w:val="20"/>
          <w:lang w:val="fr-CA"/>
        </w:rPr>
      </w:pPr>
      <w:r w:rsidRPr="0010611E">
        <w:rPr>
          <w:sz w:val="20"/>
          <w:lang w:val="fr-CA"/>
        </w:rPr>
        <w:tab/>
        <w:t>En l’espèce, l</w:t>
      </w:r>
      <w:r w:rsidRPr="0010611E">
        <w:rPr>
          <w:rFonts w:eastAsia="Calibri"/>
          <w:sz w:val="20"/>
          <w:lang w:val="fr-CA" w:bidi="en-US"/>
        </w:rPr>
        <w:t>’alinéa 134</w:t>
      </w:r>
      <w:r w:rsidRPr="0010611E">
        <w:rPr>
          <w:rFonts w:eastAsia="Calibri"/>
          <w:i/>
          <w:sz w:val="20"/>
          <w:lang w:val="fr-CA" w:bidi="en-US"/>
        </w:rPr>
        <w:t>b</w:t>
      </w:r>
      <w:r w:rsidRPr="0010611E">
        <w:rPr>
          <w:rFonts w:eastAsia="Calibri"/>
          <w:sz w:val="20"/>
          <w:lang w:val="fr-CA" w:bidi="en-US"/>
        </w:rPr>
        <w:t>) entrave l’achat de boissons alcooliques provenant d’ailleurs que de la Société des alcools du Nouveau-Brunswick</w:t>
      </w:r>
      <w:r w:rsidRPr="0010611E">
        <w:rPr>
          <w:sz w:val="20"/>
          <w:lang w:val="fr-CA"/>
        </w:rPr>
        <w:t>. D</w:t>
      </w:r>
      <w:r w:rsidRPr="0010611E">
        <w:rPr>
          <w:rFonts w:eastAsia="Calibri"/>
          <w:sz w:val="20"/>
          <w:lang w:val="fr-CA" w:bidi="en-US"/>
        </w:rPr>
        <w:t>e par son essence, il fonctionne comme un tarif, et ce, même s’il peut avoir d’autres effets strictement liés au commerce qui a cours dans la province</w:t>
      </w:r>
      <w:r w:rsidRPr="0010611E">
        <w:rPr>
          <w:sz w:val="20"/>
          <w:lang w:val="fr-CA"/>
        </w:rPr>
        <w:t xml:space="preserve">. Cependant, </w:t>
      </w:r>
      <w:r w:rsidRPr="0010611E">
        <w:rPr>
          <w:rFonts w:eastAsia="Calibri"/>
          <w:sz w:val="20"/>
          <w:lang w:val="fr-CA" w:bidi="en-US"/>
        </w:rPr>
        <w:t>le libellé et les effets de cette disposition pointent dans la même direction et laissent croire que son objet principal n’est pas d’entraver le commerce, mais plutôt de</w:t>
      </w:r>
      <w:r w:rsidRPr="0010611E">
        <w:rPr>
          <w:sz w:val="20"/>
          <w:lang w:val="fr-CA"/>
        </w:rPr>
        <w:t xml:space="preserve"> </w:t>
      </w:r>
      <w:r w:rsidRPr="0010611E">
        <w:rPr>
          <w:rFonts w:eastAsia="Calibri"/>
          <w:sz w:val="20"/>
          <w:lang w:val="fr-CA" w:bidi="en-US"/>
        </w:rPr>
        <w:t>restreindre l’accès à toutes les boissons alcooliques obtenues de sources autres que la Société et non pas uniquement à celles qui proviennent d’une autre province</w:t>
      </w:r>
      <w:r w:rsidRPr="0010611E">
        <w:rPr>
          <w:sz w:val="20"/>
          <w:lang w:val="fr-CA"/>
        </w:rPr>
        <w:t>. L</w:t>
      </w:r>
      <w:r w:rsidRPr="0010611E">
        <w:rPr>
          <w:rFonts w:eastAsia="Calibri"/>
          <w:sz w:val="20"/>
          <w:lang w:val="fr-CA" w:bidi="en-US"/>
        </w:rPr>
        <w:t>e régime réglementaire du Nouveau-Brunswick ne vise pas à restreindre le commerce interprovincial. Il vise plutôt à permettre la supervision par des entités publiques de la production, de la circulation, de la vente et de l’utilisation de l’alcool au Nouveau-Brunswick</w:t>
      </w:r>
      <w:r w:rsidRPr="0010611E">
        <w:rPr>
          <w:sz w:val="20"/>
          <w:lang w:val="fr-CA"/>
        </w:rPr>
        <w:t>. Enfin</w:t>
      </w:r>
      <w:r w:rsidRPr="0010611E">
        <w:rPr>
          <w:rFonts w:eastAsia="Calibri"/>
          <w:sz w:val="20"/>
          <w:lang w:val="fr-CA" w:bidi="en-US"/>
        </w:rPr>
        <w:t>, l’al. 134</w:t>
      </w:r>
      <w:r w:rsidRPr="0010611E">
        <w:rPr>
          <w:rFonts w:eastAsia="Calibri"/>
          <w:i/>
          <w:sz w:val="20"/>
          <w:lang w:val="fr-CA" w:bidi="en-US"/>
        </w:rPr>
        <w:t>b</w:t>
      </w:r>
      <w:r w:rsidRPr="0010611E">
        <w:rPr>
          <w:rFonts w:eastAsia="Calibri"/>
          <w:sz w:val="20"/>
          <w:lang w:val="fr-CA" w:bidi="en-US"/>
        </w:rPr>
        <w:t>) n’est pas dissocié de l’objet du régime plus large. Il contribue clairement au choix de la province de contrôler l’approvisionnement et l’utilisation des boissons alcooliques sur son territoire</w:t>
      </w:r>
      <w:r w:rsidRPr="0010611E">
        <w:rPr>
          <w:sz w:val="20"/>
          <w:lang w:val="fr-CA"/>
        </w:rPr>
        <w:t>. L’objet principal de l’al. 134</w:t>
      </w:r>
      <w:r w:rsidRPr="0010611E">
        <w:rPr>
          <w:i/>
          <w:sz w:val="20"/>
          <w:lang w:val="fr-CA"/>
        </w:rPr>
        <w:t>b</w:t>
      </w:r>
      <w:r w:rsidRPr="0010611E">
        <w:rPr>
          <w:sz w:val="20"/>
          <w:lang w:val="fr-CA"/>
        </w:rPr>
        <w:t xml:space="preserve">) consiste à interdire la garde de quantités excessives de boissons alcooliques provenant de réserves qui ne sont pas régies par la province. </w:t>
      </w:r>
      <w:r w:rsidRPr="0010611E">
        <w:rPr>
          <w:rFonts w:eastAsia="Calibri"/>
          <w:sz w:val="20"/>
          <w:lang w:val="fr-CA" w:bidi="en-US"/>
        </w:rPr>
        <w:t>Certes, l’al. 134</w:t>
      </w:r>
      <w:r w:rsidRPr="0010611E">
        <w:rPr>
          <w:rFonts w:eastAsia="Calibri"/>
          <w:i/>
          <w:sz w:val="20"/>
          <w:lang w:val="fr-CA" w:bidi="en-US"/>
        </w:rPr>
        <w:t>b</w:t>
      </w:r>
      <w:r w:rsidRPr="0010611E">
        <w:rPr>
          <w:rFonts w:eastAsia="Calibri"/>
          <w:sz w:val="20"/>
          <w:lang w:val="fr-CA" w:bidi="en-US"/>
        </w:rPr>
        <w:t>) a pour effet d’entraver le commerce interprovincial, mais cet effet n’est qu’accessoire compte tenu de l’objet du régime provincial pris dans son ensemble. Ainsi, bien que, de par son essence, l’al. 134</w:t>
      </w:r>
      <w:r w:rsidRPr="0010611E">
        <w:rPr>
          <w:rFonts w:eastAsia="Calibri"/>
          <w:i/>
          <w:sz w:val="20"/>
          <w:lang w:val="fr-CA" w:bidi="en-US"/>
        </w:rPr>
        <w:t>b</w:t>
      </w:r>
      <w:r w:rsidRPr="0010611E">
        <w:rPr>
          <w:rFonts w:eastAsia="Calibri"/>
          <w:sz w:val="20"/>
          <w:lang w:val="fr-CA" w:bidi="en-US"/>
        </w:rPr>
        <w:t>) entrave le commerce transfrontalier, il ne s’agit pas de son objet principal. L’alinéa 134</w:t>
      </w:r>
      <w:r w:rsidRPr="0010611E">
        <w:rPr>
          <w:rFonts w:eastAsia="Calibri"/>
          <w:i/>
          <w:sz w:val="20"/>
          <w:lang w:val="fr-CA" w:bidi="en-US"/>
        </w:rPr>
        <w:t>b</w:t>
      </w:r>
      <w:r w:rsidRPr="0010611E">
        <w:rPr>
          <w:rFonts w:eastAsia="Calibri"/>
          <w:sz w:val="20"/>
          <w:lang w:val="fr-CA" w:bidi="en-US"/>
        </w:rPr>
        <w:t xml:space="preserve">) ne contrevient pas à l’art. 121 de la </w:t>
      </w:r>
      <w:r w:rsidRPr="0010611E">
        <w:rPr>
          <w:rFonts w:eastAsia="Calibri"/>
          <w:i/>
          <w:sz w:val="20"/>
          <w:lang w:val="fr-CA" w:bidi="en-US"/>
        </w:rPr>
        <w:t>Loi constitutionnelle de 1867</w:t>
      </w:r>
      <w:r w:rsidRPr="0010611E">
        <w:rPr>
          <w:rFonts w:eastAsia="Calibri"/>
          <w:sz w:val="20"/>
          <w:lang w:val="fr-CA" w:bidi="en-US"/>
        </w:rPr>
        <w:t>.</w:t>
      </w:r>
    </w:p>
    <w:p w:rsidR="004A72A5" w:rsidRPr="0010611E" w:rsidRDefault="004A72A5" w:rsidP="004A72A5">
      <w:pPr>
        <w:pStyle w:val="SCCNormalDoubleSpacing"/>
        <w:ind w:firstLine="720"/>
        <w:rPr>
          <w:sz w:val="20"/>
          <w:lang w:val="fr-CA"/>
        </w:rPr>
      </w:pPr>
    </w:p>
    <w:p w:rsidR="004A72A5" w:rsidRPr="0010611E" w:rsidRDefault="004A72A5" w:rsidP="004A72A5">
      <w:pPr>
        <w:pStyle w:val="SCCNormalDoubleSpacing"/>
        <w:ind w:firstLine="720"/>
        <w:rPr>
          <w:sz w:val="20"/>
          <w:lang w:val="fr-CA"/>
        </w:rPr>
      </w:pPr>
      <w:r w:rsidRPr="0010611E">
        <w:rPr>
          <w:sz w:val="20"/>
          <w:lang w:val="fr-CA"/>
        </w:rPr>
        <w:t>POURVOI contre un arrêt de la Cour d’appel du Nouveau</w:t>
      </w:r>
      <w:r w:rsidRPr="0010611E">
        <w:rPr>
          <w:sz w:val="20"/>
          <w:lang w:val="fr-CA"/>
        </w:rPr>
        <w:noBreakHyphen/>
        <w:t xml:space="preserve">Brunswick (la juge </w:t>
      </w:r>
      <w:proofErr w:type="spellStart"/>
      <w:r w:rsidRPr="0010611E">
        <w:rPr>
          <w:sz w:val="20"/>
          <w:lang w:val="fr-CA"/>
        </w:rPr>
        <w:t>Larlee</w:t>
      </w:r>
      <w:proofErr w:type="spellEnd"/>
      <w:r w:rsidRPr="0010611E">
        <w:rPr>
          <w:sz w:val="20"/>
          <w:lang w:val="fr-CA"/>
        </w:rPr>
        <w:t>), 2016 CanLII 73665, [2016] A.N.</w:t>
      </w:r>
      <w:r w:rsidRPr="0010611E">
        <w:rPr>
          <w:sz w:val="20"/>
          <w:lang w:val="fr-CA"/>
        </w:rPr>
        <w:noBreakHyphen/>
        <w:t>B. n</w:t>
      </w:r>
      <w:r w:rsidRPr="0010611E">
        <w:rPr>
          <w:sz w:val="20"/>
          <w:vertAlign w:val="superscript"/>
          <w:lang w:val="fr-CA"/>
        </w:rPr>
        <w:t>o</w:t>
      </w:r>
      <w:r w:rsidRPr="0010611E">
        <w:rPr>
          <w:sz w:val="20"/>
          <w:lang w:val="fr-CA"/>
        </w:rPr>
        <w:t xml:space="preserve"> 232 (QL), 2016 </w:t>
      </w:r>
      <w:proofErr w:type="spellStart"/>
      <w:r w:rsidRPr="0010611E">
        <w:rPr>
          <w:sz w:val="20"/>
          <w:lang w:val="fr-CA"/>
        </w:rPr>
        <w:t>CarswellNB</w:t>
      </w:r>
      <w:proofErr w:type="spellEnd"/>
      <w:r w:rsidRPr="0010611E">
        <w:rPr>
          <w:sz w:val="20"/>
          <w:lang w:val="fr-CA"/>
        </w:rPr>
        <w:t xml:space="preserve"> 446 (WL Can.), qui a rejeté une demande d’autorisation d’appel d’une décision du juge </w:t>
      </w:r>
      <w:proofErr w:type="spellStart"/>
      <w:r w:rsidRPr="0010611E">
        <w:rPr>
          <w:sz w:val="20"/>
          <w:lang w:val="fr-CA"/>
        </w:rPr>
        <w:t>LeBlanc</w:t>
      </w:r>
      <w:proofErr w:type="spellEnd"/>
      <w:r w:rsidRPr="0010611E">
        <w:rPr>
          <w:sz w:val="20"/>
          <w:lang w:val="fr-CA"/>
        </w:rPr>
        <w:t xml:space="preserve"> de la Cour provinciale, 2016 NBCP 3, 448 R.N.</w:t>
      </w:r>
      <w:r w:rsidRPr="0010611E">
        <w:rPr>
          <w:sz w:val="20"/>
          <w:lang w:val="fr-CA"/>
        </w:rPr>
        <w:noBreakHyphen/>
        <w:t>B. (2</w:t>
      </w:r>
      <w:r w:rsidRPr="0010611E">
        <w:rPr>
          <w:sz w:val="20"/>
          <w:vertAlign w:val="superscript"/>
          <w:lang w:val="fr-CA"/>
        </w:rPr>
        <w:t>e</w:t>
      </w:r>
      <w:r w:rsidRPr="0010611E">
        <w:rPr>
          <w:sz w:val="20"/>
          <w:lang w:val="fr-CA"/>
        </w:rPr>
        <w:t>) 1, 1179 A.P.R. 1, 398 D.L.R. (4th) 123, [2016] A.N.</w:t>
      </w:r>
      <w:r w:rsidRPr="0010611E">
        <w:rPr>
          <w:sz w:val="20"/>
          <w:lang w:val="fr-CA"/>
        </w:rPr>
        <w:noBreakHyphen/>
        <w:t>B. n</w:t>
      </w:r>
      <w:r w:rsidRPr="0010611E">
        <w:rPr>
          <w:sz w:val="20"/>
          <w:vertAlign w:val="superscript"/>
          <w:lang w:val="fr-CA"/>
        </w:rPr>
        <w:t>o</w:t>
      </w:r>
      <w:r w:rsidRPr="0010611E">
        <w:rPr>
          <w:sz w:val="20"/>
          <w:lang w:val="fr-CA"/>
        </w:rPr>
        <w:t xml:space="preserve"> 87 (QL), 2016 </w:t>
      </w:r>
      <w:proofErr w:type="spellStart"/>
      <w:r w:rsidRPr="0010611E">
        <w:rPr>
          <w:sz w:val="20"/>
          <w:lang w:val="fr-CA"/>
        </w:rPr>
        <w:t>CarswellNB</w:t>
      </w:r>
      <w:proofErr w:type="spellEnd"/>
      <w:r w:rsidRPr="0010611E">
        <w:rPr>
          <w:sz w:val="20"/>
          <w:lang w:val="fr-CA"/>
        </w:rPr>
        <w:t xml:space="preserve"> 272 (WL Can.), qui avait déclaré inopérant contre M. Comeau l’al. 134</w:t>
      </w:r>
      <w:r w:rsidRPr="0010611E">
        <w:rPr>
          <w:i/>
          <w:sz w:val="20"/>
          <w:lang w:val="fr-CA"/>
        </w:rPr>
        <w:t>b</w:t>
      </w:r>
      <w:r w:rsidRPr="0010611E">
        <w:rPr>
          <w:sz w:val="20"/>
          <w:lang w:val="fr-CA"/>
        </w:rPr>
        <w:t xml:space="preserve">) de la </w:t>
      </w:r>
      <w:r w:rsidRPr="0010611E">
        <w:rPr>
          <w:i/>
          <w:sz w:val="20"/>
          <w:lang w:val="fr-CA"/>
        </w:rPr>
        <w:t>Loi sur la réglementation des alcools</w:t>
      </w:r>
      <w:r w:rsidRPr="0010611E">
        <w:rPr>
          <w:sz w:val="20"/>
          <w:lang w:val="fr-CA"/>
        </w:rPr>
        <w:t>, L.R.N.</w:t>
      </w:r>
      <w:r w:rsidRPr="0010611E">
        <w:rPr>
          <w:sz w:val="20"/>
          <w:lang w:val="fr-CA"/>
        </w:rPr>
        <w:noBreakHyphen/>
        <w:t>B. 1973, c. L</w:t>
      </w:r>
      <w:r w:rsidRPr="0010611E">
        <w:rPr>
          <w:sz w:val="20"/>
          <w:lang w:val="fr-CA"/>
        </w:rPr>
        <w:noBreakHyphen/>
        <w:t>10. Pourvoi accueilli.</w:t>
      </w:r>
    </w:p>
    <w:p w:rsidR="004A72A5" w:rsidRPr="0010611E" w:rsidRDefault="004A72A5" w:rsidP="004A72A5">
      <w:pPr>
        <w:pStyle w:val="SCCNormalDoubleSpacing"/>
        <w:rPr>
          <w:sz w:val="20"/>
          <w:lang w:val="fr-CA"/>
        </w:rPr>
      </w:pPr>
      <w:r w:rsidRPr="0010611E">
        <w:rPr>
          <w:rStyle w:val="SCCCounselNameChar"/>
          <w:sz w:val="20"/>
          <w:lang w:val="fr-CA"/>
        </w:rPr>
        <w:tab/>
        <w:t>William B. Richards</w:t>
      </w:r>
      <w:r w:rsidRPr="0010611E">
        <w:rPr>
          <w:rStyle w:val="SCCCounselSeparatorChar"/>
          <w:rFonts w:eastAsia="Calibri"/>
          <w:sz w:val="20"/>
        </w:rPr>
        <w:t xml:space="preserve"> et </w:t>
      </w:r>
      <w:r w:rsidRPr="0010611E">
        <w:rPr>
          <w:rStyle w:val="SCCCounselNameChar"/>
          <w:sz w:val="20"/>
          <w:lang w:val="fr-CA"/>
        </w:rPr>
        <w:t>Kathryn A. Gregory</w:t>
      </w:r>
      <w:r w:rsidRPr="0010611E">
        <w:rPr>
          <w:rStyle w:val="SCCCounselPartyRoleChar"/>
          <w:sz w:val="20"/>
          <w:lang w:val="fr-CA"/>
        </w:rPr>
        <w:t xml:space="preserve">, </w:t>
      </w:r>
      <w:proofErr w:type="gramStart"/>
      <w:r w:rsidRPr="0010611E">
        <w:rPr>
          <w:rStyle w:val="SCCCounselPartyRoleChar"/>
          <w:i/>
          <w:sz w:val="20"/>
          <w:lang w:val="fr-CA"/>
        </w:rPr>
        <w:t>c.r.</w:t>
      </w:r>
      <w:r w:rsidRPr="0010611E">
        <w:rPr>
          <w:rStyle w:val="SCCCounselPartyRoleChar"/>
          <w:sz w:val="20"/>
          <w:lang w:val="fr-CA"/>
        </w:rPr>
        <w:t>,</w:t>
      </w:r>
      <w:proofErr w:type="gramEnd"/>
      <w:r w:rsidRPr="0010611E">
        <w:rPr>
          <w:rStyle w:val="SCCCounselPartyRoleChar"/>
          <w:sz w:val="20"/>
          <w:lang w:val="fr-CA"/>
        </w:rPr>
        <w:t xml:space="preserve"> pour l’appelante.</w:t>
      </w:r>
    </w:p>
    <w:p w:rsidR="004A72A5" w:rsidRPr="0010611E" w:rsidRDefault="004A72A5" w:rsidP="004A72A5">
      <w:pPr>
        <w:pStyle w:val="SCCNormalDoubleSpacing"/>
        <w:rPr>
          <w:sz w:val="20"/>
          <w:lang w:val="fr-CA"/>
        </w:rPr>
      </w:pPr>
      <w:r w:rsidRPr="0010611E">
        <w:rPr>
          <w:rStyle w:val="SCCCounselNameChar"/>
          <w:sz w:val="20"/>
          <w:lang w:val="fr-CA"/>
        </w:rPr>
        <w:tab/>
        <w:t>Ian A. Blue, c.r.</w:t>
      </w:r>
      <w:r w:rsidRPr="0010611E">
        <w:rPr>
          <w:rStyle w:val="SCCCounselSeparatorChar"/>
          <w:rFonts w:eastAsia="Calibri"/>
          <w:sz w:val="20"/>
        </w:rPr>
        <w:t xml:space="preserve">, </w:t>
      </w:r>
      <w:r w:rsidRPr="0010611E">
        <w:rPr>
          <w:rStyle w:val="SCCCounselNameChar"/>
          <w:sz w:val="20"/>
          <w:lang w:val="fr-CA"/>
        </w:rPr>
        <w:t xml:space="preserve">Arnold </w:t>
      </w:r>
      <w:proofErr w:type="spellStart"/>
      <w:r w:rsidRPr="0010611E">
        <w:rPr>
          <w:rStyle w:val="SCCCounselNameChar"/>
          <w:sz w:val="20"/>
          <w:lang w:val="fr-CA"/>
        </w:rPr>
        <w:t>Schwisberg</w:t>
      </w:r>
      <w:proofErr w:type="spellEnd"/>
      <w:r w:rsidRPr="0010611E">
        <w:rPr>
          <w:rStyle w:val="SCCCounselSeparatorChar"/>
          <w:rFonts w:eastAsia="Calibri"/>
          <w:sz w:val="20"/>
        </w:rPr>
        <w:t xml:space="preserve">, </w:t>
      </w:r>
      <w:r w:rsidRPr="0010611E">
        <w:rPr>
          <w:rStyle w:val="SCCCounselNameChar"/>
          <w:sz w:val="20"/>
          <w:lang w:val="fr-CA"/>
        </w:rPr>
        <w:t>Mikael Bernard</w:t>
      </w:r>
      <w:r w:rsidRPr="0010611E">
        <w:rPr>
          <w:rStyle w:val="SCCCounselPartyRoleChar"/>
          <w:sz w:val="20"/>
          <w:lang w:val="fr-CA"/>
        </w:rPr>
        <w:t xml:space="preserve"> et </w:t>
      </w:r>
      <w:r w:rsidRPr="0010611E">
        <w:rPr>
          <w:rStyle w:val="SCCCounselPartyRoleChar"/>
          <w:i/>
          <w:sz w:val="20"/>
          <w:lang w:val="fr-CA"/>
        </w:rPr>
        <w:t xml:space="preserve">Daria </w:t>
      </w:r>
      <w:proofErr w:type="spellStart"/>
      <w:r w:rsidRPr="0010611E">
        <w:rPr>
          <w:rStyle w:val="SCCCounselPartyRoleChar"/>
          <w:i/>
          <w:sz w:val="20"/>
          <w:lang w:val="fr-CA"/>
        </w:rPr>
        <w:t>Peregoudova</w:t>
      </w:r>
      <w:proofErr w:type="spellEnd"/>
      <w:r w:rsidRPr="0010611E">
        <w:rPr>
          <w:rStyle w:val="SCCCounselPartyRoleChar"/>
          <w:sz w:val="20"/>
          <w:lang w:val="fr-CA"/>
        </w:rPr>
        <w:t>, pour l’intimé.</w:t>
      </w:r>
    </w:p>
    <w:p w:rsidR="004A72A5" w:rsidRPr="0010611E" w:rsidRDefault="004A72A5" w:rsidP="004A72A5">
      <w:pPr>
        <w:pStyle w:val="SCCNormalDoubleSpacing"/>
        <w:rPr>
          <w:rStyle w:val="SCCCounselPartyRoleChar"/>
          <w:sz w:val="20"/>
          <w:lang w:val="fr-CA"/>
        </w:rPr>
      </w:pPr>
      <w:r w:rsidRPr="0010611E">
        <w:rPr>
          <w:rStyle w:val="SCCCounselNameChar"/>
          <w:sz w:val="20"/>
          <w:lang w:val="fr-CA"/>
        </w:rPr>
        <w:tab/>
        <w:t xml:space="preserve">François </w:t>
      </w:r>
      <w:proofErr w:type="spellStart"/>
      <w:r w:rsidRPr="0010611E">
        <w:rPr>
          <w:rStyle w:val="SCCCounselNameChar"/>
          <w:sz w:val="20"/>
          <w:lang w:val="fr-CA"/>
        </w:rPr>
        <w:t>Joyal</w:t>
      </w:r>
      <w:proofErr w:type="spellEnd"/>
      <w:r w:rsidRPr="0010611E">
        <w:rPr>
          <w:rStyle w:val="SCCCounselPartyRoleChar"/>
          <w:sz w:val="20"/>
          <w:lang w:val="fr-CA"/>
        </w:rPr>
        <w:t xml:space="preserve"> et </w:t>
      </w:r>
      <w:r w:rsidRPr="0010611E">
        <w:rPr>
          <w:rStyle w:val="SCCCounselPartyRoleChar"/>
          <w:i/>
          <w:sz w:val="20"/>
          <w:lang w:val="fr-CA"/>
        </w:rPr>
        <w:t>Ian Demers</w:t>
      </w:r>
      <w:r w:rsidRPr="0010611E">
        <w:rPr>
          <w:rStyle w:val="SCCCounselPartyRoleChar"/>
          <w:sz w:val="20"/>
          <w:lang w:val="fr-CA"/>
        </w:rPr>
        <w:t>, pour l’intervenant le procureur général du Canada.</w:t>
      </w:r>
    </w:p>
    <w:p w:rsidR="004A72A5" w:rsidRPr="0010611E" w:rsidRDefault="004A72A5" w:rsidP="004A72A5">
      <w:pPr>
        <w:pStyle w:val="SCCNormalDoubleSpacing"/>
        <w:rPr>
          <w:sz w:val="20"/>
          <w:lang w:val="fr-CA"/>
        </w:rPr>
      </w:pPr>
      <w:r w:rsidRPr="0010611E">
        <w:rPr>
          <w:rStyle w:val="SCCCounselPartyRoleChar"/>
          <w:sz w:val="20"/>
          <w:lang w:val="fr-CA"/>
        </w:rPr>
        <w:tab/>
      </w:r>
      <w:r w:rsidRPr="0010611E">
        <w:rPr>
          <w:rStyle w:val="SCCCounselNameChar"/>
          <w:sz w:val="20"/>
          <w:lang w:val="fr-CA"/>
        </w:rPr>
        <w:t>Michael S. Dunn</w:t>
      </w:r>
      <w:r w:rsidRPr="0010611E">
        <w:rPr>
          <w:rStyle w:val="SCCCounselSeparatorChar"/>
          <w:rFonts w:eastAsia="Calibri"/>
          <w:sz w:val="20"/>
        </w:rPr>
        <w:t xml:space="preserve"> et </w:t>
      </w:r>
      <w:proofErr w:type="spellStart"/>
      <w:r w:rsidRPr="0010611E">
        <w:rPr>
          <w:rStyle w:val="SCCCounselNameChar"/>
          <w:sz w:val="20"/>
          <w:lang w:val="fr-CA"/>
        </w:rPr>
        <w:t>Padraic</w:t>
      </w:r>
      <w:proofErr w:type="spellEnd"/>
      <w:r w:rsidRPr="0010611E">
        <w:rPr>
          <w:rStyle w:val="SCCCounselNameChar"/>
          <w:sz w:val="20"/>
          <w:lang w:val="fr-CA"/>
        </w:rPr>
        <w:t xml:space="preserve"> Ryan</w:t>
      </w:r>
      <w:r w:rsidRPr="0010611E">
        <w:rPr>
          <w:rStyle w:val="SCCCounselPartyRoleChar"/>
          <w:sz w:val="20"/>
          <w:lang w:val="fr-CA"/>
        </w:rPr>
        <w:t>, pour l’intervenant le procureur général de l’Ontario.</w:t>
      </w:r>
    </w:p>
    <w:p w:rsidR="004A72A5" w:rsidRPr="0010611E" w:rsidRDefault="004A72A5" w:rsidP="004A72A5">
      <w:pPr>
        <w:pStyle w:val="SCCNormalDoubleSpacing"/>
        <w:rPr>
          <w:sz w:val="20"/>
          <w:lang w:val="fr-CA"/>
        </w:rPr>
      </w:pPr>
      <w:r w:rsidRPr="0010611E">
        <w:rPr>
          <w:rStyle w:val="SCCCounselNameChar"/>
          <w:sz w:val="20"/>
          <w:lang w:val="fr-CA"/>
        </w:rPr>
        <w:tab/>
        <w:t>Jean</w:t>
      </w:r>
      <w:r w:rsidRPr="0010611E">
        <w:rPr>
          <w:rStyle w:val="SCCCounselNameChar"/>
          <w:sz w:val="20"/>
          <w:lang w:val="fr-CA"/>
        </w:rPr>
        <w:noBreakHyphen/>
        <w:t>Vincent Lacroix</w:t>
      </w:r>
      <w:r w:rsidRPr="0010611E">
        <w:rPr>
          <w:rStyle w:val="SCCCounselSeparatorChar"/>
          <w:rFonts w:eastAsia="Calibri"/>
          <w:sz w:val="20"/>
        </w:rPr>
        <w:t xml:space="preserve"> et </w:t>
      </w:r>
      <w:r w:rsidRPr="0010611E">
        <w:rPr>
          <w:rStyle w:val="SCCCounselNameChar"/>
          <w:sz w:val="20"/>
          <w:lang w:val="fr-CA"/>
        </w:rPr>
        <w:t>Laurie Anctil</w:t>
      </w:r>
      <w:r w:rsidRPr="0010611E">
        <w:rPr>
          <w:rStyle w:val="SCCCounselPartyRoleChar"/>
          <w:sz w:val="20"/>
          <w:lang w:val="fr-CA"/>
        </w:rPr>
        <w:t>, pour l’intervenante la procureure générale du Québec.</w:t>
      </w:r>
    </w:p>
    <w:p w:rsidR="004A72A5" w:rsidRPr="0010611E" w:rsidRDefault="004A72A5" w:rsidP="004A72A5">
      <w:pPr>
        <w:pStyle w:val="SCCNormalDoubleSpacing"/>
        <w:rPr>
          <w:sz w:val="20"/>
          <w:lang w:val="fr-CA"/>
        </w:rPr>
      </w:pPr>
      <w:r w:rsidRPr="0010611E">
        <w:rPr>
          <w:rStyle w:val="SCCCounselNameChar"/>
          <w:sz w:val="20"/>
          <w:lang w:val="fr-CA"/>
        </w:rPr>
        <w:tab/>
        <w:t>Personne n’a comparu</w:t>
      </w:r>
      <w:r w:rsidRPr="0010611E">
        <w:rPr>
          <w:rStyle w:val="SCCCounselPartyRoleChar"/>
          <w:sz w:val="20"/>
          <w:lang w:val="fr-CA"/>
        </w:rPr>
        <w:t xml:space="preserve"> pour l’intervenant le procureur général de la Nouvelle</w:t>
      </w:r>
      <w:r w:rsidRPr="0010611E">
        <w:rPr>
          <w:rStyle w:val="SCCCounselPartyRoleChar"/>
          <w:sz w:val="20"/>
          <w:lang w:val="fr-CA"/>
        </w:rPr>
        <w:noBreakHyphen/>
        <w:t>Écosse.</w:t>
      </w:r>
    </w:p>
    <w:p w:rsidR="004A72A5" w:rsidRPr="0010611E" w:rsidRDefault="004A72A5" w:rsidP="004A72A5">
      <w:pPr>
        <w:pStyle w:val="SCCNormalDoubleSpacing"/>
        <w:rPr>
          <w:sz w:val="20"/>
          <w:lang w:val="fr-CA"/>
        </w:rPr>
      </w:pPr>
      <w:r w:rsidRPr="0010611E">
        <w:rPr>
          <w:rStyle w:val="SCCCounselNameChar"/>
          <w:sz w:val="20"/>
          <w:lang w:val="fr-CA"/>
        </w:rPr>
        <w:tab/>
        <w:t>J. Gareth Morley</w:t>
      </w:r>
      <w:r w:rsidRPr="0010611E">
        <w:rPr>
          <w:rStyle w:val="SCCCounselSeparatorChar"/>
          <w:rFonts w:eastAsia="Calibri"/>
          <w:sz w:val="20"/>
        </w:rPr>
        <w:t xml:space="preserve"> et </w:t>
      </w:r>
      <w:proofErr w:type="spellStart"/>
      <w:r w:rsidRPr="0010611E">
        <w:rPr>
          <w:rStyle w:val="SCCCounselNameChar"/>
          <w:sz w:val="20"/>
          <w:lang w:val="fr-CA"/>
        </w:rPr>
        <w:t>Tyna</w:t>
      </w:r>
      <w:proofErr w:type="spellEnd"/>
      <w:r w:rsidRPr="0010611E">
        <w:rPr>
          <w:rStyle w:val="SCCCounselNameChar"/>
          <w:sz w:val="20"/>
          <w:lang w:val="fr-CA"/>
        </w:rPr>
        <w:t xml:space="preserve"> </w:t>
      </w:r>
      <w:proofErr w:type="spellStart"/>
      <w:r w:rsidRPr="0010611E">
        <w:rPr>
          <w:rStyle w:val="SCCCounselNameChar"/>
          <w:sz w:val="20"/>
          <w:lang w:val="fr-CA"/>
        </w:rPr>
        <w:t>Mason</w:t>
      </w:r>
      <w:proofErr w:type="spellEnd"/>
      <w:r w:rsidRPr="0010611E">
        <w:rPr>
          <w:rStyle w:val="SCCCounselPartyRoleChar"/>
          <w:sz w:val="20"/>
          <w:lang w:val="fr-CA"/>
        </w:rPr>
        <w:t>, pour l’intervenant le procureur général de la Colombie</w:t>
      </w:r>
      <w:r w:rsidRPr="0010611E">
        <w:rPr>
          <w:rStyle w:val="SCCCounselPartyRoleChar"/>
          <w:sz w:val="20"/>
          <w:lang w:val="fr-CA"/>
        </w:rPr>
        <w:noBreakHyphen/>
        <w:t>Britannique.</w:t>
      </w:r>
    </w:p>
    <w:p w:rsidR="004A72A5" w:rsidRPr="0010611E" w:rsidRDefault="004A72A5" w:rsidP="004A72A5">
      <w:pPr>
        <w:pStyle w:val="SCCNormalDoubleSpacing"/>
        <w:rPr>
          <w:sz w:val="20"/>
          <w:lang w:val="fr-CA"/>
        </w:rPr>
      </w:pPr>
      <w:r w:rsidRPr="0010611E">
        <w:rPr>
          <w:rStyle w:val="SCCCounselNameChar"/>
          <w:sz w:val="20"/>
          <w:lang w:val="fr-CA"/>
        </w:rPr>
        <w:tab/>
        <w:t xml:space="preserve">Jonathan M. </w:t>
      </w:r>
      <w:proofErr w:type="spellStart"/>
      <w:r w:rsidRPr="0010611E">
        <w:rPr>
          <w:rStyle w:val="SCCCounselNameChar"/>
          <w:sz w:val="20"/>
          <w:lang w:val="fr-CA"/>
        </w:rPr>
        <w:t>Coady</w:t>
      </w:r>
      <w:proofErr w:type="spellEnd"/>
      <w:r w:rsidRPr="0010611E">
        <w:rPr>
          <w:rStyle w:val="SCCCounselSeparatorChar"/>
          <w:rFonts w:eastAsia="Calibri"/>
          <w:sz w:val="20"/>
        </w:rPr>
        <w:t xml:space="preserve"> et </w:t>
      </w:r>
      <w:r w:rsidRPr="0010611E">
        <w:rPr>
          <w:rStyle w:val="SCCCounselSeparatorChar"/>
          <w:rFonts w:eastAsia="Calibri"/>
          <w:i/>
          <w:sz w:val="20"/>
        </w:rPr>
        <w:t xml:space="preserve">Thomas </w:t>
      </w:r>
      <w:proofErr w:type="spellStart"/>
      <w:r w:rsidRPr="0010611E">
        <w:rPr>
          <w:rStyle w:val="SCCCounselSeparatorChar"/>
          <w:rFonts w:eastAsia="Calibri"/>
          <w:i/>
          <w:sz w:val="20"/>
        </w:rPr>
        <w:t>Laughlin</w:t>
      </w:r>
      <w:proofErr w:type="spellEnd"/>
      <w:r w:rsidRPr="0010611E">
        <w:rPr>
          <w:rStyle w:val="SCCCounselPartyRoleChar"/>
          <w:sz w:val="20"/>
          <w:lang w:val="fr-CA"/>
        </w:rPr>
        <w:t>, pour l’intervenant le procureur général de l’Île</w:t>
      </w:r>
      <w:r w:rsidRPr="0010611E">
        <w:rPr>
          <w:rStyle w:val="SCCCounselPartyRoleChar"/>
          <w:sz w:val="20"/>
          <w:lang w:val="fr-CA"/>
        </w:rPr>
        <w:noBreakHyphen/>
        <w:t>du</w:t>
      </w:r>
      <w:r w:rsidRPr="0010611E">
        <w:rPr>
          <w:rStyle w:val="SCCCounselPartyRoleChar"/>
          <w:sz w:val="20"/>
          <w:lang w:val="fr-CA"/>
        </w:rPr>
        <w:noBreakHyphen/>
        <w:t>Prince</w:t>
      </w:r>
      <w:r w:rsidRPr="0010611E">
        <w:rPr>
          <w:rStyle w:val="SCCCounselPartyRoleChar"/>
          <w:sz w:val="20"/>
          <w:lang w:val="fr-CA"/>
        </w:rPr>
        <w:noBreakHyphen/>
        <w:t>Édouard.</w:t>
      </w:r>
    </w:p>
    <w:p w:rsidR="004A72A5" w:rsidRPr="0010611E" w:rsidRDefault="004A72A5" w:rsidP="004A72A5">
      <w:pPr>
        <w:pStyle w:val="SCCNormalDoubleSpacing"/>
        <w:rPr>
          <w:sz w:val="20"/>
          <w:lang w:val="fr-CA"/>
        </w:rPr>
      </w:pPr>
      <w:r w:rsidRPr="0010611E">
        <w:rPr>
          <w:rStyle w:val="SCCCounselNameChar"/>
          <w:sz w:val="20"/>
          <w:lang w:val="fr-CA"/>
        </w:rPr>
        <w:tab/>
        <w:t xml:space="preserve">Theodore J. C. </w:t>
      </w:r>
      <w:proofErr w:type="spellStart"/>
      <w:r w:rsidRPr="0010611E">
        <w:rPr>
          <w:rStyle w:val="SCCCounselNameChar"/>
          <w:sz w:val="20"/>
          <w:lang w:val="fr-CA"/>
        </w:rPr>
        <w:t>Litowski</w:t>
      </w:r>
      <w:proofErr w:type="spellEnd"/>
      <w:r w:rsidRPr="0010611E">
        <w:rPr>
          <w:rStyle w:val="SCCCounselPartyRoleChar"/>
          <w:sz w:val="20"/>
          <w:lang w:val="fr-CA"/>
        </w:rPr>
        <w:t>, pour l’intervenant le procureur général de la Saskatchewan.</w:t>
      </w:r>
    </w:p>
    <w:p w:rsidR="004A72A5" w:rsidRPr="0010611E" w:rsidRDefault="004A72A5" w:rsidP="004A72A5">
      <w:pPr>
        <w:pStyle w:val="SCCNormalDoubleSpacing"/>
        <w:rPr>
          <w:sz w:val="20"/>
          <w:lang w:val="fr-CA"/>
        </w:rPr>
      </w:pPr>
      <w:r w:rsidRPr="0010611E">
        <w:rPr>
          <w:rStyle w:val="SCCCounselNameChar"/>
          <w:sz w:val="20"/>
          <w:lang w:val="fr-CA"/>
        </w:rPr>
        <w:tab/>
        <w:t xml:space="preserve">Robert J. </w:t>
      </w:r>
      <w:proofErr w:type="spellStart"/>
      <w:r w:rsidRPr="0010611E">
        <w:rPr>
          <w:rStyle w:val="SCCCounselNameChar"/>
          <w:sz w:val="20"/>
          <w:lang w:val="fr-CA"/>
        </w:rPr>
        <w:t>Normey</w:t>
      </w:r>
      <w:proofErr w:type="spellEnd"/>
      <w:r w:rsidRPr="0010611E">
        <w:rPr>
          <w:rStyle w:val="SCCCounselPartyRoleChar"/>
          <w:sz w:val="20"/>
          <w:lang w:val="fr-CA"/>
        </w:rPr>
        <w:t>, pour l’intervenant le procureur général de l’Alberta.</w:t>
      </w:r>
    </w:p>
    <w:p w:rsidR="004A72A5" w:rsidRPr="0010611E" w:rsidRDefault="004A72A5" w:rsidP="004A72A5">
      <w:pPr>
        <w:pStyle w:val="SCCNormalDoubleSpacing"/>
        <w:rPr>
          <w:sz w:val="20"/>
          <w:lang w:val="fr-CA"/>
        </w:rPr>
      </w:pPr>
      <w:r w:rsidRPr="0010611E">
        <w:rPr>
          <w:rStyle w:val="SCCCounselNameChar"/>
          <w:sz w:val="20"/>
          <w:lang w:val="fr-CA"/>
        </w:rPr>
        <w:tab/>
        <w:t xml:space="preserve">Philip Osborne </w:t>
      </w:r>
      <w:r w:rsidRPr="0010611E">
        <w:rPr>
          <w:rStyle w:val="SCCCounselSeparatorChar"/>
          <w:rFonts w:eastAsia="Calibri"/>
          <w:sz w:val="20"/>
        </w:rPr>
        <w:t>et</w:t>
      </w:r>
      <w:r w:rsidRPr="0010611E">
        <w:rPr>
          <w:rStyle w:val="SCCCounselNameChar"/>
          <w:sz w:val="20"/>
          <w:lang w:val="fr-CA"/>
        </w:rPr>
        <w:t xml:space="preserve"> Barbara </w:t>
      </w:r>
      <w:proofErr w:type="spellStart"/>
      <w:r w:rsidRPr="0010611E">
        <w:rPr>
          <w:rStyle w:val="SCCCounselNameChar"/>
          <w:sz w:val="20"/>
          <w:lang w:val="fr-CA"/>
        </w:rPr>
        <w:t>Barrowman</w:t>
      </w:r>
      <w:proofErr w:type="spellEnd"/>
      <w:r w:rsidRPr="0010611E">
        <w:rPr>
          <w:rStyle w:val="SCCCounselPartyRoleChar"/>
          <w:sz w:val="20"/>
          <w:lang w:val="fr-CA"/>
        </w:rPr>
        <w:t>, pour l’intervenant le procureur général de Terre</w:t>
      </w:r>
      <w:r w:rsidRPr="0010611E">
        <w:rPr>
          <w:rStyle w:val="SCCCounselPartyRoleChar"/>
          <w:sz w:val="20"/>
          <w:lang w:val="fr-CA"/>
        </w:rPr>
        <w:noBreakHyphen/>
        <w:t>Neuve</w:t>
      </w:r>
      <w:r w:rsidRPr="0010611E">
        <w:rPr>
          <w:rStyle w:val="SCCCounselPartyRoleChar"/>
          <w:sz w:val="20"/>
          <w:lang w:val="fr-CA"/>
        </w:rPr>
        <w:noBreakHyphen/>
        <w:t>et</w:t>
      </w:r>
      <w:r w:rsidRPr="0010611E">
        <w:rPr>
          <w:rStyle w:val="SCCCounselPartyRoleChar"/>
          <w:sz w:val="20"/>
          <w:lang w:val="fr-CA"/>
        </w:rPr>
        <w:noBreakHyphen/>
        <w:t>Labrador.</w:t>
      </w:r>
    </w:p>
    <w:p w:rsidR="004A72A5" w:rsidRPr="0010611E" w:rsidRDefault="004A72A5" w:rsidP="004A72A5">
      <w:pPr>
        <w:pStyle w:val="SCCNormalDoubleSpacing"/>
        <w:rPr>
          <w:sz w:val="20"/>
          <w:lang w:val="fr-CA"/>
        </w:rPr>
      </w:pPr>
      <w:r w:rsidRPr="0010611E">
        <w:rPr>
          <w:rStyle w:val="SCCCounselNameChar"/>
          <w:sz w:val="20"/>
          <w:lang w:val="fr-CA"/>
        </w:rPr>
        <w:tab/>
        <w:t xml:space="preserve">Bradley </w:t>
      </w:r>
      <w:proofErr w:type="spellStart"/>
      <w:r w:rsidRPr="0010611E">
        <w:rPr>
          <w:rStyle w:val="SCCCounselNameChar"/>
          <w:sz w:val="20"/>
          <w:lang w:val="fr-CA"/>
        </w:rPr>
        <w:t>Patzer</w:t>
      </w:r>
      <w:proofErr w:type="spellEnd"/>
      <w:r w:rsidRPr="0010611E">
        <w:rPr>
          <w:rStyle w:val="SCCCounselPartyRoleChar"/>
          <w:sz w:val="20"/>
          <w:lang w:val="fr-CA"/>
        </w:rPr>
        <w:t>, pour l’intervenant le procureur général des Territoires du Nord</w:t>
      </w:r>
      <w:r w:rsidRPr="0010611E">
        <w:rPr>
          <w:rStyle w:val="SCCCounselPartyRoleChar"/>
          <w:sz w:val="20"/>
          <w:lang w:val="fr-CA"/>
        </w:rPr>
        <w:noBreakHyphen/>
        <w:t>Ouest.</w:t>
      </w:r>
    </w:p>
    <w:p w:rsidR="004A72A5" w:rsidRPr="0010611E" w:rsidRDefault="004A72A5" w:rsidP="004A72A5">
      <w:pPr>
        <w:pStyle w:val="SCCNormalDoubleSpacing"/>
        <w:rPr>
          <w:sz w:val="20"/>
          <w:lang w:val="fr-CA"/>
        </w:rPr>
      </w:pPr>
      <w:r w:rsidRPr="0010611E">
        <w:rPr>
          <w:rStyle w:val="SCCCounselNameChar"/>
          <w:sz w:val="20"/>
          <w:lang w:val="fr-CA"/>
        </w:rPr>
        <w:tab/>
        <w:t xml:space="preserve">John L. </w:t>
      </w:r>
      <w:proofErr w:type="spellStart"/>
      <w:r w:rsidRPr="0010611E">
        <w:rPr>
          <w:rStyle w:val="SCCCounselNameChar"/>
          <w:sz w:val="20"/>
          <w:lang w:val="fr-CA"/>
        </w:rPr>
        <w:t>MacLean</w:t>
      </w:r>
      <w:proofErr w:type="spellEnd"/>
      <w:r w:rsidRPr="0010611E">
        <w:rPr>
          <w:rStyle w:val="SCCCounselNameChar"/>
          <w:sz w:val="20"/>
          <w:lang w:val="fr-CA"/>
        </w:rPr>
        <w:t xml:space="preserve"> </w:t>
      </w:r>
      <w:r w:rsidRPr="0010611E">
        <w:rPr>
          <w:rStyle w:val="SCCCounselSeparatorChar"/>
          <w:rFonts w:eastAsia="Calibri"/>
          <w:sz w:val="20"/>
        </w:rPr>
        <w:t>et</w:t>
      </w:r>
      <w:r w:rsidRPr="0010611E">
        <w:rPr>
          <w:rStyle w:val="SCCCounselNameChar"/>
          <w:sz w:val="20"/>
          <w:lang w:val="fr-CA"/>
        </w:rPr>
        <w:t xml:space="preserve"> Adrienne </w:t>
      </w:r>
      <w:proofErr w:type="spellStart"/>
      <w:r w:rsidRPr="0010611E">
        <w:rPr>
          <w:rStyle w:val="SCCCounselNameChar"/>
          <w:sz w:val="20"/>
          <w:lang w:val="fr-CA"/>
        </w:rPr>
        <w:t>Silk</w:t>
      </w:r>
      <w:proofErr w:type="spellEnd"/>
      <w:r w:rsidRPr="0010611E">
        <w:rPr>
          <w:rStyle w:val="SCCCounselPartyRoleChar"/>
          <w:sz w:val="20"/>
          <w:lang w:val="fr-CA"/>
        </w:rPr>
        <w:t>, pour l’intervenant le gouvernement du Nunavut, représenté par le ministre de la Justice.</w:t>
      </w:r>
    </w:p>
    <w:p w:rsidR="004A72A5" w:rsidRPr="0010611E" w:rsidRDefault="004A72A5" w:rsidP="004A72A5">
      <w:pPr>
        <w:pStyle w:val="SCCNormalDoubleSpacing"/>
        <w:rPr>
          <w:sz w:val="20"/>
          <w:lang w:val="en-US"/>
        </w:rPr>
      </w:pPr>
      <w:r w:rsidRPr="0010611E">
        <w:rPr>
          <w:rStyle w:val="SCCCounselNameChar"/>
          <w:sz w:val="20"/>
          <w:lang w:val="fr-CA"/>
        </w:rPr>
        <w:tab/>
      </w:r>
      <w:proofErr w:type="spellStart"/>
      <w:r w:rsidRPr="0010611E">
        <w:rPr>
          <w:rStyle w:val="SCCCounselNameChar"/>
          <w:sz w:val="20"/>
          <w:lang w:val="en-US"/>
        </w:rPr>
        <w:t>Shea</w:t>
      </w:r>
      <w:proofErr w:type="spellEnd"/>
      <w:r w:rsidRPr="0010611E">
        <w:rPr>
          <w:rStyle w:val="SCCCounselNameChar"/>
          <w:sz w:val="20"/>
          <w:lang w:val="en-US"/>
        </w:rPr>
        <w:t xml:space="preserve"> Coulson</w:t>
      </w:r>
      <w:r w:rsidRPr="0010611E">
        <w:rPr>
          <w:rStyle w:val="SCCCounselPartyRoleChar"/>
          <w:sz w:val="20"/>
          <w:lang w:val="en-US"/>
        </w:rPr>
        <w:t xml:space="preserve"> et </w:t>
      </w:r>
      <w:r w:rsidRPr="0010611E">
        <w:rPr>
          <w:rStyle w:val="SCCCounselPartyRoleChar"/>
          <w:i/>
          <w:sz w:val="20"/>
          <w:lang w:val="en-US"/>
        </w:rPr>
        <w:t>Allan L. Doolittle</w:t>
      </w:r>
      <w:r w:rsidRPr="0010611E">
        <w:rPr>
          <w:rStyle w:val="SCCCounselPartyRoleChar"/>
          <w:sz w:val="20"/>
          <w:lang w:val="en-US"/>
        </w:rPr>
        <w:t xml:space="preserve">, pour les </w:t>
      </w:r>
      <w:proofErr w:type="spellStart"/>
      <w:r w:rsidRPr="0010611E">
        <w:rPr>
          <w:rStyle w:val="SCCCounselPartyRoleChar"/>
          <w:sz w:val="20"/>
          <w:lang w:val="en-US"/>
        </w:rPr>
        <w:t>intervenantes</w:t>
      </w:r>
      <w:proofErr w:type="spellEnd"/>
      <w:r w:rsidRPr="0010611E">
        <w:rPr>
          <w:rStyle w:val="SCCCounselPartyRoleChar"/>
          <w:sz w:val="20"/>
          <w:lang w:val="en-US"/>
        </w:rPr>
        <w:t xml:space="preserve"> Liquidity Wines Ltd., Painted Rock Estate Winery Ltd., 50th Parallel Estate Limited Partnership, Okanagan Crush Pad Winery Ltd. et Noble Ridge Vineyard and Winery Limited Partnership.</w:t>
      </w:r>
    </w:p>
    <w:p w:rsidR="004A72A5" w:rsidRPr="0010611E" w:rsidRDefault="004A72A5" w:rsidP="004A72A5">
      <w:pPr>
        <w:pStyle w:val="SCCNormalDoubleSpacing"/>
        <w:rPr>
          <w:sz w:val="20"/>
          <w:lang w:val="fr-CA"/>
        </w:rPr>
      </w:pPr>
      <w:r w:rsidRPr="0010611E">
        <w:rPr>
          <w:rStyle w:val="SCCCounselNameChar"/>
          <w:sz w:val="20"/>
          <w:lang w:val="en-US"/>
        </w:rPr>
        <w:tab/>
      </w:r>
      <w:r w:rsidRPr="0010611E">
        <w:rPr>
          <w:rStyle w:val="SCCCounselNameChar"/>
          <w:sz w:val="20"/>
          <w:lang w:val="fr-CA"/>
        </w:rPr>
        <w:t>Malcolm Lavoie</w:t>
      </w:r>
      <w:r w:rsidRPr="0010611E">
        <w:rPr>
          <w:rStyle w:val="SCCCounselPartyRoleChar"/>
          <w:sz w:val="20"/>
          <w:lang w:val="fr-CA"/>
        </w:rPr>
        <w:t>, pour l’intervenante Artisan Ales Consulting Inc.</w:t>
      </w:r>
    </w:p>
    <w:p w:rsidR="004A72A5" w:rsidRPr="0010611E" w:rsidRDefault="004A72A5" w:rsidP="004A72A5">
      <w:pPr>
        <w:pStyle w:val="SCCNormalDoubleSpacing"/>
        <w:rPr>
          <w:sz w:val="20"/>
          <w:lang w:val="fr-CA"/>
        </w:rPr>
      </w:pPr>
      <w:r w:rsidRPr="0010611E">
        <w:rPr>
          <w:rStyle w:val="SCCCounselNameChar"/>
          <w:sz w:val="20"/>
          <w:lang w:val="fr-CA"/>
        </w:rPr>
        <w:tab/>
        <w:t xml:space="preserve">Mark </w:t>
      </w:r>
      <w:proofErr w:type="spellStart"/>
      <w:r w:rsidRPr="0010611E">
        <w:rPr>
          <w:rStyle w:val="SCCCounselNameChar"/>
          <w:sz w:val="20"/>
          <w:lang w:val="fr-CA"/>
        </w:rPr>
        <w:t>Gelowitz</w:t>
      </w:r>
      <w:proofErr w:type="spellEnd"/>
      <w:r w:rsidRPr="0010611E">
        <w:rPr>
          <w:rStyle w:val="SCCCounselSeparatorChar"/>
          <w:rFonts w:eastAsia="Calibri"/>
          <w:sz w:val="20"/>
        </w:rPr>
        <w:t xml:space="preserve"> et </w:t>
      </w:r>
      <w:r w:rsidRPr="0010611E">
        <w:rPr>
          <w:rStyle w:val="SCCCounselNameChar"/>
          <w:sz w:val="20"/>
          <w:lang w:val="fr-CA"/>
        </w:rPr>
        <w:t>Robert Carson</w:t>
      </w:r>
      <w:r w:rsidRPr="0010611E">
        <w:rPr>
          <w:rStyle w:val="SCCCounselPartyRoleChar"/>
          <w:sz w:val="20"/>
          <w:lang w:val="fr-CA"/>
        </w:rPr>
        <w:t>, pour l’intervenant l’Institut économique de Montréal.</w:t>
      </w:r>
    </w:p>
    <w:p w:rsidR="004A72A5" w:rsidRPr="0010611E" w:rsidRDefault="004A72A5" w:rsidP="004A72A5">
      <w:pPr>
        <w:pStyle w:val="SCCNormalDoubleSpacing"/>
        <w:rPr>
          <w:sz w:val="20"/>
          <w:lang w:val="fr-CA"/>
        </w:rPr>
      </w:pPr>
      <w:r w:rsidRPr="0010611E">
        <w:rPr>
          <w:rStyle w:val="SCCCounselNameChar"/>
          <w:sz w:val="20"/>
          <w:lang w:val="fr-CA"/>
        </w:rPr>
        <w:tab/>
        <w:t xml:space="preserve">J. Scott </w:t>
      </w:r>
      <w:proofErr w:type="spellStart"/>
      <w:r w:rsidRPr="0010611E">
        <w:rPr>
          <w:rStyle w:val="SCCCounselNameChar"/>
          <w:sz w:val="20"/>
          <w:lang w:val="fr-CA"/>
        </w:rPr>
        <w:t>Maidment</w:t>
      </w:r>
      <w:proofErr w:type="spellEnd"/>
      <w:r w:rsidRPr="0010611E">
        <w:rPr>
          <w:rStyle w:val="SCCCounselSeparatorChar"/>
          <w:rFonts w:eastAsia="Calibri"/>
          <w:sz w:val="20"/>
        </w:rPr>
        <w:t xml:space="preserve"> et </w:t>
      </w:r>
      <w:r w:rsidRPr="0010611E">
        <w:rPr>
          <w:rStyle w:val="SCCCounselNameChar"/>
          <w:sz w:val="20"/>
          <w:lang w:val="fr-CA"/>
        </w:rPr>
        <w:t>Samantha Gordon</w:t>
      </w:r>
      <w:r w:rsidRPr="0010611E">
        <w:rPr>
          <w:rStyle w:val="SCCCounselPartyRoleChar"/>
          <w:sz w:val="20"/>
          <w:lang w:val="fr-CA"/>
        </w:rPr>
        <w:t>, pour l’intervenante Federal Express Canada Corporation.</w:t>
      </w:r>
    </w:p>
    <w:p w:rsidR="004A72A5" w:rsidRPr="0010611E" w:rsidRDefault="004A72A5" w:rsidP="004A72A5">
      <w:pPr>
        <w:pStyle w:val="SCCNormalDoubleSpacing"/>
        <w:rPr>
          <w:sz w:val="20"/>
          <w:lang w:val="fr-CA"/>
        </w:rPr>
      </w:pPr>
      <w:r w:rsidRPr="0010611E">
        <w:rPr>
          <w:rStyle w:val="SCCCounselNameChar"/>
          <w:sz w:val="20"/>
          <w:lang w:val="fr-CA"/>
        </w:rPr>
        <w:tab/>
        <w:t xml:space="preserve">Christopher D. </w:t>
      </w:r>
      <w:proofErr w:type="spellStart"/>
      <w:r w:rsidRPr="0010611E">
        <w:rPr>
          <w:rStyle w:val="SCCCounselNameChar"/>
          <w:sz w:val="20"/>
          <w:lang w:val="fr-CA"/>
        </w:rPr>
        <w:t>Bredt</w:t>
      </w:r>
      <w:proofErr w:type="spellEnd"/>
      <w:r w:rsidRPr="0010611E">
        <w:rPr>
          <w:rStyle w:val="SCCCounselSeparatorChar"/>
          <w:rFonts w:eastAsia="Calibri"/>
          <w:sz w:val="20"/>
        </w:rPr>
        <w:t xml:space="preserve"> et </w:t>
      </w:r>
      <w:proofErr w:type="spellStart"/>
      <w:r w:rsidRPr="0010611E">
        <w:rPr>
          <w:rStyle w:val="SCCCounselNameChar"/>
          <w:sz w:val="20"/>
          <w:lang w:val="fr-CA"/>
        </w:rPr>
        <w:t>Ewa</w:t>
      </w:r>
      <w:proofErr w:type="spellEnd"/>
      <w:r w:rsidRPr="0010611E">
        <w:rPr>
          <w:rStyle w:val="SCCCounselNameChar"/>
          <w:sz w:val="20"/>
          <w:lang w:val="fr-CA"/>
        </w:rPr>
        <w:t xml:space="preserve"> </w:t>
      </w:r>
      <w:proofErr w:type="spellStart"/>
      <w:r w:rsidRPr="0010611E">
        <w:rPr>
          <w:rStyle w:val="SCCCounselNameChar"/>
          <w:sz w:val="20"/>
          <w:lang w:val="fr-CA"/>
        </w:rPr>
        <w:t>Krajewska</w:t>
      </w:r>
      <w:proofErr w:type="spellEnd"/>
      <w:r w:rsidRPr="0010611E">
        <w:rPr>
          <w:rStyle w:val="SCCCounselPartyRoleChar"/>
          <w:sz w:val="20"/>
          <w:lang w:val="fr-CA"/>
        </w:rPr>
        <w:t>, pour les intervenantes la Chambre de commerce du Canada et la Fédération canadienne de l’entreprise indépendante.</w:t>
      </w:r>
    </w:p>
    <w:p w:rsidR="004A72A5" w:rsidRPr="0010611E" w:rsidRDefault="004A72A5" w:rsidP="004A72A5">
      <w:pPr>
        <w:pStyle w:val="SCCNormalDoubleSpacing"/>
        <w:rPr>
          <w:sz w:val="20"/>
          <w:lang w:val="fr-CA"/>
        </w:rPr>
      </w:pPr>
      <w:r w:rsidRPr="0010611E">
        <w:rPr>
          <w:rStyle w:val="SCCCounselNameChar"/>
          <w:sz w:val="20"/>
          <w:lang w:val="fr-CA"/>
        </w:rPr>
        <w:tab/>
        <w:t xml:space="preserve">Kirk </w:t>
      </w:r>
      <w:proofErr w:type="spellStart"/>
      <w:r w:rsidRPr="0010611E">
        <w:rPr>
          <w:rStyle w:val="SCCCounselNameChar"/>
          <w:sz w:val="20"/>
          <w:lang w:val="fr-CA"/>
        </w:rPr>
        <w:t>Tousaw</w:t>
      </w:r>
      <w:proofErr w:type="spellEnd"/>
      <w:r w:rsidRPr="0010611E">
        <w:rPr>
          <w:rStyle w:val="SCCCounselSeparatorChar"/>
          <w:rFonts w:eastAsia="Calibri"/>
          <w:sz w:val="20"/>
        </w:rPr>
        <w:t xml:space="preserve"> et </w:t>
      </w:r>
      <w:r w:rsidRPr="0010611E">
        <w:rPr>
          <w:rStyle w:val="SCCCounselNameChar"/>
          <w:sz w:val="20"/>
          <w:lang w:val="fr-CA"/>
        </w:rPr>
        <w:t>Jack Lloyd</w:t>
      </w:r>
      <w:r w:rsidRPr="0010611E">
        <w:rPr>
          <w:rStyle w:val="SCCCounselPartyRoleChar"/>
          <w:sz w:val="20"/>
          <w:lang w:val="fr-CA"/>
        </w:rPr>
        <w:t>, pour l’intervenante Cannabis Culture.</w:t>
      </w:r>
    </w:p>
    <w:p w:rsidR="004A72A5" w:rsidRPr="0010611E" w:rsidRDefault="004A72A5" w:rsidP="004A72A5">
      <w:pPr>
        <w:pStyle w:val="SCCNormalDoubleSpacing"/>
        <w:rPr>
          <w:sz w:val="20"/>
          <w:lang w:val="fr-CA"/>
        </w:rPr>
      </w:pPr>
      <w:r w:rsidRPr="0010611E">
        <w:rPr>
          <w:rStyle w:val="SCCCounselNameChar"/>
          <w:sz w:val="20"/>
          <w:lang w:val="fr-CA"/>
        </w:rPr>
        <w:tab/>
        <w:t xml:space="preserve">Jennifer </w:t>
      </w:r>
      <w:proofErr w:type="spellStart"/>
      <w:r w:rsidRPr="0010611E">
        <w:rPr>
          <w:rStyle w:val="SCCCounselNameChar"/>
          <w:sz w:val="20"/>
          <w:lang w:val="fr-CA"/>
        </w:rPr>
        <w:t>Klinck</w:t>
      </w:r>
      <w:proofErr w:type="spellEnd"/>
      <w:r w:rsidRPr="0010611E">
        <w:rPr>
          <w:rStyle w:val="SCCCounselSeparatorChar"/>
          <w:rFonts w:eastAsia="Calibri"/>
          <w:sz w:val="20"/>
        </w:rPr>
        <w:t xml:space="preserve"> et </w:t>
      </w:r>
      <w:r w:rsidRPr="0010611E">
        <w:rPr>
          <w:rStyle w:val="SCCCounselNameChar"/>
          <w:sz w:val="20"/>
          <w:lang w:val="fr-CA"/>
        </w:rPr>
        <w:t xml:space="preserve">Marion </w:t>
      </w:r>
      <w:proofErr w:type="spellStart"/>
      <w:r w:rsidRPr="0010611E">
        <w:rPr>
          <w:rStyle w:val="SCCCounselNameChar"/>
          <w:sz w:val="20"/>
          <w:lang w:val="fr-CA"/>
        </w:rPr>
        <w:t>Sandilands</w:t>
      </w:r>
      <w:proofErr w:type="spellEnd"/>
      <w:r w:rsidRPr="0010611E">
        <w:rPr>
          <w:rStyle w:val="SCCCounselPartyRoleChar"/>
          <w:sz w:val="20"/>
          <w:lang w:val="fr-CA"/>
        </w:rPr>
        <w:t>, pour l’intervenante l’Association des distillateurs canadiens, faisant affaire sous le nom Spiritueux Canada.</w:t>
      </w:r>
    </w:p>
    <w:p w:rsidR="004A72A5" w:rsidRPr="0010611E" w:rsidRDefault="004A72A5" w:rsidP="004A72A5">
      <w:pPr>
        <w:pStyle w:val="SCCNormalDoubleSpacing"/>
        <w:rPr>
          <w:sz w:val="20"/>
          <w:lang w:val="fr-CA"/>
        </w:rPr>
      </w:pPr>
      <w:r w:rsidRPr="0010611E">
        <w:rPr>
          <w:rStyle w:val="SCCCounselNameChar"/>
          <w:sz w:val="20"/>
          <w:lang w:val="fr-CA"/>
        </w:rPr>
        <w:tab/>
        <w:t xml:space="preserve">Steven I. </w:t>
      </w:r>
      <w:proofErr w:type="spellStart"/>
      <w:r w:rsidRPr="0010611E">
        <w:rPr>
          <w:rStyle w:val="SCCCounselNameChar"/>
          <w:sz w:val="20"/>
          <w:lang w:val="fr-CA"/>
        </w:rPr>
        <w:t>Sofer</w:t>
      </w:r>
      <w:proofErr w:type="spellEnd"/>
      <w:r w:rsidRPr="0010611E">
        <w:rPr>
          <w:rStyle w:val="SCCCounselSeparatorChar"/>
          <w:rFonts w:eastAsia="Calibri"/>
          <w:sz w:val="20"/>
        </w:rPr>
        <w:t xml:space="preserve"> et </w:t>
      </w:r>
      <w:r w:rsidRPr="0010611E">
        <w:rPr>
          <w:rStyle w:val="SCCCounselNameChar"/>
          <w:sz w:val="20"/>
          <w:lang w:val="fr-CA"/>
        </w:rPr>
        <w:t xml:space="preserve">Paul </w:t>
      </w:r>
      <w:proofErr w:type="spellStart"/>
      <w:r w:rsidRPr="0010611E">
        <w:rPr>
          <w:rStyle w:val="SCCCounselNameChar"/>
          <w:sz w:val="20"/>
          <w:lang w:val="fr-CA"/>
        </w:rPr>
        <w:t>Seaman</w:t>
      </w:r>
      <w:proofErr w:type="spellEnd"/>
      <w:r w:rsidRPr="0010611E">
        <w:rPr>
          <w:rStyle w:val="SCCCounselPartyRoleChar"/>
          <w:sz w:val="20"/>
          <w:lang w:val="fr-CA"/>
        </w:rPr>
        <w:t xml:space="preserve">, pour l’intervenante </w:t>
      </w:r>
      <w:proofErr w:type="spellStart"/>
      <w:r w:rsidRPr="0010611E">
        <w:rPr>
          <w:rStyle w:val="SCCCounselPartyRoleChar"/>
          <w:sz w:val="20"/>
          <w:lang w:val="fr-CA"/>
        </w:rPr>
        <w:t>Canada’s</w:t>
      </w:r>
      <w:proofErr w:type="spellEnd"/>
      <w:r w:rsidRPr="0010611E">
        <w:rPr>
          <w:rStyle w:val="SCCCounselPartyRoleChar"/>
          <w:sz w:val="20"/>
          <w:lang w:val="fr-CA"/>
        </w:rPr>
        <w:t xml:space="preserve"> National Brewers.</w:t>
      </w:r>
    </w:p>
    <w:p w:rsidR="004A72A5" w:rsidRPr="0010611E" w:rsidRDefault="004A72A5" w:rsidP="004A72A5">
      <w:pPr>
        <w:pStyle w:val="SCCNormalDoubleSpacing"/>
        <w:rPr>
          <w:sz w:val="20"/>
          <w:lang w:val="fr-CA"/>
        </w:rPr>
      </w:pPr>
      <w:r w:rsidRPr="0010611E">
        <w:rPr>
          <w:rStyle w:val="SCCCounselNameChar"/>
          <w:sz w:val="20"/>
          <w:lang w:val="fr-CA"/>
        </w:rPr>
        <w:tab/>
        <w:t>David K. Wilson</w:t>
      </w:r>
      <w:r w:rsidRPr="0010611E">
        <w:rPr>
          <w:rStyle w:val="SCCCounselSeparatorChar"/>
          <w:rFonts w:eastAsia="Calibri"/>
          <w:sz w:val="20"/>
        </w:rPr>
        <w:t xml:space="preserve">, </w:t>
      </w:r>
      <w:r w:rsidRPr="0010611E">
        <w:rPr>
          <w:rStyle w:val="SCCCounselNameChar"/>
          <w:sz w:val="20"/>
          <w:lang w:val="fr-CA"/>
        </w:rPr>
        <w:t>Owen M. Rees</w:t>
      </w:r>
      <w:r w:rsidRPr="0010611E">
        <w:rPr>
          <w:rStyle w:val="SCCCounselSeparatorChar"/>
          <w:rFonts w:eastAsia="Calibri"/>
          <w:sz w:val="20"/>
        </w:rPr>
        <w:t xml:space="preserve"> et </w:t>
      </w:r>
      <w:r w:rsidRPr="0010611E">
        <w:rPr>
          <w:rStyle w:val="SCCCounselNameChar"/>
          <w:sz w:val="20"/>
          <w:lang w:val="fr-CA"/>
        </w:rPr>
        <w:t xml:space="preserve">Julie </w:t>
      </w:r>
      <w:proofErr w:type="spellStart"/>
      <w:r w:rsidRPr="0010611E">
        <w:rPr>
          <w:rStyle w:val="SCCCounselNameChar"/>
          <w:sz w:val="20"/>
          <w:lang w:val="fr-CA"/>
        </w:rPr>
        <w:t>Mouris</w:t>
      </w:r>
      <w:proofErr w:type="spellEnd"/>
      <w:r w:rsidRPr="0010611E">
        <w:rPr>
          <w:rStyle w:val="SCCCounselPartyRoleChar"/>
          <w:sz w:val="20"/>
          <w:lang w:val="fr-CA"/>
        </w:rPr>
        <w:t>, pour les intervenants les Producteurs laitiers du Canada, les Producteurs d’œufs du Canada, les Producteurs de poulet du Canada, les Éleveurs de dindon du Canada et les Producteurs d’œufs d’incubation du Canada.</w:t>
      </w:r>
    </w:p>
    <w:p w:rsidR="004A72A5" w:rsidRPr="0010611E" w:rsidRDefault="004A72A5" w:rsidP="004A72A5">
      <w:pPr>
        <w:pStyle w:val="SCCNormalDoubleSpacing"/>
        <w:rPr>
          <w:sz w:val="20"/>
          <w:lang w:val="fr-CA"/>
        </w:rPr>
      </w:pPr>
      <w:r w:rsidRPr="0010611E">
        <w:rPr>
          <w:rStyle w:val="SCCCounselNameChar"/>
          <w:sz w:val="20"/>
          <w:lang w:val="fr-CA"/>
        </w:rPr>
        <w:tab/>
        <w:t>Paul J. Bates</w:t>
      </w:r>
      <w:r w:rsidRPr="0010611E">
        <w:rPr>
          <w:rStyle w:val="SCCCounselSeparatorChar"/>
          <w:rFonts w:eastAsia="Calibri"/>
          <w:sz w:val="20"/>
        </w:rPr>
        <w:t xml:space="preserve">, </w:t>
      </w:r>
      <w:r w:rsidRPr="0010611E">
        <w:rPr>
          <w:rStyle w:val="SCCCounselNameChar"/>
          <w:sz w:val="20"/>
          <w:lang w:val="fr-CA"/>
        </w:rPr>
        <w:t xml:space="preserve">Ronald </w:t>
      </w:r>
      <w:proofErr w:type="spellStart"/>
      <w:r w:rsidRPr="0010611E">
        <w:rPr>
          <w:rStyle w:val="SCCCounselNameChar"/>
          <w:sz w:val="20"/>
          <w:lang w:val="fr-CA"/>
        </w:rPr>
        <w:t>Podolny</w:t>
      </w:r>
      <w:proofErr w:type="spellEnd"/>
      <w:r w:rsidRPr="0010611E">
        <w:rPr>
          <w:rStyle w:val="SCCCounselNameChar"/>
          <w:sz w:val="20"/>
          <w:lang w:val="fr-CA"/>
        </w:rPr>
        <w:t>,</w:t>
      </w:r>
      <w:r w:rsidRPr="0010611E">
        <w:rPr>
          <w:rStyle w:val="SCCCounselSeparatorChar"/>
          <w:rFonts w:eastAsia="Calibri"/>
          <w:sz w:val="20"/>
        </w:rPr>
        <w:t xml:space="preserve"> </w:t>
      </w:r>
      <w:r w:rsidRPr="0010611E">
        <w:rPr>
          <w:rStyle w:val="SCCCounselNameChar"/>
          <w:sz w:val="20"/>
          <w:lang w:val="fr-CA"/>
        </w:rPr>
        <w:t xml:space="preserve">Tyler J. </w:t>
      </w:r>
      <w:proofErr w:type="spellStart"/>
      <w:r w:rsidRPr="0010611E">
        <w:rPr>
          <w:rStyle w:val="SCCCounselNameChar"/>
          <w:sz w:val="20"/>
          <w:lang w:val="fr-CA"/>
        </w:rPr>
        <w:t>Planeta</w:t>
      </w:r>
      <w:proofErr w:type="spellEnd"/>
      <w:r w:rsidRPr="0010611E">
        <w:rPr>
          <w:rStyle w:val="SCCCounselSeparatorChar"/>
          <w:rFonts w:eastAsia="Calibri"/>
          <w:sz w:val="20"/>
        </w:rPr>
        <w:t xml:space="preserve"> et </w:t>
      </w:r>
      <w:r w:rsidRPr="0010611E">
        <w:rPr>
          <w:rStyle w:val="SCCCounselSeparatorChar"/>
          <w:rFonts w:eastAsia="Calibri"/>
          <w:i/>
          <w:sz w:val="20"/>
        </w:rPr>
        <w:t xml:space="preserve">Michael </w:t>
      </w:r>
      <w:proofErr w:type="spellStart"/>
      <w:r w:rsidRPr="0010611E">
        <w:rPr>
          <w:rStyle w:val="SCCCounselSeparatorChar"/>
          <w:rFonts w:eastAsia="Calibri"/>
          <w:i/>
          <w:sz w:val="20"/>
        </w:rPr>
        <w:t>Sobkin</w:t>
      </w:r>
      <w:proofErr w:type="spellEnd"/>
      <w:r w:rsidRPr="0010611E">
        <w:rPr>
          <w:rStyle w:val="SCCCounselPartyRoleChar"/>
          <w:sz w:val="20"/>
          <w:lang w:val="fr-CA"/>
        </w:rPr>
        <w:t xml:space="preserve">, pour l’intervenant </w:t>
      </w:r>
      <w:proofErr w:type="spellStart"/>
      <w:r w:rsidRPr="0010611E">
        <w:rPr>
          <w:rStyle w:val="SCCCounselPartyRoleChar"/>
          <w:sz w:val="20"/>
          <w:lang w:val="fr-CA"/>
        </w:rPr>
        <w:t>Consumers</w:t>
      </w:r>
      <w:proofErr w:type="spellEnd"/>
      <w:r w:rsidRPr="0010611E">
        <w:rPr>
          <w:rStyle w:val="SCCCounselPartyRoleChar"/>
          <w:sz w:val="20"/>
          <w:lang w:val="fr-CA"/>
        </w:rPr>
        <w:t xml:space="preserve"> Council of Canada.</w:t>
      </w:r>
    </w:p>
    <w:p w:rsidR="004A72A5" w:rsidRPr="0010611E" w:rsidRDefault="004A72A5" w:rsidP="004A72A5">
      <w:pPr>
        <w:pStyle w:val="SCCNormalDoubleSpacing"/>
        <w:rPr>
          <w:sz w:val="20"/>
          <w:lang w:val="fr-CA"/>
        </w:rPr>
      </w:pPr>
      <w:r w:rsidRPr="0010611E">
        <w:rPr>
          <w:rStyle w:val="SCCCounselNameChar"/>
          <w:sz w:val="20"/>
          <w:lang w:val="fr-CA"/>
        </w:rPr>
        <w:tab/>
        <w:t>Robert W. Staley</w:t>
      </w:r>
      <w:r w:rsidRPr="0010611E">
        <w:rPr>
          <w:rStyle w:val="SCCCounselSeparatorChar"/>
          <w:rFonts w:eastAsia="Calibri"/>
          <w:sz w:val="20"/>
        </w:rPr>
        <w:t xml:space="preserve">, </w:t>
      </w:r>
      <w:proofErr w:type="spellStart"/>
      <w:r w:rsidRPr="0010611E">
        <w:rPr>
          <w:rStyle w:val="SCCCounselNameChar"/>
          <w:sz w:val="20"/>
          <w:lang w:val="fr-CA"/>
        </w:rPr>
        <w:t>Ranjan</w:t>
      </w:r>
      <w:proofErr w:type="spellEnd"/>
      <w:r w:rsidRPr="0010611E">
        <w:rPr>
          <w:rStyle w:val="SCCCounselNameChar"/>
          <w:sz w:val="20"/>
          <w:lang w:val="fr-CA"/>
        </w:rPr>
        <w:t xml:space="preserve"> K. </w:t>
      </w:r>
      <w:proofErr w:type="spellStart"/>
      <w:r w:rsidRPr="0010611E">
        <w:rPr>
          <w:rStyle w:val="SCCCounselNameChar"/>
          <w:sz w:val="20"/>
          <w:lang w:val="fr-CA"/>
        </w:rPr>
        <w:t>Agarwal</w:t>
      </w:r>
      <w:proofErr w:type="spellEnd"/>
      <w:r w:rsidRPr="0010611E">
        <w:rPr>
          <w:rStyle w:val="SCCCounselSeparatorChar"/>
          <w:rFonts w:eastAsia="Calibri"/>
          <w:sz w:val="20"/>
        </w:rPr>
        <w:t xml:space="preserve"> et </w:t>
      </w:r>
      <w:r w:rsidRPr="0010611E">
        <w:rPr>
          <w:rStyle w:val="SCCCounselNameChar"/>
          <w:sz w:val="20"/>
          <w:lang w:val="fr-CA"/>
        </w:rPr>
        <w:t>Jessica M. Starck</w:t>
      </w:r>
      <w:r w:rsidRPr="0010611E">
        <w:rPr>
          <w:rStyle w:val="SCCCounselPartyRoleChar"/>
          <w:sz w:val="20"/>
          <w:lang w:val="fr-CA"/>
        </w:rPr>
        <w:t>, pour l’intervenante l’Association des vignerons du Canada.</w:t>
      </w:r>
    </w:p>
    <w:p w:rsidR="004A72A5" w:rsidRPr="0010611E" w:rsidRDefault="004A72A5" w:rsidP="004A72A5">
      <w:pPr>
        <w:pStyle w:val="SCCNormalDoubleSpacing"/>
        <w:rPr>
          <w:sz w:val="20"/>
          <w:lang w:val="fr-CA"/>
        </w:rPr>
      </w:pPr>
      <w:r w:rsidRPr="0010611E">
        <w:rPr>
          <w:rStyle w:val="SCCCounselNameChar"/>
          <w:sz w:val="20"/>
          <w:lang w:val="fr-CA"/>
        </w:rPr>
        <w:tab/>
        <w:t xml:space="preserve">Robert </w:t>
      </w:r>
      <w:proofErr w:type="spellStart"/>
      <w:r w:rsidRPr="0010611E">
        <w:rPr>
          <w:rStyle w:val="SCCCounselNameChar"/>
          <w:sz w:val="20"/>
          <w:lang w:val="fr-CA"/>
        </w:rPr>
        <w:t>Martz</w:t>
      </w:r>
      <w:proofErr w:type="spellEnd"/>
      <w:r w:rsidRPr="0010611E">
        <w:rPr>
          <w:rStyle w:val="SCCCounselSeparatorChar"/>
          <w:rFonts w:eastAsia="Calibri"/>
          <w:sz w:val="20"/>
        </w:rPr>
        <w:t xml:space="preserve"> et </w:t>
      </w:r>
      <w:r w:rsidRPr="0010611E">
        <w:rPr>
          <w:rStyle w:val="SCCCounselNameChar"/>
          <w:sz w:val="20"/>
          <w:lang w:val="fr-CA"/>
        </w:rPr>
        <w:t xml:space="preserve">Paul </w:t>
      </w:r>
      <w:proofErr w:type="spellStart"/>
      <w:r w:rsidRPr="0010611E">
        <w:rPr>
          <w:rStyle w:val="SCCCounselNameChar"/>
          <w:sz w:val="20"/>
          <w:lang w:val="fr-CA"/>
        </w:rPr>
        <w:t>Chiswell</w:t>
      </w:r>
      <w:proofErr w:type="spellEnd"/>
      <w:r w:rsidRPr="0010611E">
        <w:rPr>
          <w:rStyle w:val="SCCCounselPartyRoleChar"/>
          <w:sz w:val="20"/>
          <w:lang w:val="fr-CA"/>
        </w:rPr>
        <w:t>, pour l’intervenante Alberta Small Brewers Association.</w:t>
      </w:r>
    </w:p>
    <w:p w:rsidR="0056248C" w:rsidRPr="0010611E" w:rsidRDefault="00B35ED9" w:rsidP="005C6840">
      <w:pPr>
        <w:jc w:val="both"/>
        <w:rPr>
          <w:rFonts w:cs="Times New Roman"/>
          <w:sz w:val="20"/>
          <w:szCs w:val="20"/>
          <w:lang w:val="fr-CA"/>
        </w:rPr>
      </w:pPr>
      <w:r>
        <w:rPr>
          <w:rFonts w:cs="Times New Roman"/>
          <w:sz w:val="20"/>
          <w:szCs w:val="20"/>
          <w:lang w:val="fr-CA"/>
        </w:rPr>
        <w:pict>
          <v:rect id="_x0000_i1061" style="width:144.3pt;height:1pt" o:hrpct="300" o:hralign="center" o:hrstd="t" o:hrnoshade="t" o:hr="t" fillcolor="black [3213]" stroked="f"/>
        </w:pict>
      </w:r>
    </w:p>
    <w:p w:rsidR="00DB3DD6" w:rsidRPr="0010611E" w:rsidRDefault="00DB3DD6" w:rsidP="005C6840">
      <w:pPr>
        <w:jc w:val="both"/>
        <w:rPr>
          <w:rFonts w:cs="Times New Roman"/>
          <w:sz w:val="20"/>
          <w:szCs w:val="20"/>
          <w:lang w:val="fr-CA"/>
        </w:rPr>
      </w:pPr>
    </w:p>
    <w:p w:rsidR="00DB3DD6" w:rsidRPr="0010611E" w:rsidRDefault="00DB3DD6" w:rsidP="005C6840">
      <w:pPr>
        <w:jc w:val="both"/>
        <w:rPr>
          <w:sz w:val="20"/>
          <w:szCs w:val="20"/>
        </w:rPr>
      </w:pPr>
    </w:p>
    <w:p w:rsidR="004A72A5" w:rsidRPr="0010611E" w:rsidRDefault="004A72A5">
      <w:pPr>
        <w:rPr>
          <w:rFonts w:eastAsia="Calibri"/>
          <w:i/>
          <w:sz w:val="20"/>
          <w:szCs w:val="20"/>
          <w:lang w:val="en-US"/>
        </w:rPr>
      </w:pPr>
      <w:r w:rsidRPr="0010611E">
        <w:rPr>
          <w:rFonts w:eastAsia="Calibri"/>
          <w:i/>
          <w:sz w:val="20"/>
          <w:szCs w:val="20"/>
          <w:lang w:val="en-US"/>
        </w:rPr>
        <w:br w:type="page"/>
      </w:r>
    </w:p>
    <w:p w:rsidR="00DB3DD6" w:rsidRPr="0010611E" w:rsidRDefault="00DB3DD6" w:rsidP="00DB3DD6">
      <w:pPr>
        <w:ind w:left="1440" w:hanging="1440"/>
        <w:jc w:val="both"/>
        <w:rPr>
          <w:sz w:val="20"/>
          <w:szCs w:val="20"/>
          <w:lang w:val="en-US"/>
        </w:rPr>
      </w:pPr>
      <w:r w:rsidRPr="0010611E">
        <w:rPr>
          <w:rFonts w:eastAsia="Calibri"/>
          <w:i/>
          <w:sz w:val="20"/>
          <w:szCs w:val="20"/>
          <w:lang w:val="en-US"/>
        </w:rPr>
        <w:t xml:space="preserve">Office of the </w:t>
      </w:r>
      <w:proofErr w:type="spellStart"/>
      <w:r w:rsidRPr="0010611E">
        <w:rPr>
          <w:rFonts w:eastAsia="Calibri"/>
          <w:i/>
          <w:sz w:val="20"/>
          <w:szCs w:val="20"/>
          <w:lang w:val="en-US"/>
        </w:rPr>
        <w:t>Childen’s</w:t>
      </w:r>
      <w:proofErr w:type="spellEnd"/>
      <w:r w:rsidRPr="0010611E">
        <w:rPr>
          <w:rFonts w:eastAsia="Calibri"/>
          <w:i/>
          <w:sz w:val="20"/>
          <w:szCs w:val="20"/>
          <w:lang w:val="en-US"/>
        </w:rPr>
        <w:t xml:space="preserve"> Lawyer v. John Paul Balev and Catharine Rose </w:t>
      </w:r>
      <w:proofErr w:type="spellStart"/>
      <w:r w:rsidRPr="0010611E">
        <w:rPr>
          <w:rFonts w:eastAsia="Calibri"/>
          <w:i/>
          <w:sz w:val="20"/>
          <w:szCs w:val="20"/>
          <w:lang w:val="en-US"/>
        </w:rPr>
        <w:t>Baggott</w:t>
      </w:r>
      <w:proofErr w:type="spellEnd"/>
      <w:r w:rsidRPr="0010611E">
        <w:rPr>
          <w:rFonts w:eastAsia="Calibri"/>
          <w:i/>
          <w:sz w:val="20"/>
          <w:szCs w:val="20"/>
          <w:lang w:val="en-US"/>
        </w:rPr>
        <w:t xml:space="preserve"> </w:t>
      </w:r>
      <w:r w:rsidRPr="0010611E">
        <w:rPr>
          <w:sz w:val="20"/>
          <w:szCs w:val="20"/>
          <w:lang w:val="en-US"/>
        </w:rPr>
        <w:t>(Ont.) (</w:t>
      </w:r>
      <w:hyperlink r:id="rId66" w:history="1">
        <w:r w:rsidRPr="0010611E">
          <w:rPr>
            <w:rStyle w:val="Hyperlink"/>
            <w:sz w:val="20"/>
            <w:szCs w:val="20"/>
            <w:lang w:val="en-US"/>
          </w:rPr>
          <w:t>37250</w:t>
        </w:r>
      </w:hyperlink>
      <w:r w:rsidRPr="0010611E">
        <w:rPr>
          <w:sz w:val="20"/>
          <w:szCs w:val="20"/>
          <w:lang w:val="en-US"/>
        </w:rPr>
        <w:t>)</w:t>
      </w:r>
    </w:p>
    <w:p w:rsidR="00DB3DD6" w:rsidRPr="0010611E" w:rsidRDefault="00DB3DD6" w:rsidP="00DB3DD6">
      <w:pPr>
        <w:jc w:val="both"/>
        <w:rPr>
          <w:b/>
          <w:sz w:val="20"/>
          <w:szCs w:val="20"/>
          <w:lang w:val="en-US"/>
        </w:rPr>
      </w:pPr>
      <w:r w:rsidRPr="0010611E">
        <w:rPr>
          <w:b/>
          <w:sz w:val="20"/>
          <w:szCs w:val="20"/>
          <w:lang w:val="en-US"/>
        </w:rPr>
        <w:t xml:space="preserve">Indexed as: </w:t>
      </w:r>
      <w:r w:rsidRPr="0010611E">
        <w:rPr>
          <w:rFonts w:cs="Times New Roman"/>
          <w:b/>
          <w:sz w:val="20"/>
          <w:szCs w:val="20"/>
          <w:lang w:eastAsia="en-CA"/>
        </w:rPr>
        <w:t xml:space="preserve">Office of the Children’s Lawyer </w:t>
      </w:r>
      <w:r w:rsidRPr="0010611E">
        <w:rPr>
          <w:rFonts w:cs="Times New Roman"/>
          <w:b/>
          <w:i/>
          <w:sz w:val="20"/>
          <w:szCs w:val="20"/>
          <w:lang w:eastAsia="en-CA"/>
        </w:rPr>
        <w:t>v.</w:t>
      </w:r>
      <w:r w:rsidRPr="0010611E">
        <w:rPr>
          <w:rFonts w:cs="Times New Roman"/>
          <w:b/>
          <w:sz w:val="20"/>
          <w:szCs w:val="20"/>
          <w:lang w:eastAsia="en-CA"/>
        </w:rPr>
        <w:t xml:space="preserve"> Balev</w:t>
      </w:r>
      <w:r w:rsidRPr="0010611E">
        <w:rPr>
          <w:rFonts w:cs="Times New Roman"/>
          <w:b/>
          <w:sz w:val="20"/>
          <w:szCs w:val="20"/>
          <w:lang w:val="en-US" w:eastAsia="en-CA"/>
        </w:rPr>
        <w:t xml:space="preserve"> </w:t>
      </w:r>
      <w:r w:rsidRPr="0010611E">
        <w:rPr>
          <w:rStyle w:val="SCCRespondentForIndexChar"/>
          <w:rFonts w:eastAsiaTheme="minorHAnsi"/>
          <w:sz w:val="20"/>
          <w:lang w:val="en-US"/>
        </w:rPr>
        <w:t xml:space="preserve">/ </w:t>
      </w:r>
      <w:r w:rsidRPr="0010611E">
        <w:rPr>
          <w:b/>
          <w:sz w:val="20"/>
          <w:szCs w:val="20"/>
          <w:lang w:val="en-US"/>
        </w:rPr>
        <w:t>Répertorié: </w:t>
      </w:r>
      <w:r w:rsidRPr="0010611E">
        <w:rPr>
          <w:rFonts w:cs="Times New Roman"/>
          <w:b/>
          <w:sz w:val="20"/>
          <w:szCs w:val="20"/>
          <w:lang w:val="en-US" w:eastAsia="en-CA"/>
        </w:rPr>
        <w:t xml:space="preserve">Bureau de l’avocat des enfants </w:t>
      </w:r>
      <w:r w:rsidRPr="0010611E">
        <w:rPr>
          <w:rFonts w:cs="Times New Roman"/>
          <w:b/>
          <w:i/>
          <w:sz w:val="20"/>
          <w:szCs w:val="20"/>
          <w:lang w:val="en-US" w:eastAsia="en-CA"/>
        </w:rPr>
        <w:t>c.</w:t>
      </w:r>
      <w:r w:rsidRPr="0010611E">
        <w:rPr>
          <w:rFonts w:cs="Times New Roman"/>
          <w:b/>
          <w:sz w:val="20"/>
          <w:szCs w:val="20"/>
          <w:lang w:val="en-US" w:eastAsia="en-CA"/>
        </w:rPr>
        <w:t xml:space="preserve"> Balev</w:t>
      </w:r>
    </w:p>
    <w:p w:rsidR="00DB3DD6" w:rsidRPr="0010611E" w:rsidRDefault="00DB3DD6" w:rsidP="00DB3DD6">
      <w:pPr>
        <w:pStyle w:val="SCCSystemYear"/>
        <w:jc w:val="both"/>
        <w:rPr>
          <w:sz w:val="20"/>
        </w:rPr>
      </w:pPr>
      <w:proofErr w:type="spellStart"/>
      <w:r w:rsidRPr="0010611E">
        <w:rPr>
          <w:sz w:val="20"/>
        </w:rPr>
        <w:t>Neutral</w:t>
      </w:r>
      <w:proofErr w:type="spellEnd"/>
      <w:r w:rsidRPr="0010611E">
        <w:rPr>
          <w:sz w:val="20"/>
        </w:rPr>
        <w:t xml:space="preserve"> citation: 2018 SCC 1</w:t>
      </w:r>
      <w:r w:rsidR="00727BE5" w:rsidRPr="0010611E">
        <w:rPr>
          <w:sz w:val="20"/>
        </w:rPr>
        <w:t>6</w:t>
      </w:r>
      <w:r w:rsidRPr="0010611E">
        <w:rPr>
          <w:sz w:val="20"/>
        </w:rPr>
        <w:t xml:space="preserve"> / Référence neutre : 2018 CSC 1</w:t>
      </w:r>
      <w:r w:rsidR="00727BE5" w:rsidRPr="0010611E">
        <w:rPr>
          <w:sz w:val="20"/>
        </w:rPr>
        <w:t>6</w:t>
      </w:r>
    </w:p>
    <w:p w:rsidR="00DB3DD6" w:rsidRPr="0010611E" w:rsidRDefault="00DB3DD6" w:rsidP="00DB3DD6">
      <w:pPr>
        <w:rPr>
          <w:rFonts w:cs="Times New Roman"/>
          <w:sz w:val="20"/>
          <w:szCs w:val="20"/>
          <w:lang w:val="fr-CA"/>
        </w:rPr>
      </w:pPr>
      <w:r w:rsidRPr="0010611E">
        <w:rPr>
          <w:rFonts w:cs="Times New Roman"/>
          <w:sz w:val="20"/>
          <w:szCs w:val="20"/>
          <w:lang w:val="fr-CA"/>
        </w:rPr>
        <w:t>Hearing: November 9, 2017 / Judgment: April 20, 2018</w:t>
      </w:r>
    </w:p>
    <w:p w:rsidR="00DB3DD6" w:rsidRPr="0010611E" w:rsidRDefault="00DB3DD6" w:rsidP="00DB3DD6">
      <w:pPr>
        <w:rPr>
          <w:rFonts w:cs="Times New Roman"/>
          <w:sz w:val="20"/>
          <w:szCs w:val="20"/>
          <w:lang w:val="fr-CA"/>
        </w:rPr>
      </w:pPr>
      <w:r w:rsidRPr="0010611E">
        <w:rPr>
          <w:rFonts w:cs="Times New Roman"/>
          <w:sz w:val="20"/>
          <w:szCs w:val="20"/>
          <w:lang w:val="fr-CA"/>
        </w:rPr>
        <w:t>Audition : Le 9 novembre 2017 / Jugement : Le 20 avril 2018</w:t>
      </w:r>
    </w:p>
    <w:p w:rsidR="00DB3DD6" w:rsidRPr="0010611E" w:rsidRDefault="00B35ED9" w:rsidP="00DB3DD6">
      <w:pPr>
        <w:rPr>
          <w:rFonts w:cs="Times New Roman"/>
          <w:sz w:val="20"/>
          <w:szCs w:val="20"/>
          <w:lang w:val="fr-CA"/>
        </w:rPr>
      </w:pPr>
      <w:r>
        <w:rPr>
          <w:rFonts w:cs="Times New Roman"/>
          <w:i/>
          <w:sz w:val="20"/>
          <w:szCs w:val="20"/>
        </w:rPr>
        <w:pict>
          <v:rect id="_x0000_i1062" style="width:480.95pt;height:1pt" o:hralign="center" o:hrstd="t" o:hrnoshade="t" o:hr="t" fillcolor="black [3213]" stroked="f"/>
        </w:pict>
      </w:r>
    </w:p>
    <w:p w:rsidR="00DB3DD6" w:rsidRPr="0010611E" w:rsidRDefault="00DB3DD6" w:rsidP="00DB3DD6">
      <w:pPr>
        <w:rPr>
          <w:rFonts w:cs="Times New Roman"/>
          <w:sz w:val="20"/>
          <w:szCs w:val="20"/>
          <w:lang w:val="fr-CA"/>
        </w:rPr>
      </w:pPr>
    </w:p>
    <w:p w:rsidR="00D0448B" w:rsidRPr="0010611E" w:rsidRDefault="00D0448B" w:rsidP="00D13443">
      <w:pPr>
        <w:spacing w:line="480" w:lineRule="auto"/>
        <w:jc w:val="both"/>
        <w:rPr>
          <w:sz w:val="20"/>
          <w:szCs w:val="20"/>
        </w:rPr>
      </w:pPr>
      <w:r w:rsidRPr="0010611E">
        <w:rPr>
          <w:sz w:val="20"/>
          <w:szCs w:val="20"/>
        </w:rPr>
        <w:t>Present:  C.J. McLachlin and Abella, Moldaver, Karakatsanis, Wagner, Gascon, Côté, Brown and Rowe JJ.</w:t>
      </w:r>
    </w:p>
    <w:p w:rsidR="00D13443" w:rsidRDefault="00D13443" w:rsidP="00D13443">
      <w:pPr>
        <w:pStyle w:val="SCCNormalDoubleSpacing"/>
        <w:rPr>
          <w:sz w:val="20"/>
        </w:rPr>
      </w:pPr>
    </w:p>
    <w:p w:rsidR="00315C57" w:rsidRPr="0010611E" w:rsidRDefault="00315C57" w:rsidP="00D13443">
      <w:pPr>
        <w:pStyle w:val="SCCNormalDoubleSpacing"/>
        <w:rPr>
          <w:i/>
          <w:sz w:val="20"/>
          <w:lang w:val="en-US"/>
        </w:rPr>
      </w:pPr>
      <w:r w:rsidRPr="0010611E">
        <w:rPr>
          <w:sz w:val="20"/>
        </w:rPr>
        <w:tab/>
      </w:r>
      <w:r w:rsidRPr="0010611E">
        <w:rPr>
          <w:i/>
          <w:sz w:val="20"/>
          <w:lang w:val="en-US"/>
        </w:rPr>
        <w:t>Family law — Custody — Wrongful removal or retention of child — Convention on the Civil Aspects of International Child Abduction — Mother of children living in Canada pursuant to a time</w:t>
      </w:r>
      <w:r w:rsidRPr="0010611E">
        <w:rPr>
          <w:i/>
          <w:sz w:val="20"/>
          <w:lang w:val="en-US"/>
        </w:rPr>
        <w:noBreakHyphen/>
        <w:t>limited custody agreement failing to return children to father in Germany following expiry of consent period — Retention of children triggering operation of return mechanism under Hague Convention — Whether children were “habitually resident” in Germany at time of allegedly wrongful retention — How courts should consider child’s objections to return to jurisdiction of habitual residence — Convention on the Civil Aspects of International Child Abduction, Can. T.S. 1983 No. 35, arts. 3, 13.</w:t>
      </w:r>
    </w:p>
    <w:p w:rsidR="00851E40" w:rsidRPr="0010611E" w:rsidRDefault="00851E40" w:rsidP="00851E40">
      <w:pPr>
        <w:pStyle w:val="SCCNormalDoubleSpacing"/>
        <w:rPr>
          <w:sz w:val="20"/>
          <w:lang w:val="en-US"/>
        </w:rPr>
      </w:pPr>
    </w:p>
    <w:p w:rsidR="00315C57" w:rsidRPr="0010611E" w:rsidRDefault="00315C57" w:rsidP="00851E40">
      <w:pPr>
        <w:pStyle w:val="SCCNormalDoubleSpacing"/>
        <w:rPr>
          <w:i/>
          <w:sz w:val="20"/>
          <w:lang w:val="en-US"/>
        </w:rPr>
      </w:pPr>
      <w:r w:rsidRPr="0010611E">
        <w:rPr>
          <w:i/>
          <w:sz w:val="20"/>
          <w:lang w:val="en-US"/>
        </w:rPr>
        <w:tab/>
        <w:t>Legislation — Interpretation — Treaty implemented in domestic legislation — Convention on the Civil Aspects of International Child Abduction — Habitual residence — Different approaches to determination of “habitually resident” in Article 3 of Convention developing in international jurisprudence — Canada signatory to this Convention and to Vienna Convention on Law of Treaties — Whether Canadian courts should adopt parental intention approach, child</w:t>
      </w:r>
      <w:r w:rsidRPr="0010611E">
        <w:rPr>
          <w:i/>
          <w:sz w:val="20"/>
          <w:lang w:val="en-US"/>
        </w:rPr>
        <w:noBreakHyphen/>
      </w:r>
      <w:proofErr w:type="spellStart"/>
      <w:r w:rsidRPr="0010611E">
        <w:rPr>
          <w:i/>
          <w:sz w:val="20"/>
          <w:lang w:val="en-US"/>
        </w:rPr>
        <w:t>centred</w:t>
      </w:r>
      <w:proofErr w:type="spellEnd"/>
      <w:r w:rsidRPr="0010611E">
        <w:rPr>
          <w:i/>
          <w:sz w:val="20"/>
          <w:lang w:val="en-US"/>
        </w:rPr>
        <w:t xml:space="preserve"> approach or hybrid approach to consideration of habitual residence of child wrongfully removed or retained within meaning of Convention — Convention on the Civil Aspects of International Child Abduction, Can. T.S. 1983 No. 35, art. 3.</w:t>
      </w:r>
    </w:p>
    <w:p w:rsidR="00851E40" w:rsidRPr="0010611E" w:rsidRDefault="00851E40" w:rsidP="00851E40">
      <w:pPr>
        <w:pStyle w:val="SCCNormalDoubleSpacing"/>
        <w:rPr>
          <w:sz w:val="20"/>
          <w:lang w:val="en-US"/>
        </w:rPr>
      </w:pPr>
    </w:p>
    <w:p w:rsidR="00315C57" w:rsidRPr="0010611E" w:rsidRDefault="00315C57" w:rsidP="00851E40">
      <w:pPr>
        <w:pStyle w:val="SCCNormalDoubleSpacing"/>
        <w:rPr>
          <w:sz w:val="20"/>
          <w:lang w:val="en-US"/>
        </w:rPr>
      </w:pPr>
      <w:r w:rsidRPr="0010611E">
        <w:rPr>
          <w:sz w:val="20"/>
          <w:lang w:val="en-US"/>
        </w:rPr>
        <w:tab/>
        <w:t>The respondents were married in Ontario and moved to Germany in 2001 where their two children were born in 2002 and 2005. The children struggled with school in Germany so the father gave his time</w:t>
      </w:r>
      <w:r w:rsidRPr="0010611E">
        <w:rPr>
          <w:sz w:val="20"/>
          <w:lang w:val="en-US"/>
        </w:rPr>
        <w:noBreakHyphen/>
        <w:t>limited consent for the children to move to Canada with the mother for the 2013</w:t>
      </w:r>
      <w:r w:rsidRPr="0010611E">
        <w:rPr>
          <w:sz w:val="20"/>
          <w:lang w:val="en-US"/>
        </w:rPr>
        <w:noBreakHyphen/>
        <w:t>14 school year. The children attended school in Ontario where they resided with the mother and their grandparents. Because he suspected that the mother would not return the children to Germany at the end of the school year, the father purported to revoke his consent, resumed custody proceedings in Germany, and brought an action under the</w:t>
      </w:r>
      <w:r w:rsidRPr="0010611E">
        <w:rPr>
          <w:i/>
          <w:sz w:val="20"/>
          <w:lang w:val="en-US"/>
        </w:rPr>
        <w:t xml:space="preserve"> Convention on the Civil Aspects of International Child Abduction</w:t>
      </w:r>
      <w:r w:rsidRPr="0010611E">
        <w:rPr>
          <w:sz w:val="20"/>
          <w:lang w:val="en-US"/>
        </w:rPr>
        <w:t xml:space="preserve"> (“</w:t>
      </w:r>
      <w:r w:rsidRPr="0010611E">
        <w:rPr>
          <w:i/>
          <w:sz w:val="20"/>
          <w:lang w:val="en-US"/>
        </w:rPr>
        <w:t>Hague Convention</w:t>
      </w:r>
      <w:r w:rsidRPr="0010611E">
        <w:rPr>
          <w:sz w:val="20"/>
          <w:lang w:val="en-US"/>
        </w:rPr>
        <w:t xml:space="preserve">”) for an order that the children be returned to Germany. After the consent agreement lapsed, and his applications in Germany were unsuccessful, the father requested that his </w:t>
      </w:r>
      <w:r w:rsidRPr="0010611E">
        <w:rPr>
          <w:i/>
          <w:sz w:val="20"/>
          <w:lang w:val="en-US"/>
        </w:rPr>
        <w:t>Hague Convention</w:t>
      </w:r>
      <w:r w:rsidRPr="0010611E">
        <w:rPr>
          <w:sz w:val="20"/>
          <w:lang w:val="en-US"/>
        </w:rPr>
        <w:t xml:space="preserve"> application be set down for a hearing before the Ontario court.</w:t>
      </w:r>
    </w:p>
    <w:p w:rsidR="00851E40" w:rsidRPr="0010611E" w:rsidRDefault="00851E40" w:rsidP="00851E40">
      <w:pPr>
        <w:pStyle w:val="SCCNormalDoubleSpacing"/>
        <w:rPr>
          <w:sz w:val="20"/>
          <w:lang w:val="en-US"/>
        </w:rPr>
      </w:pPr>
    </w:p>
    <w:p w:rsidR="00315C57" w:rsidRPr="0010611E" w:rsidRDefault="00315C57" w:rsidP="00851E40">
      <w:pPr>
        <w:pStyle w:val="SCCNormalDoubleSpacing"/>
        <w:rPr>
          <w:sz w:val="20"/>
          <w:lang w:val="en-US"/>
        </w:rPr>
      </w:pPr>
      <w:r w:rsidRPr="0010611E">
        <w:rPr>
          <w:sz w:val="20"/>
          <w:lang w:val="en-US"/>
        </w:rPr>
        <w:tab/>
        <w:t xml:space="preserve">The application judge requested that the Office of the Children’s Lawyer (“OCL”) be appointed to represent the interests of the children. She found the children to be habitually resident in Germany and ordered the return of the children. The Divisional Court allowed the mother’s appeal. The Court of Appeal allowed the father’s appeal, concluding that the children were habitually resident in Germany at the relevant time, and that there had been a wrongful retention pursuant to Article 3 of the </w:t>
      </w:r>
      <w:r w:rsidRPr="0010611E">
        <w:rPr>
          <w:i/>
          <w:sz w:val="20"/>
          <w:lang w:val="en-US"/>
        </w:rPr>
        <w:t>Hague Convention</w:t>
      </w:r>
      <w:r w:rsidRPr="0010611E">
        <w:rPr>
          <w:sz w:val="20"/>
          <w:lang w:val="en-US"/>
        </w:rPr>
        <w:t>. The OCL applied for leave to appeal to this Court. An application for a stay pending this appeal was dismissed. The children were ultimately returned to Germany on October 15, 2016, where the mother was awarded sole custody by the German courts. The children returned to Canada on April 5, 2017. Although the appeal is now moot, the issues raised are important, and the law on how cases such as this fall to be decided requires clarification.</w:t>
      </w:r>
    </w:p>
    <w:p w:rsidR="00851E40" w:rsidRPr="0010611E" w:rsidRDefault="00851E40" w:rsidP="00851E40">
      <w:pPr>
        <w:pStyle w:val="SCCNormalDoubleSpacing"/>
        <w:rPr>
          <w:sz w:val="20"/>
          <w:lang w:val="en-US"/>
        </w:rPr>
      </w:pPr>
    </w:p>
    <w:p w:rsidR="00315C57" w:rsidRPr="0010611E" w:rsidRDefault="00315C57" w:rsidP="00851E40">
      <w:pPr>
        <w:pStyle w:val="SCCNormalDoubleSpacing"/>
        <w:rPr>
          <w:sz w:val="20"/>
          <w:lang w:val="en-US"/>
        </w:rPr>
      </w:pPr>
      <w:r w:rsidRPr="0010611E">
        <w:rPr>
          <w:i/>
          <w:sz w:val="20"/>
          <w:lang w:val="en-US"/>
        </w:rPr>
        <w:tab/>
        <w:t>Held</w:t>
      </w:r>
      <w:r w:rsidRPr="0010611E">
        <w:rPr>
          <w:sz w:val="20"/>
          <w:lang w:val="en-US"/>
        </w:rPr>
        <w:t xml:space="preserve"> (Moldaver, Côté and Rowe JJ. dissenting): The Court should adopt the hybrid approach to determining habitual residence under Article 3 of the </w:t>
      </w:r>
      <w:r w:rsidRPr="0010611E">
        <w:rPr>
          <w:i/>
          <w:sz w:val="20"/>
          <w:lang w:val="en-US"/>
        </w:rPr>
        <w:t>Hague Convention</w:t>
      </w:r>
      <w:r w:rsidRPr="0010611E">
        <w:rPr>
          <w:sz w:val="20"/>
          <w:lang w:val="en-US"/>
        </w:rPr>
        <w:t>, and a non</w:t>
      </w:r>
      <w:r w:rsidRPr="0010611E">
        <w:rPr>
          <w:sz w:val="20"/>
          <w:lang w:val="en-US"/>
        </w:rPr>
        <w:noBreakHyphen/>
        <w:t>technical approach to considering a child’s objection to removal under Article 13(2).</w:t>
      </w:r>
    </w:p>
    <w:p w:rsidR="00851E40" w:rsidRPr="0010611E" w:rsidRDefault="00851E40" w:rsidP="00851E40">
      <w:pPr>
        <w:pStyle w:val="SCCNormalDoubleSpacing"/>
        <w:rPr>
          <w:sz w:val="20"/>
          <w:lang w:val="en-US"/>
        </w:rPr>
      </w:pPr>
    </w:p>
    <w:p w:rsidR="00315C57" w:rsidRPr="0010611E" w:rsidRDefault="00315C57" w:rsidP="00851E40">
      <w:pPr>
        <w:pStyle w:val="SCCNormalDoubleSpacing"/>
        <w:rPr>
          <w:sz w:val="20"/>
          <w:lang w:val="en-US"/>
        </w:rPr>
      </w:pPr>
      <w:r w:rsidRPr="0010611E">
        <w:rPr>
          <w:sz w:val="20"/>
          <w:lang w:val="en-US"/>
        </w:rPr>
        <w:tab/>
      </w:r>
      <w:r w:rsidRPr="0010611E">
        <w:rPr>
          <w:i/>
          <w:sz w:val="20"/>
          <w:lang w:val="en-US"/>
        </w:rPr>
        <w:t>Per</w:t>
      </w:r>
      <w:r w:rsidRPr="0010611E">
        <w:rPr>
          <w:sz w:val="20"/>
          <w:lang w:val="en-US"/>
        </w:rPr>
        <w:t xml:space="preserve"> </w:t>
      </w:r>
      <w:r w:rsidRPr="0010611E">
        <w:rPr>
          <w:b/>
          <w:sz w:val="20"/>
          <w:lang w:val="en-US"/>
        </w:rPr>
        <w:t>McLachlin C.J.</w:t>
      </w:r>
      <w:r w:rsidRPr="0010611E">
        <w:rPr>
          <w:sz w:val="20"/>
          <w:lang w:val="en-US"/>
        </w:rPr>
        <w:t xml:space="preserve"> and Abella, Karakatsanis, Wagner, Gascon and Brown JJ.: The </w:t>
      </w:r>
      <w:r w:rsidRPr="0010611E">
        <w:rPr>
          <w:i/>
          <w:sz w:val="20"/>
          <w:lang w:val="en-US"/>
        </w:rPr>
        <w:t xml:space="preserve">Hague Convention </w:t>
      </w:r>
      <w:r w:rsidRPr="0010611E">
        <w:rPr>
          <w:sz w:val="20"/>
          <w:lang w:val="en-US"/>
        </w:rPr>
        <w:t xml:space="preserve">is aimed at enforcing custody rights and securing the prompt return of wrongfully removed or retained children to their country of habitual residence. A return order is not a custody determination; it is simply an order designed to restore the </w:t>
      </w:r>
      <w:r w:rsidRPr="0010611E">
        <w:rPr>
          <w:i/>
          <w:sz w:val="20"/>
          <w:lang w:val="en-US"/>
        </w:rPr>
        <w:t>status quo</w:t>
      </w:r>
      <w:r w:rsidRPr="0010611E">
        <w:rPr>
          <w:sz w:val="20"/>
          <w:lang w:val="en-US"/>
        </w:rPr>
        <w:t xml:space="preserve"> which existed before the wrongful removal or retention. The heart of the </w:t>
      </w:r>
      <w:r w:rsidRPr="0010611E">
        <w:rPr>
          <w:i/>
          <w:sz w:val="20"/>
          <w:lang w:val="en-US"/>
        </w:rPr>
        <w:t>Hague Convention</w:t>
      </w:r>
      <w:r w:rsidRPr="0010611E">
        <w:rPr>
          <w:sz w:val="20"/>
          <w:lang w:val="en-US"/>
        </w:rPr>
        <w:t>’s prompt return mechanism is Article 3,</w:t>
      </w:r>
      <w:r w:rsidRPr="0010611E">
        <w:rPr>
          <w:i/>
          <w:sz w:val="20"/>
          <w:lang w:val="en-US"/>
        </w:rPr>
        <w:t xml:space="preserve"> </w:t>
      </w:r>
      <w:r w:rsidRPr="0010611E">
        <w:rPr>
          <w:sz w:val="20"/>
          <w:lang w:val="en-US"/>
        </w:rPr>
        <w:t xml:space="preserve">which provides that the removal or retention of a child is wrongful (a) where it is in breach of custody rights under the law of the state in which the child was “habitually resident” immediately before the removal or retention and (b) those rights were actually being exercised or would have been exercised but for the wrongful removal or retention. If the requirements of Article 3 are established, Article 12 requires the judge in the requested state to order “the return of the child forthwith” unless certain exceptions apply. </w:t>
      </w:r>
    </w:p>
    <w:p w:rsidR="00851E40" w:rsidRPr="0010611E" w:rsidRDefault="00851E40" w:rsidP="00851E40">
      <w:pPr>
        <w:pStyle w:val="SCCNormalDoubleSpacing"/>
        <w:rPr>
          <w:sz w:val="20"/>
        </w:rPr>
      </w:pPr>
    </w:p>
    <w:p w:rsidR="00315C57" w:rsidRPr="0010611E" w:rsidRDefault="00315C57" w:rsidP="00851E40">
      <w:pPr>
        <w:pStyle w:val="SCCNormalDoubleSpacing"/>
        <w:rPr>
          <w:sz w:val="20"/>
          <w:lang w:val="en-US"/>
        </w:rPr>
      </w:pPr>
      <w:r w:rsidRPr="0010611E">
        <w:rPr>
          <w:sz w:val="20"/>
          <w:lang w:val="en-US"/>
        </w:rPr>
        <w:tab/>
        <w:t>Only one requirement of Article 3 is challenged in this case — whether the children were habitually resident in Germany at the time of the wrongful retention. And the only relevant exception is the children’s alleged objection to being returned to Germany. The central question here is how an application judge should determine the question of a child’s habitual residence. There are three possible approaches: the parental intention approach, the child</w:t>
      </w:r>
      <w:r w:rsidRPr="0010611E">
        <w:rPr>
          <w:sz w:val="20"/>
          <w:lang w:val="en-US"/>
        </w:rPr>
        <w:noBreakHyphen/>
      </w:r>
      <w:proofErr w:type="spellStart"/>
      <w:r w:rsidRPr="0010611E">
        <w:rPr>
          <w:sz w:val="20"/>
          <w:lang w:val="en-US"/>
        </w:rPr>
        <w:t>centred</w:t>
      </w:r>
      <w:proofErr w:type="spellEnd"/>
      <w:r w:rsidRPr="0010611E">
        <w:rPr>
          <w:sz w:val="20"/>
          <w:lang w:val="en-US"/>
        </w:rPr>
        <w:t xml:space="preserve"> approach, and the hybrid approach. Currently, the parental intention approach dominates Canadian jurisprudence and determines the habitual residence of a child by the intention of the parents with the right to determine where the child lives. Under this approach, time</w:t>
      </w:r>
      <w:r w:rsidRPr="0010611E">
        <w:rPr>
          <w:sz w:val="20"/>
          <w:lang w:val="en-US"/>
        </w:rPr>
        <w:noBreakHyphen/>
        <w:t>limited travel to which the parents agree does not change the child’s habitual residence. The hybrid approach, however, holds that instead of focusing primarily on either parental intention or the child’s acclimatization, the judge determining habitual residence must look to all relevant considerations arising from the facts of the case. The judge considers all relevant links and circumstances — the child’s links to and circumstances in country A; the circumstances of the child’s move from country A to country B; and the child’s links to and circumstances in country B. Considerations include the duration, regularity, conditions, and reasons for the child’s stay in a member state and the child’s nationality. No single factor dominates the analysis. The circumstances of the parents, including their intentions, may be important, particularly in the case of infants or young children. But, t</w:t>
      </w:r>
      <w:r w:rsidRPr="0010611E">
        <w:rPr>
          <w:sz w:val="20"/>
        </w:rPr>
        <w:t xml:space="preserve">here is no rule that the actions of one parent cannot unilaterally change the habitual residence of a child. Imposing such a legal construct onto the determination of habitual residence detracts from the task of the finder of fact, namely to evaluate all of the relevant circumstances. </w:t>
      </w:r>
      <w:r w:rsidRPr="0010611E">
        <w:rPr>
          <w:sz w:val="20"/>
          <w:lang w:val="en-US"/>
        </w:rPr>
        <w:t>The hybrid approach is fact</w:t>
      </w:r>
      <w:r w:rsidRPr="0010611E">
        <w:rPr>
          <w:sz w:val="20"/>
          <w:lang w:val="en-US"/>
        </w:rPr>
        <w:noBreakHyphen/>
        <w:t>bound, practical, and unencumbered with rigid rules, formulas, or presumptions.</w:t>
      </w:r>
    </w:p>
    <w:p w:rsidR="00851E40" w:rsidRPr="0010611E" w:rsidRDefault="00851E40" w:rsidP="00851E40">
      <w:pPr>
        <w:pStyle w:val="SCCNormalDoubleSpacing"/>
        <w:rPr>
          <w:sz w:val="20"/>
          <w:lang w:val="en-US"/>
        </w:rPr>
      </w:pPr>
    </w:p>
    <w:p w:rsidR="00315C57" w:rsidRPr="0010611E" w:rsidRDefault="00315C57" w:rsidP="00851E40">
      <w:pPr>
        <w:pStyle w:val="SCCNormalDoubleSpacing"/>
        <w:rPr>
          <w:sz w:val="20"/>
          <w:lang w:val="en-US"/>
        </w:rPr>
      </w:pPr>
      <w:r w:rsidRPr="0010611E">
        <w:rPr>
          <w:sz w:val="20"/>
        </w:rPr>
        <w:tab/>
        <w:t xml:space="preserve">The clear trend of </w:t>
      </w:r>
      <w:r w:rsidRPr="0010611E">
        <w:rPr>
          <w:i/>
          <w:sz w:val="20"/>
        </w:rPr>
        <w:t>Hague Convention</w:t>
      </w:r>
      <w:r w:rsidRPr="0010611E">
        <w:rPr>
          <w:sz w:val="20"/>
        </w:rPr>
        <w:t xml:space="preserve"> jurisprudence is to rejection of the parental intention approach and to adoption of the multi</w:t>
      </w:r>
      <w:r w:rsidRPr="0010611E">
        <w:rPr>
          <w:sz w:val="20"/>
        </w:rPr>
        <w:noBreakHyphen/>
        <w:t xml:space="preserve">factored hybrid approach. The hybrid approach should be adopted in Canada because (1) the principle of harmonization supports this approach; and (2) it best conforms to the text, structure and purpose of the </w:t>
      </w:r>
      <w:r w:rsidRPr="0010611E">
        <w:rPr>
          <w:i/>
          <w:sz w:val="20"/>
        </w:rPr>
        <w:t>Hague Convention</w:t>
      </w:r>
      <w:r w:rsidRPr="0010611E">
        <w:rPr>
          <w:sz w:val="20"/>
        </w:rPr>
        <w:t xml:space="preserve">. </w:t>
      </w:r>
      <w:r w:rsidRPr="0010611E">
        <w:rPr>
          <w:sz w:val="20"/>
          <w:lang w:val="en-US"/>
        </w:rPr>
        <w:t>A clear purpose of multilateral treaties is to harmonize parties’ domestic laws around agreed</w:t>
      </w:r>
      <w:r w:rsidRPr="0010611E">
        <w:rPr>
          <w:sz w:val="20"/>
          <w:lang w:val="en-US"/>
        </w:rPr>
        <w:noBreakHyphen/>
        <w:t xml:space="preserve">upon rules, practices, and principles. The </w:t>
      </w:r>
      <w:r w:rsidRPr="0010611E">
        <w:rPr>
          <w:i/>
          <w:sz w:val="20"/>
          <w:lang w:val="en-US"/>
        </w:rPr>
        <w:t>Hague Convention</w:t>
      </w:r>
      <w:r w:rsidRPr="0010611E">
        <w:rPr>
          <w:sz w:val="20"/>
          <w:lang w:val="en-US"/>
        </w:rPr>
        <w:t xml:space="preserve"> was intended to establish procedures common to all the contracting states that would ensure the prompt return of children. To avoid frustrating the harmonizing purpose behind </w:t>
      </w:r>
      <w:proofErr w:type="gramStart"/>
      <w:r w:rsidRPr="0010611E">
        <w:rPr>
          <w:sz w:val="20"/>
          <w:lang w:val="en-US"/>
        </w:rPr>
        <w:t>the</w:t>
      </w:r>
      <w:proofErr w:type="gramEnd"/>
      <w:r w:rsidRPr="0010611E">
        <w:rPr>
          <w:sz w:val="20"/>
          <w:lang w:val="en-US"/>
        </w:rPr>
        <w:t xml:space="preserve"> </w:t>
      </w:r>
      <w:r w:rsidRPr="0010611E">
        <w:rPr>
          <w:i/>
          <w:sz w:val="20"/>
          <w:lang w:val="en-US"/>
        </w:rPr>
        <w:t>Hague Convention</w:t>
      </w:r>
      <w:r w:rsidRPr="0010611E">
        <w:rPr>
          <w:sz w:val="20"/>
          <w:lang w:val="en-US"/>
        </w:rPr>
        <w:t>, domestic courts should give serious consideration to decisions by the courts of other contracting states on its meaning and application. In the end, the best assurance of certainty lies in following the developing international jurisprudence that supports a multi</w:t>
      </w:r>
      <w:r w:rsidRPr="0010611E">
        <w:rPr>
          <w:sz w:val="20"/>
          <w:lang w:val="en-US"/>
        </w:rPr>
        <w:noBreakHyphen/>
        <w:t>factored hybrid approach. Furthermore, the hybrid approach best fulfills the goals of prompt return: (1) deterring parents from abducting the child in an attempt to establish links with a country that may award them custody, (2) encouraging the speedy adjudication of custody or access disputes in the forum of the child’s habitual residence, and (3) protecting the child from the harmful effects of wrongful removal or retention.</w:t>
      </w:r>
    </w:p>
    <w:p w:rsidR="00851E40" w:rsidRPr="0010611E" w:rsidRDefault="00851E40" w:rsidP="00851E40">
      <w:pPr>
        <w:pStyle w:val="SCCNormalDoubleSpacing"/>
        <w:rPr>
          <w:sz w:val="20"/>
          <w:lang w:val="en-US"/>
        </w:rPr>
      </w:pPr>
    </w:p>
    <w:p w:rsidR="00315C57" w:rsidRPr="0010611E" w:rsidRDefault="00315C57" w:rsidP="00851E40">
      <w:pPr>
        <w:pStyle w:val="SCCNormalDoubleSpacing"/>
        <w:rPr>
          <w:sz w:val="20"/>
          <w:lang w:val="en-US"/>
        </w:rPr>
      </w:pPr>
      <w:r w:rsidRPr="0010611E">
        <w:rPr>
          <w:sz w:val="20"/>
        </w:rPr>
        <w:tab/>
      </w:r>
      <w:r w:rsidRPr="0010611E">
        <w:rPr>
          <w:sz w:val="20"/>
          <w:lang w:val="en-US"/>
        </w:rPr>
        <w:t>Under the hybrid approach, a child’s habitual residence can change while he or she is staying with one parent under the time</w:t>
      </w:r>
      <w:r w:rsidRPr="0010611E">
        <w:rPr>
          <w:sz w:val="20"/>
          <w:lang w:val="en-US"/>
        </w:rPr>
        <w:noBreakHyphen/>
        <w:t xml:space="preserve">limited consent of the other. The application judge considers the intention of the parents that the move would be temporary, and the reasons for that agreement but also considers all other evidence relevant to the child’s habitual residence. </w:t>
      </w:r>
    </w:p>
    <w:p w:rsidR="00851E40" w:rsidRPr="0010611E" w:rsidRDefault="00851E40" w:rsidP="00851E40">
      <w:pPr>
        <w:pStyle w:val="SCCNormalDoubleSpacing"/>
        <w:rPr>
          <w:sz w:val="20"/>
          <w:lang w:val="en-US"/>
        </w:rPr>
      </w:pPr>
    </w:p>
    <w:p w:rsidR="00315C57" w:rsidRPr="0010611E" w:rsidRDefault="00315C57" w:rsidP="00851E40">
      <w:pPr>
        <w:pStyle w:val="SCCNormalDoubleSpacing"/>
        <w:rPr>
          <w:sz w:val="20"/>
          <w:lang w:val="en-US"/>
        </w:rPr>
      </w:pPr>
      <w:r w:rsidRPr="0010611E">
        <w:rPr>
          <w:sz w:val="20"/>
          <w:lang w:val="en-US"/>
        </w:rPr>
        <w:tab/>
      </w:r>
      <w:r w:rsidRPr="0010611E">
        <w:rPr>
          <w:sz w:val="20"/>
        </w:rPr>
        <w:t xml:space="preserve">Article 13(2) is an exception to the general rule that a wrongfully removed or retained child must be returned to his or her country of habitual residence, but it should not be read so broadly that it erodes the general rule. </w:t>
      </w:r>
      <w:r w:rsidRPr="0010611E">
        <w:rPr>
          <w:sz w:val="20"/>
          <w:lang w:val="en-US"/>
        </w:rPr>
        <w:t xml:space="preserve">The application judge’s discretion to refuse to return the child to the country of habitual residence arises only if the party opposing return establishes that: (1) the child has reached an appropriate age and degree of maturity at which his or her views can be taken into account, and (2) the child objects to return. Determining sufficient age and maturity in most cases is simply a matter of inference from the child’s demeanor, testimony and circumstances. The child’s objection should also be assessed in a straightforward fashion — without the imposition of formal conditions or requirements not set out in the text of the </w:t>
      </w:r>
      <w:r w:rsidRPr="0010611E">
        <w:rPr>
          <w:i/>
          <w:sz w:val="20"/>
          <w:lang w:val="en-US"/>
        </w:rPr>
        <w:t>Hague Convention</w:t>
      </w:r>
      <w:r w:rsidRPr="0010611E">
        <w:rPr>
          <w:sz w:val="20"/>
          <w:lang w:val="en-US"/>
        </w:rPr>
        <w:t xml:space="preserve">. In most cases, the object of Article 13(2) can be achieved by a single process in which the judge decides if the child possesses sufficient age and maturity to make his or her evidence useful, decides if the child objects to return, and, if so, exercises judicial discretion as to whether to return the child. </w:t>
      </w:r>
    </w:p>
    <w:p w:rsidR="00851E40" w:rsidRPr="0010611E" w:rsidRDefault="00851E40" w:rsidP="00851E40">
      <w:pPr>
        <w:pStyle w:val="SCCNormalDoubleSpacing"/>
        <w:rPr>
          <w:sz w:val="20"/>
        </w:rPr>
      </w:pPr>
    </w:p>
    <w:p w:rsidR="00315C57" w:rsidRPr="0010611E" w:rsidRDefault="00315C57" w:rsidP="00851E40">
      <w:pPr>
        <w:pStyle w:val="SCCNormalDoubleSpacing"/>
        <w:rPr>
          <w:sz w:val="20"/>
          <w:lang w:val="en-US"/>
        </w:rPr>
      </w:pPr>
      <w:r w:rsidRPr="0010611E">
        <w:rPr>
          <w:sz w:val="20"/>
          <w:lang w:val="en-US"/>
        </w:rPr>
        <w:tab/>
        <w:t xml:space="preserve">Finally, the time it took to bring this </w:t>
      </w:r>
      <w:r w:rsidRPr="0010611E">
        <w:rPr>
          <w:i/>
          <w:sz w:val="20"/>
          <w:lang w:val="en-US"/>
        </w:rPr>
        <w:t>Hague Convention</w:t>
      </w:r>
      <w:r w:rsidRPr="0010611E">
        <w:rPr>
          <w:sz w:val="20"/>
          <w:lang w:val="en-US"/>
        </w:rPr>
        <w:t xml:space="preserve"> application to hearing and resolve the ensuing appeals was unacceptably long. The hardship and anxiety that such delays impose on children are exactly what </w:t>
      </w:r>
      <w:proofErr w:type="gramStart"/>
      <w:r w:rsidRPr="0010611E">
        <w:rPr>
          <w:sz w:val="20"/>
          <w:lang w:val="en-US"/>
        </w:rPr>
        <w:t>the</w:t>
      </w:r>
      <w:proofErr w:type="gramEnd"/>
      <w:r w:rsidRPr="0010611E">
        <w:rPr>
          <w:sz w:val="20"/>
          <w:lang w:val="en-US"/>
        </w:rPr>
        <w:t xml:space="preserve"> </w:t>
      </w:r>
      <w:r w:rsidRPr="0010611E">
        <w:rPr>
          <w:i/>
          <w:sz w:val="20"/>
          <w:lang w:val="en-US"/>
        </w:rPr>
        <w:t>Hague Convention’s</w:t>
      </w:r>
      <w:r w:rsidRPr="0010611E">
        <w:rPr>
          <w:sz w:val="20"/>
          <w:lang w:val="en-US"/>
        </w:rPr>
        <w:t xml:space="preserve"> contracting parties sought to prevent by insisting on prompt return and expeditious procedures. It was up to the judicial authorities and court administrators in this case to ensure Canada lived up to its obligation under Article 11 to “act expeditiously in proceedings for the return of children”. </w:t>
      </w:r>
      <w:r w:rsidRPr="0010611E">
        <w:rPr>
          <w:i/>
          <w:sz w:val="20"/>
          <w:lang w:val="en-US"/>
        </w:rPr>
        <w:t>Hague Convention</w:t>
      </w:r>
      <w:r w:rsidRPr="0010611E">
        <w:rPr>
          <w:sz w:val="20"/>
          <w:lang w:val="en-US"/>
        </w:rPr>
        <w:t xml:space="preserve"> proceedings should be judge</w:t>
      </w:r>
      <w:r w:rsidRPr="0010611E">
        <w:rPr>
          <w:sz w:val="20"/>
          <w:lang w:val="en-US"/>
        </w:rPr>
        <w:noBreakHyphen/>
        <w:t>led, not party</w:t>
      </w:r>
      <w:r w:rsidRPr="0010611E">
        <w:rPr>
          <w:sz w:val="20"/>
          <w:lang w:val="en-US"/>
        </w:rPr>
        <w:noBreakHyphen/>
        <w:t>driven, to ensure that they are determined expeditiously.</w:t>
      </w:r>
    </w:p>
    <w:p w:rsidR="00851E40" w:rsidRPr="0010611E" w:rsidRDefault="00851E40" w:rsidP="00851E40">
      <w:pPr>
        <w:pStyle w:val="SCCNormalDoubleSpacing"/>
        <w:rPr>
          <w:sz w:val="20"/>
          <w:lang w:val="en-US"/>
        </w:rPr>
      </w:pPr>
    </w:p>
    <w:p w:rsidR="00315C57" w:rsidRPr="0010611E" w:rsidRDefault="00315C57" w:rsidP="00851E40">
      <w:pPr>
        <w:pStyle w:val="SCCNormalDoubleSpacing"/>
        <w:rPr>
          <w:sz w:val="20"/>
          <w:lang w:val="en-US"/>
        </w:rPr>
      </w:pPr>
      <w:r w:rsidRPr="0010611E">
        <w:rPr>
          <w:i/>
          <w:sz w:val="20"/>
        </w:rPr>
        <w:tab/>
        <w:t>Per</w:t>
      </w:r>
      <w:r w:rsidRPr="0010611E">
        <w:rPr>
          <w:sz w:val="20"/>
        </w:rPr>
        <w:t xml:space="preserve"> Moldaver, </w:t>
      </w:r>
      <w:r w:rsidRPr="0010611E">
        <w:rPr>
          <w:b/>
          <w:sz w:val="20"/>
        </w:rPr>
        <w:t xml:space="preserve">Côté </w:t>
      </w:r>
      <w:r w:rsidRPr="0010611E">
        <w:rPr>
          <w:sz w:val="20"/>
        </w:rPr>
        <w:t xml:space="preserve">and </w:t>
      </w:r>
      <w:r w:rsidRPr="0010611E">
        <w:rPr>
          <w:b/>
          <w:sz w:val="20"/>
        </w:rPr>
        <w:t>Rowe</w:t>
      </w:r>
      <w:r w:rsidRPr="0010611E">
        <w:rPr>
          <w:sz w:val="20"/>
        </w:rPr>
        <w:t xml:space="preserve"> (dissenting): </w:t>
      </w:r>
      <w:r w:rsidRPr="0010611E">
        <w:rPr>
          <w:sz w:val="20"/>
          <w:lang w:val="en-US"/>
        </w:rPr>
        <w:t xml:space="preserve">The clear purpose of the </w:t>
      </w:r>
      <w:r w:rsidRPr="0010611E">
        <w:rPr>
          <w:i/>
          <w:sz w:val="20"/>
          <w:lang w:val="en-US"/>
        </w:rPr>
        <w:t>Hague</w:t>
      </w:r>
      <w:r w:rsidRPr="0010611E">
        <w:rPr>
          <w:sz w:val="20"/>
          <w:lang w:val="en-US"/>
        </w:rPr>
        <w:t xml:space="preserve"> </w:t>
      </w:r>
      <w:r w:rsidRPr="0010611E">
        <w:rPr>
          <w:i/>
          <w:sz w:val="20"/>
          <w:lang w:val="en-US"/>
        </w:rPr>
        <w:t xml:space="preserve">Convention </w:t>
      </w:r>
      <w:r w:rsidRPr="0010611E">
        <w:rPr>
          <w:sz w:val="20"/>
          <w:lang w:val="en-US"/>
        </w:rPr>
        <w:t xml:space="preserve">is the enforcement of custody rights across international borders, which supports an approach to habitual residence based on parental intention. </w:t>
      </w:r>
      <w:r w:rsidRPr="0010611E">
        <w:rPr>
          <w:sz w:val="20"/>
        </w:rPr>
        <w:t>In this case, the children were habitually resident in Germany at the time of the alleged wrongful retention in Canada because there was no shared parental intent for Canada to become the children’s habitual residence.</w:t>
      </w:r>
      <w:r w:rsidRPr="0010611E">
        <w:rPr>
          <w:sz w:val="20"/>
          <w:lang w:val="en-US"/>
        </w:rPr>
        <w:t xml:space="preserve"> </w:t>
      </w:r>
    </w:p>
    <w:p w:rsidR="00851E40" w:rsidRPr="0010611E" w:rsidRDefault="00851E40" w:rsidP="00851E40">
      <w:pPr>
        <w:pStyle w:val="SCCNormalDoubleSpacing"/>
        <w:rPr>
          <w:sz w:val="20"/>
          <w:lang w:val="en-US"/>
        </w:rPr>
      </w:pPr>
    </w:p>
    <w:p w:rsidR="00315C57" w:rsidRPr="0010611E" w:rsidRDefault="00315C57" w:rsidP="00851E40">
      <w:pPr>
        <w:pStyle w:val="SCCNormalDoubleSpacing"/>
        <w:rPr>
          <w:sz w:val="20"/>
          <w:lang w:val="en-US"/>
        </w:rPr>
      </w:pPr>
      <w:r w:rsidRPr="0010611E">
        <w:rPr>
          <w:sz w:val="20"/>
          <w:lang w:val="en-US"/>
        </w:rPr>
        <w:tab/>
        <w:t xml:space="preserve">Under the provisions of the </w:t>
      </w:r>
      <w:r w:rsidRPr="0010611E">
        <w:rPr>
          <w:i/>
          <w:sz w:val="20"/>
          <w:lang w:val="en-US"/>
        </w:rPr>
        <w:t>Hague Convention</w:t>
      </w:r>
      <w:r w:rsidRPr="0010611E">
        <w:rPr>
          <w:sz w:val="20"/>
          <w:lang w:val="en-US"/>
        </w:rPr>
        <w:t>, courts presented with return applications under Article 12 must perform a two</w:t>
      </w:r>
      <w:r w:rsidRPr="0010611E">
        <w:rPr>
          <w:sz w:val="20"/>
          <w:lang w:val="en-US"/>
        </w:rPr>
        <w:noBreakHyphen/>
        <w:t>step analysis. First, the court must determine whether the child was removed from his or her habitual residence or retained in another country by one parent in breach of the other parent’s custody rights. Second, the court must determine whether an exception to the return order applies. The central dispute in this appeal is at the first step of the analysis: deciding where the children are habitually resident under Article 3. In most cases, the focus should be on the intentions of the parents as the key element in the analysis, not the strength of the relevant contacts between the child and the competing jurisdictions. In contrast, the hybrid approach dilutes the importance of parental intent as the primary variable in favor of a multi</w:t>
      </w:r>
      <w:r w:rsidRPr="0010611E">
        <w:rPr>
          <w:sz w:val="20"/>
          <w:lang w:val="en-US"/>
        </w:rPr>
        <w:noBreakHyphen/>
        <w:t>factor test. The result is an unprincipled and open</w:t>
      </w:r>
      <w:r w:rsidRPr="0010611E">
        <w:rPr>
          <w:sz w:val="20"/>
          <w:lang w:val="en-US"/>
        </w:rPr>
        <w:noBreakHyphen/>
        <w:t xml:space="preserve">ended approach — untethered from the text, structure, and purpose of the </w:t>
      </w:r>
      <w:r w:rsidRPr="0010611E">
        <w:rPr>
          <w:i/>
          <w:sz w:val="20"/>
          <w:lang w:val="en-US"/>
        </w:rPr>
        <w:t>Hague</w:t>
      </w:r>
      <w:r w:rsidRPr="0010611E">
        <w:rPr>
          <w:sz w:val="20"/>
          <w:lang w:val="en-US"/>
        </w:rPr>
        <w:t xml:space="preserve"> </w:t>
      </w:r>
      <w:r w:rsidRPr="0010611E">
        <w:rPr>
          <w:i/>
          <w:sz w:val="20"/>
          <w:lang w:val="en-US"/>
        </w:rPr>
        <w:t xml:space="preserve">Convention </w:t>
      </w:r>
      <w:r w:rsidRPr="0010611E">
        <w:rPr>
          <w:sz w:val="20"/>
          <w:lang w:val="en-US"/>
        </w:rPr>
        <w:t xml:space="preserve">— that creates a recipe for litigation. </w:t>
      </w:r>
    </w:p>
    <w:p w:rsidR="00851E40" w:rsidRPr="0010611E" w:rsidRDefault="00851E40" w:rsidP="00851E40">
      <w:pPr>
        <w:pStyle w:val="SCCNormalDoubleSpacing"/>
        <w:rPr>
          <w:sz w:val="20"/>
          <w:lang w:val="en-US"/>
        </w:rPr>
      </w:pPr>
    </w:p>
    <w:p w:rsidR="00315C57" w:rsidRPr="0010611E" w:rsidRDefault="00315C57" w:rsidP="00851E40">
      <w:pPr>
        <w:pStyle w:val="SCCNormalDoubleSpacing"/>
        <w:rPr>
          <w:sz w:val="20"/>
          <w:lang w:val="en-US"/>
        </w:rPr>
      </w:pPr>
      <w:r w:rsidRPr="0010611E">
        <w:rPr>
          <w:sz w:val="20"/>
          <w:lang w:val="en-US"/>
        </w:rPr>
        <w:tab/>
        <w:t xml:space="preserve">Where the parents have agreed in writing that a move to a new jurisdiction is meant to be temporary, then that agreement should be given decisive weight. Where shared parental intent is otherwise clear from the evidence before the application judge, it should be determinative of habitual residence, absent exceptional circumstances. Some courts have recognized a narrow exception for cases where the evidence unequivocally points to the conclusion that the child has acclimatized to the new location but this requires evidence of more than simply settling in to a new location in order for shared parental intent to be disregarded. </w:t>
      </w:r>
    </w:p>
    <w:p w:rsidR="00851E40" w:rsidRPr="0010611E" w:rsidRDefault="00851E40" w:rsidP="00851E40">
      <w:pPr>
        <w:pStyle w:val="SCCNormalDoubleSpacing"/>
        <w:rPr>
          <w:sz w:val="20"/>
          <w:lang w:val="en-US"/>
        </w:rPr>
      </w:pPr>
    </w:p>
    <w:p w:rsidR="00315C57" w:rsidRPr="0010611E" w:rsidRDefault="00315C57" w:rsidP="00851E40">
      <w:pPr>
        <w:pStyle w:val="SCCNormalDoubleSpacing"/>
        <w:rPr>
          <w:sz w:val="20"/>
          <w:lang w:val="en-US"/>
        </w:rPr>
      </w:pPr>
      <w:r w:rsidRPr="0010611E">
        <w:rPr>
          <w:sz w:val="20"/>
          <w:lang w:val="en-US"/>
        </w:rPr>
        <w:tab/>
        <w:t xml:space="preserve">There are three strong indications that parental intent should be the decisive factor, as dictated by the text and structure of the </w:t>
      </w:r>
      <w:r w:rsidRPr="0010611E">
        <w:rPr>
          <w:i/>
          <w:sz w:val="20"/>
          <w:lang w:val="en-US"/>
        </w:rPr>
        <w:t>Hague</w:t>
      </w:r>
      <w:r w:rsidRPr="0010611E">
        <w:rPr>
          <w:sz w:val="20"/>
          <w:lang w:val="en-US"/>
        </w:rPr>
        <w:t xml:space="preserve"> </w:t>
      </w:r>
      <w:r w:rsidRPr="0010611E">
        <w:rPr>
          <w:i/>
          <w:sz w:val="20"/>
          <w:lang w:val="en-US"/>
        </w:rPr>
        <w:t>Convention</w:t>
      </w:r>
      <w:r w:rsidRPr="0010611E">
        <w:rPr>
          <w:sz w:val="20"/>
          <w:lang w:val="en-US"/>
        </w:rPr>
        <w:t xml:space="preserve">. First, Article 12 contains two distinct provisions depending on when a </w:t>
      </w:r>
      <w:r w:rsidRPr="0010611E">
        <w:rPr>
          <w:i/>
          <w:sz w:val="20"/>
          <w:lang w:val="en-US"/>
        </w:rPr>
        <w:t>Hague</w:t>
      </w:r>
      <w:r w:rsidRPr="0010611E">
        <w:rPr>
          <w:sz w:val="20"/>
          <w:lang w:val="en-US"/>
        </w:rPr>
        <w:t xml:space="preserve"> </w:t>
      </w:r>
      <w:r w:rsidRPr="0010611E">
        <w:rPr>
          <w:i/>
          <w:sz w:val="20"/>
          <w:lang w:val="en-US"/>
        </w:rPr>
        <w:t xml:space="preserve">Convention </w:t>
      </w:r>
      <w:r w:rsidRPr="0010611E">
        <w:rPr>
          <w:sz w:val="20"/>
          <w:lang w:val="en-US"/>
        </w:rPr>
        <w:t>proceeding is initiated. When proceedings have been commenced one year or more after the alleged wrongful removal or retention, a court need not order the child’s return if “it is demonstrated that the child is now settled in its new environment”. Alternatively, when proceedings are commenced within one year, the court is required to “order the return of the child forthwith”. Given this structure, it would not be proper to consider evidence of settling in when a proceeding is initiated within one year. Second, the two</w:t>
      </w:r>
      <w:r w:rsidRPr="0010611E">
        <w:rPr>
          <w:sz w:val="20"/>
          <w:lang w:val="en-US"/>
        </w:rPr>
        <w:noBreakHyphen/>
        <w:t xml:space="preserve">step analysis required by Article 12 differentiates the concept of habitual residence (at stage one) from evidence regarding the child’s circumstances (at stage two). Article 13(2) provides for an exception to the return order that specifically focuses on whether a child objects to a return. Incorporating considerations of this nature into the preliminary determination of habitual residence would inappropriately collapse the steps of the analysis. Third, Article 5 provides that custody rights include “the right to determine the child’s place of residence”, which suggests that parents, by virtue of their custody rights, must have some influence over where their child is deemed to be habitually resident. </w:t>
      </w:r>
    </w:p>
    <w:p w:rsidR="00851E40" w:rsidRPr="0010611E" w:rsidRDefault="00851E40" w:rsidP="00851E40">
      <w:pPr>
        <w:pStyle w:val="SCCNormalDoubleSpacing"/>
        <w:rPr>
          <w:sz w:val="20"/>
          <w:lang w:val="en-US"/>
        </w:rPr>
      </w:pPr>
    </w:p>
    <w:p w:rsidR="00315C57" w:rsidRPr="0010611E" w:rsidRDefault="00315C57" w:rsidP="00851E40">
      <w:pPr>
        <w:pStyle w:val="SCCNormalDoubleSpacing"/>
        <w:rPr>
          <w:sz w:val="20"/>
          <w:lang w:val="en-US"/>
        </w:rPr>
      </w:pPr>
      <w:r w:rsidRPr="0010611E">
        <w:rPr>
          <w:sz w:val="20"/>
          <w:lang w:val="en-US"/>
        </w:rPr>
        <w:tab/>
        <w:t xml:space="preserve">The clear purpose of the </w:t>
      </w:r>
      <w:r w:rsidRPr="0010611E">
        <w:rPr>
          <w:i/>
          <w:sz w:val="20"/>
          <w:lang w:val="en-US"/>
        </w:rPr>
        <w:t xml:space="preserve">Hague Convention </w:t>
      </w:r>
      <w:r w:rsidRPr="0010611E">
        <w:rPr>
          <w:sz w:val="20"/>
          <w:lang w:val="en-US"/>
        </w:rPr>
        <w:t xml:space="preserve">also supports an approach based on parental intention. If respect for custody rights is the guiding purpose, it follows that parental intent should be a central focus in assessing habitual residence. Finally, policy reasons support the parental intention approach because it creates comparatively clear and certain law: absent shared parental intent, neither parent has anything to gain by abducting or retaining a child because the child’s habitual residence will remain the original country, absent exceptional circumstances. Therefore, the parental intent approach best aligns with </w:t>
      </w:r>
      <w:proofErr w:type="gramStart"/>
      <w:r w:rsidRPr="0010611E">
        <w:rPr>
          <w:sz w:val="20"/>
          <w:lang w:val="en-US"/>
        </w:rPr>
        <w:t>the</w:t>
      </w:r>
      <w:proofErr w:type="gramEnd"/>
      <w:r w:rsidRPr="0010611E">
        <w:rPr>
          <w:sz w:val="20"/>
          <w:lang w:val="en-US"/>
        </w:rPr>
        <w:t xml:space="preserve"> </w:t>
      </w:r>
      <w:r w:rsidRPr="0010611E">
        <w:rPr>
          <w:i/>
          <w:sz w:val="20"/>
          <w:lang w:val="en-US"/>
        </w:rPr>
        <w:t>Hague Convention</w:t>
      </w:r>
      <w:r w:rsidRPr="0010611E">
        <w:rPr>
          <w:sz w:val="20"/>
          <w:lang w:val="en-US"/>
        </w:rPr>
        <w:t xml:space="preserve">’s purposes by protecting custody rights and deterring abductions that may result from any approach that permits unilateral changes to habitual residence. </w:t>
      </w:r>
    </w:p>
    <w:p w:rsidR="00851E40" w:rsidRPr="0010611E" w:rsidRDefault="00851E40" w:rsidP="00851E40">
      <w:pPr>
        <w:pStyle w:val="SCCNormalDoubleSpacing"/>
        <w:rPr>
          <w:sz w:val="20"/>
          <w:lang w:val="en-US"/>
        </w:rPr>
      </w:pPr>
    </w:p>
    <w:p w:rsidR="00315C57" w:rsidRPr="0010611E" w:rsidRDefault="00315C57" w:rsidP="00851E40">
      <w:pPr>
        <w:pStyle w:val="SCCNormalDoubleSpacing"/>
        <w:rPr>
          <w:sz w:val="20"/>
          <w:lang w:val="en-US"/>
        </w:rPr>
      </w:pPr>
      <w:r w:rsidRPr="0010611E">
        <w:rPr>
          <w:sz w:val="20"/>
          <w:lang w:val="en-US"/>
        </w:rPr>
        <w:tab/>
        <w:t xml:space="preserve">On the other hand, the hybrid approach, by incorporating other factors that could supplant parental intent into the determination of habitual residence — which effectively permits one parent to unilaterally change a child’s habitual residence without the other parent’s consent even in the face of an express agreement — blurs the distinction between custody adjudications and </w:t>
      </w:r>
      <w:r w:rsidRPr="0010611E">
        <w:rPr>
          <w:i/>
          <w:sz w:val="20"/>
          <w:lang w:val="en-US"/>
        </w:rPr>
        <w:t>Hague Convention</w:t>
      </w:r>
      <w:r w:rsidRPr="0010611E">
        <w:rPr>
          <w:sz w:val="20"/>
          <w:lang w:val="en-US"/>
        </w:rPr>
        <w:t xml:space="preserve"> applications and undermines the Convention’s goals. Where there is unambiguous evidence of what the parents intended, the parental intent model offers a clear and predictable answer to the question of habitual residence. </w:t>
      </w:r>
    </w:p>
    <w:p w:rsidR="00851E40" w:rsidRPr="0010611E" w:rsidRDefault="00851E40" w:rsidP="00851E40">
      <w:pPr>
        <w:pStyle w:val="SCCNormalDoubleSpacing"/>
        <w:rPr>
          <w:sz w:val="20"/>
          <w:lang w:val="en-US"/>
        </w:rPr>
      </w:pPr>
    </w:p>
    <w:p w:rsidR="00315C57" w:rsidRPr="0010611E" w:rsidRDefault="00315C57" w:rsidP="00851E40">
      <w:pPr>
        <w:pStyle w:val="SCCNormalDoubleSpacing"/>
        <w:rPr>
          <w:sz w:val="20"/>
          <w:lang w:val="fr-CA"/>
        </w:rPr>
      </w:pPr>
      <w:r w:rsidRPr="0010611E">
        <w:rPr>
          <w:sz w:val="20"/>
          <w:lang w:val="en-US"/>
        </w:rPr>
        <w:tab/>
        <w:t xml:space="preserve">Here, the relevant point in time for determining the children’s habitual residence is August 15, 2014 — the date on which the father’s period of consent expired. There is no question that the children were habitually resident in Germany prior to their trip to Canada by virtue of an express agreement indicating that the father only consented to a temporary stay in Canada. </w:t>
      </w:r>
      <w:r w:rsidRPr="0010611E">
        <w:rPr>
          <w:sz w:val="20"/>
        </w:rPr>
        <w:t>Article 13(2) should not be lightly invoked so as to systematically undermine custody rights of left</w:t>
      </w:r>
      <w:r w:rsidRPr="0010611E">
        <w:rPr>
          <w:sz w:val="20"/>
        </w:rPr>
        <w:noBreakHyphen/>
        <w:t xml:space="preserve">behind parents. The </w:t>
      </w:r>
      <w:r w:rsidRPr="0010611E">
        <w:rPr>
          <w:sz w:val="20"/>
          <w:lang w:val="en-US"/>
        </w:rPr>
        <w:t xml:space="preserve">application judge’s decision that the children had not expressed objections with the requisite strength of feeling is entitled to deference. As a result, there is no basis to refuse a return order after concluding that Germany was the children’s habitual residence. </w:t>
      </w:r>
      <w:r w:rsidRPr="0010611E">
        <w:rPr>
          <w:sz w:val="20"/>
          <w:lang w:val="fr-CA"/>
        </w:rPr>
        <w:t xml:space="preserve">The appeal </w:t>
      </w:r>
      <w:proofErr w:type="spellStart"/>
      <w:r w:rsidRPr="0010611E">
        <w:rPr>
          <w:sz w:val="20"/>
          <w:lang w:val="fr-CA"/>
        </w:rPr>
        <w:t>should</w:t>
      </w:r>
      <w:proofErr w:type="spellEnd"/>
      <w:r w:rsidRPr="0010611E">
        <w:rPr>
          <w:sz w:val="20"/>
          <w:lang w:val="fr-CA"/>
        </w:rPr>
        <w:t xml:space="preserve"> be dismissed.</w:t>
      </w:r>
    </w:p>
    <w:p w:rsidR="00851E40" w:rsidRPr="0010611E" w:rsidRDefault="00851E40" w:rsidP="00851E40">
      <w:pPr>
        <w:pStyle w:val="SCCNormalDoubleSpacing"/>
        <w:rPr>
          <w:sz w:val="20"/>
          <w:lang w:val="fr-CA"/>
        </w:rPr>
      </w:pPr>
    </w:p>
    <w:p w:rsidR="00851E40" w:rsidRPr="0010611E" w:rsidRDefault="00851E40" w:rsidP="00851E40">
      <w:pPr>
        <w:pStyle w:val="SCCNormalDoubleSpacing"/>
        <w:rPr>
          <w:sz w:val="20"/>
        </w:rPr>
      </w:pPr>
      <w:r w:rsidRPr="0010611E">
        <w:rPr>
          <w:sz w:val="20"/>
        </w:rPr>
        <w:tab/>
        <w:t>APPEAL from a judgment of the Ontario Court of Appeal (</w:t>
      </w:r>
      <w:proofErr w:type="spellStart"/>
      <w:r w:rsidRPr="0010611E">
        <w:rPr>
          <w:sz w:val="20"/>
        </w:rPr>
        <w:t>Laskin</w:t>
      </w:r>
      <w:proofErr w:type="spellEnd"/>
      <w:r w:rsidRPr="0010611E">
        <w:rPr>
          <w:sz w:val="20"/>
        </w:rPr>
        <w:t xml:space="preserve">, Sharpe and Miller JJ.A.), 2016 ONCA 680, 133 O.R. (3d) 735, 405 D.L.R. (4th) 98, 84 R.F.L. (7th) 291, [2016] O.J. No. 4800 (QL), 2016 </w:t>
      </w:r>
      <w:proofErr w:type="spellStart"/>
      <w:r w:rsidRPr="0010611E">
        <w:rPr>
          <w:sz w:val="20"/>
        </w:rPr>
        <w:t>CarswellOnt</w:t>
      </w:r>
      <w:proofErr w:type="spellEnd"/>
      <w:r w:rsidRPr="0010611E">
        <w:rPr>
          <w:sz w:val="20"/>
        </w:rPr>
        <w:t xml:space="preserve"> 14331 (WL Can.), setting aside a decision of the Ontario Divisional Court (</w:t>
      </w:r>
      <w:proofErr w:type="spellStart"/>
      <w:r w:rsidRPr="0010611E">
        <w:rPr>
          <w:sz w:val="20"/>
        </w:rPr>
        <w:t>Marrocco</w:t>
      </w:r>
      <w:proofErr w:type="spellEnd"/>
      <w:r w:rsidRPr="0010611E">
        <w:rPr>
          <w:sz w:val="20"/>
        </w:rPr>
        <w:t xml:space="preserve">, Sachs and </w:t>
      </w:r>
      <w:proofErr w:type="spellStart"/>
      <w:r w:rsidRPr="0010611E">
        <w:rPr>
          <w:sz w:val="20"/>
        </w:rPr>
        <w:t>Varpio</w:t>
      </w:r>
      <w:proofErr w:type="spellEnd"/>
      <w:r w:rsidRPr="0010611E">
        <w:rPr>
          <w:sz w:val="20"/>
        </w:rPr>
        <w:t xml:space="preserve"> JJ.), 2016 ONSC 55, 344 O.A.C. 159, 70 R.F.L. (7th) 34, [2016] O.J. No. 5 (QL), 2016 </w:t>
      </w:r>
      <w:proofErr w:type="spellStart"/>
      <w:r w:rsidRPr="0010611E">
        <w:rPr>
          <w:sz w:val="20"/>
        </w:rPr>
        <w:t>CarswellOnt</w:t>
      </w:r>
      <w:proofErr w:type="spellEnd"/>
      <w:r w:rsidRPr="0010611E">
        <w:rPr>
          <w:sz w:val="20"/>
        </w:rPr>
        <w:t xml:space="preserve"> 7 (WL Can.), setting aside a decision of the Ontario Superior Court of Justice (MacPherson J.), 2015 ONSC 5383, [2015] O.J. No. 4490 (QL), 2015 </w:t>
      </w:r>
      <w:proofErr w:type="spellStart"/>
      <w:r w:rsidRPr="0010611E">
        <w:rPr>
          <w:sz w:val="20"/>
        </w:rPr>
        <w:t>CarswellOnt</w:t>
      </w:r>
      <w:proofErr w:type="spellEnd"/>
      <w:r w:rsidRPr="0010611E">
        <w:rPr>
          <w:sz w:val="20"/>
        </w:rPr>
        <w:t xml:space="preserve"> 13100 (WL Can.), granting the respondent father’s application for return of the children to Germany. Judgment accordingly, Moldaver, Côté and Rowe JJ. </w:t>
      </w:r>
      <w:proofErr w:type="gramStart"/>
      <w:r w:rsidRPr="0010611E">
        <w:rPr>
          <w:sz w:val="20"/>
        </w:rPr>
        <w:t>dissenting</w:t>
      </w:r>
      <w:proofErr w:type="gramEnd"/>
      <w:r w:rsidRPr="0010611E">
        <w:rPr>
          <w:sz w:val="20"/>
        </w:rPr>
        <w:t>.</w:t>
      </w:r>
    </w:p>
    <w:p w:rsidR="00851E40" w:rsidRPr="0010611E" w:rsidRDefault="00851E40" w:rsidP="00851E40">
      <w:pPr>
        <w:pStyle w:val="SCCNormalDoubleSpacing"/>
        <w:rPr>
          <w:rStyle w:val="SCCCounselPartyRoleChar"/>
          <w:sz w:val="20"/>
        </w:rPr>
      </w:pPr>
      <w:r w:rsidRPr="0010611E">
        <w:rPr>
          <w:rStyle w:val="SCCCounselNameChar"/>
          <w:sz w:val="20"/>
        </w:rPr>
        <w:tab/>
        <w:t xml:space="preserve">Caterina E. </w:t>
      </w:r>
      <w:proofErr w:type="spellStart"/>
      <w:r w:rsidRPr="0010611E">
        <w:rPr>
          <w:rStyle w:val="SCCCounselNameChar"/>
          <w:sz w:val="20"/>
        </w:rPr>
        <w:t>Tempesta</w:t>
      </w:r>
      <w:proofErr w:type="spellEnd"/>
      <w:r w:rsidRPr="0010611E">
        <w:rPr>
          <w:rStyle w:val="SCCCounselSeparatorChar"/>
          <w:sz w:val="20"/>
          <w:lang w:val="en-US"/>
        </w:rPr>
        <w:t xml:space="preserve">, </w:t>
      </w:r>
      <w:r w:rsidRPr="0010611E">
        <w:rPr>
          <w:rStyle w:val="SCCCounselNameChar"/>
          <w:sz w:val="20"/>
        </w:rPr>
        <w:t xml:space="preserve">Sheena Scott, Katherine </w:t>
      </w:r>
      <w:proofErr w:type="spellStart"/>
      <w:r w:rsidRPr="0010611E">
        <w:rPr>
          <w:rStyle w:val="SCCCounselNameChar"/>
          <w:sz w:val="20"/>
        </w:rPr>
        <w:t>Kavassalis</w:t>
      </w:r>
      <w:proofErr w:type="spellEnd"/>
      <w:r w:rsidRPr="0010611E">
        <w:rPr>
          <w:rStyle w:val="SCCCounselSeparatorChar"/>
          <w:sz w:val="20"/>
          <w:lang w:val="en-US"/>
        </w:rPr>
        <w:t xml:space="preserve"> and </w:t>
      </w:r>
      <w:r w:rsidRPr="0010611E">
        <w:rPr>
          <w:rStyle w:val="SCCCounselNameChar"/>
          <w:sz w:val="20"/>
        </w:rPr>
        <w:t>James Stengel</w:t>
      </w:r>
      <w:r w:rsidRPr="0010611E">
        <w:rPr>
          <w:rStyle w:val="SCCCounselPartyRoleChar"/>
          <w:sz w:val="20"/>
        </w:rPr>
        <w:t>, for the appellant.</w:t>
      </w:r>
    </w:p>
    <w:p w:rsidR="00851E40" w:rsidRPr="0010611E" w:rsidRDefault="00851E40" w:rsidP="00851E40">
      <w:pPr>
        <w:pStyle w:val="SCCNormalDoubleSpacing"/>
        <w:rPr>
          <w:sz w:val="20"/>
        </w:rPr>
      </w:pPr>
      <w:r w:rsidRPr="0010611E">
        <w:rPr>
          <w:rStyle w:val="SCCCounselNameChar"/>
          <w:sz w:val="20"/>
        </w:rPr>
        <w:tab/>
        <w:t>Steven M. Bookman</w:t>
      </w:r>
      <w:r w:rsidRPr="0010611E">
        <w:rPr>
          <w:rStyle w:val="SCCCounselSeparatorChar"/>
          <w:sz w:val="20"/>
          <w:lang w:val="en-US"/>
        </w:rPr>
        <w:t xml:space="preserve">, </w:t>
      </w:r>
      <w:r w:rsidRPr="0010611E">
        <w:rPr>
          <w:rStyle w:val="SCCCounselNameChar"/>
          <w:sz w:val="20"/>
        </w:rPr>
        <w:t xml:space="preserve">Chris </w:t>
      </w:r>
      <w:proofErr w:type="spellStart"/>
      <w:r w:rsidRPr="0010611E">
        <w:rPr>
          <w:rStyle w:val="SCCCounselNameChar"/>
          <w:sz w:val="20"/>
        </w:rPr>
        <w:t>Stankiewicz</w:t>
      </w:r>
      <w:proofErr w:type="spellEnd"/>
      <w:r w:rsidRPr="0010611E">
        <w:rPr>
          <w:rStyle w:val="SCCCounselSeparatorChar"/>
          <w:sz w:val="20"/>
          <w:lang w:val="en-US"/>
        </w:rPr>
        <w:t xml:space="preserve"> and </w:t>
      </w:r>
      <w:r w:rsidRPr="0010611E">
        <w:rPr>
          <w:rStyle w:val="SCCCounselNameChar"/>
          <w:sz w:val="20"/>
        </w:rPr>
        <w:t>Gillian Bookman</w:t>
      </w:r>
      <w:r w:rsidRPr="0010611E">
        <w:rPr>
          <w:rStyle w:val="SCCCounselPartyRoleChar"/>
          <w:sz w:val="20"/>
        </w:rPr>
        <w:t>, for the respondent John Paul Balev.</w:t>
      </w:r>
    </w:p>
    <w:p w:rsidR="00851E40" w:rsidRPr="0010611E" w:rsidRDefault="00851E40" w:rsidP="00851E40">
      <w:pPr>
        <w:pStyle w:val="SCCNormalDoubleSpacing"/>
        <w:rPr>
          <w:sz w:val="20"/>
        </w:rPr>
      </w:pPr>
      <w:r w:rsidRPr="0010611E">
        <w:rPr>
          <w:rStyle w:val="SCCCounselNameChar"/>
          <w:sz w:val="20"/>
        </w:rPr>
        <w:tab/>
      </w:r>
      <w:proofErr w:type="spellStart"/>
      <w:r w:rsidRPr="0010611E">
        <w:rPr>
          <w:rStyle w:val="SCCCounselNameChar"/>
          <w:sz w:val="20"/>
        </w:rPr>
        <w:t>Patric</w:t>
      </w:r>
      <w:proofErr w:type="spellEnd"/>
      <w:r w:rsidRPr="0010611E">
        <w:rPr>
          <w:rStyle w:val="SCCCounselNameChar"/>
          <w:sz w:val="20"/>
        </w:rPr>
        <w:t xml:space="preserve"> </w:t>
      </w:r>
      <w:proofErr w:type="spellStart"/>
      <w:r w:rsidRPr="0010611E">
        <w:rPr>
          <w:rStyle w:val="SCCCounselNameChar"/>
          <w:sz w:val="20"/>
        </w:rPr>
        <w:t>Senson</w:t>
      </w:r>
      <w:proofErr w:type="spellEnd"/>
      <w:r w:rsidRPr="0010611E">
        <w:rPr>
          <w:rStyle w:val="SCCCounselSeparatorChar"/>
          <w:sz w:val="20"/>
          <w:lang w:val="en-US"/>
        </w:rPr>
        <w:t xml:space="preserve"> and </w:t>
      </w:r>
      <w:r w:rsidRPr="0010611E">
        <w:rPr>
          <w:rStyle w:val="SCCCounselNameChar"/>
          <w:sz w:val="20"/>
        </w:rPr>
        <w:t>Tammy Law</w:t>
      </w:r>
      <w:r w:rsidRPr="0010611E">
        <w:rPr>
          <w:rStyle w:val="SCCCounselPartyRoleChar"/>
          <w:sz w:val="20"/>
        </w:rPr>
        <w:t>, for the respondent Catharine</w:t>
      </w:r>
      <w:r w:rsidRPr="0010611E">
        <w:rPr>
          <w:rStyle w:val="SCCCounselPartyRoleChar"/>
          <w:sz w:val="20"/>
        </w:rPr>
        <w:noBreakHyphen/>
        <w:t xml:space="preserve">Rose </w:t>
      </w:r>
      <w:proofErr w:type="spellStart"/>
      <w:r w:rsidRPr="0010611E">
        <w:rPr>
          <w:rStyle w:val="SCCCounselPartyRoleChar"/>
          <w:sz w:val="20"/>
        </w:rPr>
        <w:t>Baggott</w:t>
      </w:r>
      <w:proofErr w:type="spellEnd"/>
      <w:r w:rsidRPr="0010611E">
        <w:rPr>
          <w:rStyle w:val="SCCCounselPartyRoleChar"/>
          <w:sz w:val="20"/>
        </w:rPr>
        <w:t>.</w:t>
      </w:r>
    </w:p>
    <w:p w:rsidR="00851E40" w:rsidRPr="0010611E" w:rsidRDefault="00851E40" w:rsidP="00851E40">
      <w:pPr>
        <w:pStyle w:val="SCCNormalDoubleSpacing"/>
        <w:rPr>
          <w:sz w:val="20"/>
        </w:rPr>
      </w:pPr>
      <w:r w:rsidRPr="0010611E">
        <w:rPr>
          <w:rStyle w:val="SCCCounselNameChar"/>
          <w:sz w:val="20"/>
        </w:rPr>
        <w:tab/>
      </w:r>
      <w:proofErr w:type="spellStart"/>
      <w:r w:rsidRPr="0010611E">
        <w:rPr>
          <w:rStyle w:val="SCCCounselNameChar"/>
          <w:sz w:val="20"/>
        </w:rPr>
        <w:t>Donnaree</w:t>
      </w:r>
      <w:proofErr w:type="spellEnd"/>
      <w:r w:rsidRPr="0010611E">
        <w:rPr>
          <w:rStyle w:val="SCCCounselNameChar"/>
          <w:sz w:val="20"/>
        </w:rPr>
        <w:t xml:space="preserve"> </w:t>
      </w:r>
      <w:proofErr w:type="spellStart"/>
      <w:r w:rsidRPr="0010611E">
        <w:rPr>
          <w:rStyle w:val="SCCCounselNameChar"/>
          <w:sz w:val="20"/>
        </w:rPr>
        <w:t>Nygard</w:t>
      </w:r>
      <w:proofErr w:type="spellEnd"/>
      <w:r w:rsidRPr="0010611E">
        <w:rPr>
          <w:rStyle w:val="SCCCounselSeparatorChar"/>
          <w:sz w:val="20"/>
          <w:lang w:val="en-US"/>
        </w:rPr>
        <w:t xml:space="preserve"> and </w:t>
      </w:r>
      <w:r w:rsidRPr="0010611E">
        <w:rPr>
          <w:rStyle w:val="SCCCounselNameChar"/>
          <w:sz w:val="20"/>
        </w:rPr>
        <w:t xml:space="preserve">Michael Taylor, </w:t>
      </w:r>
      <w:r w:rsidRPr="0010611E">
        <w:rPr>
          <w:rStyle w:val="SCCCounselPartyRoleChar"/>
          <w:sz w:val="20"/>
        </w:rPr>
        <w:t>for the intervener the Attorney General of Canada.</w:t>
      </w:r>
    </w:p>
    <w:p w:rsidR="00851E40" w:rsidRPr="0010611E" w:rsidRDefault="00851E40" w:rsidP="00851E40">
      <w:pPr>
        <w:pStyle w:val="SCCNormalDoubleSpacing"/>
        <w:rPr>
          <w:rStyle w:val="SCCCounselPartyRoleChar"/>
          <w:sz w:val="20"/>
        </w:rPr>
      </w:pPr>
      <w:r w:rsidRPr="0010611E">
        <w:rPr>
          <w:rStyle w:val="SCCCounselNameChar"/>
          <w:sz w:val="20"/>
        </w:rPr>
        <w:tab/>
        <w:t>Caroline Brett and Rochelle S. Fox</w:t>
      </w:r>
      <w:r w:rsidRPr="0010611E">
        <w:rPr>
          <w:rStyle w:val="SCCCounselPartyRoleChar"/>
          <w:sz w:val="20"/>
        </w:rPr>
        <w:t>, for the intervener the Attorney General of Ontario.</w:t>
      </w:r>
    </w:p>
    <w:p w:rsidR="00851E40" w:rsidRPr="0010611E" w:rsidRDefault="00851E40" w:rsidP="00851E40">
      <w:pPr>
        <w:pStyle w:val="SCCNormalDoubleSpacing"/>
        <w:rPr>
          <w:sz w:val="20"/>
        </w:rPr>
      </w:pPr>
      <w:r w:rsidRPr="0010611E">
        <w:rPr>
          <w:rStyle w:val="SCCCounselNameChar"/>
          <w:sz w:val="20"/>
        </w:rPr>
        <w:tab/>
        <w:t xml:space="preserve">Freya </w:t>
      </w:r>
      <w:proofErr w:type="spellStart"/>
      <w:r w:rsidRPr="0010611E">
        <w:rPr>
          <w:rStyle w:val="SCCCounselNameChar"/>
          <w:sz w:val="20"/>
        </w:rPr>
        <w:t>Zaltz</w:t>
      </w:r>
      <w:proofErr w:type="spellEnd"/>
      <w:r w:rsidRPr="0010611E">
        <w:rPr>
          <w:rStyle w:val="SCCCounselPartyRoleChar"/>
          <w:sz w:val="20"/>
        </w:rPr>
        <w:t>, for the intervener the Attorney General of British Columbia.</w:t>
      </w:r>
    </w:p>
    <w:p w:rsidR="00851E40" w:rsidRPr="0010611E" w:rsidRDefault="00851E40" w:rsidP="00851E40">
      <w:pPr>
        <w:pStyle w:val="SCCNormalDoubleSpacing"/>
        <w:rPr>
          <w:sz w:val="20"/>
        </w:rPr>
      </w:pPr>
      <w:r w:rsidRPr="0010611E">
        <w:rPr>
          <w:rStyle w:val="SCCCounselNameChar"/>
          <w:sz w:val="20"/>
        </w:rPr>
        <w:tab/>
        <w:t>Jeffery Wilson</w:t>
      </w:r>
      <w:r w:rsidRPr="0010611E">
        <w:rPr>
          <w:rStyle w:val="SCCCounselSeparatorChar"/>
          <w:sz w:val="20"/>
          <w:lang w:val="en-US"/>
        </w:rPr>
        <w:t xml:space="preserve">, </w:t>
      </w:r>
      <w:r w:rsidRPr="0010611E">
        <w:rPr>
          <w:rStyle w:val="SCCCounselNameChar"/>
          <w:sz w:val="20"/>
        </w:rPr>
        <w:t xml:space="preserve">Farrah </w:t>
      </w:r>
      <w:proofErr w:type="spellStart"/>
      <w:r w:rsidRPr="0010611E">
        <w:rPr>
          <w:rStyle w:val="SCCCounselNameChar"/>
          <w:sz w:val="20"/>
        </w:rPr>
        <w:t>Hudani</w:t>
      </w:r>
      <w:proofErr w:type="spellEnd"/>
      <w:r w:rsidRPr="0010611E">
        <w:rPr>
          <w:rStyle w:val="SCCCounselSeparatorChar"/>
          <w:sz w:val="20"/>
          <w:lang w:val="en-US"/>
        </w:rPr>
        <w:t xml:space="preserve"> and </w:t>
      </w:r>
      <w:r w:rsidRPr="0010611E">
        <w:rPr>
          <w:rStyle w:val="SCCCounselNameChar"/>
          <w:sz w:val="20"/>
        </w:rPr>
        <w:t xml:space="preserve">Jessica </w:t>
      </w:r>
      <w:proofErr w:type="spellStart"/>
      <w:r w:rsidRPr="0010611E">
        <w:rPr>
          <w:rStyle w:val="SCCCounselNameChar"/>
          <w:sz w:val="20"/>
        </w:rPr>
        <w:t>Braude</w:t>
      </w:r>
      <w:proofErr w:type="spellEnd"/>
      <w:r w:rsidRPr="0010611E">
        <w:rPr>
          <w:rStyle w:val="SCCCounselPartyRoleChar"/>
          <w:sz w:val="20"/>
        </w:rPr>
        <w:t>, for the intervener Defence for Children International</w:t>
      </w:r>
      <w:r w:rsidRPr="0010611E">
        <w:rPr>
          <w:rStyle w:val="SCCCounselPartyRoleChar"/>
          <w:sz w:val="20"/>
        </w:rPr>
        <w:noBreakHyphen/>
        <w:t>Canada.</w:t>
      </w:r>
    </w:p>
    <w:p w:rsidR="00851E40" w:rsidRPr="0010611E" w:rsidRDefault="00851E40" w:rsidP="00851E40">
      <w:pPr>
        <w:pStyle w:val="SCCNormalDoubleSpacing"/>
        <w:rPr>
          <w:sz w:val="20"/>
        </w:rPr>
      </w:pPr>
      <w:r w:rsidRPr="0010611E">
        <w:rPr>
          <w:rStyle w:val="SCCCounselNameChar"/>
          <w:sz w:val="20"/>
        </w:rPr>
        <w:tab/>
        <w:t xml:space="preserve">Deepa </w:t>
      </w:r>
      <w:proofErr w:type="spellStart"/>
      <w:r w:rsidRPr="0010611E">
        <w:rPr>
          <w:rStyle w:val="SCCCounselNameChar"/>
          <w:sz w:val="20"/>
        </w:rPr>
        <w:t>Mattoo</w:t>
      </w:r>
      <w:proofErr w:type="spellEnd"/>
      <w:r w:rsidRPr="0010611E">
        <w:rPr>
          <w:rStyle w:val="SCCCounselSeparatorChar"/>
          <w:sz w:val="20"/>
          <w:lang w:val="en-US"/>
        </w:rPr>
        <w:t xml:space="preserve"> and </w:t>
      </w:r>
      <w:r w:rsidRPr="0010611E">
        <w:rPr>
          <w:rStyle w:val="SCCCounselNameChar"/>
          <w:sz w:val="20"/>
        </w:rPr>
        <w:t>Tiffany Lau</w:t>
      </w:r>
      <w:r w:rsidRPr="0010611E">
        <w:rPr>
          <w:rStyle w:val="SCCCounselPartyRoleChar"/>
          <w:sz w:val="20"/>
        </w:rPr>
        <w:t xml:space="preserve">, for the intervener the Barbra </w:t>
      </w:r>
      <w:proofErr w:type="spellStart"/>
      <w:r w:rsidRPr="0010611E">
        <w:rPr>
          <w:rStyle w:val="SCCCounselPartyRoleChar"/>
          <w:sz w:val="20"/>
        </w:rPr>
        <w:t>Schlifer</w:t>
      </w:r>
      <w:proofErr w:type="spellEnd"/>
      <w:r w:rsidRPr="0010611E">
        <w:rPr>
          <w:rStyle w:val="SCCCounselPartyRoleChar"/>
          <w:sz w:val="20"/>
        </w:rPr>
        <w:t xml:space="preserve"> Commemorative Clinic.</w:t>
      </w:r>
    </w:p>
    <w:p w:rsidR="00DB3DD6" w:rsidRPr="0010611E" w:rsidRDefault="00DB3DD6" w:rsidP="00DB3DD6">
      <w:pPr>
        <w:rPr>
          <w:rFonts w:cs="Times New Roman"/>
          <w:sz w:val="20"/>
          <w:szCs w:val="20"/>
          <w:lang w:val="fr-CA"/>
        </w:rPr>
      </w:pPr>
      <w:r w:rsidRPr="0010611E">
        <w:rPr>
          <w:rFonts w:cs="Times New Roman"/>
          <w:sz w:val="20"/>
          <w:szCs w:val="20"/>
          <w:lang w:val="fr-CA"/>
        </w:rPr>
        <w:t>________________________</w:t>
      </w:r>
    </w:p>
    <w:p w:rsidR="00DB3DD6" w:rsidRPr="0010611E" w:rsidRDefault="00DB3DD6" w:rsidP="00DB3DD6">
      <w:pPr>
        <w:rPr>
          <w:rFonts w:cs="Times New Roman"/>
          <w:sz w:val="20"/>
          <w:szCs w:val="20"/>
          <w:lang w:val="fr-CA"/>
        </w:rPr>
      </w:pPr>
    </w:p>
    <w:p w:rsidR="00D0448B" w:rsidRPr="0010611E" w:rsidRDefault="00D0448B" w:rsidP="00BF7F5F">
      <w:pPr>
        <w:spacing w:line="480" w:lineRule="auto"/>
        <w:jc w:val="both"/>
        <w:rPr>
          <w:sz w:val="20"/>
          <w:szCs w:val="20"/>
          <w:lang w:val="fr-CA"/>
        </w:rPr>
      </w:pPr>
      <w:r w:rsidRPr="0010611E">
        <w:rPr>
          <w:sz w:val="20"/>
          <w:szCs w:val="20"/>
          <w:lang w:val="fr-CA"/>
        </w:rPr>
        <w:t>Présents : La juge en chef McLachlin et les juges Abella, Moldaver, Karakatsanis, Wagner, Gascon, Côté, Brown et Rowe</w:t>
      </w:r>
    </w:p>
    <w:p w:rsidR="00BA3E56" w:rsidRPr="0010611E" w:rsidRDefault="00BA3E56" w:rsidP="00BF7F5F">
      <w:pPr>
        <w:spacing w:line="480" w:lineRule="auto"/>
        <w:jc w:val="both"/>
        <w:rPr>
          <w:sz w:val="20"/>
          <w:szCs w:val="20"/>
          <w:lang w:val="fr-CA"/>
        </w:rPr>
      </w:pPr>
    </w:p>
    <w:p w:rsidR="00BA3E56" w:rsidRPr="0010611E" w:rsidRDefault="00BA3E56" w:rsidP="00BF7F5F">
      <w:pPr>
        <w:pStyle w:val="SCCNormalDoubleSpacing"/>
        <w:rPr>
          <w:i/>
          <w:sz w:val="20"/>
          <w:lang w:val="fr-CA"/>
        </w:rPr>
      </w:pPr>
      <w:r w:rsidRPr="0010611E">
        <w:rPr>
          <w:sz w:val="20"/>
          <w:lang w:val="fr-CA"/>
        </w:rPr>
        <w:tab/>
      </w:r>
      <w:r w:rsidRPr="0010611E">
        <w:rPr>
          <w:i/>
          <w:sz w:val="20"/>
          <w:lang w:val="fr-CA"/>
        </w:rPr>
        <w:t xml:space="preserve">Droit de la famille </w:t>
      </w:r>
      <w:r w:rsidRPr="0010611E">
        <w:rPr>
          <w:sz w:val="20"/>
          <w:lang w:val="fr-CA"/>
        </w:rPr>
        <w:t>—</w:t>
      </w:r>
      <w:r w:rsidRPr="0010611E">
        <w:rPr>
          <w:i/>
          <w:sz w:val="20"/>
          <w:lang w:val="fr-CA"/>
        </w:rPr>
        <w:t xml:space="preserve"> Garde </w:t>
      </w:r>
      <w:r w:rsidRPr="0010611E">
        <w:rPr>
          <w:sz w:val="20"/>
          <w:lang w:val="fr-CA"/>
        </w:rPr>
        <w:t>—</w:t>
      </w:r>
      <w:r w:rsidRPr="0010611E">
        <w:rPr>
          <w:i/>
          <w:sz w:val="20"/>
          <w:lang w:val="fr-CA"/>
        </w:rPr>
        <w:t xml:space="preserve"> Déplacement ou non</w:t>
      </w:r>
      <w:r w:rsidRPr="0010611E">
        <w:rPr>
          <w:i/>
          <w:sz w:val="20"/>
          <w:lang w:val="fr-CA"/>
        </w:rPr>
        <w:noBreakHyphen/>
        <w:t xml:space="preserve">retour illicite d’enfant </w:t>
      </w:r>
      <w:r w:rsidRPr="0010611E">
        <w:rPr>
          <w:sz w:val="20"/>
          <w:lang w:val="fr-CA"/>
        </w:rPr>
        <w:t>—</w:t>
      </w:r>
      <w:r w:rsidRPr="0010611E">
        <w:rPr>
          <w:i/>
          <w:sz w:val="20"/>
          <w:lang w:val="fr-CA"/>
        </w:rPr>
        <w:t xml:space="preserve"> Convention sur les aspects civils de l’enlèvement international d’enfants </w:t>
      </w:r>
      <w:r w:rsidRPr="0010611E">
        <w:rPr>
          <w:sz w:val="20"/>
          <w:lang w:val="fr-CA"/>
        </w:rPr>
        <w:t>—</w:t>
      </w:r>
      <w:r w:rsidRPr="0010611E">
        <w:rPr>
          <w:i/>
          <w:sz w:val="20"/>
          <w:lang w:val="fr-CA"/>
        </w:rPr>
        <w:t xml:space="preserve"> Omission d’une mère vivant au Canada avec ses enfants conformément à un accord d’une durée limitée sur la garde de renvoyer les enfants à leur père en Allemagne au terme du séjour convenu </w:t>
      </w:r>
      <w:r w:rsidRPr="0010611E">
        <w:rPr>
          <w:sz w:val="20"/>
          <w:lang w:val="fr-CA"/>
        </w:rPr>
        <w:t>—</w:t>
      </w:r>
      <w:r w:rsidRPr="0010611E">
        <w:rPr>
          <w:i/>
          <w:sz w:val="20"/>
          <w:lang w:val="fr-CA"/>
        </w:rPr>
        <w:t xml:space="preserve"> Enclenchement par cette omission du mécanisme de la Convention de La Haye permettant d’obtenir une ordonnance de retour </w:t>
      </w:r>
      <w:r w:rsidRPr="0010611E">
        <w:rPr>
          <w:sz w:val="20"/>
          <w:lang w:val="fr-CA"/>
        </w:rPr>
        <w:t>—</w:t>
      </w:r>
      <w:r w:rsidRPr="0010611E">
        <w:rPr>
          <w:i/>
          <w:sz w:val="20"/>
          <w:lang w:val="fr-CA"/>
        </w:rPr>
        <w:t xml:space="preserve"> Les enfants avaient</w:t>
      </w:r>
      <w:r w:rsidRPr="0010611E">
        <w:rPr>
          <w:i/>
          <w:sz w:val="20"/>
          <w:lang w:val="fr-CA"/>
        </w:rPr>
        <w:noBreakHyphen/>
        <w:t>ils leur « résidence habituelle » en Allemagne au moment du non</w:t>
      </w:r>
      <w:r w:rsidRPr="0010611E">
        <w:rPr>
          <w:i/>
          <w:sz w:val="20"/>
          <w:lang w:val="fr-CA"/>
        </w:rPr>
        <w:noBreakHyphen/>
        <w:t xml:space="preserve">retour illicite allégué? </w:t>
      </w:r>
      <w:r w:rsidRPr="0010611E">
        <w:rPr>
          <w:sz w:val="20"/>
          <w:lang w:val="fr-CA"/>
        </w:rPr>
        <w:t>—</w:t>
      </w:r>
      <w:r w:rsidRPr="0010611E">
        <w:rPr>
          <w:i/>
          <w:sz w:val="20"/>
          <w:lang w:val="fr-CA"/>
        </w:rPr>
        <w:t xml:space="preserve"> Suivant quels paramètres les tribunaux doivent</w:t>
      </w:r>
      <w:r w:rsidRPr="0010611E">
        <w:rPr>
          <w:i/>
          <w:sz w:val="20"/>
          <w:lang w:val="fr-CA"/>
        </w:rPr>
        <w:noBreakHyphen/>
        <w:t xml:space="preserve">ils se prononcer sur l’opposition de l’enfant à son retour dans le ressort de sa résidence habituelle? </w:t>
      </w:r>
      <w:r w:rsidRPr="0010611E">
        <w:rPr>
          <w:sz w:val="20"/>
          <w:lang w:val="fr-CA"/>
        </w:rPr>
        <w:t xml:space="preserve">— </w:t>
      </w:r>
      <w:r w:rsidRPr="0010611E">
        <w:rPr>
          <w:i/>
          <w:sz w:val="20"/>
          <w:lang w:val="fr-CA"/>
        </w:rPr>
        <w:t xml:space="preserve">Convention sur les aspects civils de l’enlèvement international d’enfants, R.T. Can. 1983 </w:t>
      </w:r>
      <w:proofErr w:type="gramStart"/>
      <w:r w:rsidRPr="0010611E">
        <w:rPr>
          <w:i/>
          <w:sz w:val="20"/>
          <w:lang w:val="fr-CA"/>
        </w:rPr>
        <w:t>n</w:t>
      </w:r>
      <w:r w:rsidRPr="0010611E">
        <w:rPr>
          <w:i/>
          <w:sz w:val="20"/>
          <w:vertAlign w:val="superscript"/>
          <w:lang w:val="fr-CA"/>
        </w:rPr>
        <w:t>o</w:t>
      </w:r>
      <w:proofErr w:type="gramEnd"/>
      <w:r w:rsidRPr="0010611E">
        <w:rPr>
          <w:i/>
          <w:sz w:val="20"/>
          <w:lang w:val="fr-CA"/>
        </w:rPr>
        <w:t> 35, art. 3, 13.</w:t>
      </w:r>
    </w:p>
    <w:p w:rsidR="009766E5" w:rsidRPr="0010611E" w:rsidRDefault="009766E5" w:rsidP="00BA3E56">
      <w:pPr>
        <w:pStyle w:val="SCCNormalDoubleSpacing"/>
        <w:rPr>
          <w:sz w:val="20"/>
          <w:lang w:val="fr-CA"/>
        </w:rPr>
      </w:pPr>
    </w:p>
    <w:p w:rsidR="00BA3E56" w:rsidRPr="0010611E" w:rsidRDefault="00BA3E56" w:rsidP="00BA3E56">
      <w:pPr>
        <w:pStyle w:val="SCCNormalDoubleSpacing"/>
        <w:rPr>
          <w:i/>
          <w:sz w:val="20"/>
          <w:lang w:val="fr-CA"/>
        </w:rPr>
      </w:pPr>
      <w:r w:rsidRPr="0010611E">
        <w:rPr>
          <w:i/>
          <w:sz w:val="20"/>
          <w:lang w:val="fr-CA"/>
        </w:rPr>
        <w:tab/>
        <w:t xml:space="preserve">Législation </w:t>
      </w:r>
      <w:r w:rsidRPr="0010611E">
        <w:rPr>
          <w:sz w:val="20"/>
          <w:lang w:val="fr-CA"/>
        </w:rPr>
        <w:t>—</w:t>
      </w:r>
      <w:r w:rsidRPr="0010611E">
        <w:rPr>
          <w:i/>
          <w:sz w:val="20"/>
          <w:lang w:val="fr-CA"/>
        </w:rPr>
        <w:t xml:space="preserve"> Interprétation </w:t>
      </w:r>
      <w:r w:rsidRPr="0010611E">
        <w:rPr>
          <w:sz w:val="20"/>
          <w:lang w:val="fr-CA"/>
        </w:rPr>
        <w:t>—</w:t>
      </w:r>
      <w:r w:rsidRPr="0010611E">
        <w:rPr>
          <w:i/>
          <w:sz w:val="20"/>
          <w:lang w:val="fr-CA"/>
        </w:rPr>
        <w:t xml:space="preserve"> Traité mis en œuvre par des dispositions législatives nationales </w:t>
      </w:r>
      <w:r w:rsidRPr="0010611E">
        <w:rPr>
          <w:sz w:val="20"/>
          <w:lang w:val="fr-CA"/>
        </w:rPr>
        <w:t>—</w:t>
      </w:r>
      <w:r w:rsidRPr="0010611E">
        <w:rPr>
          <w:i/>
          <w:sz w:val="20"/>
          <w:lang w:val="fr-CA"/>
        </w:rPr>
        <w:t xml:space="preserve"> Convention sur les aspects civils de l’enlèvement international d’enfants </w:t>
      </w:r>
      <w:r w:rsidRPr="0010611E">
        <w:rPr>
          <w:sz w:val="20"/>
          <w:lang w:val="fr-CA"/>
        </w:rPr>
        <w:t>—</w:t>
      </w:r>
      <w:r w:rsidRPr="0010611E">
        <w:rPr>
          <w:i/>
          <w:sz w:val="20"/>
          <w:lang w:val="fr-CA"/>
        </w:rPr>
        <w:t xml:space="preserve"> Résidence habituelle </w:t>
      </w:r>
      <w:r w:rsidRPr="0010611E">
        <w:rPr>
          <w:sz w:val="20"/>
          <w:lang w:val="fr-CA"/>
        </w:rPr>
        <w:t xml:space="preserve">— </w:t>
      </w:r>
      <w:r w:rsidRPr="0010611E">
        <w:rPr>
          <w:i/>
          <w:sz w:val="20"/>
          <w:lang w:val="fr-CA"/>
        </w:rPr>
        <w:t xml:space="preserve">Différentes approches se font jour dans la jurisprudence internationale quant à la détermination du lieu de la « résidence habituelle » pour l’application de l’article 3 de la Convention </w:t>
      </w:r>
      <w:r w:rsidRPr="0010611E">
        <w:rPr>
          <w:sz w:val="20"/>
          <w:lang w:val="fr-CA"/>
        </w:rPr>
        <w:t>—</w:t>
      </w:r>
      <w:r w:rsidRPr="0010611E">
        <w:rPr>
          <w:i/>
          <w:sz w:val="20"/>
          <w:lang w:val="fr-CA"/>
        </w:rPr>
        <w:t xml:space="preserve"> Le Canada est signataire de cette Convention ainsi que de la Convention de Vienne sur le droit des traités </w:t>
      </w:r>
      <w:r w:rsidRPr="0010611E">
        <w:rPr>
          <w:sz w:val="20"/>
          <w:lang w:val="fr-CA"/>
        </w:rPr>
        <w:t>—</w:t>
      </w:r>
      <w:r w:rsidRPr="0010611E">
        <w:rPr>
          <w:i/>
          <w:sz w:val="20"/>
          <w:lang w:val="fr-CA"/>
        </w:rPr>
        <w:t xml:space="preserve"> Les tribunaux canadiens devraient</w:t>
      </w:r>
      <w:r w:rsidRPr="0010611E">
        <w:rPr>
          <w:i/>
          <w:sz w:val="20"/>
          <w:lang w:val="fr-CA"/>
        </w:rPr>
        <w:noBreakHyphen/>
        <w:t xml:space="preserve">ils adopter l’approche fondée sur l’intention des parents, l’approche axée sur l’enfant ou l’approche hybride pour déterminer, en application de la Convention, le lieu de la résidence habituelle d’un enfant déplacé ou retenu illicitement? — Convention sur les aspects civils de l’enlèvement international d’enfants, R.T. Can. 1983 </w:t>
      </w:r>
      <w:proofErr w:type="gramStart"/>
      <w:r w:rsidRPr="0010611E">
        <w:rPr>
          <w:i/>
          <w:sz w:val="20"/>
          <w:lang w:val="fr-CA"/>
        </w:rPr>
        <w:t>n</w:t>
      </w:r>
      <w:r w:rsidRPr="0010611E">
        <w:rPr>
          <w:i/>
          <w:sz w:val="20"/>
          <w:vertAlign w:val="superscript"/>
          <w:lang w:val="fr-CA"/>
        </w:rPr>
        <w:t>o</w:t>
      </w:r>
      <w:proofErr w:type="gramEnd"/>
      <w:r w:rsidRPr="0010611E">
        <w:rPr>
          <w:i/>
          <w:sz w:val="20"/>
          <w:lang w:val="fr-CA"/>
        </w:rPr>
        <w:t> 35, art. 3.</w:t>
      </w:r>
    </w:p>
    <w:p w:rsidR="009766E5" w:rsidRPr="0010611E" w:rsidRDefault="009766E5" w:rsidP="00BA3E56">
      <w:pPr>
        <w:pStyle w:val="SCCNormalDoubleSpacing"/>
        <w:rPr>
          <w:sz w:val="20"/>
          <w:lang w:val="fr-CA"/>
        </w:rPr>
      </w:pPr>
    </w:p>
    <w:p w:rsidR="00BA3E56" w:rsidRPr="0010611E" w:rsidRDefault="00BA3E56" w:rsidP="00BA3E56">
      <w:pPr>
        <w:pStyle w:val="SCCNormalDoubleSpacing"/>
        <w:rPr>
          <w:sz w:val="20"/>
          <w:lang w:val="fr-CA"/>
        </w:rPr>
      </w:pPr>
      <w:r w:rsidRPr="0010611E">
        <w:rPr>
          <w:sz w:val="20"/>
          <w:lang w:val="fr-CA"/>
        </w:rPr>
        <w:tab/>
        <w:t>Après s’être mariés en Ontario, les intimés ont déménagé en Allemagne en 2001, où ils ont eu leurs deux enfants en 2002 et en 2005. Les enfants éprouvaient des difficultés à l’école en Allemagne, si bien que le père a consenti à ce qu’ils séjournent temporairement au Canada avec leur mère pendant l’année scolaire 2013</w:t>
      </w:r>
      <w:r w:rsidRPr="0010611E">
        <w:rPr>
          <w:sz w:val="20"/>
          <w:lang w:val="fr-CA"/>
        </w:rPr>
        <w:noBreakHyphen/>
        <w:t>2014. Les enfants ont fréquenté l’école en Ontario, où ils habitaient avec leur mère et leurs grands</w:t>
      </w:r>
      <w:r w:rsidRPr="0010611E">
        <w:rPr>
          <w:sz w:val="20"/>
          <w:lang w:val="fr-CA"/>
        </w:rPr>
        <w:noBreakHyphen/>
        <w:t xml:space="preserve">parents. Parce qu’il soupçonnait la mère de ne pas renvoyer les enfants en Allemagne à la fin de l’année scolaire, le père a signifié la révocation du consentement, a réactivé une instance de garde en Allemagne et a engagé une instance fondée sur la </w:t>
      </w:r>
      <w:r w:rsidRPr="0010611E">
        <w:rPr>
          <w:i/>
          <w:sz w:val="20"/>
          <w:lang w:val="fr-CA"/>
        </w:rPr>
        <w:t>Convention sur les aspects civils de l’enlèvement international d’enfants</w:t>
      </w:r>
      <w:r w:rsidRPr="0010611E">
        <w:rPr>
          <w:sz w:val="20"/>
          <w:lang w:val="fr-CA"/>
        </w:rPr>
        <w:t xml:space="preserve"> (« </w:t>
      </w:r>
      <w:r w:rsidRPr="0010611E">
        <w:rPr>
          <w:i/>
          <w:sz w:val="20"/>
          <w:lang w:val="fr-CA"/>
        </w:rPr>
        <w:t>Convention de La Haye</w:t>
      </w:r>
      <w:r w:rsidRPr="0010611E">
        <w:rPr>
          <w:sz w:val="20"/>
          <w:lang w:val="fr-CA"/>
        </w:rPr>
        <w:t xml:space="preserve"> ») afin que soit ordonné le retour des enfants en Allemagne. Après que la période visée par son consentement eut expiré et qu’il eut été débouté de ses demandes en Allemagne, le père a fait inscrire au rôle sa demande ontarienne prenant appui sur la </w:t>
      </w:r>
      <w:r w:rsidRPr="0010611E">
        <w:rPr>
          <w:i/>
          <w:sz w:val="20"/>
          <w:lang w:val="fr-CA"/>
        </w:rPr>
        <w:t>Convention de La Haye</w:t>
      </w:r>
      <w:r w:rsidRPr="0010611E">
        <w:rPr>
          <w:sz w:val="20"/>
          <w:lang w:val="fr-CA"/>
        </w:rPr>
        <w:t>.</w:t>
      </w:r>
    </w:p>
    <w:p w:rsidR="00143552" w:rsidRPr="0010611E" w:rsidRDefault="00143552" w:rsidP="00BA3E56">
      <w:pPr>
        <w:pStyle w:val="SCCNormalDoubleSpacing"/>
        <w:rPr>
          <w:sz w:val="20"/>
          <w:lang w:val="fr-CA"/>
        </w:rPr>
      </w:pPr>
    </w:p>
    <w:p w:rsidR="00BA3E56" w:rsidRPr="0010611E" w:rsidRDefault="00BA3E56" w:rsidP="00BA3E56">
      <w:pPr>
        <w:pStyle w:val="SCCNormalDoubleSpacing"/>
        <w:rPr>
          <w:sz w:val="20"/>
          <w:lang w:val="fr-CA"/>
        </w:rPr>
      </w:pPr>
      <w:r w:rsidRPr="0010611E">
        <w:rPr>
          <w:sz w:val="20"/>
          <w:lang w:val="fr-CA"/>
        </w:rPr>
        <w:tab/>
        <w:t>La juge des requêtes a demandé que le Bureau de l’avocat des enfants (« BAE ») soit désigné pour défendre les intérêts des enfants. Elle a conclu que les enfants avaient leur résidence habituelle en Allemagne, puis elle a ordonné leur retour dans ce pays. La Cour divisionnaire a accueilli l’appel de la mère. La Cour d’appel a accueilli l’appel du père au motif que les enfants avaient leur résidence habituelle en Allemagne au moment considéré et qu’il y avait eu non</w:t>
      </w:r>
      <w:r w:rsidRPr="0010611E">
        <w:rPr>
          <w:sz w:val="20"/>
          <w:lang w:val="fr-CA"/>
        </w:rPr>
        <w:noBreakHyphen/>
        <w:t xml:space="preserve">retour illicite au sens de l’article 3 de la </w:t>
      </w:r>
      <w:r w:rsidRPr="0010611E">
        <w:rPr>
          <w:i/>
          <w:sz w:val="20"/>
          <w:lang w:val="fr-CA"/>
        </w:rPr>
        <w:t>Convention de La Haye</w:t>
      </w:r>
      <w:r w:rsidRPr="0010611E">
        <w:rPr>
          <w:sz w:val="20"/>
          <w:lang w:val="fr-CA"/>
        </w:rPr>
        <w:t>. Le BAE a présenté une demande d’autorisation d’appel devant la Cour. Une demande de sursis à l’exécution de la décision jusqu’à ce qu’il soit statué sur le pourvoi a été rejetée. Le 15 octobre 2016, les enfants ont finalement été renvoyés en Allemagne, où leur mère a obtenu leur garde exclusive. Les enfants sont rentrés au Canada le 5 avril 2017. Bien que le pourvoi soit désormais théorique, les questions soulevées sont importantes et le droit qui régit le processus décisionnel dans un dossier apparenté à la présente affaire doit être clarifié.</w:t>
      </w:r>
    </w:p>
    <w:p w:rsidR="00143552" w:rsidRPr="0010611E" w:rsidRDefault="00143552" w:rsidP="00BA3E56">
      <w:pPr>
        <w:pStyle w:val="SCCNormalDoubleSpacing"/>
        <w:rPr>
          <w:sz w:val="20"/>
          <w:lang w:val="fr-CA"/>
        </w:rPr>
      </w:pPr>
    </w:p>
    <w:p w:rsidR="00BA3E56" w:rsidRPr="0010611E" w:rsidRDefault="00BA3E56" w:rsidP="00BA3E56">
      <w:pPr>
        <w:pStyle w:val="SCCNormalDoubleSpacing"/>
        <w:rPr>
          <w:sz w:val="20"/>
          <w:lang w:val="fr-CA"/>
        </w:rPr>
      </w:pPr>
      <w:r w:rsidRPr="0010611E">
        <w:rPr>
          <w:sz w:val="20"/>
          <w:lang w:val="fr-CA"/>
        </w:rPr>
        <w:tab/>
      </w:r>
      <w:r w:rsidRPr="0010611E">
        <w:rPr>
          <w:i/>
          <w:sz w:val="20"/>
          <w:lang w:val="fr-CA"/>
        </w:rPr>
        <w:t>Arrêt</w:t>
      </w:r>
      <w:r w:rsidRPr="0010611E">
        <w:rPr>
          <w:sz w:val="20"/>
          <w:lang w:val="fr-CA"/>
        </w:rPr>
        <w:t xml:space="preserve"> (les juges Moldaver, Côté et Rowe sont dissidents) : La Cour devrait recourir à l’approche hybride pour déterminer le lieu de la résidence habituelle suivant l’article 3 de la </w:t>
      </w:r>
      <w:r w:rsidRPr="0010611E">
        <w:rPr>
          <w:i/>
          <w:sz w:val="20"/>
          <w:lang w:val="fr-CA"/>
        </w:rPr>
        <w:t>Convention de La Haye</w:t>
      </w:r>
      <w:r w:rsidRPr="0010611E">
        <w:rPr>
          <w:sz w:val="20"/>
          <w:lang w:val="fr-CA"/>
        </w:rPr>
        <w:t xml:space="preserve"> et à une approche non technique pour se prononcer sur l’opposition de l’enfant au retour suivant l’article 13(2).</w:t>
      </w:r>
    </w:p>
    <w:p w:rsidR="00143552" w:rsidRPr="0010611E" w:rsidRDefault="00143552" w:rsidP="00BA3E56">
      <w:pPr>
        <w:pStyle w:val="SCCNormalDoubleSpacing"/>
        <w:rPr>
          <w:sz w:val="20"/>
          <w:lang w:val="fr-CA"/>
        </w:rPr>
      </w:pPr>
    </w:p>
    <w:p w:rsidR="00BA3E56" w:rsidRPr="0010611E" w:rsidRDefault="00BA3E56" w:rsidP="00BA3E56">
      <w:pPr>
        <w:pStyle w:val="SCCNormalDoubleSpacing"/>
        <w:rPr>
          <w:sz w:val="20"/>
          <w:lang w:val="fr-CA"/>
        </w:rPr>
      </w:pPr>
      <w:r w:rsidRPr="0010611E">
        <w:rPr>
          <w:sz w:val="20"/>
          <w:lang w:val="fr-CA"/>
        </w:rPr>
        <w:tab/>
      </w:r>
      <w:r w:rsidRPr="0010611E">
        <w:rPr>
          <w:i/>
          <w:sz w:val="20"/>
          <w:lang w:val="fr-CA"/>
        </w:rPr>
        <w:t>La</w:t>
      </w:r>
      <w:r w:rsidRPr="0010611E">
        <w:rPr>
          <w:sz w:val="20"/>
          <w:lang w:val="fr-CA"/>
        </w:rPr>
        <w:t xml:space="preserve"> </w:t>
      </w:r>
      <w:r w:rsidRPr="0010611E">
        <w:rPr>
          <w:b/>
          <w:sz w:val="20"/>
          <w:lang w:val="fr-CA"/>
        </w:rPr>
        <w:t>juge en chef McLachlin</w:t>
      </w:r>
      <w:r w:rsidRPr="0010611E">
        <w:rPr>
          <w:sz w:val="20"/>
          <w:lang w:val="fr-CA"/>
        </w:rPr>
        <w:t xml:space="preserve"> et les juges Abella, Karakatsanis, Wagner, Gascon et Brown : La </w:t>
      </w:r>
      <w:r w:rsidRPr="0010611E">
        <w:rPr>
          <w:i/>
          <w:sz w:val="20"/>
          <w:lang w:val="fr-CA"/>
        </w:rPr>
        <w:t>Convention de La Haye</w:t>
      </w:r>
      <w:r w:rsidRPr="0010611E">
        <w:rPr>
          <w:sz w:val="20"/>
          <w:lang w:val="fr-CA"/>
        </w:rPr>
        <w:t xml:space="preserve"> vise à faire respecter le droit de garde et à assurer le retour immédiat de l’enfant dans le pays de sa résidence habituelle lorsqu’il a fait l’objet d’un déplacement ou d’un non-retour illicite. L’ordonnance de retour ne constitue pas une décision sur la garde. Elle vise seulement à rétablir la situation d’avant le déplacement ou le non</w:t>
      </w:r>
      <w:r w:rsidRPr="0010611E">
        <w:rPr>
          <w:sz w:val="20"/>
          <w:lang w:val="fr-CA"/>
        </w:rPr>
        <w:noBreakHyphen/>
        <w:t xml:space="preserve">retour illicite. L’axe central du mécanisme de retour immédiat de la </w:t>
      </w:r>
      <w:r w:rsidRPr="0010611E">
        <w:rPr>
          <w:i/>
          <w:sz w:val="20"/>
          <w:lang w:val="fr-CA"/>
        </w:rPr>
        <w:t>Convention de La Haye</w:t>
      </w:r>
      <w:r w:rsidRPr="0010611E">
        <w:rPr>
          <w:sz w:val="20"/>
          <w:lang w:val="fr-CA"/>
        </w:rPr>
        <w:t xml:space="preserve"> est l’article 3. Cette disposition prévoit que le déplacement ou le non</w:t>
      </w:r>
      <w:r w:rsidRPr="0010611E">
        <w:rPr>
          <w:sz w:val="20"/>
          <w:lang w:val="fr-CA"/>
        </w:rPr>
        <w:noBreakHyphen/>
        <w:t>retour d’un enfant est illicite a) lorsqu’il a lieu en violation d’un droit de garde selon le droit de l’État dans lequel l’enfant avait sa « résidence habituelle » immédiatement avant son déplacement ou son non</w:t>
      </w:r>
      <w:r w:rsidRPr="0010611E">
        <w:rPr>
          <w:sz w:val="20"/>
          <w:lang w:val="fr-CA"/>
        </w:rPr>
        <w:noBreakHyphen/>
        <w:t>retour et b) lorsque ce droit était exercé de façon effective au moment du déplacement ou du non</w:t>
      </w:r>
      <w:r w:rsidRPr="0010611E">
        <w:rPr>
          <w:sz w:val="20"/>
          <w:lang w:val="fr-CA"/>
        </w:rPr>
        <w:noBreakHyphen/>
        <w:t xml:space="preserve">retour, ou l’eût été si de tels évènements n’étaient survenus. Lorsque les conditions de l’article 3 sont réunies, l’article 12 exige du tribunal de l’État requis qu’il « ordonne [le] retour immédiat [de l’enfant] », sauf application d’une exception. </w:t>
      </w:r>
    </w:p>
    <w:p w:rsidR="00143552" w:rsidRPr="0010611E" w:rsidRDefault="00143552" w:rsidP="00BA3E56">
      <w:pPr>
        <w:pStyle w:val="SCCNormalDoubleSpacing"/>
        <w:rPr>
          <w:sz w:val="20"/>
          <w:lang w:val="fr-CA"/>
        </w:rPr>
      </w:pPr>
    </w:p>
    <w:p w:rsidR="00BA3E56" w:rsidRPr="0010611E" w:rsidRDefault="00BA3E56" w:rsidP="00BA3E56">
      <w:pPr>
        <w:pStyle w:val="SCCNormalDoubleSpacing"/>
        <w:rPr>
          <w:sz w:val="20"/>
          <w:lang w:val="fr-CA"/>
        </w:rPr>
      </w:pPr>
      <w:r w:rsidRPr="0010611E">
        <w:rPr>
          <w:sz w:val="20"/>
          <w:lang w:val="fr-CA"/>
        </w:rPr>
        <w:tab/>
        <w:t>Le respect d’une seule exigence de l’article 3 est contesté en l’espèce, à savoir que les enfants avaient leur résidence habituelle en Allemagne au moment du non</w:t>
      </w:r>
      <w:r w:rsidRPr="0010611E">
        <w:rPr>
          <w:sz w:val="20"/>
          <w:lang w:val="fr-CA"/>
        </w:rPr>
        <w:noBreakHyphen/>
        <w:t>retour illicite. Et la seule exception susceptible de s’appliquer est l’opposition alléguée des enfants à leur retour en Allemagne. La question qui se révèle centrale en l’espèce est de savoir suivant quels paramètres le juge des requêtes devrait déterminer le lieu de la résidence habituelle de l’enfant. Trois approches sont possibles : l’approche fondée sur l’intention des parents, celle axée sur l’enfant et l’approche hybride. Suivant l’approche fondée sur l’intention des parents, qui prédomine actuellement au Canada, le lieu de la résidence habituelle de l’enfant est déterminé à partir de l’intention des parents habilités à décider du lieu où vit l’enfant. Le séjour d’une durée limitée auquel les parents consentent ne modifie alors pas le lieu de la résidence habituelle de l’enfant. Pour sa part, l’approche hybride veut qu’au lieu de s’attacher surtout à l’intention des parents ou à l’acclimatation de l’enfant, le tribunal appelé à déterminer le lieu de la résidence habituelle se penche sur toutes les considérations pertinentes au vu des faits propres à l’affaire. Il tient compte de tous les liens et faits pertinents, à savoir les liens de l’enfant avec le pays A et sa situation dans ce pays, les circonstances du déplacement de l’enfant du pays A au pays B, ainsi que les liens de l’enfant avec le pays B et sa situation dans ce pays. Au nombre des considérations pertinentes il y a la durée, la régularité, les conditions et les raisons du séjour de l’enfant sur le territoire d’un État membre et la nationalité de l’enfant. Aucun élément ne prédomine. La situation des parents, y compris leurs intentions, peut se révéler importante, surtout dans le cas de nourrissons ou de jeunes enfants. Il n’existe cependant pas de règle selon laquelle les actes d’un parent ne peuvent emporter la modification unilatérale du lieu de la résidence habituelle de l’enfant. Assujettir à une telle construction juridique la détermination du lieu de la résidence habituelle rompt avec la tâche qui incombe au juge des faits, à savoir apprécier toutes circonstances pertinentes. L’approche hybride est axée sur les faits, pragmatique et affranchie de l’application rigide de règles, de formules ou de présomptions.</w:t>
      </w:r>
    </w:p>
    <w:p w:rsidR="00143552" w:rsidRPr="0010611E" w:rsidRDefault="00143552" w:rsidP="00BA3E56">
      <w:pPr>
        <w:pStyle w:val="SCCNormalDoubleSpacing"/>
        <w:rPr>
          <w:sz w:val="20"/>
          <w:lang w:val="fr-CA"/>
        </w:rPr>
      </w:pPr>
    </w:p>
    <w:p w:rsidR="00BA3E56" w:rsidRPr="0010611E" w:rsidRDefault="00BA3E56" w:rsidP="00BA3E56">
      <w:pPr>
        <w:pStyle w:val="SCCNormalDoubleSpacing"/>
        <w:rPr>
          <w:sz w:val="20"/>
          <w:lang w:val="fr-CA" w:eastAsia="en-US"/>
        </w:rPr>
      </w:pPr>
      <w:r w:rsidRPr="0010611E">
        <w:rPr>
          <w:sz w:val="20"/>
          <w:lang w:val="fr-CA"/>
        </w:rPr>
        <w:tab/>
      </w:r>
      <w:r w:rsidRPr="0010611E">
        <w:rPr>
          <w:rFonts w:eastAsiaTheme="minorEastAsia"/>
          <w:sz w:val="20"/>
          <w:lang w:val="fr-CA" w:eastAsia="en-US"/>
        </w:rPr>
        <w:t xml:space="preserve">Une nette tendance se dégage de la jurisprudence relative à la </w:t>
      </w:r>
      <w:r w:rsidRPr="0010611E">
        <w:rPr>
          <w:rFonts w:eastAsiaTheme="minorEastAsia"/>
          <w:i/>
          <w:sz w:val="20"/>
          <w:lang w:val="fr-CA" w:eastAsia="en-US"/>
        </w:rPr>
        <w:t xml:space="preserve">Convention de La Haye </w:t>
      </w:r>
      <w:r w:rsidRPr="0010611E">
        <w:rPr>
          <w:rFonts w:eastAsiaTheme="minorEastAsia"/>
          <w:sz w:val="20"/>
          <w:lang w:val="fr-CA" w:eastAsia="en-US"/>
        </w:rPr>
        <w:t xml:space="preserve">à l’effet de rejeter l’approche fondée sur l’intention des parents au profit de l’approche hybride multifactorielle. </w:t>
      </w:r>
      <w:r w:rsidRPr="0010611E">
        <w:rPr>
          <w:sz w:val="20"/>
          <w:lang w:val="fr-CA"/>
        </w:rPr>
        <w:t xml:space="preserve">Il convient de recourir à l’approche hybride au Canada parce que (1) le principe d’harmonisation milite en sa faveur et (2) qu’elle est celle qui se concilie le mieux avec le texte, la structure et l’objet de la </w:t>
      </w:r>
      <w:r w:rsidRPr="0010611E">
        <w:rPr>
          <w:i/>
          <w:sz w:val="20"/>
          <w:lang w:val="fr-CA"/>
        </w:rPr>
        <w:t>Convention de La Haye.</w:t>
      </w:r>
      <w:r w:rsidRPr="0010611E">
        <w:rPr>
          <w:sz w:val="20"/>
          <w:lang w:val="fr-CA"/>
        </w:rPr>
        <w:t xml:space="preserve"> L’une des raisons d’être manifestes d’un traité multilatéral est l’harmonisation du droit national de chacune des parties avec les règles, les pratiques et les principes dont il est convenu. </w:t>
      </w:r>
      <w:r w:rsidRPr="0010611E">
        <w:rPr>
          <w:rFonts w:eastAsiaTheme="minorEastAsia"/>
          <w:sz w:val="20"/>
          <w:lang w:val="fr-CA" w:eastAsia="en-US"/>
        </w:rPr>
        <w:t xml:space="preserve">L’objectif de la </w:t>
      </w:r>
      <w:r w:rsidRPr="0010611E">
        <w:rPr>
          <w:rFonts w:eastAsiaTheme="minorEastAsia"/>
          <w:i/>
          <w:sz w:val="20"/>
          <w:lang w:val="fr-CA" w:eastAsia="en-US"/>
        </w:rPr>
        <w:t>Convention de La Haye</w:t>
      </w:r>
      <w:r w:rsidRPr="0010611E">
        <w:rPr>
          <w:rFonts w:eastAsiaTheme="minorEastAsia"/>
          <w:sz w:val="20"/>
          <w:lang w:val="fr-CA" w:eastAsia="en-US"/>
        </w:rPr>
        <w:t xml:space="preserve"> était l’établissement d’une procédure commune à tous les États contractants pour garantir le retour immédiat des enfants. Pour ne pas aller à l’encontre de la volonté d’harmonisation qui sous</w:t>
      </w:r>
      <w:r w:rsidRPr="0010611E">
        <w:rPr>
          <w:rFonts w:eastAsiaTheme="minorEastAsia"/>
          <w:sz w:val="20"/>
          <w:lang w:val="fr-CA" w:eastAsia="en-US"/>
        </w:rPr>
        <w:noBreakHyphen/>
        <w:t xml:space="preserve">tend la </w:t>
      </w:r>
      <w:r w:rsidRPr="0010611E">
        <w:rPr>
          <w:rFonts w:eastAsiaTheme="minorEastAsia"/>
          <w:i/>
          <w:sz w:val="20"/>
          <w:lang w:val="fr-CA" w:eastAsia="en-US"/>
        </w:rPr>
        <w:t>Convention de La Haye</w:t>
      </w:r>
      <w:r w:rsidRPr="0010611E">
        <w:rPr>
          <w:rFonts w:eastAsiaTheme="minorEastAsia"/>
          <w:sz w:val="20"/>
          <w:lang w:val="fr-CA" w:eastAsia="en-US"/>
        </w:rPr>
        <w:t xml:space="preserve">, les tribunaux nationaux doivent examiner de près les décisions des tribunaux des autres États contractants sur sa portée et sur son application. </w:t>
      </w:r>
      <w:r w:rsidRPr="0010611E">
        <w:rPr>
          <w:sz w:val="20"/>
          <w:lang w:val="fr-CA"/>
        </w:rPr>
        <w:t>En fin de compte, la meilleure garantie de certitude réside dans l’adhésion à la jurisprudence internationale qui se fait jour et qui privilégie une approche hybride multifactorielle. Par ailleurs, l</w:t>
      </w:r>
      <w:r w:rsidRPr="0010611E">
        <w:rPr>
          <w:sz w:val="20"/>
          <w:lang w:val="fr-CA" w:eastAsia="en-US"/>
        </w:rPr>
        <w:t>’approche hybride est celle qui respecte le plus les objectifs du retour immédiat, à savoir (1) dissuader les parents de recourir à l’enlèvement dans le but de créer des liens dans un pays où la garde de l’enfant pourrait leur être accordée, (2) favoriser le prononcé rapide d’une décision sur la garde ou le droit de visite dans le ressort où l’enfant a sa résidence habituelle et (3) protéger l’enfant des effets nuisibles d’un déplacement ou d’un non</w:t>
      </w:r>
      <w:r w:rsidRPr="0010611E">
        <w:rPr>
          <w:sz w:val="20"/>
          <w:lang w:val="fr-CA" w:eastAsia="en-US"/>
        </w:rPr>
        <w:noBreakHyphen/>
        <w:t xml:space="preserve">retour illicite. </w:t>
      </w:r>
    </w:p>
    <w:p w:rsidR="00143552" w:rsidRPr="0010611E" w:rsidRDefault="00143552" w:rsidP="00BA3E56">
      <w:pPr>
        <w:pStyle w:val="SCCNormalDoubleSpacing"/>
        <w:rPr>
          <w:rFonts w:eastAsiaTheme="minorEastAsia"/>
          <w:i/>
          <w:sz w:val="20"/>
          <w:lang w:val="fr-CA" w:eastAsia="en-US"/>
        </w:rPr>
      </w:pPr>
    </w:p>
    <w:p w:rsidR="00BA3E56" w:rsidRPr="0010611E" w:rsidRDefault="00BA3E56" w:rsidP="00BA3E56">
      <w:pPr>
        <w:pStyle w:val="SCCNormalDoubleSpacing"/>
        <w:rPr>
          <w:rFonts w:eastAsiaTheme="minorEastAsia"/>
          <w:sz w:val="20"/>
          <w:lang w:val="fr-CA" w:eastAsia="en-US"/>
        </w:rPr>
      </w:pPr>
      <w:r w:rsidRPr="0010611E">
        <w:rPr>
          <w:rFonts w:eastAsiaTheme="minorEastAsia"/>
          <w:sz w:val="20"/>
          <w:lang w:val="fr-CA" w:eastAsia="en-US"/>
        </w:rPr>
        <w:tab/>
        <w:t xml:space="preserve">Suivant l’approche hybride, le lieu </w:t>
      </w:r>
      <w:r w:rsidRPr="0010611E">
        <w:rPr>
          <w:sz w:val="20"/>
          <w:lang w:val="fr-CA"/>
        </w:rPr>
        <w:t>de</w:t>
      </w:r>
      <w:r w:rsidRPr="0010611E">
        <w:rPr>
          <w:rFonts w:eastAsiaTheme="minorEastAsia"/>
          <w:sz w:val="20"/>
          <w:lang w:val="fr-CA" w:eastAsia="en-US"/>
        </w:rPr>
        <w:t xml:space="preserve"> la résidence habituelle peut changer pendant que l’enfant habite avec l’un de ses parents pour une durée précise, avec le consentement de l’autre. Le juge des requêtes examine l’intention des parents que le déplacement soit temporaire et les raisons de leur accord. Mais il tient également compte de tous les autres éléments de preuve pertinents pour déterminer le lieu de la résidence habituelle de l’enfant.</w:t>
      </w:r>
    </w:p>
    <w:p w:rsidR="00143552" w:rsidRPr="0010611E" w:rsidRDefault="00143552" w:rsidP="00BA3E56">
      <w:pPr>
        <w:pStyle w:val="SCCNormalDoubleSpacing"/>
        <w:rPr>
          <w:rFonts w:eastAsiaTheme="minorEastAsia"/>
          <w:sz w:val="20"/>
          <w:lang w:val="fr-CA" w:eastAsia="en-US"/>
        </w:rPr>
      </w:pPr>
    </w:p>
    <w:p w:rsidR="00BA3E56" w:rsidRPr="0010611E" w:rsidRDefault="00BA3E56" w:rsidP="00BA3E56">
      <w:pPr>
        <w:pStyle w:val="SCCNormalDoubleSpacing"/>
        <w:rPr>
          <w:sz w:val="20"/>
          <w:lang w:val="fr-CA"/>
        </w:rPr>
      </w:pPr>
      <w:r w:rsidRPr="0010611E">
        <w:rPr>
          <w:sz w:val="20"/>
          <w:lang w:val="fr-CA"/>
        </w:rPr>
        <w:tab/>
        <w:t xml:space="preserve">L’article 13(2) prévoit une exception à la règle générale selon laquelle l’enfant déplacé ou retenu illicitement doit être renvoyé dans le pays de sa résidence habituelle, mais il ne faut pas l’interpréter si largement que le caractère général de la règle en soit compromis. Le pouvoir discrétionnaire qui permet au juge des requêtes de refuser d’ordonner le retour de l’enfant dans le pays de sa résidence habituelle ne naît que si la personne qui s’oppose au retour établit (1) que l’enfant a atteint un âge et une maturité où il peut être tenu compte de son opinion et (2) qu’il s’oppose au retour. Dans la plupart des cas, le caractère suffisant de l’âge et de la maturité s’infère simplement du comportement de l’enfant, de son témoignage et des circonstances qui lui sont propres. L’opposition de l’enfant doit être appréciée purement et simplement, sans exiger le respect de conditions ou d’exigences de forme qui ne figurent pas dans la </w:t>
      </w:r>
      <w:r w:rsidRPr="0010611E">
        <w:rPr>
          <w:i/>
          <w:sz w:val="20"/>
          <w:lang w:val="fr-CA"/>
        </w:rPr>
        <w:t>Convention de La Haye</w:t>
      </w:r>
      <w:r w:rsidRPr="0010611E">
        <w:rPr>
          <w:sz w:val="20"/>
          <w:lang w:val="fr-CA"/>
        </w:rPr>
        <w:t>. La plupart du temps, l’objectif de l’article 13(2) peut être atteint au moyen d’une seule mesure judiciaire qui consiste à décider si l’enfant a un âge et une maturité qui rendent son témoignage utile, à décider si l’enfant s’oppose au retour et, le cas échéant, à exercer le pouvoir discrétionnaire qui permet d’ordonner ou non son retour.</w:t>
      </w:r>
    </w:p>
    <w:p w:rsidR="00143552" w:rsidRPr="0010611E" w:rsidRDefault="00143552" w:rsidP="00BA3E56">
      <w:pPr>
        <w:pStyle w:val="SCCNormalDoubleSpacing"/>
        <w:rPr>
          <w:sz w:val="20"/>
          <w:lang w:val="fr-CA"/>
        </w:rPr>
      </w:pPr>
    </w:p>
    <w:p w:rsidR="00BA3E56" w:rsidRPr="0010611E" w:rsidRDefault="00BA3E56" w:rsidP="00BA3E56">
      <w:pPr>
        <w:pStyle w:val="SCCNormalDoubleSpacing"/>
        <w:rPr>
          <w:sz w:val="20"/>
          <w:lang w:val="fr-CA"/>
        </w:rPr>
      </w:pPr>
      <w:r w:rsidRPr="0010611E">
        <w:rPr>
          <w:sz w:val="20"/>
          <w:lang w:val="fr-CA"/>
        </w:rPr>
        <w:tab/>
        <w:t xml:space="preserve">Enfin, le temps qui s’est écoulé avant que l’on entende la demande fondée sur la </w:t>
      </w:r>
      <w:r w:rsidRPr="0010611E">
        <w:rPr>
          <w:i/>
          <w:sz w:val="20"/>
          <w:lang w:val="fr-CA"/>
        </w:rPr>
        <w:t>Convention de La Haye</w:t>
      </w:r>
      <w:r w:rsidRPr="0010611E">
        <w:rPr>
          <w:sz w:val="20"/>
          <w:lang w:val="fr-CA"/>
        </w:rPr>
        <w:t xml:space="preserve"> et qu’il soit statué sur les appels interjetés subséquemment a été trop long. Ce sont précisément les difficultés et l’anxiété que peuvent causer de tels retards à un enfant que les États signataires de la </w:t>
      </w:r>
      <w:r w:rsidRPr="0010611E">
        <w:rPr>
          <w:i/>
          <w:sz w:val="20"/>
          <w:lang w:val="fr-CA"/>
        </w:rPr>
        <w:t>Convention de La Haye</w:t>
      </w:r>
      <w:r w:rsidRPr="0010611E">
        <w:rPr>
          <w:sz w:val="20"/>
          <w:lang w:val="fr-CA"/>
        </w:rPr>
        <w:t xml:space="preserve"> ont voulu prévenir en privilégiant le retour immédiat et le recours à des procédures d’urgence. En l’espèce, il appartenait aux autorités judiciaires et aux administrateurs judiciaires de faire en sorte que le Canada s’acquitte de son obligation de « procéder d’urgence en vue du retour de l’enfant » conformément à l’article 11. La conduite d’une instance fondée sur la </w:t>
      </w:r>
      <w:r w:rsidRPr="0010611E">
        <w:rPr>
          <w:i/>
          <w:sz w:val="20"/>
          <w:lang w:val="fr-CA"/>
        </w:rPr>
        <w:t>Convention de La Haye</w:t>
      </w:r>
      <w:r w:rsidRPr="0010611E">
        <w:rPr>
          <w:sz w:val="20"/>
          <w:lang w:val="fr-CA"/>
        </w:rPr>
        <w:t xml:space="preserve"> devrait relever du juge et non des parties de manière à assurer la rapidité du déroulement.</w:t>
      </w:r>
    </w:p>
    <w:p w:rsidR="00143552" w:rsidRPr="0010611E" w:rsidRDefault="00143552" w:rsidP="00BA3E56">
      <w:pPr>
        <w:pStyle w:val="SCCNormalDoubleSpacing"/>
        <w:rPr>
          <w:sz w:val="20"/>
          <w:lang w:val="fr-CA"/>
        </w:rPr>
      </w:pPr>
    </w:p>
    <w:p w:rsidR="00BA3E56" w:rsidRPr="0010611E" w:rsidRDefault="00BA3E56" w:rsidP="00BA3E56">
      <w:pPr>
        <w:pStyle w:val="SCCNormalDoubleSpacing"/>
        <w:rPr>
          <w:sz w:val="20"/>
          <w:lang w:val="fr-CA"/>
        </w:rPr>
      </w:pPr>
      <w:r w:rsidRPr="0010611E">
        <w:rPr>
          <w:rFonts w:eastAsiaTheme="minorEastAsia"/>
          <w:i/>
          <w:sz w:val="20"/>
          <w:lang w:val="fr-CA" w:eastAsia="en-US"/>
        </w:rPr>
        <w:tab/>
        <w:t>Les</w:t>
      </w:r>
      <w:r w:rsidRPr="0010611E">
        <w:rPr>
          <w:rFonts w:eastAsiaTheme="minorEastAsia"/>
          <w:sz w:val="20"/>
          <w:lang w:val="fr-CA" w:eastAsia="en-US"/>
        </w:rPr>
        <w:t xml:space="preserve"> juges Moldaver, </w:t>
      </w:r>
      <w:r w:rsidRPr="0010611E">
        <w:rPr>
          <w:rFonts w:eastAsiaTheme="minorEastAsia"/>
          <w:b/>
          <w:sz w:val="20"/>
          <w:lang w:val="fr-CA" w:eastAsia="en-US"/>
        </w:rPr>
        <w:t>Côté</w:t>
      </w:r>
      <w:r w:rsidRPr="0010611E">
        <w:rPr>
          <w:rFonts w:eastAsiaTheme="minorEastAsia"/>
          <w:sz w:val="20"/>
          <w:lang w:val="fr-CA" w:eastAsia="en-US"/>
        </w:rPr>
        <w:t xml:space="preserve"> et </w:t>
      </w:r>
      <w:r w:rsidRPr="0010611E">
        <w:rPr>
          <w:rFonts w:eastAsiaTheme="minorEastAsia"/>
          <w:b/>
          <w:sz w:val="20"/>
          <w:lang w:val="fr-CA" w:eastAsia="en-US"/>
        </w:rPr>
        <w:t>Rowe</w:t>
      </w:r>
      <w:r w:rsidRPr="0010611E">
        <w:rPr>
          <w:rFonts w:eastAsiaTheme="minorEastAsia"/>
          <w:sz w:val="20"/>
          <w:lang w:val="fr-CA" w:eastAsia="en-US"/>
        </w:rPr>
        <w:t xml:space="preserve"> (dissidents) : L</w:t>
      </w:r>
      <w:r w:rsidRPr="0010611E">
        <w:rPr>
          <w:sz w:val="20"/>
          <w:lang w:val="fr-CA"/>
        </w:rPr>
        <w:t xml:space="preserve">’objectif manifeste de la </w:t>
      </w:r>
      <w:r w:rsidRPr="0010611E">
        <w:rPr>
          <w:i/>
          <w:sz w:val="20"/>
          <w:lang w:val="fr-CA"/>
        </w:rPr>
        <w:t>Convention de La Haye</w:t>
      </w:r>
      <w:r w:rsidRPr="0010611E">
        <w:rPr>
          <w:sz w:val="20"/>
          <w:lang w:val="fr-CA"/>
        </w:rPr>
        <w:t xml:space="preserve"> est l’exécution du droit de garde dans tous les États signataires, ce qui milite en faveur de l’approche fondée sur l’intention des parents pour déterminer le lieu de la résidence habituelle. Dans la présente affaire, les enfants avaient leur résidence habituelle en Allemagne au moment où ils auraient été retenus illicitement au Canada, car il n’y avait pas d’intention commune des parents de faire du Canada le lieu de la résidence habituelle des enfants. </w:t>
      </w:r>
    </w:p>
    <w:p w:rsidR="00143552" w:rsidRPr="0010611E" w:rsidRDefault="00143552" w:rsidP="00BA3E56">
      <w:pPr>
        <w:pStyle w:val="SCCNormalDoubleSpacing"/>
        <w:rPr>
          <w:sz w:val="20"/>
          <w:lang w:val="fr-CA"/>
        </w:rPr>
      </w:pPr>
    </w:p>
    <w:p w:rsidR="00BA3E56" w:rsidRPr="0010611E" w:rsidRDefault="00BA3E56" w:rsidP="00BA3E56">
      <w:pPr>
        <w:pStyle w:val="SCCNormalDoubleSpacing"/>
        <w:rPr>
          <w:sz w:val="20"/>
          <w:lang w:val="fr-CA"/>
        </w:rPr>
      </w:pPr>
      <w:r w:rsidRPr="0010611E">
        <w:rPr>
          <w:sz w:val="20"/>
          <w:lang w:val="fr-CA"/>
        </w:rPr>
        <w:tab/>
        <w:t xml:space="preserve">Suivant la </w:t>
      </w:r>
      <w:r w:rsidRPr="0010611E">
        <w:rPr>
          <w:i/>
          <w:sz w:val="20"/>
          <w:lang w:val="fr-CA"/>
        </w:rPr>
        <w:t>Convention de La Haye</w:t>
      </w:r>
      <w:r w:rsidRPr="0010611E">
        <w:rPr>
          <w:sz w:val="20"/>
          <w:lang w:val="fr-CA"/>
        </w:rPr>
        <w:t xml:space="preserve">, le tribunal saisi d’une demande de retour fondée sur l’article 12 doit se livrer à une analyse en deux étapes. À la première, il doit décider si l’enfant a été déplacé du lieu de sa résidence habituelle ou retenu dans un autre pays par l’un de ses parents en violation du droit de garde de l’autre. À la deuxième étape, il doit se demander si une exception s’applique à la règle du retour. Dans le présent pourvoi, la principale question en litige </w:t>
      </w:r>
      <w:r w:rsidRPr="0010611E">
        <w:rPr>
          <w:rFonts w:eastAsiaTheme="minorHAnsi"/>
          <w:sz w:val="20"/>
          <w:lang w:val="fr-CA" w:bidi="en-US"/>
        </w:rPr>
        <w:t xml:space="preserve">se pose à </w:t>
      </w:r>
      <w:r w:rsidRPr="0010611E">
        <w:rPr>
          <w:sz w:val="20"/>
          <w:lang w:val="fr-CA"/>
        </w:rPr>
        <w:t>la première étape de l’analyse : où les enfants avaient</w:t>
      </w:r>
      <w:r w:rsidRPr="0010611E">
        <w:rPr>
          <w:sz w:val="20"/>
          <w:lang w:val="fr-CA"/>
        </w:rPr>
        <w:noBreakHyphen/>
        <w:t xml:space="preserve">ils leur résidence habituelle pour les besoins de l’article 3? Dans la plupart des cas, l’intention des parents devrait importer davantage que la solidité des liens pertinents entre l’enfant et chacun des pays concurrents. À l’opposé, l’approche hybride fait de l’intention des parents un simple élément parmi d’autres. Il en résulte une approche non raisonnée et non balisée qui ne prend appui ni sur le texte de la </w:t>
      </w:r>
      <w:r w:rsidRPr="0010611E">
        <w:rPr>
          <w:i/>
          <w:sz w:val="20"/>
          <w:lang w:val="fr-CA"/>
        </w:rPr>
        <w:t>Convention de La Haye</w:t>
      </w:r>
      <w:r w:rsidRPr="0010611E">
        <w:rPr>
          <w:sz w:val="20"/>
          <w:lang w:val="fr-CA"/>
        </w:rPr>
        <w:t>, ni sur sa structure, ni sur son objet, ce qui constitue une recette parfaite pour entraîner des litiges.</w:t>
      </w:r>
    </w:p>
    <w:p w:rsidR="00143552" w:rsidRPr="0010611E" w:rsidRDefault="00143552" w:rsidP="00BA3E56">
      <w:pPr>
        <w:pStyle w:val="SCCNormalDoubleSpacing"/>
        <w:rPr>
          <w:sz w:val="20"/>
          <w:lang w:val="fr-CA"/>
        </w:rPr>
      </w:pPr>
    </w:p>
    <w:p w:rsidR="00BA3E56" w:rsidRPr="0010611E" w:rsidRDefault="00BA3E56" w:rsidP="00BA3E56">
      <w:pPr>
        <w:pStyle w:val="SCCNormalDoubleSpacing"/>
        <w:rPr>
          <w:sz w:val="20"/>
          <w:lang w:val="fr-CA"/>
        </w:rPr>
      </w:pPr>
      <w:r w:rsidRPr="0010611E">
        <w:rPr>
          <w:sz w:val="20"/>
          <w:lang w:val="fr-CA"/>
        </w:rPr>
        <w:tab/>
        <w:t>Lorsque les parents ont convenu par écrit que le séjour dans le nouveau pays serait temporaire, cette entente doit se voir accorder un poids décisif. L’intention commune des parents qui ressort par ailleurs de la preuve dont dispose le juge des requêtes devrait être déterminante quant au lieu de la résidence habituelle, sauf circonstances exceptionnelles. Certains tribunaux reconnaissent une exception d’application restreinte lorsque la preuve mène de façon non équivoque à la conclusion que l’enfant s’est acclimaté au nouveau lieu, mais ces cas sont rares et il faut prouver plus que la seule intégration dans un nouveau milieu pour que l’intention commune des parents soit écartée.</w:t>
      </w:r>
    </w:p>
    <w:p w:rsidR="00143552" w:rsidRPr="0010611E" w:rsidRDefault="00143552" w:rsidP="00BA3E56">
      <w:pPr>
        <w:pStyle w:val="SCCNormalDoubleSpacing"/>
        <w:rPr>
          <w:sz w:val="20"/>
          <w:lang w:val="fr-CA"/>
        </w:rPr>
      </w:pPr>
    </w:p>
    <w:p w:rsidR="00BA3E56" w:rsidRPr="0010611E" w:rsidRDefault="00BA3E56" w:rsidP="00BA3E56">
      <w:pPr>
        <w:pStyle w:val="SCCNormalDoubleSpacing"/>
        <w:rPr>
          <w:sz w:val="20"/>
          <w:lang w:val="fr-CA"/>
        </w:rPr>
      </w:pPr>
      <w:r w:rsidRPr="0010611E">
        <w:rPr>
          <w:sz w:val="20"/>
          <w:lang w:val="fr-CA"/>
        </w:rPr>
        <w:tab/>
        <w:t xml:space="preserve">Trois indices sérieux permettent de conclure que l’intention des parents devrait constituer l’élément décisif, comme le commandent le texte et la structure de la </w:t>
      </w:r>
      <w:r w:rsidRPr="0010611E">
        <w:rPr>
          <w:i/>
          <w:sz w:val="20"/>
          <w:lang w:val="fr-CA"/>
        </w:rPr>
        <w:t>Convention de La Haye</w:t>
      </w:r>
      <w:r w:rsidRPr="0010611E">
        <w:rPr>
          <w:sz w:val="20"/>
          <w:lang w:val="fr-CA"/>
        </w:rPr>
        <w:t xml:space="preserve">. Premièrement, l’article 12 renferme deux dispositions distinctes dont l’application dépend du moment où est engagée la procédure fondée sur la </w:t>
      </w:r>
      <w:r w:rsidRPr="0010611E">
        <w:rPr>
          <w:i/>
          <w:sz w:val="20"/>
          <w:lang w:val="fr-CA"/>
        </w:rPr>
        <w:t>Convention de La Haye</w:t>
      </w:r>
      <w:r w:rsidRPr="0010611E">
        <w:rPr>
          <w:sz w:val="20"/>
          <w:lang w:val="fr-CA"/>
        </w:rPr>
        <w:t>. Lorsque la procédure est commencée un an ou plus après le déplacement ou le non</w:t>
      </w:r>
      <w:r w:rsidRPr="0010611E">
        <w:rPr>
          <w:sz w:val="20"/>
          <w:lang w:val="fr-CA"/>
        </w:rPr>
        <w:noBreakHyphen/>
        <w:t>retour illicite allégué, le tribunal n’est pas tenu d’ordonner le retour s’il est « établi que l’enfant s’est intégré dans son nouveau milieu ». Par contre, lorsque la procédure est engagée dans un délai inférieur à un an, le tribunal « ordonne [le] retour immédiat [de l’enfant] ». Partant, il serait inapproprié de prendre en compte une preuve d’intégration lorsque l’instance est engagée dans un délai inférieur à un an. Deuxièmement, l’analyse en deux étapes que commande l’article 12</w:t>
      </w:r>
      <w:r w:rsidRPr="0010611E">
        <w:rPr>
          <w:i/>
          <w:sz w:val="20"/>
          <w:lang w:val="fr-CA"/>
        </w:rPr>
        <w:t xml:space="preserve"> </w:t>
      </w:r>
      <w:r w:rsidRPr="0010611E">
        <w:rPr>
          <w:sz w:val="20"/>
          <w:lang w:val="fr-CA"/>
        </w:rPr>
        <w:t>distingue la notion de résidence habituelle (à la première étape) de la preuve relative à la situation de l’enfant (à la deuxième étape). L’article 13(2) prévoit une exception à l’ordonnance de retour qui s’attache précisément à l’opposition de l’enfant à son retour. Tenir compte de tels éléments à l’étape préliminaire de la détermination du lieu de la résidence habituelle serait confondre à tort les deux étapes de l’analyse. Troisièmement, l’article 5 précise que le droit de garde comprend « le droit [. . .] de décider [du] lieu de résidence [de l’enfant] », ce qui permet de conclure que les parents, en raison de leur droit de garde, doivent avoir une certaine influence sur la détermination du lieu où leur enfant est réputé avoir sa résidence habituelle.</w:t>
      </w:r>
    </w:p>
    <w:p w:rsidR="00143552" w:rsidRPr="0010611E" w:rsidRDefault="00143552" w:rsidP="00BA3E56">
      <w:pPr>
        <w:pStyle w:val="SCCNormalDoubleSpacing"/>
        <w:rPr>
          <w:sz w:val="20"/>
          <w:lang w:val="fr-CA"/>
        </w:rPr>
      </w:pPr>
    </w:p>
    <w:p w:rsidR="00BA3E56" w:rsidRPr="0010611E" w:rsidRDefault="00BA3E56" w:rsidP="00BA3E56">
      <w:pPr>
        <w:pStyle w:val="SCCNormalDoubleSpacing"/>
        <w:rPr>
          <w:sz w:val="20"/>
          <w:lang w:val="fr-CA"/>
        </w:rPr>
      </w:pPr>
      <w:r w:rsidRPr="0010611E">
        <w:rPr>
          <w:sz w:val="20"/>
          <w:lang w:val="fr-CA"/>
        </w:rPr>
        <w:tab/>
        <w:t xml:space="preserve">L’objet manifeste de la </w:t>
      </w:r>
      <w:r w:rsidRPr="0010611E">
        <w:rPr>
          <w:i/>
          <w:sz w:val="20"/>
          <w:lang w:val="fr-CA"/>
        </w:rPr>
        <w:t>Convention</w:t>
      </w:r>
      <w:r w:rsidRPr="0010611E">
        <w:rPr>
          <w:sz w:val="20"/>
          <w:lang w:val="fr-CA"/>
        </w:rPr>
        <w:t xml:space="preserve"> </w:t>
      </w:r>
      <w:r w:rsidRPr="0010611E">
        <w:rPr>
          <w:i/>
          <w:sz w:val="20"/>
          <w:lang w:val="fr-CA"/>
        </w:rPr>
        <w:t>de La Haye</w:t>
      </w:r>
      <w:r w:rsidRPr="0010611E">
        <w:rPr>
          <w:sz w:val="20"/>
          <w:lang w:val="fr-CA"/>
        </w:rPr>
        <w:t xml:space="preserve"> milite également en faveur de l’approche fondée sur l’intention des parents. Si l’objet premier de la </w:t>
      </w:r>
      <w:r w:rsidRPr="0010611E">
        <w:rPr>
          <w:i/>
          <w:sz w:val="20"/>
          <w:lang w:val="fr-CA"/>
        </w:rPr>
        <w:t>Convention de La Haye</w:t>
      </w:r>
      <w:r w:rsidRPr="0010611E">
        <w:rPr>
          <w:sz w:val="20"/>
          <w:lang w:val="fr-CA"/>
        </w:rPr>
        <w:t xml:space="preserve"> est de faire respecter le droit de garde, l’intention des parents devrait être centrale dans la détermination du lieu de la résidence habituelle. Enfin, des considérations de principe militent en faveur de l’approche fondée sur l’intention des parents, car celle</w:t>
      </w:r>
      <w:r w:rsidRPr="0010611E">
        <w:rPr>
          <w:sz w:val="20"/>
          <w:lang w:val="fr-CA"/>
        </w:rPr>
        <w:noBreakHyphen/>
        <w:t xml:space="preserve">ci crée un droit clair et certain comparativement aux autres approches. En l’absence d’une intention commune, aucun des parents n’a intérêt à enlever l’enfant ou à le retenir, car le lieu de la résidence habituelle de l’enfant demeure le pays d’origine, sauf circonstances exceptionnelles. Par conséquent, l’approche fondée sur l’intention des parents est celle qui se concilie le mieux avec les objectifs de la </w:t>
      </w:r>
      <w:r w:rsidRPr="0010611E">
        <w:rPr>
          <w:i/>
          <w:sz w:val="20"/>
          <w:lang w:val="fr-CA"/>
        </w:rPr>
        <w:t>Convention</w:t>
      </w:r>
      <w:r w:rsidRPr="0010611E">
        <w:rPr>
          <w:sz w:val="20"/>
          <w:lang w:val="fr-CA"/>
        </w:rPr>
        <w:t xml:space="preserve"> </w:t>
      </w:r>
      <w:r w:rsidRPr="0010611E">
        <w:rPr>
          <w:i/>
          <w:sz w:val="20"/>
          <w:lang w:val="fr-CA"/>
        </w:rPr>
        <w:t>de La Haye</w:t>
      </w:r>
      <w:r w:rsidRPr="0010611E">
        <w:rPr>
          <w:sz w:val="20"/>
          <w:lang w:val="fr-CA"/>
        </w:rPr>
        <w:t xml:space="preserve"> en ce qu’elle protège le droit de garde et décourage les enlèvements susceptibles de résulter d’une approche qui permet la modification unilatérale du lieu de la résidence habituelle.</w:t>
      </w:r>
    </w:p>
    <w:p w:rsidR="00143552" w:rsidRPr="0010611E" w:rsidRDefault="00143552" w:rsidP="00BA3E56">
      <w:pPr>
        <w:pStyle w:val="SCCNormalDoubleSpacing"/>
        <w:rPr>
          <w:sz w:val="20"/>
          <w:lang w:val="fr-CA"/>
        </w:rPr>
      </w:pPr>
    </w:p>
    <w:p w:rsidR="00BA3E56" w:rsidRPr="0010611E" w:rsidRDefault="00BA3E56" w:rsidP="00BA3E56">
      <w:pPr>
        <w:pStyle w:val="SCCNormalDoubleSpacing"/>
        <w:rPr>
          <w:sz w:val="20"/>
          <w:lang w:val="fr-CA"/>
        </w:rPr>
      </w:pPr>
      <w:r w:rsidRPr="0010611E">
        <w:rPr>
          <w:sz w:val="20"/>
          <w:lang w:val="fr-CA"/>
        </w:rPr>
        <w:tab/>
        <w:t xml:space="preserve">Pour sa part, en tenant compte d’autres éléments susceptibles de supplanter l’intention des parents dans la détermination du lieu de la résidence habituelle — ce qui permet de fait à l’un des parents de modifier unilatéralement le lieu de la résidence habituelle de l’enfant sans le consentement de l’autre même en présence d’un accord exprès —, l’approche hybride brouille la distinction entre l’instance relative à la garde et celle fondée sur la </w:t>
      </w:r>
      <w:r w:rsidRPr="0010611E">
        <w:rPr>
          <w:i/>
          <w:sz w:val="20"/>
          <w:lang w:val="fr-CA"/>
        </w:rPr>
        <w:t>Convention de La Haye</w:t>
      </w:r>
      <w:r w:rsidRPr="0010611E">
        <w:rPr>
          <w:sz w:val="20"/>
          <w:lang w:val="fr-CA"/>
        </w:rPr>
        <w:t xml:space="preserve"> et elle compromet la réalisation des objectifs de la Convention. En présence d’une preuve non équivoque de ce que les parents ont voulu, le modèle fondé sur l’intention des parents apporte une réponse claire et prévisible à la question du lieu de la résidence habituelle.</w:t>
      </w:r>
    </w:p>
    <w:p w:rsidR="00143552" w:rsidRPr="0010611E" w:rsidRDefault="00143552" w:rsidP="00BA3E56">
      <w:pPr>
        <w:pStyle w:val="SCCNormalDoubleSpacing"/>
        <w:rPr>
          <w:sz w:val="20"/>
          <w:lang w:val="fr-CA"/>
        </w:rPr>
      </w:pPr>
    </w:p>
    <w:p w:rsidR="00BA3E56" w:rsidRPr="0010611E" w:rsidRDefault="00BA3E56" w:rsidP="00BA3E56">
      <w:pPr>
        <w:pStyle w:val="SCCNormalDoubleSpacing"/>
        <w:rPr>
          <w:sz w:val="20"/>
          <w:lang w:val="fr-CA"/>
        </w:rPr>
      </w:pPr>
      <w:r w:rsidRPr="0010611E">
        <w:rPr>
          <w:sz w:val="20"/>
          <w:lang w:val="fr-CA"/>
        </w:rPr>
        <w:tab/>
        <w:t xml:space="preserve">Dans la présente affaire, </w:t>
      </w:r>
      <w:r w:rsidRPr="0010611E">
        <w:rPr>
          <w:rFonts w:eastAsiaTheme="minorHAnsi"/>
          <w:sz w:val="20"/>
          <w:lang w:val="fr-CA" w:bidi="en-US"/>
        </w:rPr>
        <w:t>le moment en fonction duquel il convient de déterminer le lieu de la résidence habituelle des enfants est le 15 août 2014, soit le jour où a pris fin le séjour auquel a consenti le père. Il ne fait aucun doute que les enfants avaient leur résidence habituelle en Allemagne avant leur départ pour le Canada étant donné l’</w:t>
      </w:r>
      <w:r w:rsidRPr="0010611E">
        <w:rPr>
          <w:sz w:val="20"/>
          <w:lang w:val="fr-CA"/>
        </w:rPr>
        <w:t>entente expresse dans laquelle le père n’a consenti qu’à un séjour temporaire au Canada. L’article 13(2) ne devrait pas être invoqué à la légère de manière à porter systématiquement atteinte au droit de garde du parent laissé derrière. La décision de la juge des requêtes selon laquelle les enfants ne se sont pas opposés au retour avec l’intensité requise commande la déférence. Dès lors, rien ne permettait de refuser d’ordonner le retour après avoir conclu que les enfants avaient leur résidence habituelle en Allemagne. L’appel devrait être rejeté.</w:t>
      </w:r>
    </w:p>
    <w:p w:rsidR="00143552" w:rsidRPr="0010611E" w:rsidRDefault="00143552" w:rsidP="00BA3E56">
      <w:pPr>
        <w:pStyle w:val="SCCNormalDoubleSpacing"/>
        <w:rPr>
          <w:sz w:val="20"/>
          <w:lang w:val="fr-CA"/>
        </w:rPr>
      </w:pPr>
    </w:p>
    <w:p w:rsidR="00BA3E56" w:rsidRPr="0010611E" w:rsidRDefault="00BA3E56" w:rsidP="00BA3E56">
      <w:pPr>
        <w:pStyle w:val="SCCNormalDoubleSpacing"/>
        <w:rPr>
          <w:sz w:val="20"/>
          <w:lang w:val="fr-CA"/>
        </w:rPr>
      </w:pPr>
      <w:r w:rsidRPr="0010611E">
        <w:rPr>
          <w:sz w:val="20"/>
          <w:lang w:val="fr-CA"/>
        </w:rPr>
        <w:tab/>
        <w:t xml:space="preserve">POURVOI contre un arrêt de la Cour d’appel de l’Ontario (les juges </w:t>
      </w:r>
      <w:proofErr w:type="spellStart"/>
      <w:r w:rsidRPr="0010611E">
        <w:rPr>
          <w:sz w:val="20"/>
          <w:lang w:val="fr-CA"/>
        </w:rPr>
        <w:t>Laskin</w:t>
      </w:r>
      <w:proofErr w:type="spellEnd"/>
      <w:r w:rsidRPr="0010611E">
        <w:rPr>
          <w:sz w:val="20"/>
          <w:lang w:val="fr-CA"/>
        </w:rPr>
        <w:t xml:space="preserve">, Sharpe et Miller), 2016 ONCA 680, 133 O.R. (3d) 735, 405 D.L.R. (4th) 98, 84 R.F.L. (7th) 291, [2016] O.J. No. 4800 (QL), 2016 </w:t>
      </w:r>
      <w:proofErr w:type="spellStart"/>
      <w:r w:rsidRPr="0010611E">
        <w:rPr>
          <w:sz w:val="20"/>
          <w:lang w:val="fr-CA"/>
        </w:rPr>
        <w:t>CarswellOnt</w:t>
      </w:r>
      <w:proofErr w:type="spellEnd"/>
      <w:r w:rsidRPr="0010611E">
        <w:rPr>
          <w:sz w:val="20"/>
          <w:lang w:val="fr-CA"/>
        </w:rPr>
        <w:t xml:space="preserve"> 14331 (WL Can.), infirmant une décision de la Cour divisionnaire de l’Ontario (les juges </w:t>
      </w:r>
      <w:proofErr w:type="spellStart"/>
      <w:r w:rsidRPr="0010611E">
        <w:rPr>
          <w:sz w:val="20"/>
          <w:lang w:val="fr-CA"/>
        </w:rPr>
        <w:t>Marrocco</w:t>
      </w:r>
      <w:proofErr w:type="spellEnd"/>
      <w:r w:rsidRPr="0010611E">
        <w:rPr>
          <w:sz w:val="20"/>
          <w:lang w:val="fr-CA"/>
        </w:rPr>
        <w:t xml:space="preserve">, Sachs et </w:t>
      </w:r>
      <w:proofErr w:type="spellStart"/>
      <w:r w:rsidRPr="0010611E">
        <w:rPr>
          <w:sz w:val="20"/>
          <w:lang w:val="fr-CA"/>
        </w:rPr>
        <w:t>Varpio</w:t>
      </w:r>
      <w:proofErr w:type="spellEnd"/>
      <w:r w:rsidRPr="0010611E">
        <w:rPr>
          <w:sz w:val="20"/>
          <w:lang w:val="fr-CA"/>
        </w:rPr>
        <w:t xml:space="preserve">), 2016 ONSC 55, 344 O.A.C. 159, 70 R.F.L. (7th) 34, [2016] O.J. No. 5 (QL), 2016 </w:t>
      </w:r>
      <w:proofErr w:type="spellStart"/>
      <w:r w:rsidRPr="0010611E">
        <w:rPr>
          <w:sz w:val="20"/>
          <w:lang w:val="fr-CA"/>
        </w:rPr>
        <w:t>CarswellOnt</w:t>
      </w:r>
      <w:proofErr w:type="spellEnd"/>
      <w:r w:rsidRPr="0010611E">
        <w:rPr>
          <w:sz w:val="20"/>
          <w:lang w:val="fr-CA"/>
        </w:rPr>
        <w:t xml:space="preserve"> 7 (WL Can.), infirmant une décision de la Cour supérieure de justice de l’Ontario (la juge MacPherson), 2015 ONSC 5383, [2015] O.J. No. 4490 (QL), 2015 </w:t>
      </w:r>
      <w:proofErr w:type="spellStart"/>
      <w:r w:rsidRPr="0010611E">
        <w:rPr>
          <w:sz w:val="20"/>
          <w:lang w:val="fr-CA"/>
        </w:rPr>
        <w:t>CarswellOnt</w:t>
      </w:r>
      <w:proofErr w:type="spellEnd"/>
      <w:r w:rsidRPr="0010611E">
        <w:rPr>
          <w:sz w:val="20"/>
          <w:lang w:val="fr-CA"/>
        </w:rPr>
        <w:t xml:space="preserve"> 13100 (WL Can.), accueillant une demande présentée par le père intimé en vue d’obtenir le retour des enfants en Allemagne. Jugement en conséquence, les juges Moldaver, Côté et Rowe sont dissidents.</w:t>
      </w:r>
    </w:p>
    <w:p w:rsidR="00BA3E56" w:rsidRPr="0010611E" w:rsidRDefault="00BA3E56" w:rsidP="00BA3E56">
      <w:pPr>
        <w:pStyle w:val="SCCNormalDoubleSpacing"/>
        <w:rPr>
          <w:sz w:val="20"/>
          <w:lang w:val="en-US"/>
        </w:rPr>
      </w:pPr>
      <w:r w:rsidRPr="0010611E">
        <w:rPr>
          <w:rStyle w:val="SCCCounselNameChar"/>
          <w:sz w:val="20"/>
          <w:lang w:val="fr-CA"/>
        </w:rPr>
        <w:tab/>
      </w:r>
      <w:r w:rsidRPr="0010611E">
        <w:rPr>
          <w:rStyle w:val="SCCCounselNameChar"/>
          <w:sz w:val="20"/>
          <w:lang w:val="en-US"/>
        </w:rPr>
        <w:t xml:space="preserve">Caterina E. </w:t>
      </w:r>
      <w:proofErr w:type="spellStart"/>
      <w:r w:rsidRPr="0010611E">
        <w:rPr>
          <w:rStyle w:val="SCCCounselNameChar"/>
          <w:sz w:val="20"/>
          <w:lang w:val="en-US"/>
        </w:rPr>
        <w:t>Tempesta</w:t>
      </w:r>
      <w:proofErr w:type="spellEnd"/>
      <w:r w:rsidRPr="0010611E">
        <w:rPr>
          <w:rStyle w:val="SCCCounselSeparatorChar"/>
          <w:sz w:val="20"/>
          <w:lang w:val="en-US"/>
        </w:rPr>
        <w:t xml:space="preserve">, </w:t>
      </w:r>
      <w:r w:rsidRPr="0010611E">
        <w:rPr>
          <w:rStyle w:val="SCCCounselNameChar"/>
          <w:sz w:val="20"/>
          <w:lang w:val="en-US"/>
        </w:rPr>
        <w:t xml:space="preserve">Sheena Scott, Katherine </w:t>
      </w:r>
      <w:proofErr w:type="spellStart"/>
      <w:r w:rsidRPr="0010611E">
        <w:rPr>
          <w:rStyle w:val="SCCCounselNameChar"/>
          <w:sz w:val="20"/>
          <w:lang w:val="en-US"/>
        </w:rPr>
        <w:t>Kavassalis</w:t>
      </w:r>
      <w:proofErr w:type="spellEnd"/>
      <w:r w:rsidRPr="0010611E">
        <w:rPr>
          <w:rStyle w:val="SCCCounselSeparatorChar"/>
          <w:sz w:val="20"/>
          <w:lang w:val="en-US"/>
        </w:rPr>
        <w:t xml:space="preserve"> </w:t>
      </w:r>
      <w:proofErr w:type="gramStart"/>
      <w:r w:rsidRPr="0010611E">
        <w:rPr>
          <w:rStyle w:val="SCCCounselSeparatorChar"/>
          <w:sz w:val="20"/>
          <w:lang w:val="en-US"/>
        </w:rPr>
        <w:t>et</w:t>
      </w:r>
      <w:proofErr w:type="gramEnd"/>
      <w:r w:rsidRPr="0010611E">
        <w:rPr>
          <w:rStyle w:val="SCCCounselSeparatorChar"/>
          <w:sz w:val="20"/>
          <w:lang w:val="en-US"/>
        </w:rPr>
        <w:t xml:space="preserve"> </w:t>
      </w:r>
      <w:r w:rsidRPr="0010611E">
        <w:rPr>
          <w:rStyle w:val="SCCCounselNameChar"/>
          <w:sz w:val="20"/>
          <w:lang w:val="en-US"/>
        </w:rPr>
        <w:t>James Stengel</w:t>
      </w:r>
      <w:r w:rsidRPr="0010611E">
        <w:rPr>
          <w:rStyle w:val="SCCCounselPartyRoleChar"/>
          <w:sz w:val="20"/>
          <w:lang w:val="en-US"/>
        </w:rPr>
        <w:t xml:space="preserve">, pour </w:t>
      </w:r>
      <w:proofErr w:type="spellStart"/>
      <w:r w:rsidRPr="0010611E">
        <w:rPr>
          <w:rStyle w:val="SCCCounselPartyRoleChar"/>
          <w:sz w:val="20"/>
          <w:lang w:val="en-US"/>
        </w:rPr>
        <w:t>l’appelant</w:t>
      </w:r>
      <w:proofErr w:type="spellEnd"/>
      <w:r w:rsidRPr="0010611E">
        <w:rPr>
          <w:rStyle w:val="SCCCounselPartyRoleChar"/>
          <w:sz w:val="20"/>
          <w:lang w:val="en-US"/>
        </w:rPr>
        <w:t>.</w:t>
      </w:r>
    </w:p>
    <w:p w:rsidR="00BA3E56" w:rsidRPr="0010611E" w:rsidRDefault="00BA3E56" w:rsidP="00BA3E56">
      <w:pPr>
        <w:pStyle w:val="SCCNormalDoubleSpacing"/>
        <w:rPr>
          <w:sz w:val="20"/>
          <w:lang w:val="en-US"/>
        </w:rPr>
      </w:pPr>
      <w:r w:rsidRPr="0010611E">
        <w:rPr>
          <w:rStyle w:val="SCCCounselNameChar"/>
          <w:sz w:val="20"/>
          <w:lang w:val="en-US"/>
        </w:rPr>
        <w:tab/>
        <w:t>Steven M. Bookman</w:t>
      </w:r>
      <w:r w:rsidRPr="0010611E">
        <w:rPr>
          <w:rStyle w:val="SCCCounselSeparatorChar"/>
          <w:sz w:val="20"/>
          <w:lang w:val="en-US"/>
        </w:rPr>
        <w:t xml:space="preserve">, </w:t>
      </w:r>
      <w:r w:rsidRPr="0010611E">
        <w:rPr>
          <w:rStyle w:val="SCCCounselNameChar"/>
          <w:sz w:val="20"/>
          <w:lang w:val="en-US"/>
        </w:rPr>
        <w:t xml:space="preserve">Chris </w:t>
      </w:r>
      <w:proofErr w:type="spellStart"/>
      <w:r w:rsidRPr="0010611E">
        <w:rPr>
          <w:rStyle w:val="SCCCounselNameChar"/>
          <w:sz w:val="20"/>
          <w:lang w:val="en-US"/>
        </w:rPr>
        <w:t>Stankiewicz</w:t>
      </w:r>
      <w:proofErr w:type="spellEnd"/>
      <w:r w:rsidRPr="0010611E">
        <w:rPr>
          <w:rStyle w:val="SCCCounselSeparatorChar"/>
          <w:sz w:val="20"/>
          <w:lang w:val="en-US"/>
        </w:rPr>
        <w:t xml:space="preserve"> </w:t>
      </w:r>
      <w:proofErr w:type="gramStart"/>
      <w:r w:rsidRPr="0010611E">
        <w:rPr>
          <w:rStyle w:val="SCCCounselSeparatorChar"/>
          <w:sz w:val="20"/>
          <w:lang w:val="en-US"/>
        </w:rPr>
        <w:t>et</w:t>
      </w:r>
      <w:proofErr w:type="gramEnd"/>
      <w:r w:rsidRPr="0010611E">
        <w:rPr>
          <w:rStyle w:val="SCCCounselSeparatorChar"/>
          <w:sz w:val="20"/>
          <w:lang w:val="en-US"/>
        </w:rPr>
        <w:t xml:space="preserve"> </w:t>
      </w:r>
      <w:r w:rsidRPr="0010611E">
        <w:rPr>
          <w:rStyle w:val="SCCCounselNameChar"/>
          <w:sz w:val="20"/>
          <w:lang w:val="en-US"/>
        </w:rPr>
        <w:t>Gillian Bookman</w:t>
      </w:r>
      <w:r w:rsidRPr="0010611E">
        <w:rPr>
          <w:rStyle w:val="SCCCounselPartyRoleChar"/>
          <w:sz w:val="20"/>
          <w:lang w:val="en-US"/>
        </w:rPr>
        <w:t xml:space="preserve">, pour </w:t>
      </w:r>
      <w:proofErr w:type="spellStart"/>
      <w:r w:rsidRPr="0010611E">
        <w:rPr>
          <w:rStyle w:val="SCCCounselPartyRoleChar"/>
          <w:sz w:val="20"/>
          <w:lang w:val="en-US"/>
        </w:rPr>
        <w:t>l’intimé</w:t>
      </w:r>
      <w:proofErr w:type="spellEnd"/>
      <w:r w:rsidRPr="0010611E">
        <w:rPr>
          <w:rStyle w:val="SCCCounselPartyRoleChar"/>
          <w:sz w:val="20"/>
          <w:lang w:val="en-US"/>
        </w:rPr>
        <w:t xml:space="preserve"> John Paul Balev.</w:t>
      </w:r>
    </w:p>
    <w:p w:rsidR="00BA3E56" w:rsidRPr="0010611E" w:rsidRDefault="00BA3E56" w:rsidP="00BA3E56">
      <w:pPr>
        <w:pStyle w:val="SCCNormalDoubleSpacing"/>
        <w:rPr>
          <w:rStyle w:val="SCCCounselPartyRoleChar"/>
          <w:sz w:val="20"/>
          <w:lang w:val="fr-CA"/>
        </w:rPr>
      </w:pPr>
      <w:r w:rsidRPr="0010611E">
        <w:rPr>
          <w:rStyle w:val="SCCCounselNameChar"/>
          <w:sz w:val="20"/>
          <w:lang w:val="en-US"/>
        </w:rPr>
        <w:tab/>
      </w:r>
      <w:r w:rsidRPr="0010611E">
        <w:rPr>
          <w:rStyle w:val="SCCCounselNameChar"/>
          <w:sz w:val="20"/>
          <w:lang w:val="fr-CA"/>
        </w:rPr>
        <w:t xml:space="preserve">Patric </w:t>
      </w:r>
      <w:proofErr w:type="spellStart"/>
      <w:r w:rsidRPr="0010611E">
        <w:rPr>
          <w:rStyle w:val="SCCCounselNameChar"/>
          <w:sz w:val="20"/>
          <w:lang w:val="fr-CA"/>
        </w:rPr>
        <w:t>Senson</w:t>
      </w:r>
      <w:proofErr w:type="spellEnd"/>
      <w:r w:rsidRPr="0010611E">
        <w:rPr>
          <w:rStyle w:val="SCCCounselSeparatorChar"/>
          <w:sz w:val="20"/>
        </w:rPr>
        <w:t xml:space="preserve"> et </w:t>
      </w:r>
      <w:r w:rsidRPr="0010611E">
        <w:rPr>
          <w:rStyle w:val="SCCCounselNameChar"/>
          <w:sz w:val="20"/>
          <w:lang w:val="fr-CA"/>
        </w:rPr>
        <w:t>Tammy Law</w:t>
      </w:r>
      <w:r w:rsidRPr="0010611E">
        <w:rPr>
          <w:rStyle w:val="SCCCounselPartyRoleChar"/>
          <w:sz w:val="20"/>
          <w:lang w:val="fr-CA"/>
        </w:rPr>
        <w:t xml:space="preserve">, pour l’intimée </w:t>
      </w:r>
      <w:proofErr w:type="spellStart"/>
      <w:r w:rsidRPr="0010611E">
        <w:rPr>
          <w:rStyle w:val="SCCCounselPartyRoleChar"/>
          <w:sz w:val="20"/>
          <w:lang w:val="fr-CA"/>
        </w:rPr>
        <w:t>Catharine</w:t>
      </w:r>
      <w:proofErr w:type="spellEnd"/>
      <w:r w:rsidRPr="0010611E">
        <w:rPr>
          <w:rStyle w:val="SCCCounselPartyRoleChar"/>
          <w:sz w:val="20"/>
          <w:lang w:val="fr-CA"/>
        </w:rPr>
        <w:noBreakHyphen/>
        <w:t xml:space="preserve">Rose </w:t>
      </w:r>
      <w:proofErr w:type="spellStart"/>
      <w:r w:rsidRPr="0010611E">
        <w:rPr>
          <w:rStyle w:val="SCCCounselPartyRoleChar"/>
          <w:sz w:val="20"/>
          <w:lang w:val="fr-CA"/>
        </w:rPr>
        <w:t>Baggott</w:t>
      </w:r>
      <w:proofErr w:type="spellEnd"/>
      <w:r w:rsidRPr="0010611E">
        <w:rPr>
          <w:rStyle w:val="SCCCounselPartyRoleChar"/>
          <w:sz w:val="20"/>
          <w:lang w:val="fr-CA"/>
        </w:rPr>
        <w:t>.</w:t>
      </w:r>
    </w:p>
    <w:p w:rsidR="00BA3E56" w:rsidRPr="0010611E" w:rsidRDefault="00BA3E56" w:rsidP="00BA3E56">
      <w:pPr>
        <w:pStyle w:val="SCCNormalDoubleSpacing"/>
        <w:rPr>
          <w:sz w:val="20"/>
          <w:lang w:val="fr-CA"/>
        </w:rPr>
      </w:pPr>
      <w:r w:rsidRPr="0010611E">
        <w:rPr>
          <w:rStyle w:val="SCCCounselNameChar"/>
          <w:sz w:val="20"/>
          <w:lang w:val="fr-CA"/>
        </w:rPr>
        <w:tab/>
      </w:r>
      <w:proofErr w:type="spellStart"/>
      <w:r w:rsidRPr="0010611E">
        <w:rPr>
          <w:rStyle w:val="SCCCounselNameChar"/>
          <w:sz w:val="20"/>
          <w:lang w:val="fr-CA"/>
        </w:rPr>
        <w:t>Donnaree</w:t>
      </w:r>
      <w:proofErr w:type="spellEnd"/>
      <w:r w:rsidRPr="0010611E">
        <w:rPr>
          <w:rStyle w:val="SCCCounselNameChar"/>
          <w:sz w:val="20"/>
          <w:lang w:val="fr-CA"/>
        </w:rPr>
        <w:t xml:space="preserve"> </w:t>
      </w:r>
      <w:proofErr w:type="spellStart"/>
      <w:r w:rsidRPr="0010611E">
        <w:rPr>
          <w:rStyle w:val="SCCCounselNameChar"/>
          <w:sz w:val="20"/>
          <w:lang w:val="fr-CA"/>
        </w:rPr>
        <w:t>Nygard</w:t>
      </w:r>
      <w:proofErr w:type="spellEnd"/>
      <w:r w:rsidRPr="0010611E">
        <w:rPr>
          <w:rStyle w:val="SCCCounselSeparatorChar"/>
          <w:sz w:val="20"/>
        </w:rPr>
        <w:t xml:space="preserve"> et </w:t>
      </w:r>
      <w:r w:rsidRPr="0010611E">
        <w:rPr>
          <w:rStyle w:val="SCCCounselNameChar"/>
          <w:sz w:val="20"/>
          <w:lang w:val="fr-CA"/>
        </w:rPr>
        <w:t>Michael Taylor</w:t>
      </w:r>
      <w:r w:rsidRPr="0010611E">
        <w:rPr>
          <w:rStyle w:val="SCCCounselPartyRoleChar"/>
          <w:sz w:val="20"/>
          <w:lang w:val="fr-CA"/>
        </w:rPr>
        <w:t>, pour l’intervenant le procureur général du Canada.</w:t>
      </w:r>
    </w:p>
    <w:p w:rsidR="00BA3E56" w:rsidRPr="0010611E" w:rsidRDefault="00BA3E56" w:rsidP="00BA3E56">
      <w:pPr>
        <w:pStyle w:val="SCCNormalDoubleSpacing"/>
        <w:rPr>
          <w:rStyle w:val="SCCCounselPartyRoleChar"/>
          <w:sz w:val="20"/>
          <w:lang w:val="fr-CA"/>
        </w:rPr>
      </w:pPr>
      <w:r w:rsidRPr="0010611E">
        <w:rPr>
          <w:rStyle w:val="SCCCounselNameChar"/>
          <w:sz w:val="20"/>
          <w:lang w:val="fr-CA"/>
        </w:rPr>
        <w:tab/>
        <w:t>Caroline Brett et Rochelle S. Fox</w:t>
      </w:r>
      <w:r w:rsidRPr="0010611E">
        <w:rPr>
          <w:rStyle w:val="SCCCounselPartyRoleChar"/>
          <w:sz w:val="20"/>
          <w:lang w:val="fr-CA"/>
        </w:rPr>
        <w:t>, pour l’intervenant le procureur général de l’Ontario.</w:t>
      </w:r>
    </w:p>
    <w:p w:rsidR="00BA3E56" w:rsidRPr="0010611E" w:rsidRDefault="00BA3E56" w:rsidP="00BA3E56">
      <w:pPr>
        <w:pStyle w:val="SCCNormalDoubleSpacing"/>
        <w:rPr>
          <w:sz w:val="20"/>
          <w:lang w:val="fr-CA"/>
        </w:rPr>
      </w:pPr>
      <w:r w:rsidRPr="0010611E">
        <w:rPr>
          <w:rStyle w:val="SCCCounselNameChar"/>
          <w:sz w:val="20"/>
          <w:lang w:val="fr-CA"/>
        </w:rPr>
        <w:tab/>
      </w:r>
      <w:proofErr w:type="spellStart"/>
      <w:r w:rsidRPr="0010611E">
        <w:rPr>
          <w:rStyle w:val="SCCCounselNameChar"/>
          <w:sz w:val="20"/>
          <w:lang w:val="fr-CA"/>
        </w:rPr>
        <w:t>Freya</w:t>
      </w:r>
      <w:proofErr w:type="spellEnd"/>
      <w:r w:rsidRPr="0010611E">
        <w:rPr>
          <w:rStyle w:val="SCCCounselNameChar"/>
          <w:sz w:val="20"/>
          <w:lang w:val="fr-CA"/>
        </w:rPr>
        <w:t xml:space="preserve"> </w:t>
      </w:r>
      <w:proofErr w:type="spellStart"/>
      <w:r w:rsidRPr="0010611E">
        <w:rPr>
          <w:rStyle w:val="SCCCounselNameChar"/>
          <w:sz w:val="20"/>
          <w:lang w:val="fr-CA"/>
        </w:rPr>
        <w:t>Zaltz</w:t>
      </w:r>
      <w:proofErr w:type="spellEnd"/>
      <w:r w:rsidRPr="0010611E">
        <w:rPr>
          <w:rStyle w:val="SCCCounselPartyRoleChar"/>
          <w:sz w:val="20"/>
          <w:lang w:val="fr-CA"/>
        </w:rPr>
        <w:t>, pour l’intervenant le procureur général de la Colombie</w:t>
      </w:r>
      <w:r w:rsidRPr="0010611E">
        <w:rPr>
          <w:rStyle w:val="SCCCounselPartyRoleChar"/>
          <w:sz w:val="20"/>
          <w:lang w:val="fr-CA"/>
        </w:rPr>
        <w:noBreakHyphen/>
        <w:t>Britannique.</w:t>
      </w:r>
    </w:p>
    <w:p w:rsidR="00BA3E56" w:rsidRPr="0010611E" w:rsidRDefault="00BA3E56" w:rsidP="00BA3E56">
      <w:pPr>
        <w:pStyle w:val="SCCNormalDoubleSpacing"/>
        <w:rPr>
          <w:sz w:val="20"/>
          <w:lang w:val="fr-CA"/>
        </w:rPr>
      </w:pPr>
      <w:r w:rsidRPr="0010611E">
        <w:rPr>
          <w:rStyle w:val="SCCCounselNameChar"/>
          <w:sz w:val="20"/>
          <w:lang w:val="fr-CA"/>
        </w:rPr>
        <w:tab/>
      </w:r>
      <w:proofErr w:type="spellStart"/>
      <w:r w:rsidRPr="0010611E">
        <w:rPr>
          <w:rStyle w:val="SCCCounselNameChar"/>
          <w:sz w:val="20"/>
          <w:lang w:val="fr-CA"/>
        </w:rPr>
        <w:t>Jeffery</w:t>
      </w:r>
      <w:proofErr w:type="spellEnd"/>
      <w:r w:rsidRPr="0010611E">
        <w:rPr>
          <w:rStyle w:val="SCCCounselNameChar"/>
          <w:sz w:val="20"/>
          <w:lang w:val="fr-CA"/>
        </w:rPr>
        <w:t xml:space="preserve"> Wilson</w:t>
      </w:r>
      <w:r w:rsidRPr="0010611E">
        <w:rPr>
          <w:rStyle w:val="SCCCounselSeparatorChar"/>
          <w:sz w:val="20"/>
        </w:rPr>
        <w:t xml:space="preserve">, </w:t>
      </w:r>
      <w:proofErr w:type="spellStart"/>
      <w:r w:rsidRPr="0010611E">
        <w:rPr>
          <w:rStyle w:val="SCCCounselNameChar"/>
          <w:sz w:val="20"/>
          <w:lang w:val="fr-CA"/>
        </w:rPr>
        <w:t>Farrah</w:t>
      </w:r>
      <w:proofErr w:type="spellEnd"/>
      <w:r w:rsidRPr="0010611E">
        <w:rPr>
          <w:rStyle w:val="SCCCounselNameChar"/>
          <w:sz w:val="20"/>
          <w:lang w:val="fr-CA"/>
        </w:rPr>
        <w:t xml:space="preserve"> </w:t>
      </w:r>
      <w:proofErr w:type="spellStart"/>
      <w:r w:rsidRPr="0010611E">
        <w:rPr>
          <w:rStyle w:val="SCCCounselNameChar"/>
          <w:sz w:val="20"/>
          <w:lang w:val="fr-CA"/>
        </w:rPr>
        <w:t>Hudani</w:t>
      </w:r>
      <w:proofErr w:type="spellEnd"/>
      <w:r w:rsidRPr="0010611E">
        <w:rPr>
          <w:rStyle w:val="SCCCounselSeparatorChar"/>
          <w:sz w:val="20"/>
        </w:rPr>
        <w:t xml:space="preserve"> et </w:t>
      </w:r>
      <w:r w:rsidRPr="0010611E">
        <w:rPr>
          <w:rStyle w:val="SCCCounselNameChar"/>
          <w:sz w:val="20"/>
          <w:lang w:val="fr-CA"/>
        </w:rPr>
        <w:t xml:space="preserve">Jessica </w:t>
      </w:r>
      <w:proofErr w:type="spellStart"/>
      <w:r w:rsidRPr="0010611E">
        <w:rPr>
          <w:rStyle w:val="SCCCounselNameChar"/>
          <w:sz w:val="20"/>
          <w:lang w:val="fr-CA"/>
        </w:rPr>
        <w:t>Braude</w:t>
      </w:r>
      <w:proofErr w:type="spellEnd"/>
      <w:r w:rsidRPr="0010611E">
        <w:rPr>
          <w:rStyle w:val="SCCCounselPartyRoleChar"/>
          <w:sz w:val="20"/>
          <w:lang w:val="fr-CA"/>
        </w:rPr>
        <w:t xml:space="preserve">, pour l’intervenant </w:t>
      </w:r>
      <w:proofErr w:type="spellStart"/>
      <w:r w:rsidRPr="0010611E">
        <w:rPr>
          <w:rStyle w:val="SCCCounselPartyRoleChar"/>
          <w:sz w:val="20"/>
          <w:lang w:val="fr-CA"/>
        </w:rPr>
        <w:t>Defence</w:t>
      </w:r>
      <w:proofErr w:type="spellEnd"/>
      <w:r w:rsidRPr="0010611E">
        <w:rPr>
          <w:rStyle w:val="SCCCounselPartyRoleChar"/>
          <w:sz w:val="20"/>
          <w:lang w:val="fr-CA"/>
        </w:rPr>
        <w:t xml:space="preserve"> for </w:t>
      </w:r>
      <w:proofErr w:type="spellStart"/>
      <w:r w:rsidRPr="0010611E">
        <w:rPr>
          <w:rStyle w:val="SCCCounselPartyRoleChar"/>
          <w:sz w:val="20"/>
          <w:lang w:val="fr-CA"/>
        </w:rPr>
        <w:t>Children</w:t>
      </w:r>
      <w:proofErr w:type="spellEnd"/>
      <w:r w:rsidRPr="0010611E">
        <w:rPr>
          <w:rStyle w:val="SCCCounselPartyRoleChar"/>
          <w:sz w:val="20"/>
          <w:lang w:val="fr-CA"/>
        </w:rPr>
        <w:t xml:space="preserve"> International</w:t>
      </w:r>
      <w:r w:rsidRPr="0010611E">
        <w:rPr>
          <w:rStyle w:val="SCCCounselPartyRoleChar"/>
          <w:sz w:val="20"/>
          <w:lang w:val="fr-CA"/>
        </w:rPr>
        <w:noBreakHyphen/>
        <w:t>Canada.</w:t>
      </w:r>
    </w:p>
    <w:p w:rsidR="00BA3E56" w:rsidRPr="0010611E" w:rsidRDefault="00BA3E56" w:rsidP="00BA3E56">
      <w:pPr>
        <w:pStyle w:val="SCCNormalDoubleSpacing"/>
        <w:rPr>
          <w:sz w:val="20"/>
          <w:lang w:val="fr-CA"/>
        </w:rPr>
      </w:pPr>
      <w:r w:rsidRPr="0010611E">
        <w:rPr>
          <w:rStyle w:val="SCCCounselNameChar"/>
          <w:sz w:val="20"/>
          <w:lang w:val="fr-CA"/>
        </w:rPr>
        <w:tab/>
      </w:r>
      <w:proofErr w:type="spellStart"/>
      <w:r w:rsidRPr="0010611E">
        <w:rPr>
          <w:rStyle w:val="SCCCounselNameChar"/>
          <w:sz w:val="20"/>
          <w:lang w:val="fr-CA"/>
        </w:rPr>
        <w:t>Deepa</w:t>
      </w:r>
      <w:proofErr w:type="spellEnd"/>
      <w:r w:rsidRPr="0010611E">
        <w:rPr>
          <w:rStyle w:val="SCCCounselNameChar"/>
          <w:sz w:val="20"/>
          <w:lang w:val="fr-CA"/>
        </w:rPr>
        <w:t xml:space="preserve"> </w:t>
      </w:r>
      <w:proofErr w:type="spellStart"/>
      <w:r w:rsidRPr="0010611E">
        <w:rPr>
          <w:rStyle w:val="SCCCounselNameChar"/>
          <w:sz w:val="20"/>
          <w:lang w:val="fr-CA"/>
        </w:rPr>
        <w:t>Mattoo</w:t>
      </w:r>
      <w:proofErr w:type="spellEnd"/>
      <w:r w:rsidRPr="0010611E">
        <w:rPr>
          <w:rStyle w:val="SCCCounselSeparatorChar"/>
          <w:sz w:val="20"/>
        </w:rPr>
        <w:t xml:space="preserve"> et </w:t>
      </w:r>
      <w:r w:rsidRPr="0010611E">
        <w:rPr>
          <w:rStyle w:val="SCCCounselNameChar"/>
          <w:sz w:val="20"/>
          <w:lang w:val="fr-CA"/>
        </w:rPr>
        <w:t>Tiffany Lau</w:t>
      </w:r>
      <w:r w:rsidRPr="0010611E">
        <w:rPr>
          <w:rStyle w:val="SCCCounselPartyRoleChar"/>
          <w:sz w:val="20"/>
          <w:lang w:val="fr-CA"/>
        </w:rPr>
        <w:t xml:space="preserve">, pour l’intervenante Barbra </w:t>
      </w:r>
      <w:proofErr w:type="spellStart"/>
      <w:r w:rsidRPr="0010611E">
        <w:rPr>
          <w:rStyle w:val="SCCCounselPartyRoleChar"/>
          <w:sz w:val="20"/>
          <w:lang w:val="fr-CA"/>
        </w:rPr>
        <w:t>Schlifer</w:t>
      </w:r>
      <w:proofErr w:type="spellEnd"/>
      <w:r w:rsidRPr="0010611E">
        <w:rPr>
          <w:rStyle w:val="SCCCounselPartyRoleChar"/>
          <w:sz w:val="20"/>
          <w:lang w:val="fr-CA"/>
        </w:rPr>
        <w:t xml:space="preserve"> </w:t>
      </w:r>
      <w:proofErr w:type="spellStart"/>
      <w:r w:rsidRPr="0010611E">
        <w:rPr>
          <w:rStyle w:val="SCCCounselPartyRoleChar"/>
          <w:sz w:val="20"/>
          <w:lang w:val="fr-CA"/>
        </w:rPr>
        <w:t>Commemorative</w:t>
      </w:r>
      <w:proofErr w:type="spellEnd"/>
      <w:r w:rsidRPr="0010611E">
        <w:rPr>
          <w:rStyle w:val="SCCCounselPartyRoleChar"/>
          <w:sz w:val="20"/>
          <w:lang w:val="fr-CA"/>
        </w:rPr>
        <w:t xml:space="preserve"> </w:t>
      </w:r>
      <w:proofErr w:type="spellStart"/>
      <w:r w:rsidRPr="0010611E">
        <w:rPr>
          <w:rStyle w:val="SCCCounselPartyRoleChar"/>
          <w:sz w:val="20"/>
          <w:lang w:val="fr-CA"/>
        </w:rPr>
        <w:t>Clinic</w:t>
      </w:r>
      <w:proofErr w:type="spellEnd"/>
      <w:r w:rsidRPr="0010611E">
        <w:rPr>
          <w:rStyle w:val="SCCCounselPartyRoleChar"/>
          <w:sz w:val="20"/>
          <w:lang w:val="fr-CA"/>
        </w:rPr>
        <w:t>.</w:t>
      </w:r>
    </w:p>
    <w:p w:rsidR="00BA3E56" w:rsidRPr="00D0448B" w:rsidRDefault="00B35ED9" w:rsidP="00782AE4">
      <w:pPr>
        <w:jc w:val="both"/>
        <w:rPr>
          <w:sz w:val="20"/>
          <w:szCs w:val="20"/>
          <w:lang w:val="fr-CA"/>
        </w:rPr>
      </w:pPr>
      <w:r>
        <w:rPr>
          <w:rFonts w:cs="Times New Roman"/>
          <w:sz w:val="20"/>
          <w:szCs w:val="20"/>
          <w:lang w:val="fr-CA"/>
        </w:rPr>
        <w:pict>
          <v:rect id="_x0000_i1063" style="width:144.3pt;height:1pt" o:hrpct="300" o:hralign="center" o:hrstd="t" o:hrnoshade="t" o:hr="t" fillcolor="black [3213]" stroked="f"/>
        </w:pict>
      </w:r>
    </w:p>
    <w:p w:rsidR="00DB3DD6" w:rsidRDefault="00DB3DD6" w:rsidP="00782AE4">
      <w:pPr>
        <w:jc w:val="both"/>
        <w:rPr>
          <w:sz w:val="20"/>
          <w:szCs w:val="20"/>
          <w:lang w:val="fr-CA"/>
        </w:rPr>
      </w:pPr>
    </w:p>
    <w:p w:rsidR="007961CD" w:rsidRDefault="007961CD" w:rsidP="00782AE4">
      <w:pPr>
        <w:jc w:val="both"/>
        <w:rPr>
          <w:sz w:val="20"/>
          <w:szCs w:val="20"/>
          <w:lang w:val="fr-CA"/>
        </w:rPr>
      </w:pPr>
    </w:p>
    <w:p w:rsidR="00DB3DD6" w:rsidRPr="00D0448B" w:rsidRDefault="00DB3DD6" w:rsidP="00782AE4">
      <w:pPr>
        <w:jc w:val="both"/>
        <w:rPr>
          <w:sz w:val="20"/>
          <w:szCs w:val="20"/>
          <w:lang w:val="fr-CA"/>
        </w:rPr>
        <w:sectPr w:rsidR="00DB3DD6" w:rsidRPr="00D0448B" w:rsidSect="00782AE4">
          <w:headerReference w:type="even" r:id="rId67"/>
          <w:headerReference w:type="default" r:id="rId68"/>
          <w:footerReference w:type="even" r:id="rId69"/>
          <w:footerReference w:type="default" r:id="rId70"/>
          <w:headerReference w:type="first" r:id="rId71"/>
          <w:footerReference w:type="first" r:id="rId72"/>
          <w:pgSz w:w="12240" w:h="15840"/>
          <w:pgMar w:top="720" w:right="965" w:bottom="1080" w:left="1656" w:header="576" w:footer="960" w:gutter="0"/>
          <w:cols w:space="720"/>
          <w:titlePg/>
          <w:docGrid w:linePitch="272"/>
        </w:sectPr>
      </w:pPr>
    </w:p>
    <w:p w:rsidR="002410B8" w:rsidRPr="00D0448B" w:rsidRDefault="002410B8" w:rsidP="008B340A">
      <w:pPr>
        <w:widowControl w:val="0"/>
        <w:spacing w:line="180" w:lineRule="auto"/>
        <w:rPr>
          <w:lang w:val="fr-CA"/>
        </w:rPr>
      </w:pPr>
    </w:p>
    <w:sectPr w:rsidR="002410B8" w:rsidRPr="00D0448B" w:rsidSect="00924065">
      <w:headerReference w:type="default" r:id="rId73"/>
      <w:footerReference w:type="default" r:id="rId74"/>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552" w:rsidRDefault="00143552" w:rsidP="00A87207">
      <w:r>
        <w:separator/>
      </w:r>
    </w:p>
  </w:endnote>
  <w:endnote w:type="continuationSeparator" w:id="0">
    <w:p w:rsidR="00143552" w:rsidRDefault="00143552"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52" w:rsidRDefault="00B35ED9" w:rsidP="00A87207">
    <w:pPr>
      <w:pStyle w:val="Footer"/>
    </w:pPr>
    <w:r>
      <w:pict>
        <v:rect id="_x0000_i1037" style="width:480.95pt;height:1pt" o:hralign="center" o:hrstd="t" o:hrnoshade="t" o:hr="t" fillcolor="black [3213]" stroked="f"/>
      </w:pict>
    </w:r>
  </w:p>
  <w:p w:rsidR="00143552" w:rsidRPr="00B7374B" w:rsidRDefault="0014355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B35ED9">
      <w:rPr>
        <w:noProof/>
        <w:szCs w:val="24"/>
      </w:rPr>
      <w:t>463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52" w:rsidRDefault="00B35ED9" w:rsidP="00EB2B90">
    <w:pPr>
      <w:tabs>
        <w:tab w:val="center" w:pos="4680"/>
      </w:tabs>
    </w:pPr>
    <w:r>
      <w:pict>
        <v:rect id="_x0000_i1051" style="width:480.95pt;height:1pt" o:hralign="center" o:hrstd="t" o:hrnoshade="t" o:hr="t" fillcolor="black [3213]" stroked="f"/>
      </w:pict>
    </w:r>
  </w:p>
  <w:p w:rsidR="00143552" w:rsidRPr="0031432F" w:rsidRDefault="00143552" w:rsidP="00EB2B90">
    <w:pPr>
      <w:tabs>
        <w:tab w:val="center" w:pos="4680"/>
      </w:tabs>
    </w:pPr>
    <w:r>
      <w:tab/>
      <w:t xml:space="preserve">- </w:t>
    </w:r>
    <w:r>
      <w:fldChar w:fldCharType="begin"/>
    </w:r>
    <w:r>
      <w:instrText xml:space="preserve"> PAGE   \* MERGEFORMAT </w:instrText>
    </w:r>
    <w:r>
      <w:fldChar w:fldCharType="separate"/>
    </w:r>
    <w:r w:rsidR="00B35ED9">
      <w:rPr>
        <w:noProof/>
      </w:rPr>
      <w:t>473</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52" w:rsidRDefault="001435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43552" w:rsidRDefault="001435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43552" w:rsidRDefault="00143552">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52" w:rsidRDefault="00B35ED9" w:rsidP="00732DB7">
    <w:r>
      <w:pict>
        <v:rect id="_x0000_i1054" style="width:480.95pt;height:1pt" o:hralign="center" o:hrstd="t" o:hrnoshade="t" o:hr="t" fillcolor="black" stroked="f"/>
      </w:pict>
    </w:r>
  </w:p>
  <w:p w:rsidR="00143552" w:rsidRDefault="00143552">
    <w:pPr>
      <w:tabs>
        <w:tab w:val="center" w:pos="4740"/>
      </w:tabs>
      <w:spacing w:line="0" w:lineRule="atLeast"/>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52" w:rsidRDefault="00B35ED9">
    <w:pPr>
      <w:pStyle w:val="Footer"/>
    </w:pPr>
    <w:r>
      <w:pict>
        <v:rect id="_x0000_i1055" style="width:480.95pt;height:1pt" o:hralign="center" o:hrstd="t" o:hrnoshade="t" o:hr="t" fillcolor="black" stroked="f"/>
      </w:pict>
    </w:r>
  </w:p>
  <w:p w:rsidR="00143552" w:rsidRPr="00283C52" w:rsidRDefault="00143552">
    <w:pPr>
      <w:pStyle w:val="Footer"/>
    </w:pPr>
    <w:r>
      <w:tab/>
    </w:r>
    <w:r w:rsidRPr="00283C52">
      <w:t xml:space="preserve">- </w:t>
    </w:r>
    <w:r w:rsidRPr="00283C52">
      <w:pgNum/>
    </w:r>
    <w:r w:rsidRPr="00283C52">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52" w:rsidRDefault="001435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43552" w:rsidRDefault="001435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43552" w:rsidRDefault="00143552">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52" w:rsidRDefault="00B35ED9" w:rsidP="00732DB7">
    <w:r>
      <w:pict>
        <v:rect id="_x0000_i1058" style="width:480.95pt;height:1pt" o:hralign="center" o:hrstd="t" o:hrnoshade="t" o:hr="t" fillcolor="black" stroked="f"/>
      </w:pict>
    </w:r>
  </w:p>
  <w:p w:rsidR="00143552" w:rsidRDefault="00143552">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52" w:rsidRDefault="00B35ED9">
    <w:pPr>
      <w:pStyle w:val="Footer"/>
    </w:pPr>
    <w:r>
      <w:pict>
        <v:rect id="_x0000_i1059" style="width:480.95pt;height:1pt" o:hralign="center" o:hrstd="t" o:hrnoshade="t" o:hr="t" fillcolor="black [3213]" stroked="f"/>
      </w:pict>
    </w:r>
  </w:p>
  <w:p w:rsidR="00143552" w:rsidRPr="003C2C0F" w:rsidRDefault="00143552" w:rsidP="00697C62">
    <w:pPr>
      <w:tabs>
        <w:tab w:val="center" w:pos="4680"/>
      </w:tabs>
    </w:pPr>
    <w:r>
      <w:tab/>
      <w:t xml:space="preserve">- </w:t>
    </w:r>
    <w:r>
      <w:fldChar w:fldCharType="begin"/>
    </w:r>
    <w:r>
      <w:instrText xml:space="preserve"> PAGE   \* MERGEFORMAT </w:instrText>
    </w:r>
    <w:r>
      <w:fldChar w:fldCharType="separate"/>
    </w:r>
    <w:r w:rsidR="00B35ED9">
      <w:rPr>
        <w:noProof/>
      </w:rPr>
      <w:t>483</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52" w:rsidRDefault="001435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43552" w:rsidRDefault="001435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43552" w:rsidRDefault="00143552">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52" w:rsidRDefault="001435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43552" w:rsidRDefault="00B35E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4" style="width:480.95pt;height:1pt" o:hralign="center" o:hrstd="t" o:hrnoshade="t" o:hr="t" fillcolor="black [3213]" stroked="f"/>
      </w:pict>
    </w:r>
  </w:p>
  <w:p w:rsidR="00143552" w:rsidRDefault="00143552"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B35ED9">
      <w:rPr>
        <w:noProof/>
        <w:szCs w:val="24"/>
      </w:rPr>
      <w:t>492</w:t>
    </w:r>
    <w:r w:rsidRPr="001775C1">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52" w:rsidRDefault="00B35ED9" w:rsidP="00782AE4">
    <w:pPr>
      <w:tabs>
        <w:tab w:val="center" w:pos="4680"/>
      </w:tabs>
    </w:pPr>
    <w:r>
      <w:pict>
        <v:rect id="_x0000_i1065" style="width:480.95pt;height:1pt" o:hralign="center" o:hrstd="t" o:hrnoshade="t" o:hr="t" fillcolor="black [3213]" stroked="f"/>
      </w:pict>
    </w:r>
  </w:p>
  <w:p w:rsidR="00143552" w:rsidRDefault="00143552"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B35ED9">
      <w:rPr>
        <w:noProof/>
        <w:szCs w:val="24"/>
      </w:rPr>
      <w:t>485</w:t>
    </w:r>
    <w:r w:rsidRPr="001775C1">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52" w:rsidRDefault="00B35ED9" w:rsidP="00755F22">
    <w:pPr>
      <w:tabs>
        <w:tab w:val="left" w:pos="-1440"/>
        <w:tab w:val="left" w:pos="-720"/>
      </w:tabs>
    </w:pPr>
    <w:r>
      <w:pict>
        <v:rect id="_x0000_i1038" style="width:480.95pt;height:1pt" o:hralign="center" o:hrstd="t" o:hrnoshade="t" o:hr="t" fillcolor="black [3213]" stroked="f"/>
      </w:pict>
    </w:r>
  </w:p>
  <w:p w:rsidR="00143552" w:rsidRPr="00954D22" w:rsidRDefault="00143552"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B35ED9">
      <w:rPr>
        <w:noProof/>
        <w:szCs w:val="24"/>
      </w:rPr>
      <w:t>462</w:t>
    </w:r>
    <w:r>
      <w:rPr>
        <w:szCs w:val="24"/>
      </w:rPr>
      <w:fldChar w:fldCharType="end"/>
    </w:r>
    <w:r w:rsidRPr="00954D22">
      <w:rPr>
        <w:szCs w:val="24"/>
      </w:rPr>
      <w:t xml:space="preserve"> -</w:t>
    </w:r>
  </w:p>
  <w:p w:rsidR="00143552" w:rsidRDefault="00143552">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52" w:rsidRPr="00924065" w:rsidRDefault="00143552"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52" w:rsidRDefault="00B35ED9" w:rsidP="00A87207">
    <w:pPr>
      <w:pStyle w:val="Footer"/>
    </w:pPr>
    <w:r>
      <w:pict>
        <v:rect id="_x0000_i1040" style="width:480.95pt;height:1pt" o:hralign="center" o:hrstd="t" o:hrnoshade="t" o:hr="t" fillcolor="black [3213]" stroked="f"/>
      </w:pict>
    </w:r>
  </w:p>
  <w:p w:rsidR="00143552" w:rsidRPr="00B7374B" w:rsidRDefault="0014355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52" w:rsidRDefault="00B35ED9"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1" style="width:480.95pt;height:1pt" o:hralign="center" o:hrstd="t" o:hrnoshade="t" o:hr="t" fillcolor="black [3213]" stroked="f"/>
      </w:pict>
    </w:r>
  </w:p>
  <w:p w:rsidR="00143552" w:rsidRPr="00954D22" w:rsidRDefault="0014355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B35ED9">
      <w:rPr>
        <w:noProof/>
        <w:szCs w:val="24"/>
      </w:rPr>
      <w:t>464</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52" w:rsidRDefault="001435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143552" w:rsidRDefault="001435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43552" w:rsidRDefault="00143552">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52" w:rsidRDefault="00B35E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3" style="width:480.95pt;height:1pt" o:hralign="center" o:hrstd="t" o:hrnoshade="t" o:hr="t" fillcolor="black [3213]" stroked="f"/>
      </w:pict>
    </w:r>
  </w:p>
  <w:p w:rsidR="00143552" w:rsidRPr="0009648D" w:rsidRDefault="00143552" w:rsidP="00ED7E83">
    <w:pPr>
      <w:tabs>
        <w:tab w:val="center" w:pos="4680"/>
      </w:tabs>
    </w:pPr>
    <w:r>
      <w:tab/>
    </w:r>
    <w:r w:rsidRPr="0009648D">
      <w:t xml:space="preserve">- </w:t>
    </w:r>
    <w:r>
      <w:fldChar w:fldCharType="begin"/>
    </w:r>
    <w:r>
      <w:instrText xml:space="preserve"> PAGE   \* MERGEFORMAT </w:instrText>
    </w:r>
    <w:r>
      <w:fldChar w:fldCharType="separate"/>
    </w:r>
    <w:r w:rsidR="00B35ED9">
      <w:rPr>
        <w:noProof/>
      </w:rPr>
      <w:t>472</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52" w:rsidRDefault="00B35ED9">
    <w:pPr>
      <w:pStyle w:val="Footer"/>
      <w:rPr>
        <w:lang w:val="fr-CA"/>
      </w:rPr>
    </w:pPr>
    <w:r>
      <w:rPr>
        <w:lang w:val="fr-CA"/>
      </w:rPr>
      <w:pict>
        <v:rect id="_x0000_i1044" style="width:480.95pt;height:1pt" o:hralign="center" o:hrstd="t" o:hrnoshade="t" o:hr="t" fillcolor="black [3213]" stroked="f"/>
      </w:pict>
    </w:r>
  </w:p>
  <w:p w:rsidR="00143552" w:rsidRDefault="00143552" w:rsidP="00245129">
    <w:pPr>
      <w:tabs>
        <w:tab w:val="center" w:pos="4680"/>
      </w:tabs>
    </w:pPr>
    <w:r>
      <w:tab/>
    </w:r>
    <w:r w:rsidRPr="0009648D">
      <w:t xml:space="preserve">- </w:t>
    </w:r>
    <w:r>
      <w:fldChar w:fldCharType="begin"/>
    </w:r>
    <w:r>
      <w:instrText xml:space="preserve"> PAGE   \* MERGEFORMAT </w:instrText>
    </w:r>
    <w:r>
      <w:fldChar w:fldCharType="separate"/>
    </w:r>
    <w:r w:rsidR="00B35ED9">
      <w:rPr>
        <w:noProof/>
      </w:rPr>
      <w:t>465</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52" w:rsidRDefault="001435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43552" w:rsidRDefault="001435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43552" w:rsidRDefault="00143552">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52" w:rsidRDefault="00B35ED9" w:rsidP="00755F22">
    <w:pPr>
      <w:tabs>
        <w:tab w:val="left" w:pos="-1440"/>
        <w:tab w:val="left" w:pos="-720"/>
      </w:tabs>
    </w:pPr>
    <w:r>
      <w:pict>
        <v:rect id="_x0000_i1050" style="width:480.95pt;height:1pt" o:hralign="center" o:hrstd="t" o:hrnoshade="t" o:hr="t" fillcolor="black [3213]" stroked="f"/>
      </w:pict>
    </w:r>
  </w:p>
  <w:p w:rsidR="00143552" w:rsidRDefault="00143552" w:rsidP="00EB2B90">
    <w:pPr>
      <w:tabs>
        <w:tab w:val="center" w:pos="4680"/>
      </w:tabs>
    </w:pPr>
    <w:r>
      <w:tab/>
      <w:t xml:space="preserve">- </w:t>
    </w:r>
    <w:r>
      <w:fldChar w:fldCharType="begin"/>
    </w:r>
    <w:r>
      <w:instrText xml:space="preserve"> PAGE   \* MERGEFORMAT </w:instrText>
    </w:r>
    <w:r>
      <w:fldChar w:fldCharType="separate"/>
    </w:r>
    <w:r w:rsidR="00B35ED9">
      <w:rPr>
        <w:noProof/>
      </w:rPr>
      <w:t>479</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552" w:rsidRDefault="00143552" w:rsidP="00A87207">
      <w:r>
        <w:separator/>
      </w:r>
    </w:p>
  </w:footnote>
  <w:footnote w:type="continuationSeparator" w:id="0">
    <w:p w:rsidR="00143552" w:rsidRDefault="00143552"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143552" w:rsidRPr="0044776A" w:rsidTr="00245129">
      <w:tc>
        <w:tcPr>
          <w:tcW w:w="4290" w:type="dxa"/>
          <w:tcMar>
            <w:left w:w="0" w:type="dxa"/>
            <w:right w:w="0" w:type="dxa"/>
          </w:tcMar>
        </w:tcPr>
        <w:p w:rsidR="00143552" w:rsidRPr="0044776A" w:rsidRDefault="00143552"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143552" w:rsidRPr="0044776A" w:rsidRDefault="00143552" w:rsidP="002E2327">
          <w:pPr>
            <w:keepNext/>
            <w:keepLines/>
            <w:tabs>
              <w:tab w:val="left" w:pos="-1440"/>
              <w:tab w:val="left" w:pos="-720"/>
            </w:tabs>
            <w:jc w:val="center"/>
            <w:rPr>
              <w:sz w:val="20"/>
              <w:szCs w:val="20"/>
            </w:rPr>
          </w:pPr>
        </w:p>
        <w:p w:rsidR="00143552" w:rsidRPr="0044776A" w:rsidRDefault="00143552" w:rsidP="002E2327">
          <w:pPr>
            <w:keepNext/>
            <w:keepLines/>
            <w:tabs>
              <w:tab w:val="left" w:pos="-1440"/>
              <w:tab w:val="left" w:pos="-720"/>
            </w:tabs>
            <w:jc w:val="center"/>
            <w:rPr>
              <w:sz w:val="20"/>
              <w:szCs w:val="20"/>
            </w:rPr>
          </w:pPr>
        </w:p>
        <w:p w:rsidR="00143552" w:rsidRPr="0044776A" w:rsidRDefault="00143552" w:rsidP="002E2327">
          <w:pPr>
            <w:keepNext/>
            <w:keepLines/>
            <w:tabs>
              <w:tab w:val="left" w:pos="-1440"/>
              <w:tab w:val="left" w:pos="-720"/>
            </w:tabs>
            <w:jc w:val="center"/>
            <w:rPr>
              <w:sz w:val="20"/>
              <w:szCs w:val="20"/>
            </w:rPr>
          </w:pPr>
        </w:p>
      </w:tc>
      <w:tc>
        <w:tcPr>
          <w:tcW w:w="4320" w:type="dxa"/>
          <w:tcMar>
            <w:left w:w="0" w:type="dxa"/>
            <w:right w:w="0" w:type="dxa"/>
          </w:tcMar>
        </w:tcPr>
        <w:p w:rsidR="00143552" w:rsidRPr="0044776A" w:rsidRDefault="00143552" w:rsidP="002E2327">
          <w:pPr>
            <w:keepLines/>
            <w:rPr>
              <w:sz w:val="20"/>
              <w:szCs w:val="20"/>
              <w:lang w:val="fr-CA"/>
            </w:rPr>
          </w:pPr>
          <w:r w:rsidRPr="0044776A">
            <w:rPr>
              <w:sz w:val="20"/>
              <w:szCs w:val="20"/>
              <w:lang w:val="fr-CA"/>
            </w:rPr>
            <w:t>DEMANDES D'AUTORISATION D'APPEL DÉPOSÉES</w:t>
          </w:r>
        </w:p>
      </w:tc>
    </w:tr>
  </w:tbl>
  <w:p w:rsidR="00143552" w:rsidRDefault="0014355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52" w:rsidRDefault="0014355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43552" w:rsidRPr="00644959">
      <w:tc>
        <w:tcPr>
          <w:tcW w:w="4200" w:type="dxa"/>
          <w:tcMar>
            <w:left w:w="0" w:type="dxa"/>
            <w:right w:w="0" w:type="dxa"/>
          </w:tcMar>
        </w:tcPr>
        <w:p w:rsidR="00143552" w:rsidRDefault="001435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143552" w:rsidRDefault="001435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43552" w:rsidRPr="00283C52" w:rsidRDefault="001435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143552" w:rsidRPr="00283C52" w:rsidRDefault="001435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43552" w:rsidRPr="00283C52" w:rsidRDefault="001435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43552" w:rsidRPr="00644959" w:rsidTr="00245129">
      <w:tc>
        <w:tcPr>
          <w:tcW w:w="4200" w:type="dxa"/>
          <w:tcMar>
            <w:left w:w="0" w:type="dxa"/>
            <w:right w:w="0" w:type="dxa"/>
          </w:tcMar>
        </w:tcPr>
        <w:p w:rsidR="00143552" w:rsidRPr="00732DB7" w:rsidRDefault="00143552"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143552" w:rsidRPr="00732DB7" w:rsidRDefault="00143552" w:rsidP="00732DB7">
          <w:pPr>
            <w:keepNext/>
            <w:keepLines/>
            <w:tabs>
              <w:tab w:val="left" w:pos="-1440"/>
              <w:tab w:val="left" w:pos="-720"/>
            </w:tabs>
            <w:jc w:val="center"/>
            <w:rPr>
              <w:sz w:val="20"/>
              <w:szCs w:val="20"/>
            </w:rPr>
          </w:pPr>
        </w:p>
        <w:p w:rsidR="00143552" w:rsidRPr="00732DB7" w:rsidRDefault="00143552" w:rsidP="00732DB7">
          <w:pPr>
            <w:keepNext/>
            <w:keepLines/>
            <w:tabs>
              <w:tab w:val="left" w:pos="-1440"/>
              <w:tab w:val="left" w:pos="-720"/>
            </w:tabs>
            <w:jc w:val="center"/>
            <w:rPr>
              <w:sz w:val="20"/>
              <w:szCs w:val="20"/>
            </w:rPr>
          </w:pPr>
        </w:p>
        <w:p w:rsidR="00143552" w:rsidRPr="00732DB7" w:rsidRDefault="00143552" w:rsidP="00732DB7">
          <w:pPr>
            <w:keepNext/>
            <w:keepLines/>
            <w:tabs>
              <w:tab w:val="left" w:pos="-1440"/>
              <w:tab w:val="left" w:pos="-720"/>
            </w:tabs>
            <w:jc w:val="center"/>
            <w:rPr>
              <w:sz w:val="20"/>
              <w:szCs w:val="20"/>
            </w:rPr>
          </w:pPr>
        </w:p>
      </w:tc>
      <w:tc>
        <w:tcPr>
          <w:tcW w:w="4080" w:type="dxa"/>
          <w:tcMar>
            <w:left w:w="0" w:type="dxa"/>
            <w:right w:w="0" w:type="dxa"/>
          </w:tcMar>
        </w:tcPr>
        <w:p w:rsidR="00143552" w:rsidRPr="00732DB7" w:rsidRDefault="00143552"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143552" w:rsidRPr="00283C52" w:rsidRDefault="00143552"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52" w:rsidRDefault="0014355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43552" w:rsidRPr="00644959">
      <w:tc>
        <w:tcPr>
          <w:tcW w:w="4200" w:type="dxa"/>
          <w:tcMar>
            <w:left w:w="0" w:type="dxa"/>
            <w:right w:w="0" w:type="dxa"/>
          </w:tcMar>
        </w:tcPr>
        <w:p w:rsidR="00143552" w:rsidRDefault="001435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143552" w:rsidRDefault="001435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143552" w:rsidRDefault="001435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143552" w:rsidRPr="003C2C0F" w:rsidRDefault="001435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143552" w:rsidRPr="003C2C0F" w:rsidRDefault="001435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143552" w:rsidRPr="003C2C0F" w:rsidRDefault="001435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43552" w:rsidRPr="00644959" w:rsidTr="00245129">
      <w:tc>
        <w:tcPr>
          <w:tcW w:w="4200" w:type="dxa"/>
          <w:tcMar>
            <w:left w:w="0" w:type="dxa"/>
            <w:right w:w="0" w:type="dxa"/>
          </w:tcMar>
        </w:tcPr>
        <w:p w:rsidR="00143552" w:rsidRPr="00FF6EEC" w:rsidRDefault="00143552" w:rsidP="00FF6EEC">
          <w:pPr>
            <w:rPr>
              <w:sz w:val="20"/>
              <w:szCs w:val="20"/>
            </w:rPr>
          </w:pPr>
          <w:r w:rsidRPr="00FF6EEC">
            <w:rPr>
              <w:sz w:val="20"/>
              <w:szCs w:val="20"/>
            </w:rPr>
            <w:t>PRONOUNCEMENTS OF APPEALS RESERVED</w:t>
          </w:r>
        </w:p>
      </w:tc>
      <w:tc>
        <w:tcPr>
          <w:tcW w:w="1200" w:type="dxa"/>
          <w:tcMar>
            <w:left w:w="0" w:type="dxa"/>
            <w:right w:w="0" w:type="dxa"/>
          </w:tcMar>
        </w:tcPr>
        <w:p w:rsidR="00143552" w:rsidRPr="00FF6EEC" w:rsidRDefault="00143552" w:rsidP="00FF6EEC">
          <w:pPr>
            <w:jc w:val="center"/>
            <w:rPr>
              <w:sz w:val="20"/>
              <w:szCs w:val="20"/>
            </w:rPr>
          </w:pPr>
        </w:p>
        <w:p w:rsidR="00143552" w:rsidRPr="00FF6EEC" w:rsidRDefault="00143552" w:rsidP="00FF6EEC">
          <w:pPr>
            <w:jc w:val="center"/>
            <w:rPr>
              <w:sz w:val="20"/>
              <w:szCs w:val="20"/>
            </w:rPr>
          </w:pPr>
        </w:p>
        <w:p w:rsidR="00143552" w:rsidRPr="00FF6EEC" w:rsidRDefault="00143552" w:rsidP="00FF6EEC">
          <w:pPr>
            <w:jc w:val="center"/>
            <w:rPr>
              <w:sz w:val="20"/>
              <w:szCs w:val="20"/>
            </w:rPr>
          </w:pPr>
        </w:p>
      </w:tc>
      <w:tc>
        <w:tcPr>
          <w:tcW w:w="4080" w:type="dxa"/>
          <w:tcMar>
            <w:left w:w="0" w:type="dxa"/>
            <w:right w:w="0" w:type="dxa"/>
          </w:tcMar>
        </w:tcPr>
        <w:p w:rsidR="00143552" w:rsidRPr="00FF6EEC" w:rsidRDefault="00143552" w:rsidP="00FF6EEC">
          <w:pPr>
            <w:rPr>
              <w:sz w:val="20"/>
              <w:szCs w:val="20"/>
              <w:lang w:val="fr-CA"/>
            </w:rPr>
          </w:pPr>
          <w:r w:rsidRPr="00FF6EEC">
            <w:rPr>
              <w:sz w:val="20"/>
              <w:szCs w:val="20"/>
              <w:lang w:val="fr-CA"/>
            </w:rPr>
            <w:t>JUGEMENTS RENDUS SUR LES APPELS EN DÉLIBÉRÉ</w:t>
          </w:r>
        </w:p>
      </w:tc>
    </w:tr>
  </w:tbl>
  <w:p w:rsidR="00143552" w:rsidRPr="003C2C0F" w:rsidRDefault="00143552"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52" w:rsidRDefault="0014355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143552">
      <w:tc>
        <w:tcPr>
          <w:tcW w:w="4230" w:type="dxa"/>
          <w:tcMar>
            <w:left w:w="0" w:type="dxa"/>
            <w:right w:w="0" w:type="dxa"/>
          </w:tcMar>
        </w:tcPr>
        <w:p w:rsidR="00143552" w:rsidRDefault="001435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143552" w:rsidRDefault="001435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143552" w:rsidRDefault="001435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143552" w:rsidRDefault="001435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43552" w:rsidRDefault="001435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143552" w:rsidRDefault="001435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143552" w:rsidRDefault="001435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43552" w:rsidRDefault="001435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143552" w:rsidRPr="00782AE4" w:rsidTr="00245129">
      <w:tc>
        <w:tcPr>
          <w:tcW w:w="4230" w:type="dxa"/>
          <w:tcMar>
            <w:left w:w="0" w:type="dxa"/>
            <w:right w:w="0" w:type="dxa"/>
          </w:tcMar>
        </w:tcPr>
        <w:p w:rsidR="00143552" w:rsidRPr="00782AE4" w:rsidRDefault="00143552" w:rsidP="00102926">
          <w:pPr>
            <w:keepNext/>
            <w:keepLines/>
            <w:tabs>
              <w:tab w:val="left" w:pos="-1440"/>
              <w:tab w:val="left" w:pos="-720"/>
            </w:tabs>
            <w:rPr>
              <w:sz w:val="20"/>
              <w:szCs w:val="20"/>
            </w:rPr>
          </w:pPr>
          <w:r w:rsidRPr="00782AE4">
            <w:rPr>
              <w:sz w:val="20"/>
              <w:szCs w:val="20"/>
            </w:rPr>
            <w:t xml:space="preserve">HEADNOTES OF RECENT </w:t>
          </w:r>
        </w:p>
        <w:p w:rsidR="00143552" w:rsidRPr="00782AE4" w:rsidRDefault="001435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143552" w:rsidRDefault="00143552" w:rsidP="00102926">
          <w:pPr>
            <w:keepNext/>
            <w:keepLines/>
            <w:tabs>
              <w:tab w:val="left" w:pos="-1440"/>
              <w:tab w:val="left" w:pos="-720"/>
            </w:tabs>
            <w:jc w:val="center"/>
            <w:rPr>
              <w:sz w:val="20"/>
              <w:szCs w:val="20"/>
            </w:rPr>
          </w:pPr>
        </w:p>
        <w:p w:rsidR="00143552" w:rsidRDefault="00143552" w:rsidP="00102926">
          <w:pPr>
            <w:keepNext/>
            <w:keepLines/>
            <w:tabs>
              <w:tab w:val="left" w:pos="-1440"/>
              <w:tab w:val="left" w:pos="-720"/>
            </w:tabs>
            <w:jc w:val="center"/>
            <w:rPr>
              <w:sz w:val="20"/>
              <w:szCs w:val="20"/>
            </w:rPr>
          </w:pPr>
        </w:p>
        <w:p w:rsidR="00143552" w:rsidRPr="00782AE4" w:rsidRDefault="00143552" w:rsidP="00102926">
          <w:pPr>
            <w:keepNext/>
            <w:keepLines/>
            <w:tabs>
              <w:tab w:val="left" w:pos="-1440"/>
              <w:tab w:val="left" w:pos="-720"/>
            </w:tabs>
            <w:jc w:val="center"/>
            <w:rPr>
              <w:sz w:val="20"/>
              <w:szCs w:val="20"/>
            </w:rPr>
          </w:pPr>
        </w:p>
      </w:tc>
      <w:tc>
        <w:tcPr>
          <w:tcW w:w="4080" w:type="dxa"/>
          <w:tcMar>
            <w:left w:w="0" w:type="dxa"/>
            <w:right w:w="0" w:type="dxa"/>
          </w:tcMar>
        </w:tcPr>
        <w:p w:rsidR="00143552" w:rsidRPr="00102926" w:rsidRDefault="001435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143552" w:rsidRPr="00782AE4" w:rsidRDefault="00143552" w:rsidP="00102926">
          <w:pPr>
            <w:keepLines/>
            <w:tabs>
              <w:tab w:val="left" w:pos="-1440"/>
              <w:tab w:val="left" w:pos="-720"/>
            </w:tabs>
            <w:rPr>
              <w:sz w:val="20"/>
              <w:szCs w:val="20"/>
            </w:rPr>
          </w:pPr>
          <w:r w:rsidRPr="00102926">
            <w:rPr>
              <w:sz w:val="20"/>
              <w:szCs w:val="20"/>
              <w:lang w:val="fr-CA"/>
            </w:rPr>
            <w:t>RÉCENTS</w:t>
          </w:r>
        </w:p>
      </w:tc>
    </w:tr>
  </w:tbl>
  <w:p w:rsidR="00143552" w:rsidRDefault="00143552"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52" w:rsidRDefault="001435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52" w:rsidRDefault="0014355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52" w:rsidRDefault="001435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43552" w:rsidRPr="00644959" w:rsidTr="00245129">
      <w:tc>
        <w:tcPr>
          <w:tcW w:w="4200" w:type="dxa"/>
          <w:tcMar>
            <w:left w:w="0" w:type="dxa"/>
            <w:right w:w="0" w:type="dxa"/>
          </w:tcMar>
        </w:tcPr>
        <w:p w:rsidR="00143552" w:rsidRPr="0044776A" w:rsidRDefault="00143552" w:rsidP="0044776A">
          <w:pPr>
            <w:keepNext/>
            <w:keepLines/>
            <w:widowControl w:val="0"/>
            <w:rPr>
              <w:sz w:val="20"/>
              <w:szCs w:val="20"/>
            </w:rPr>
          </w:pPr>
          <w:r>
            <w:rPr>
              <w:sz w:val="20"/>
              <w:szCs w:val="20"/>
            </w:rPr>
            <w:t>APPLICATIONS FOR LEAVE</w:t>
          </w:r>
        </w:p>
        <w:p w:rsidR="00143552" w:rsidRPr="0044776A" w:rsidRDefault="00143552"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143552" w:rsidRPr="0044776A" w:rsidRDefault="00143552" w:rsidP="0044776A">
          <w:pPr>
            <w:keepNext/>
            <w:keepLines/>
            <w:widowControl w:val="0"/>
            <w:jc w:val="center"/>
            <w:rPr>
              <w:sz w:val="20"/>
              <w:szCs w:val="20"/>
            </w:rPr>
          </w:pPr>
        </w:p>
        <w:p w:rsidR="00143552" w:rsidRPr="0044776A" w:rsidRDefault="00143552" w:rsidP="0044776A">
          <w:pPr>
            <w:keepNext/>
            <w:keepLines/>
            <w:widowControl w:val="0"/>
            <w:jc w:val="center"/>
            <w:rPr>
              <w:sz w:val="20"/>
              <w:szCs w:val="20"/>
            </w:rPr>
          </w:pPr>
        </w:p>
        <w:p w:rsidR="00143552" w:rsidRPr="0044776A" w:rsidRDefault="00143552" w:rsidP="0044776A">
          <w:pPr>
            <w:keepNext/>
            <w:keepLines/>
            <w:widowControl w:val="0"/>
            <w:jc w:val="center"/>
            <w:rPr>
              <w:sz w:val="20"/>
              <w:szCs w:val="20"/>
            </w:rPr>
          </w:pPr>
        </w:p>
      </w:tc>
      <w:tc>
        <w:tcPr>
          <w:tcW w:w="4080" w:type="dxa"/>
          <w:tcMar>
            <w:left w:w="0" w:type="dxa"/>
            <w:right w:w="0" w:type="dxa"/>
          </w:tcMar>
        </w:tcPr>
        <w:p w:rsidR="00143552" w:rsidRPr="0044776A" w:rsidRDefault="00143552" w:rsidP="0044776A">
          <w:pPr>
            <w:keepLines/>
            <w:widowControl w:val="0"/>
            <w:rPr>
              <w:sz w:val="20"/>
              <w:szCs w:val="20"/>
              <w:lang w:val="fr-CA"/>
            </w:rPr>
          </w:pPr>
          <w:r w:rsidRPr="0044776A">
            <w:rPr>
              <w:sz w:val="20"/>
              <w:szCs w:val="20"/>
              <w:lang w:val="fr-CA"/>
            </w:rPr>
            <w:t>DEMANDES SOUMISES À LA COUR DEPUIS LA DERNIÈRE PARUTION</w:t>
          </w:r>
        </w:p>
        <w:p w:rsidR="00143552" w:rsidRPr="0044776A" w:rsidRDefault="00143552" w:rsidP="0044776A">
          <w:pPr>
            <w:widowControl w:val="0"/>
            <w:rPr>
              <w:sz w:val="20"/>
              <w:szCs w:val="20"/>
              <w:lang w:val="fr-CA"/>
            </w:rPr>
          </w:pPr>
        </w:p>
      </w:tc>
    </w:tr>
  </w:tbl>
  <w:p w:rsidR="00143552" w:rsidRPr="002E2327" w:rsidRDefault="00143552">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52" w:rsidRDefault="0014355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43552" w:rsidRPr="00644959">
      <w:tc>
        <w:tcPr>
          <w:tcW w:w="4200" w:type="dxa"/>
          <w:tcMar>
            <w:left w:w="0" w:type="dxa"/>
            <w:right w:w="0" w:type="dxa"/>
          </w:tcMar>
        </w:tcPr>
        <w:p w:rsidR="00143552" w:rsidRDefault="001435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143552" w:rsidRDefault="001435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143552" w:rsidRDefault="001435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43552" w:rsidRPr="00FF6BA5" w:rsidRDefault="001435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143552" w:rsidRPr="00FF6BA5" w:rsidRDefault="001435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143552" w:rsidRPr="00FF6BA5" w:rsidRDefault="001435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143552" w:rsidRPr="00FF6BA5" w:rsidRDefault="001435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43552" w:rsidRPr="00644959" w:rsidTr="00245129">
      <w:tc>
        <w:tcPr>
          <w:tcW w:w="4200" w:type="dxa"/>
          <w:tcMar>
            <w:left w:w="0" w:type="dxa"/>
            <w:right w:w="0" w:type="dxa"/>
          </w:tcMar>
        </w:tcPr>
        <w:p w:rsidR="00143552" w:rsidRPr="00755F22" w:rsidRDefault="001435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143552" w:rsidRPr="00755F22" w:rsidRDefault="001435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143552" w:rsidRPr="00755F22" w:rsidRDefault="0014355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43552" w:rsidRPr="00755F22" w:rsidRDefault="0014355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43552" w:rsidRPr="00755F22" w:rsidRDefault="0014355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143552" w:rsidRPr="00755F22" w:rsidRDefault="001435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143552" w:rsidRPr="00FF6BA5" w:rsidRDefault="00143552"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52" w:rsidRDefault="0014355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143552">
      <w:tc>
        <w:tcPr>
          <w:tcW w:w="4230" w:type="dxa"/>
          <w:tcMar>
            <w:left w:w="0" w:type="dxa"/>
            <w:right w:w="0" w:type="dxa"/>
          </w:tcMar>
        </w:tcPr>
        <w:p w:rsidR="00143552" w:rsidRDefault="001435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143552" w:rsidRDefault="001435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43552" w:rsidRDefault="001435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143552">
      <w:trPr>
        <w:gridAfter w:val="2"/>
        <w:wAfter w:w="5250" w:type="dxa"/>
      </w:trPr>
      <w:tc>
        <w:tcPr>
          <w:tcW w:w="4230" w:type="dxa"/>
          <w:tcMar>
            <w:left w:w="0" w:type="dxa"/>
            <w:right w:w="0" w:type="dxa"/>
          </w:tcMar>
        </w:tcPr>
        <w:p w:rsidR="00143552" w:rsidRDefault="001435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43552" w:rsidRDefault="001435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143552" w:rsidRPr="00755F22" w:rsidTr="00245129">
      <w:tc>
        <w:tcPr>
          <w:tcW w:w="4230" w:type="dxa"/>
          <w:tcMar>
            <w:left w:w="0" w:type="dxa"/>
            <w:right w:w="0" w:type="dxa"/>
          </w:tcMar>
        </w:tcPr>
        <w:p w:rsidR="00143552" w:rsidRPr="00755F22" w:rsidRDefault="00143552" w:rsidP="00831CA9">
          <w:pPr>
            <w:keepNext/>
            <w:keepLines/>
            <w:rPr>
              <w:sz w:val="20"/>
              <w:szCs w:val="20"/>
            </w:rPr>
          </w:pPr>
          <w:r w:rsidRPr="00755F22">
            <w:rPr>
              <w:sz w:val="20"/>
              <w:szCs w:val="20"/>
            </w:rPr>
            <w:t>MOTIONS</w:t>
          </w:r>
        </w:p>
      </w:tc>
      <w:tc>
        <w:tcPr>
          <w:tcW w:w="1170" w:type="dxa"/>
          <w:tcMar>
            <w:left w:w="0" w:type="dxa"/>
            <w:right w:w="0" w:type="dxa"/>
          </w:tcMar>
        </w:tcPr>
        <w:p w:rsidR="00143552" w:rsidRPr="00755F22" w:rsidRDefault="00143552" w:rsidP="00831CA9">
          <w:pPr>
            <w:keepLines/>
            <w:jc w:val="center"/>
            <w:rPr>
              <w:sz w:val="20"/>
              <w:szCs w:val="20"/>
            </w:rPr>
          </w:pPr>
        </w:p>
        <w:p w:rsidR="00143552" w:rsidRPr="00755F22" w:rsidRDefault="00143552" w:rsidP="00831CA9">
          <w:pPr>
            <w:keepLines/>
            <w:tabs>
              <w:tab w:val="left" w:pos="-1440"/>
              <w:tab w:val="left" w:pos="-720"/>
            </w:tabs>
            <w:jc w:val="center"/>
            <w:rPr>
              <w:sz w:val="20"/>
              <w:szCs w:val="20"/>
            </w:rPr>
          </w:pPr>
        </w:p>
      </w:tc>
      <w:tc>
        <w:tcPr>
          <w:tcW w:w="4080" w:type="dxa"/>
          <w:tcMar>
            <w:left w:w="0" w:type="dxa"/>
            <w:right w:w="0" w:type="dxa"/>
          </w:tcMar>
        </w:tcPr>
        <w:p w:rsidR="00143552" w:rsidRPr="00BA6468" w:rsidRDefault="00143552" w:rsidP="00BA6468">
          <w:pPr>
            <w:keepLines/>
            <w:rPr>
              <w:sz w:val="20"/>
              <w:szCs w:val="20"/>
              <w:lang w:val="fr-CA"/>
            </w:rPr>
          </w:pPr>
          <w:r w:rsidRPr="00BA6468">
            <w:rPr>
              <w:sz w:val="20"/>
              <w:szCs w:val="20"/>
              <w:lang w:val="fr-CA"/>
            </w:rPr>
            <w:t>REQUÊTES</w:t>
          </w:r>
        </w:p>
      </w:tc>
    </w:tr>
  </w:tbl>
  <w:p w:rsidR="00143552" w:rsidRDefault="00143552"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967D1"/>
    <w:multiLevelType w:val="hybridMultilevel"/>
    <w:tmpl w:val="E9A01C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131304"/>
    <w:multiLevelType w:val="hybridMultilevel"/>
    <w:tmpl w:val="E9A01C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C0C682C"/>
    <w:multiLevelType w:val="hybridMultilevel"/>
    <w:tmpl w:val="7F903BB6"/>
    <w:lvl w:ilvl="0" w:tplc="8DF69EB8">
      <w:start w:val="3"/>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4"/>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25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2D"/>
    <w:rsid w:val="00002704"/>
    <w:rsid w:val="00020DC3"/>
    <w:rsid w:val="0003223B"/>
    <w:rsid w:val="000327B2"/>
    <w:rsid w:val="0004528B"/>
    <w:rsid w:val="00064FBA"/>
    <w:rsid w:val="00091FA6"/>
    <w:rsid w:val="00096BD9"/>
    <w:rsid w:val="000B3C9A"/>
    <w:rsid w:val="000B40A2"/>
    <w:rsid w:val="000B4624"/>
    <w:rsid w:val="000C0ACD"/>
    <w:rsid w:val="000C0D2A"/>
    <w:rsid w:val="000C5CE8"/>
    <w:rsid w:val="000E27A5"/>
    <w:rsid w:val="000E2959"/>
    <w:rsid w:val="000F0B60"/>
    <w:rsid w:val="00102926"/>
    <w:rsid w:val="0010587F"/>
    <w:rsid w:val="0010611E"/>
    <w:rsid w:val="00111C6B"/>
    <w:rsid w:val="0012102B"/>
    <w:rsid w:val="0013369E"/>
    <w:rsid w:val="0013595D"/>
    <w:rsid w:val="001418A7"/>
    <w:rsid w:val="0014235A"/>
    <w:rsid w:val="00143552"/>
    <w:rsid w:val="001437EE"/>
    <w:rsid w:val="00164E6D"/>
    <w:rsid w:val="001733C2"/>
    <w:rsid w:val="00183454"/>
    <w:rsid w:val="00195F99"/>
    <w:rsid w:val="001B157C"/>
    <w:rsid w:val="001B4006"/>
    <w:rsid w:val="001B5C23"/>
    <w:rsid w:val="001D0D5F"/>
    <w:rsid w:val="001D6B8C"/>
    <w:rsid w:val="001F1F83"/>
    <w:rsid w:val="001F40DF"/>
    <w:rsid w:val="001F43F8"/>
    <w:rsid w:val="001F6B2D"/>
    <w:rsid w:val="002021A9"/>
    <w:rsid w:val="002139A7"/>
    <w:rsid w:val="00215F7C"/>
    <w:rsid w:val="0022323B"/>
    <w:rsid w:val="002410B8"/>
    <w:rsid w:val="00242AEE"/>
    <w:rsid w:val="00245129"/>
    <w:rsid w:val="00245879"/>
    <w:rsid w:val="00250D3A"/>
    <w:rsid w:val="00252877"/>
    <w:rsid w:val="00253236"/>
    <w:rsid w:val="00267FD5"/>
    <w:rsid w:val="002713CE"/>
    <w:rsid w:val="00274D34"/>
    <w:rsid w:val="00283ED8"/>
    <w:rsid w:val="002868D0"/>
    <w:rsid w:val="002901F1"/>
    <w:rsid w:val="002A008C"/>
    <w:rsid w:val="002A27D1"/>
    <w:rsid w:val="002A4AFA"/>
    <w:rsid w:val="002B4190"/>
    <w:rsid w:val="002B516C"/>
    <w:rsid w:val="002D72EB"/>
    <w:rsid w:val="002E2327"/>
    <w:rsid w:val="002E3583"/>
    <w:rsid w:val="002E5576"/>
    <w:rsid w:val="0030050B"/>
    <w:rsid w:val="00315C57"/>
    <w:rsid w:val="00331B52"/>
    <w:rsid w:val="003359D3"/>
    <w:rsid w:val="00352818"/>
    <w:rsid w:val="00355967"/>
    <w:rsid w:val="003655EB"/>
    <w:rsid w:val="00382C47"/>
    <w:rsid w:val="00384384"/>
    <w:rsid w:val="003866AE"/>
    <w:rsid w:val="00387BDF"/>
    <w:rsid w:val="00394F82"/>
    <w:rsid w:val="003B3549"/>
    <w:rsid w:val="003B3977"/>
    <w:rsid w:val="003C617C"/>
    <w:rsid w:val="003E1D4C"/>
    <w:rsid w:val="004137A0"/>
    <w:rsid w:val="00416ED4"/>
    <w:rsid w:val="00422D9A"/>
    <w:rsid w:val="00432989"/>
    <w:rsid w:val="00440E24"/>
    <w:rsid w:val="0044776A"/>
    <w:rsid w:val="00460AFC"/>
    <w:rsid w:val="0046143D"/>
    <w:rsid w:val="0047471F"/>
    <w:rsid w:val="004A72A5"/>
    <w:rsid w:val="004B195E"/>
    <w:rsid w:val="004B66B4"/>
    <w:rsid w:val="004B7F60"/>
    <w:rsid w:val="004C1AAC"/>
    <w:rsid w:val="004D3E4F"/>
    <w:rsid w:val="004E1E0A"/>
    <w:rsid w:val="004F090E"/>
    <w:rsid w:val="00501F3C"/>
    <w:rsid w:val="0052229C"/>
    <w:rsid w:val="00527CC7"/>
    <w:rsid w:val="0056248C"/>
    <w:rsid w:val="00571CA4"/>
    <w:rsid w:val="00582136"/>
    <w:rsid w:val="00592F25"/>
    <w:rsid w:val="005C6840"/>
    <w:rsid w:val="005F1ED8"/>
    <w:rsid w:val="005F263E"/>
    <w:rsid w:val="00600252"/>
    <w:rsid w:val="00612A40"/>
    <w:rsid w:val="00617E56"/>
    <w:rsid w:val="0062714A"/>
    <w:rsid w:val="00644959"/>
    <w:rsid w:val="00646338"/>
    <w:rsid w:val="00660261"/>
    <w:rsid w:val="00675479"/>
    <w:rsid w:val="00680709"/>
    <w:rsid w:val="00681F61"/>
    <w:rsid w:val="00691525"/>
    <w:rsid w:val="00696BF9"/>
    <w:rsid w:val="00697C62"/>
    <w:rsid w:val="006A329B"/>
    <w:rsid w:val="006A7EB8"/>
    <w:rsid w:val="006B3BE3"/>
    <w:rsid w:val="006B6926"/>
    <w:rsid w:val="006C3F47"/>
    <w:rsid w:val="006C5F7A"/>
    <w:rsid w:val="006E06AF"/>
    <w:rsid w:val="006F350F"/>
    <w:rsid w:val="006F53CF"/>
    <w:rsid w:val="0072056E"/>
    <w:rsid w:val="00724636"/>
    <w:rsid w:val="00727BE5"/>
    <w:rsid w:val="00727C86"/>
    <w:rsid w:val="00732DB7"/>
    <w:rsid w:val="0074238B"/>
    <w:rsid w:val="00745EF7"/>
    <w:rsid w:val="00751E22"/>
    <w:rsid w:val="00755F22"/>
    <w:rsid w:val="00766E4A"/>
    <w:rsid w:val="007713BC"/>
    <w:rsid w:val="007820CE"/>
    <w:rsid w:val="00782AE4"/>
    <w:rsid w:val="007873A8"/>
    <w:rsid w:val="007961CD"/>
    <w:rsid w:val="0079724F"/>
    <w:rsid w:val="007A3EAE"/>
    <w:rsid w:val="007C04FC"/>
    <w:rsid w:val="007C3DB0"/>
    <w:rsid w:val="007C47C2"/>
    <w:rsid w:val="007D2C5A"/>
    <w:rsid w:val="007D3E0F"/>
    <w:rsid w:val="007E4282"/>
    <w:rsid w:val="007F387B"/>
    <w:rsid w:val="00802863"/>
    <w:rsid w:val="00807E20"/>
    <w:rsid w:val="008112A9"/>
    <w:rsid w:val="0081473A"/>
    <w:rsid w:val="00815B3C"/>
    <w:rsid w:val="0081610A"/>
    <w:rsid w:val="0082783A"/>
    <w:rsid w:val="00831CA9"/>
    <w:rsid w:val="00850E1F"/>
    <w:rsid w:val="00851E40"/>
    <w:rsid w:val="0085476B"/>
    <w:rsid w:val="0086340B"/>
    <w:rsid w:val="008902B1"/>
    <w:rsid w:val="00890FEB"/>
    <w:rsid w:val="00895E7E"/>
    <w:rsid w:val="008A5C1A"/>
    <w:rsid w:val="008B340A"/>
    <w:rsid w:val="008D292F"/>
    <w:rsid w:val="008D4E96"/>
    <w:rsid w:val="008E03DC"/>
    <w:rsid w:val="008E6C16"/>
    <w:rsid w:val="00902E51"/>
    <w:rsid w:val="00924065"/>
    <w:rsid w:val="00930D68"/>
    <w:rsid w:val="00932DB4"/>
    <w:rsid w:val="00941A4B"/>
    <w:rsid w:val="00946242"/>
    <w:rsid w:val="0095096B"/>
    <w:rsid w:val="0097006A"/>
    <w:rsid w:val="00970CD3"/>
    <w:rsid w:val="009723FA"/>
    <w:rsid w:val="009766E5"/>
    <w:rsid w:val="00984546"/>
    <w:rsid w:val="00996510"/>
    <w:rsid w:val="009C247B"/>
    <w:rsid w:val="009D1F15"/>
    <w:rsid w:val="009D3C47"/>
    <w:rsid w:val="009D555E"/>
    <w:rsid w:val="009F3024"/>
    <w:rsid w:val="009F39BA"/>
    <w:rsid w:val="00A0355E"/>
    <w:rsid w:val="00A20D2D"/>
    <w:rsid w:val="00A35452"/>
    <w:rsid w:val="00A375D1"/>
    <w:rsid w:val="00A51D10"/>
    <w:rsid w:val="00A52A83"/>
    <w:rsid w:val="00A6552C"/>
    <w:rsid w:val="00A7685F"/>
    <w:rsid w:val="00A87207"/>
    <w:rsid w:val="00A935AA"/>
    <w:rsid w:val="00A956D3"/>
    <w:rsid w:val="00AB2201"/>
    <w:rsid w:val="00AD1D34"/>
    <w:rsid w:val="00AD3259"/>
    <w:rsid w:val="00AD776D"/>
    <w:rsid w:val="00AD7CEE"/>
    <w:rsid w:val="00AF1715"/>
    <w:rsid w:val="00AF3904"/>
    <w:rsid w:val="00B010C0"/>
    <w:rsid w:val="00B35ED9"/>
    <w:rsid w:val="00B4740D"/>
    <w:rsid w:val="00B61629"/>
    <w:rsid w:val="00B7374B"/>
    <w:rsid w:val="00B82251"/>
    <w:rsid w:val="00B90DC0"/>
    <w:rsid w:val="00BA0A09"/>
    <w:rsid w:val="00BA116A"/>
    <w:rsid w:val="00BA2B62"/>
    <w:rsid w:val="00BA3E56"/>
    <w:rsid w:val="00BA5582"/>
    <w:rsid w:val="00BA6468"/>
    <w:rsid w:val="00BB1D44"/>
    <w:rsid w:val="00BD06DA"/>
    <w:rsid w:val="00BD4217"/>
    <w:rsid w:val="00BF25F3"/>
    <w:rsid w:val="00BF7F5F"/>
    <w:rsid w:val="00C01FCB"/>
    <w:rsid w:val="00C07D81"/>
    <w:rsid w:val="00C14510"/>
    <w:rsid w:val="00C1697B"/>
    <w:rsid w:val="00C21644"/>
    <w:rsid w:val="00C21CB5"/>
    <w:rsid w:val="00C364FE"/>
    <w:rsid w:val="00C46376"/>
    <w:rsid w:val="00C50A5C"/>
    <w:rsid w:val="00C50FDF"/>
    <w:rsid w:val="00C63381"/>
    <w:rsid w:val="00C73D06"/>
    <w:rsid w:val="00C73E1B"/>
    <w:rsid w:val="00C7556C"/>
    <w:rsid w:val="00C759B4"/>
    <w:rsid w:val="00C77713"/>
    <w:rsid w:val="00C80D49"/>
    <w:rsid w:val="00C85BB7"/>
    <w:rsid w:val="00CA1585"/>
    <w:rsid w:val="00CA2DEA"/>
    <w:rsid w:val="00CB3520"/>
    <w:rsid w:val="00CB43D5"/>
    <w:rsid w:val="00CC4D84"/>
    <w:rsid w:val="00CE198A"/>
    <w:rsid w:val="00CE6264"/>
    <w:rsid w:val="00CF08C8"/>
    <w:rsid w:val="00D004FC"/>
    <w:rsid w:val="00D0448B"/>
    <w:rsid w:val="00D13443"/>
    <w:rsid w:val="00D242B5"/>
    <w:rsid w:val="00D34451"/>
    <w:rsid w:val="00D410AB"/>
    <w:rsid w:val="00D64901"/>
    <w:rsid w:val="00D76BDF"/>
    <w:rsid w:val="00D818B6"/>
    <w:rsid w:val="00D862C1"/>
    <w:rsid w:val="00D93B50"/>
    <w:rsid w:val="00D94028"/>
    <w:rsid w:val="00D94670"/>
    <w:rsid w:val="00DA46F6"/>
    <w:rsid w:val="00DA6106"/>
    <w:rsid w:val="00DA756F"/>
    <w:rsid w:val="00DB0B98"/>
    <w:rsid w:val="00DB2759"/>
    <w:rsid w:val="00DB3DD6"/>
    <w:rsid w:val="00DC0577"/>
    <w:rsid w:val="00DD0B49"/>
    <w:rsid w:val="00DE0502"/>
    <w:rsid w:val="00DE349D"/>
    <w:rsid w:val="00DF03D1"/>
    <w:rsid w:val="00E06DFA"/>
    <w:rsid w:val="00E209EC"/>
    <w:rsid w:val="00E20A0A"/>
    <w:rsid w:val="00E240C2"/>
    <w:rsid w:val="00E356C7"/>
    <w:rsid w:val="00E37577"/>
    <w:rsid w:val="00E414CA"/>
    <w:rsid w:val="00E41A5A"/>
    <w:rsid w:val="00E45FE4"/>
    <w:rsid w:val="00E462BB"/>
    <w:rsid w:val="00E64FA7"/>
    <w:rsid w:val="00E75CFD"/>
    <w:rsid w:val="00E770CB"/>
    <w:rsid w:val="00E8544A"/>
    <w:rsid w:val="00E903A1"/>
    <w:rsid w:val="00E940EB"/>
    <w:rsid w:val="00E942C2"/>
    <w:rsid w:val="00E9703F"/>
    <w:rsid w:val="00EB2B90"/>
    <w:rsid w:val="00EB4F0F"/>
    <w:rsid w:val="00ED4223"/>
    <w:rsid w:val="00ED7E83"/>
    <w:rsid w:val="00EE091F"/>
    <w:rsid w:val="00EF4B63"/>
    <w:rsid w:val="00EF6318"/>
    <w:rsid w:val="00F0068D"/>
    <w:rsid w:val="00F0576D"/>
    <w:rsid w:val="00F14E6D"/>
    <w:rsid w:val="00F15EA8"/>
    <w:rsid w:val="00F16C8D"/>
    <w:rsid w:val="00F26C61"/>
    <w:rsid w:val="00F33CCE"/>
    <w:rsid w:val="00F40249"/>
    <w:rsid w:val="00F42924"/>
    <w:rsid w:val="00F526C8"/>
    <w:rsid w:val="00F761A3"/>
    <w:rsid w:val="00F9272D"/>
    <w:rsid w:val="00F94461"/>
    <w:rsid w:val="00F9518C"/>
    <w:rsid w:val="00FA1A3D"/>
    <w:rsid w:val="00FA316E"/>
    <w:rsid w:val="00FA3373"/>
    <w:rsid w:val="00FA59EF"/>
    <w:rsid w:val="00FB19A2"/>
    <w:rsid w:val="00FB4A2E"/>
    <w:rsid w:val="00FC51EA"/>
    <w:rsid w:val="00FD1C43"/>
    <w:rsid w:val="00FE2F5A"/>
    <w:rsid w:val="00FE6769"/>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styleId="BalloonText">
    <w:name w:val="Balloon Text"/>
    <w:basedOn w:val="Normal"/>
    <w:link w:val="BalloonTextChar"/>
    <w:uiPriority w:val="99"/>
    <w:semiHidden/>
    <w:unhideWhenUsed/>
    <w:rsid w:val="00271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3CE"/>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160313">
      <w:bodyDiv w:val="1"/>
      <w:marLeft w:val="0"/>
      <w:marRight w:val="0"/>
      <w:marTop w:val="0"/>
      <w:marBottom w:val="0"/>
      <w:divBdr>
        <w:top w:val="none" w:sz="0" w:space="0" w:color="auto"/>
        <w:left w:val="none" w:sz="0" w:space="0" w:color="auto"/>
        <w:bottom w:val="none" w:sz="0" w:space="0" w:color="auto"/>
        <w:right w:val="none" w:sz="0" w:space="0" w:color="auto"/>
      </w:divBdr>
    </w:div>
    <w:div w:id="864175643">
      <w:bodyDiv w:val="1"/>
      <w:marLeft w:val="0"/>
      <w:marRight w:val="0"/>
      <w:marTop w:val="0"/>
      <w:marBottom w:val="0"/>
      <w:divBdr>
        <w:top w:val="none" w:sz="0" w:space="0" w:color="auto"/>
        <w:left w:val="none" w:sz="0" w:space="0" w:color="auto"/>
        <w:bottom w:val="none" w:sz="0" w:space="0" w:color="auto"/>
        <w:right w:val="none" w:sz="0" w:space="0" w:color="auto"/>
      </w:divBdr>
    </w:div>
    <w:div w:id="1141381480">
      <w:bodyDiv w:val="1"/>
      <w:marLeft w:val="0"/>
      <w:marRight w:val="0"/>
      <w:marTop w:val="0"/>
      <w:marBottom w:val="0"/>
      <w:divBdr>
        <w:top w:val="none" w:sz="0" w:space="0" w:color="auto"/>
        <w:left w:val="none" w:sz="0" w:space="0" w:color="auto"/>
        <w:bottom w:val="none" w:sz="0" w:space="0" w:color="auto"/>
        <w:right w:val="none" w:sz="0" w:space="0" w:color="auto"/>
      </w:divBdr>
    </w:div>
    <w:div w:id="144261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anlii.org/en/bc/bcsc/doc/2017/2017bcsc838/2017bcsc838.html?resultIndex=1" TargetMode="External"/><Relationship Id="rId26" Type="http://schemas.openxmlformats.org/officeDocument/2006/relationships/hyperlink" Target="https://www.canlii.org/en/ns/nssc/doc/2016/2016nssc160/2016nssc160.html?autocompleteStr=2016%20NSSC%20160&amp;autocompletePos=1" TargetMode="External"/><Relationship Id="rId39" Type="http://schemas.openxmlformats.org/officeDocument/2006/relationships/footer" Target="footer6.xml"/><Relationship Id="rId21" Type="http://schemas.openxmlformats.org/officeDocument/2006/relationships/hyperlink" Target="https://www.canlii.org/en/bc/bcca/doc/2017/2017bcca349/2017bcca349.html?resultIndex=1" TargetMode="External"/><Relationship Id="rId34" Type="http://schemas.openxmlformats.org/officeDocument/2006/relationships/hyperlink" Target="https://www.canlii.org/en/bc/bcca/doc/2017/2017bcca418/2017bcca418.html?searchUrlHash=AAAAAQAOMjAxNiBCQ1NDIDE1MzAAAAAAAQ&amp;resultIndex=2" TargetMode="External"/><Relationship Id="rId42" Type="http://schemas.openxmlformats.org/officeDocument/2006/relationships/header" Target="header8.xml"/><Relationship Id="rId47" Type="http://schemas.openxmlformats.org/officeDocument/2006/relationships/footer" Target="footer10.xml"/><Relationship Id="rId50" Type="http://schemas.openxmlformats.org/officeDocument/2006/relationships/hyperlink" Target="http://www.scc-csc.ca/case-dossier/info/sum-som-eng.aspx?cas=37774" TargetMode="External"/><Relationship Id="rId55" Type="http://schemas.openxmlformats.org/officeDocument/2006/relationships/footer" Target="footer11.xml"/><Relationship Id="rId63" Type="http://schemas.openxmlformats.org/officeDocument/2006/relationships/header" Target="header16.xml"/><Relationship Id="rId68" Type="http://schemas.openxmlformats.org/officeDocument/2006/relationships/header" Target="header18.xml"/><Relationship Id="rId76"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s://www.canlii.org/en/ns/nsca/doc/2017/2017nsca57/2017nsca57.html?autocompleteStr=2017%20NSCA%2057&amp;autocompletePos=1" TargetMode="External"/><Relationship Id="rId11" Type="http://schemas.openxmlformats.org/officeDocument/2006/relationships/footer" Target="footer1.xml"/><Relationship Id="rId24" Type="http://schemas.openxmlformats.org/officeDocument/2006/relationships/hyperlink" Target="https://www.canlii.org/en/bc/bcsc/doc/2015/2015bcsc951/2015bcsc951.html?autocompleteStr=2015%20BCSC%20951&amp;autocompletePos=1" TargetMode="External"/><Relationship Id="rId32" Type="http://schemas.openxmlformats.org/officeDocument/2006/relationships/hyperlink" Target="https://www.canlii.org/en/bc/bcca/doc/2017/2017bcca418/2017bcca418.html?searchUrlHash=AAAAAQAOMjAxNiBCQ1NDIDE1MzAAAAAAAQ&amp;resultIndex=2" TargetMode="External"/><Relationship Id="rId37" Type="http://schemas.openxmlformats.org/officeDocument/2006/relationships/header" Target="header6.xml"/><Relationship Id="rId40" Type="http://schemas.openxmlformats.org/officeDocument/2006/relationships/header" Target="header7.xml"/><Relationship Id="rId45" Type="http://schemas.openxmlformats.org/officeDocument/2006/relationships/footer" Target="footer9.xml"/><Relationship Id="rId53" Type="http://schemas.openxmlformats.org/officeDocument/2006/relationships/header" Target="header11.xml"/><Relationship Id="rId58" Type="http://schemas.openxmlformats.org/officeDocument/2006/relationships/footer" Target="footer13.xml"/><Relationship Id="rId66" Type="http://schemas.openxmlformats.org/officeDocument/2006/relationships/hyperlink" Target="http://www.scc-csc.ca/case-dossier/info/sum-som-eng.aspx?cas=37250" TargetMode="External"/><Relationship Id="rId74" Type="http://schemas.openxmlformats.org/officeDocument/2006/relationships/footer" Target="footer20.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www.canlii.org/en/bc/bcca/doc/2017/2017bcca255/2017bcca255.html?autocompleteStr=2017%20BCCA%20255&amp;autocompletePos=1" TargetMode="External"/><Relationship Id="rId28" Type="http://schemas.openxmlformats.org/officeDocument/2006/relationships/hyperlink" Target="https://www.canlii.org/en/ns/nssc/doc/2016/2016nssc160/2016nssc160.html?autocompleteStr=2016%20NSSC%20160&amp;autocompletePos=1" TargetMode="External"/><Relationship Id="rId36" Type="http://schemas.openxmlformats.org/officeDocument/2006/relationships/header" Target="header5.xml"/><Relationship Id="rId49" Type="http://schemas.openxmlformats.org/officeDocument/2006/relationships/hyperlink" Target="http://www.scc-csc.ca/case-dossier/info/sum-som-eng.aspx?cas=37782" TargetMode="External"/><Relationship Id="rId57" Type="http://schemas.openxmlformats.org/officeDocument/2006/relationships/header" Target="header13.xml"/><Relationship Id="rId61" Type="http://schemas.openxmlformats.org/officeDocument/2006/relationships/footer" Target="footer14.xml"/><Relationship Id="rId10" Type="http://schemas.openxmlformats.org/officeDocument/2006/relationships/header" Target="header1.xml"/><Relationship Id="rId19" Type="http://schemas.openxmlformats.org/officeDocument/2006/relationships/hyperlink" Target="https://www.canlii.org/en/bc/bcca/doc/2017/2017bcca349/2017bcca349.html?resultIndex=1" TargetMode="External"/><Relationship Id="rId31" Type="http://schemas.openxmlformats.org/officeDocument/2006/relationships/hyperlink" Target="https://www.canlii.org/en/bc/bcca/doc/2017/2017bcca418/2017bcca418.html?searchUrlHash=AAAAAQAOMjAxNiBCQ1NDIDE1MzAAAAAAAQ&amp;resultIndex=2" TargetMode="External"/><Relationship Id="rId44" Type="http://schemas.openxmlformats.org/officeDocument/2006/relationships/footer" Target="footer8.xml"/><Relationship Id="rId52" Type="http://schemas.openxmlformats.org/officeDocument/2006/relationships/hyperlink" Target="http://www.scc-csc.ca/case-dossier/info/sum-som-eng.aspx?cas=37833" TargetMode="External"/><Relationship Id="rId60" Type="http://schemas.openxmlformats.org/officeDocument/2006/relationships/header" Target="header15.xml"/><Relationship Id="rId65" Type="http://schemas.openxmlformats.org/officeDocument/2006/relationships/hyperlink" Target="http://www.scc-csc.ca/case-dossier/info/sum-som-eng.aspx?cas=37398" TargetMode="External"/><Relationship Id="rId73" Type="http://schemas.openxmlformats.org/officeDocument/2006/relationships/header" Target="header20.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yperlink" Target="https://www.canlii.org/en/bc/bcsc/doc/2015/2015bcsc951/2015bcsc951.html?autocompleteStr=2015%20BCSC%20951&amp;autocompletePos=1" TargetMode="External"/><Relationship Id="rId27" Type="http://schemas.openxmlformats.org/officeDocument/2006/relationships/hyperlink" Target="https://www.canlii.org/en/ns/nsca/doc/2017/2017nsca57/2017nsca57.html?autocompleteStr=2017%20NSCA%2057&amp;autocompletePos=1" TargetMode="External"/><Relationship Id="rId30" Type="http://schemas.openxmlformats.org/officeDocument/2006/relationships/hyperlink" Target="https://www.canlii.org/en/bc/bcsc/doc/2016/2016bcsc1530/2016bcsc1530.html?searchUrlHash=AAAAAQAOMjAxNiBCQ1NDIDE1MzAAAAAAAQ&amp;resultIndex=1" TargetMode="External"/><Relationship Id="rId35" Type="http://schemas.openxmlformats.org/officeDocument/2006/relationships/hyperlink" Target="https://www.canlii.org/en/bc/bcca/doc/2017/2017bcca418/2017bcca418.html?searchUrlHash=AAAAAQAOMjAxNiBCQ1NDIDE1MzAAAAAAAQ&amp;resultIndex=2" TargetMode="External"/><Relationship Id="rId43" Type="http://schemas.openxmlformats.org/officeDocument/2006/relationships/header" Target="header9.xml"/><Relationship Id="rId48" Type="http://schemas.openxmlformats.org/officeDocument/2006/relationships/hyperlink" Target="http://www.scc-csc.ca/case-dossier/info/sum-som-fra.aspx?cas=37427" TargetMode="External"/><Relationship Id="rId56" Type="http://schemas.openxmlformats.org/officeDocument/2006/relationships/footer" Target="footer12.xml"/><Relationship Id="rId64" Type="http://schemas.openxmlformats.org/officeDocument/2006/relationships/footer" Target="footer16.xml"/><Relationship Id="rId69" Type="http://schemas.openxmlformats.org/officeDocument/2006/relationships/footer" Target="footer17.xml"/><Relationship Id="rId8" Type="http://schemas.openxmlformats.org/officeDocument/2006/relationships/hyperlink" Target="http://www.scc-csc.ca" TargetMode="External"/><Relationship Id="rId51" Type="http://schemas.openxmlformats.org/officeDocument/2006/relationships/hyperlink" Target="http://www.scc-csc.ca/case-dossier/info/sum-som-fra.aspx?cas=37783" TargetMode="External"/><Relationship Id="rId72" Type="http://schemas.openxmlformats.org/officeDocument/2006/relationships/footer" Target="footer19.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www.canlii.org/en/bc/bcca/doc/2017/2017bcca255/2017bcca255.html?autocompleteStr=2017%20BCCA%20255&amp;autocompletePos=1" TargetMode="External"/><Relationship Id="rId33" Type="http://schemas.openxmlformats.org/officeDocument/2006/relationships/hyperlink" Target="https://www.canlii.org/en/bc/bcsc/doc/2016/2016bcsc1530/2016bcsc1530.html?searchUrlHash=AAAAAQAOMjAxNiBCQ1NDIDE1MzAAAAAAAQ&amp;resultIndex=1" TargetMode="External"/><Relationship Id="rId38" Type="http://schemas.openxmlformats.org/officeDocument/2006/relationships/footer" Target="footer5.xml"/><Relationship Id="rId46" Type="http://schemas.openxmlformats.org/officeDocument/2006/relationships/header" Target="header10.xml"/><Relationship Id="rId59" Type="http://schemas.openxmlformats.org/officeDocument/2006/relationships/header" Target="header14.xml"/><Relationship Id="rId67" Type="http://schemas.openxmlformats.org/officeDocument/2006/relationships/header" Target="header17.xml"/><Relationship Id="rId20" Type="http://schemas.openxmlformats.org/officeDocument/2006/relationships/hyperlink" Target="https://www.canlii.org/en/bc/bcsc/doc/2017/2017bcsc838/2017bcsc838.html?resultIndex=1" TargetMode="External"/><Relationship Id="rId41" Type="http://schemas.openxmlformats.org/officeDocument/2006/relationships/footer" Target="footer7.xml"/><Relationship Id="rId54" Type="http://schemas.openxmlformats.org/officeDocument/2006/relationships/header" Target="header12.xml"/><Relationship Id="rId62" Type="http://schemas.openxmlformats.org/officeDocument/2006/relationships/footer" Target="footer15.xml"/><Relationship Id="rId70" Type="http://schemas.openxmlformats.org/officeDocument/2006/relationships/footer" Target="footer18.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Comm\24%20%20OP_MGT_CASES-GEST_OP_INSTANCE\11%20Communications%20(Case-Related)\01%20Bulletin%20of%20Proceedings\Draft\Word%20Templates\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of Proceedings - Revised.dotx</Template>
  <TotalTime>0</TotalTime>
  <Pages>51</Pages>
  <Words>18746</Words>
  <Characters>100858</Characters>
  <Application>Microsoft Office Word</Application>
  <DocSecurity>0</DocSecurity>
  <Lines>2345</Lines>
  <Paragraphs>879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2018-04-17T11:34:00Z</dcterms:created>
  <dcterms:modified xsi:type="dcterms:W3CDTF">2018-04-20T18:12:00Z</dcterms:modified>
</cp:coreProperties>
</file>