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EB7BB6" w:rsidRDefault="00382C47" w:rsidP="00C7556C">
      <w:pPr>
        <w:jc w:val="center"/>
      </w:pPr>
      <w:r w:rsidRPr="00EB7BB6">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EB7BB6"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EB7BB6" w:rsidTr="002E5576">
        <w:tc>
          <w:tcPr>
            <w:tcW w:w="4518" w:type="dxa"/>
          </w:tcPr>
          <w:p w:rsidR="00BF25F3" w:rsidRPr="00EB7BB6" w:rsidRDefault="00BF25F3" w:rsidP="00BF25F3">
            <w:pPr>
              <w:tabs>
                <w:tab w:val="left" w:pos="6075"/>
              </w:tabs>
              <w:jc w:val="center"/>
              <w:rPr>
                <w:b/>
                <w:sz w:val="32"/>
                <w:szCs w:val="32"/>
              </w:rPr>
            </w:pPr>
            <w:r w:rsidRPr="00EB7BB6">
              <w:rPr>
                <w:b/>
                <w:sz w:val="32"/>
                <w:szCs w:val="32"/>
              </w:rPr>
              <w:t>SUPREME COURT OF CANADA</w:t>
            </w:r>
          </w:p>
        </w:tc>
        <w:tc>
          <w:tcPr>
            <w:tcW w:w="630" w:type="dxa"/>
          </w:tcPr>
          <w:p w:rsidR="00BF25F3" w:rsidRPr="00EB7BB6" w:rsidRDefault="00BF25F3" w:rsidP="00BF25F3">
            <w:pPr>
              <w:tabs>
                <w:tab w:val="left" w:pos="6075"/>
              </w:tabs>
              <w:jc w:val="center"/>
              <w:rPr>
                <w:sz w:val="32"/>
                <w:szCs w:val="32"/>
              </w:rPr>
            </w:pPr>
          </w:p>
        </w:tc>
        <w:tc>
          <w:tcPr>
            <w:tcW w:w="4428" w:type="dxa"/>
          </w:tcPr>
          <w:p w:rsidR="00BF25F3" w:rsidRPr="00EB7BB6" w:rsidRDefault="00BF25F3" w:rsidP="00BF25F3">
            <w:pPr>
              <w:tabs>
                <w:tab w:val="left" w:pos="6075"/>
              </w:tabs>
              <w:jc w:val="center"/>
              <w:rPr>
                <w:b/>
                <w:sz w:val="32"/>
                <w:szCs w:val="32"/>
                <w:lang w:val="fr-CA"/>
              </w:rPr>
            </w:pPr>
            <w:r w:rsidRPr="00EB7BB6">
              <w:rPr>
                <w:b/>
                <w:sz w:val="32"/>
                <w:szCs w:val="32"/>
                <w:lang w:val="fr-CA"/>
              </w:rPr>
              <w:t>COUR SUPRÊME DU CANADA</w:t>
            </w:r>
          </w:p>
        </w:tc>
      </w:tr>
      <w:tr w:rsidR="00BF25F3" w:rsidRPr="00EB7BB6" w:rsidTr="002E5576">
        <w:tc>
          <w:tcPr>
            <w:tcW w:w="4518" w:type="dxa"/>
          </w:tcPr>
          <w:p w:rsidR="00BF25F3" w:rsidRPr="00EB7BB6" w:rsidRDefault="00BF25F3" w:rsidP="00BF25F3">
            <w:pPr>
              <w:tabs>
                <w:tab w:val="left" w:pos="6075"/>
              </w:tabs>
            </w:pPr>
          </w:p>
          <w:p w:rsidR="001B5C23" w:rsidRPr="00EB7BB6" w:rsidRDefault="001B5C23" w:rsidP="00BF25F3">
            <w:pPr>
              <w:tabs>
                <w:tab w:val="left" w:pos="6075"/>
              </w:tabs>
            </w:pPr>
          </w:p>
          <w:p w:rsidR="001B5C23" w:rsidRPr="00EB7BB6" w:rsidRDefault="001B5C23" w:rsidP="00BF25F3">
            <w:pPr>
              <w:tabs>
                <w:tab w:val="left" w:pos="6075"/>
              </w:tabs>
            </w:pPr>
          </w:p>
        </w:tc>
        <w:tc>
          <w:tcPr>
            <w:tcW w:w="630" w:type="dxa"/>
          </w:tcPr>
          <w:p w:rsidR="00BF25F3" w:rsidRPr="00EB7BB6" w:rsidRDefault="00BF25F3" w:rsidP="00BF25F3">
            <w:pPr>
              <w:tabs>
                <w:tab w:val="left" w:pos="6075"/>
              </w:tabs>
            </w:pPr>
          </w:p>
        </w:tc>
        <w:tc>
          <w:tcPr>
            <w:tcW w:w="4428" w:type="dxa"/>
          </w:tcPr>
          <w:p w:rsidR="00BF25F3" w:rsidRPr="00EB7BB6" w:rsidRDefault="00BF25F3" w:rsidP="00BF25F3">
            <w:pPr>
              <w:tabs>
                <w:tab w:val="left" w:pos="6075"/>
              </w:tabs>
              <w:rPr>
                <w:lang w:val="fr-CA"/>
              </w:rPr>
            </w:pPr>
          </w:p>
        </w:tc>
      </w:tr>
      <w:tr w:rsidR="00BF25F3" w:rsidRPr="00EB7BB6" w:rsidTr="002E5576">
        <w:tc>
          <w:tcPr>
            <w:tcW w:w="4518" w:type="dxa"/>
          </w:tcPr>
          <w:p w:rsidR="001B5C23" w:rsidRPr="00EB7BB6" w:rsidRDefault="00BF25F3" w:rsidP="00BF25F3">
            <w:pPr>
              <w:tabs>
                <w:tab w:val="left" w:pos="6075"/>
              </w:tabs>
              <w:jc w:val="center"/>
              <w:rPr>
                <w:sz w:val="28"/>
                <w:szCs w:val="28"/>
              </w:rPr>
            </w:pPr>
            <w:r w:rsidRPr="00EB7BB6">
              <w:rPr>
                <w:sz w:val="28"/>
                <w:szCs w:val="28"/>
              </w:rPr>
              <w:t>BULLETIN OF</w:t>
            </w:r>
          </w:p>
          <w:p w:rsidR="00BF25F3" w:rsidRPr="00EB7BB6" w:rsidRDefault="00BF25F3" w:rsidP="00BF25F3">
            <w:pPr>
              <w:tabs>
                <w:tab w:val="left" w:pos="6075"/>
              </w:tabs>
              <w:jc w:val="center"/>
              <w:rPr>
                <w:sz w:val="28"/>
                <w:szCs w:val="28"/>
              </w:rPr>
            </w:pPr>
            <w:r w:rsidRPr="00EB7BB6">
              <w:rPr>
                <w:sz w:val="28"/>
                <w:szCs w:val="28"/>
              </w:rPr>
              <w:t xml:space="preserve"> PROCEEDINGS</w:t>
            </w:r>
          </w:p>
        </w:tc>
        <w:tc>
          <w:tcPr>
            <w:tcW w:w="630" w:type="dxa"/>
          </w:tcPr>
          <w:p w:rsidR="00BF25F3" w:rsidRPr="00EB7BB6" w:rsidRDefault="00BF25F3" w:rsidP="00BF25F3">
            <w:pPr>
              <w:tabs>
                <w:tab w:val="left" w:pos="6075"/>
              </w:tabs>
            </w:pPr>
          </w:p>
        </w:tc>
        <w:tc>
          <w:tcPr>
            <w:tcW w:w="4428" w:type="dxa"/>
          </w:tcPr>
          <w:p w:rsidR="001B5C23" w:rsidRPr="00EB7BB6" w:rsidRDefault="00BF25F3" w:rsidP="00BF25F3">
            <w:pPr>
              <w:tabs>
                <w:tab w:val="left" w:pos="6075"/>
              </w:tabs>
              <w:jc w:val="center"/>
              <w:rPr>
                <w:sz w:val="28"/>
                <w:szCs w:val="28"/>
                <w:lang w:val="fr-CA"/>
              </w:rPr>
            </w:pPr>
            <w:r w:rsidRPr="00EB7BB6">
              <w:rPr>
                <w:sz w:val="28"/>
                <w:szCs w:val="28"/>
                <w:lang w:val="fr-CA"/>
              </w:rPr>
              <w:t>BULLETIN DES</w:t>
            </w:r>
          </w:p>
          <w:p w:rsidR="00BF25F3" w:rsidRPr="00EB7BB6" w:rsidRDefault="00BF25F3" w:rsidP="00BF25F3">
            <w:pPr>
              <w:tabs>
                <w:tab w:val="left" w:pos="6075"/>
              </w:tabs>
              <w:jc w:val="center"/>
              <w:rPr>
                <w:sz w:val="28"/>
                <w:szCs w:val="28"/>
                <w:lang w:val="fr-CA"/>
              </w:rPr>
            </w:pPr>
            <w:r w:rsidRPr="00EB7BB6">
              <w:rPr>
                <w:sz w:val="28"/>
                <w:szCs w:val="28"/>
                <w:lang w:val="fr-CA"/>
              </w:rPr>
              <w:t xml:space="preserve"> PROCÉDURES</w:t>
            </w:r>
          </w:p>
        </w:tc>
      </w:tr>
      <w:tr w:rsidR="00BF25F3" w:rsidRPr="00EB7BB6" w:rsidTr="002E5576">
        <w:tc>
          <w:tcPr>
            <w:tcW w:w="4518" w:type="dxa"/>
          </w:tcPr>
          <w:p w:rsidR="00BF25F3" w:rsidRPr="00EB7BB6" w:rsidRDefault="00BF25F3" w:rsidP="00BF25F3">
            <w:pPr>
              <w:tabs>
                <w:tab w:val="left" w:pos="6075"/>
              </w:tabs>
            </w:pPr>
          </w:p>
          <w:p w:rsidR="001B5C23" w:rsidRPr="00EB7BB6" w:rsidRDefault="001B5C23" w:rsidP="00BF25F3">
            <w:pPr>
              <w:tabs>
                <w:tab w:val="left" w:pos="6075"/>
              </w:tabs>
            </w:pPr>
          </w:p>
        </w:tc>
        <w:tc>
          <w:tcPr>
            <w:tcW w:w="630" w:type="dxa"/>
          </w:tcPr>
          <w:p w:rsidR="00BF25F3" w:rsidRPr="00EB7BB6" w:rsidRDefault="00BF25F3" w:rsidP="00BF25F3">
            <w:pPr>
              <w:tabs>
                <w:tab w:val="left" w:pos="6075"/>
              </w:tabs>
            </w:pPr>
          </w:p>
        </w:tc>
        <w:tc>
          <w:tcPr>
            <w:tcW w:w="4428" w:type="dxa"/>
          </w:tcPr>
          <w:p w:rsidR="00BF25F3" w:rsidRPr="00EB7BB6" w:rsidRDefault="00BF25F3" w:rsidP="00BF25F3">
            <w:pPr>
              <w:tabs>
                <w:tab w:val="left" w:pos="6075"/>
              </w:tabs>
              <w:rPr>
                <w:lang w:val="fr-CA"/>
              </w:rPr>
            </w:pPr>
          </w:p>
        </w:tc>
      </w:tr>
      <w:tr w:rsidR="00BF25F3" w:rsidRPr="00EB7BB6" w:rsidTr="002E5576">
        <w:tc>
          <w:tcPr>
            <w:tcW w:w="4518" w:type="dxa"/>
          </w:tcPr>
          <w:p w:rsidR="00BF25F3" w:rsidRPr="00EB7BB6" w:rsidRDefault="00BF25F3" w:rsidP="00BF25F3">
            <w:pPr>
              <w:tabs>
                <w:tab w:val="left" w:pos="6075"/>
              </w:tabs>
              <w:jc w:val="both"/>
              <w:rPr>
                <w:rFonts w:ascii="Arial" w:hAnsi="Arial" w:cs="Arial"/>
                <w:i/>
                <w:sz w:val="20"/>
                <w:szCs w:val="20"/>
              </w:rPr>
            </w:pPr>
            <w:r w:rsidRPr="00EB7BB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B7BB6" w:rsidRDefault="00BF25F3" w:rsidP="00BF25F3">
            <w:pPr>
              <w:tabs>
                <w:tab w:val="left" w:pos="6075"/>
              </w:tabs>
              <w:jc w:val="both"/>
              <w:rPr>
                <w:rFonts w:ascii="Arial" w:hAnsi="Arial" w:cs="Arial"/>
                <w:i/>
                <w:sz w:val="20"/>
                <w:szCs w:val="20"/>
              </w:rPr>
            </w:pPr>
          </w:p>
        </w:tc>
        <w:tc>
          <w:tcPr>
            <w:tcW w:w="4428" w:type="dxa"/>
          </w:tcPr>
          <w:p w:rsidR="00BF25F3" w:rsidRPr="00EB7BB6" w:rsidRDefault="00BF25F3" w:rsidP="00BF25F3">
            <w:pPr>
              <w:tabs>
                <w:tab w:val="left" w:pos="6075"/>
              </w:tabs>
              <w:jc w:val="both"/>
              <w:rPr>
                <w:rFonts w:ascii="Arial" w:hAnsi="Arial" w:cs="Arial"/>
                <w:i/>
                <w:sz w:val="20"/>
                <w:szCs w:val="20"/>
                <w:lang w:val="fr-CA"/>
              </w:rPr>
            </w:pPr>
            <w:r w:rsidRPr="00EB7BB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B7BB6" w:rsidTr="002E5576">
        <w:tc>
          <w:tcPr>
            <w:tcW w:w="4518" w:type="dxa"/>
          </w:tcPr>
          <w:p w:rsidR="00BF25F3" w:rsidRPr="00EB7BB6" w:rsidRDefault="00BF25F3" w:rsidP="00BF25F3">
            <w:pPr>
              <w:tabs>
                <w:tab w:val="left" w:pos="6075"/>
              </w:tabs>
              <w:rPr>
                <w:lang w:val="fr-CA"/>
              </w:rPr>
            </w:pPr>
          </w:p>
          <w:p w:rsidR="00D862C1" w:rsidRPr="00EB7BB6" w:rsidRDefault="00D862C1" w:rsidP="00BF25F3">
            <w:pPr>
              <w:tabs>
                <w:tab w:val="left" w:pos="6075"/>
              </w:tabs>
              <w:rPr>
                <w:lang w:val="fr-CA"/>
              </w:rPr>
            </w:pPr>
          </w:p>
        </w:tc>
        <w:tc>
          <w:tcPr>
            <w:tcW w:w="630" w:type="dxa"/>
          </w:tcPr>
          <w:p w:rsidR="00BF25F3" w:rsidRPr="00EB7BB6" w:rsidRDefault="00BF25F3" w:rsidP="00BF25F3">
            <w:pPr>
              <w:tabs>
                <w:tab w:val="left" w:pos="6075"/>
              </w:tabs>
              <w:rPr>
                <w:lang w:val="fr-CA"/>
              </w:rPr>
            </w:pPr>
          </w:p>
        </w:tc>
        <w:tc>
          <w:tcPr>
            <w:tcW w:w="4428" w:type="dxa"/>
          </w:tcPr>
          <w:p w:rsidR="00BF25F3" w:rsidRPr="00EB7BB6" w:rsidRDefault="00BF25F3" w:rsidP="00BF25F3">
            <w:pPr>
              <w:tabs>
                <w:tab w:val="left" w:pos="6075"/>
              </w:tabs>
              <w:rPr>
                <w:lang w:val="fr-CA"/>
              </w:rPr>
            </w:pPr>
          </w:p>
        </w:tc>
      </w:tr>
      <w:tr w:rsidR="00BF25F3" w:rsidRPr="00EB7BB6" w:rsidTr="002E5576">
        <w:tc>
          <w:tcPr>
            <w:tcW w:w="4518" w:type="dxa"/>
          </w:tcPr>
          <w:p w:rsidR="00BF25F3" w:rsidRPr="00EB7BB6" w:rsidRDefault="00BF25F3" w:rsidP="009F3024">
            <w:pPr>
              <w:tabs>
                <w:tab w:val="left" w:pos="6075"/>
              </w:tabs>
              <w:jc w:val="both"/>
              <w:rPr>
                <w:rFonts w:ascii="Arial" w:hAnsi="Arial" w:cs="Arial"/>
                <w:i/>
                <w:sz w:val="20"/>
                <w:szCs w:val="20"/>
              </w:rPr>
            </w:pPr>
            <w:r w:rsidRPr="00EB7BB6">
              <w:rPr>
                <w:rFonts w:ascii="Arial" w:hAnsi="Arial" w:cs="Arial"/>
                <w:i/>
                <w:sz w:val="20"/>
                <w:szCs w:val="20"/>
              </w:rPr>
              <w:t>During Court sessions</w:t>
            </w:r>
            <w:r w:rsidR="00845C2A" w:rsidRPr="00EB7BB6">
              <w:rPr>
                <w:rFonts w:ascii="Arial" w:hAnsi="Arial" w:cs="Arial"/>
                <w:i/>
                <w:sz w:val="20"/>
                <w:szCs w:val="20"/>
              </w:rPr>
              <w:t>,</w:t>
            </w:r>
            <w:r w:rsidRPr="00EB7BB6">
              <w:rPr>
                <w:rFonts w:ascii="Arial" w:hAnsi="Arial" w:cs="Arial"/>
                <w:i/>
                <w:sz w:val="20"/>
                <w:szCs w:val="20"/>
              </w:rPr>
              <w:t xml:space="preserve"> </w:t>
            </w:r>
            <w:r w:rsidR="009F3024" w:rsidRPr="00EB7BB6">
              <w:rPr>
                <w:rFonts w:ascii="Arial" w:hAnsi="Arial" w:cs="Arial"/>
                <w:i/>
                <w:sz w:val="20"/>
                <w:szCs w:val="20"/>
              </w:rPr>
              <w:t xml:space="preserve">the Bulletin </w:t>
            </w:r>
            <w:r w:rsidRPr="00EB7BB6">
              <w:rPr>
                <w:rFonts w:ascii="Arial" w:hAnsi="Arial" w:cs="Arial"/>
                <w:i/>
                <w:sz w:val="20"/>
                <w:szCs w:val="20"/>
              </w:rPr>
              <w:t>is usually issued weekly.</w:t>
            </w:r>
          </w:p>
        </w:tc>
        <w:tc>
          <w:tcPr>
            <w:tcW w:w="630" w:type="dxa"/>
          </w:tcPr>
          <w:p w:rsidR="00BF25F3" w:rsidRPr="00EB7BB6" w:rsidRDefault="00BF25F3" w:rsidP="00BF25F3">
            <w:pPr>
              <w:tabs>
                <w:tab w:val="left" w:pos="6075"/>
              </w:tabs>
              <w:jc w:val="both"/>
              <w:rPr>
                <w:rFonts w:ascii="Arial" w:hAnsi="Arial" w:cs="Arial"/>
                <w:i/>
                <w:sz w:val="20"/>
                <w:szCs w:val="20"/>
              </w:rPr>
            </w:pPr>
          </w:p>
        </w:tc>
        <w:tc>
          <w:tcPr>
            <w:tcW w:w="4428" w:type="dxa"/>
          </w:tcPr>
          <w:p w:rsidR="00BF25F3" w:rsidRPr="00EB7BB6" w:rsidRDefault="00BF25F3" w:rsidP="00BF25F3">
            <w:pPr>
              <w:tabs>
                <w:tab w:val="left" w:pos="6075"/>
              </w:tabs>
              <w:jc w:val="both"/>
              <w:rPr>
                <w:rFonts w:ascii="Arial" w:hAnsi="Arial" w:cs="Arial"/>
                <w:i/>
                <w:sz w:val="20"/>
                <w:szCs w:val="20"/>
                <w:lang w:val="fr-CA"/>
              </w:rPr>
            </w:pPr>
            <w:r w:rsidRPr="00EB7BB6">
              <w:rPr>
                <w:rFonts w:ascii="Arial" w:hAnsi="Arial" w:cs="Arial"/>
                <w:i/>
                <w:sz w:val="20"/>
                <w:szCs w:val="20"/>
                <w:lang w:val="fr-CA"/>
              </w:rPr>
              <w:t>Le Bulletin paraît en principe toutes les semaines pendant les sessions de la Cour.</w:t>
            </w:r>
          </w:p>
        </w:tc>
      </w:tr>
      <w:tr w:rsidR="00BF25F3" w:rsidRPr="00EB7BB6" w:rsidTr="002E5576">
        <w:tc>
          <w:tcPr>
            <w:tcW w:w="4518" w:type="dxa"/>
          </w:tcPr>
          <w:p w:rsidR="00BF25F3" w:rsidRPr="00EB7BB6" w:rsidRDefault="00BF25F3" w:rsidP="00BF25F3">
            <w:pPr>
              <w:tabs>
                <w:tab w:val="left" w:pos="6075"/>
              </w:tabs>
              <w:rPr>
                <w:lang w:val="fr-CA"/>
              </w:rPr>
            </w:pPr>
          </w:p>
          <w:p w:rsidR="00D862C1" w:rsidRPr="00EB7BB6" w:rsidRDefault="00D862C1" w:rsidP="00BF25F3">
            <w:pPr>
              <w:tabs>
                <w:tab w:val="left" w:pos="6075"/>
              </w:tabs>
              <w:rPr>
                <w:lang w:val="fr-CA"/>
              </w:rPr>
            </w:pPr>
          </w:p>
        </w:tc>
        <w:tc>
          <w:tcPr>
            <w:tcW w:w="630" w:type="dxa"/>
          </w:tcPr>
          <w:p w:rsidR="00BF25F3" w:rsidRPr="00EB7BB6" w:rsidRDefault="00BF25F3" w:rsidP="00BF25F3">
            <w:pPr>
              <w:tabs>
                <w:tab w:val="left" w:pos="6075"/>
              </w:tabs>
              <w:rPr>
                <w:lang w:val="fr-CA"/>
              </w:rPr>
            </w:pPr>
          </w:p>
        </w:tc>
        <w:tc>
          <w:tcPr>
            <w:tcW w:w="4428" w:type="dxa"/>
          </w:tcPr>
          <w:p w:rsidR="00BF25F3" w:rsidRPr="00EB7BB6" w:rsidRDefault="00BF25F3" w:rsidP="00BF25F3">
            <w:pPr>
              <w:tabs>
                <w:tab w:val="left" w:pos="6075"/>
              </w:tabs>
              <w:rPr>
                <w:lang w:val="fr-CA"/>
              </w:rPr>
            </w:pPr>
          </w:p>
        </w:tc>
      </w:tr>
      <w:tr w:rsidR="00BF25F3" w:rsidRPr="00EB7BB6" w:rsidTr="002E5576">
        <w:tc>
          <w:tcPr>
            <w:tcW w:w="4518" w:type="dxa"/>
          </w:tcPr>
          <w:p w:rsidR="00BF25F3" w:rsidRPr="00EB7BB6" w:rsidRDefault="000E27A5" w:rsidP="00BF25F3">
            <w:pPr>
              <w:tabs>
                <w:tab w:val="left" w:pos="6075"/>
              </w:tabs>
              <w:jc w:val="both"/>
              <w:rPr>
                <w:rFonts w:ascii="Arial" w:hAnsi="Arial" w:cs="Arial"/>
                <w:i/>
                <w:sz w:val="20"/>
                <w:szCs w:val="20"/>
              </w:rPr>
            </w:pPr>
            <w:r w:rsidRPr="00EB7BB6">
              <w:rPr>
                <w:rFonts w:ascii="Arial" w:hAnsi="Arial" w:cs="Arial"/>
                <w:i/>
                <w:sz w:val="20"/>
                <w:szCs w:val="20"/>
              </w:rPr>
              <w:fldChar w:fldCharType="begin"/>
            </w:r>
            <w:r w:rsidR="00BF25F3" w:rsidRPr="00EB7BB6">
              <w:rPr>
                <w:rFonts w:ascii="Arial" w:hAnsi="Arial" w:cs="Arial"/>
                <w:i/>
                <w:sz w:val="20"/>
                <w:szCs w:val="20"/>
              </w:rPr>
              <w:instrText xml:space="preserve"> SEQ CHAPTER \h \r 1</w:instrText>
            </w:r>
            <w:r w:rsidRPr="00EB7BB6">
              <w:rPr>
                <w:rFonts w:ascii="Arial" w:hAnsi="Arial" w:cs="Arial"/>
                <w:i/>
                <w:sz w:val="20"/>
                <w:szCs w:val="20"/>
              </w:rPr>
              <w:fldChar w:fldCharType="end"/>
            </w:r>
            <w:r w:rsidR="00BF25F3" w:rsidRPr="00EB7BB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EB7BB6" w:rsidRDefault="00BF25F3" w:rsidP="00BF25F3">
            <w:pPr>
              <w:tabs>
                <w:tab w:val="left" w:pos="6075"/>
              </w:tabs>
              <w:jc w:val="both"/>
              <w:rPr>
                <w:rFonts w:ascii="Arial" w:hAnsi="Arial" w:cs="Arial"/>
                <w:i/>
                <w:sz w:val="20"/>
                <w:szCs w:val="20"/>
              </w:rPr>
            </w:pPr>
          </w:p>
        </w:tc>
        <w:tc>
          <w:tcPr>
            <w:tcW w:w="4428" w:type="dxa"/>
          </w:tcPr>
          <w:p w:rsidR="00BF25F3" w:rsidRPr="00EB7BB6" w:rsidRDefault="000E27A5" w:rsidP="00BF25F3">
            <w:pPr>
              <w:tabs>
                <w:tab w:val="left" w:pos="6075"/>
              </w:tabs>
              <w:jc w:val="both"/>
              <w:rPr>
                <w:rFonts w:ascii="Arial" w:hAnsi="Arial" w:cs="Arial"/>
                <w:i/>
                <w:sz w:val="20"/>
                <w:szCs w:val="20"/>
                <w:lang w:val="fr-CA"/>
              </w:rPr>
            </w:pPr>
            <w:r w:rsidRPr="00EB7BB6">
              <w:rPr>
                <w:rFonts w:ascii="Arial" w:hAnsi="Arial" w:cs="Arial"/>
                <w:i/>
                <w:sz w:val="20"/>
                <w:szCs w:val="20"/>
                <w:lang w:val="fr-CA"/>
              </w:rPr>
              <w:fldChar w:fldCharType="begin"/>
            </w:r>
            <w:r w:rsidR="00BF25F3" w:rsidRPr="00EB7BB6">
              <w:rPr>
                <w:rFonts w:ascii="Arial" w:hAnsi="Arial" w:cs="Arial"/>
                <w:i/>
                <w:sz w:val="20"/>
                <w:szCs w:val="20"/>
                <w:lang w:val="fr-CA"/>
              </w:rPr>
              <w:instrText xml:space="preserve"> SEQ CHAPTER \h \r 1</w:instrText>
            </w:r>
            <w:r w:rsidRPr="00EB7BB6">
              <w:rPr>
                <w:rFonts w:ascii="Arial" w:hAnsi="Arial" w:cs="Arial"/>
                <w:i/>
                <w:sz w:val="20"/>
                <w:szCs w:val="20"/>
                <w:lang w:val="fr-CA"/>
              </w:rPr>
              <w:fldChar w:fldCharType="end"/>
            </w:r>
            <w:r w:rsidR="00BF25F3" w:rsidRPr="00EB7BB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B7BB6" w:rsidTr="002E5576">
        <w:tc>
          <w:tcPr>
            <w:tcW w:w="4518" w:type="dxa"/>
          </w:tcPr>
          <w:p w:rsidR="009F3024" w:rsidRPr="00EB7BB6" w:rsidRDefault="009F3024" w:rsidP="009F3024">
            <w:pPr>
              <w:tabs>
                <w:tab w:val="left" w:pos="6075"/>
              </w:tabs>
              <w:rPr>
                <w:rFonts w:cs="Times New Roman"/>
                <w:szCs w:val="24"/>
                <w:lang w:val="fr-CA"/>
              </w:rPr>
            </w:pPr>
          </w:p>
          <w:p w:rsidR="009F3024" w:rsidRPr="00EB7BB6" w:rsidRDefault="009F3024" w:rsidP="009F3024">
            <w:pPr>
              <w:tabs>
                <w:tab w:val="left" w:pos="6075"/>
              </w:tabs>
              <w:rPr>
                <w:rFonts w:cs="Times New Roman"/>
                <w:szCs w:val="24"/>
                <w:lang w:val="fr-CA"/>
              </w:rPr>
            </w:pPr>
          </w:p>
        </w:tc>
        <w:tc>
          <w:tcPr>
            <w:tcW w:w="630" w:type="dxa"/>
          </w:tcPr>
          <w:p w:rsidR="009F3024" w:rsidRPr="00EB7BB6" w:rsidRDefault="009F3024" w:rsidP="009F3024">
            <w:pPr>
              <w:tabs>
                <w:tab w:val="left" w:pos="6075"/>
              </w:tabs>
              <w:rPr>
                <w:rFonts w:cs="Times New Roman"/>
                <w:szCs w:val="24"/>
                <w:lang w:val="fr-CA"/>
              </w:rPr>
            </w:pPr>
          </w:p>
        </w:tc>
        <w:tc>
          <w:tcPr>
            <w:tcW w:w="4428" w:type="dxa"/>
          </w:tcPr>
          <w:p w:rsidR="009F3024" w:rsidRPr="00EB7BB6" w:rsidRDefault="009F3024" w:rsidP="009F3024">
            <w:pPr>
              <w:tabs>
                <w:tab w:val="left" w:pos="6075"/>
              </w:tabs>
              <w:rPr>
                <w:rFonts w:cs="Times New Roman"/>
                <w:szCs w:val="24"/>
                <w:lang w:val="fr-CA"/>
              </w:rPr>
            </w:pPr>
          </w:p>
        </w:tc>
      </w:tr>
      <w:tr w:rsidR="009F3024" w:rsidRPr="00EB7BB6" w:rsidTr="002E5576">
        <w:tc>
          <w:tcPr>
            <w:tcW w:w="4518" w:type="dxa"/>
          </w:tcPr>
          <w:p w:rsidR="009F3024" w:rsidRPr="00EB7BB6" w:rsidRDefault="00845C2A" w:rsidP="00845C2A">
            <w:pPr>
              <w:tabs>
                <w:tab w:val="left" w:pos="6075"/>
              </w:tabs>
              <w:jc w:val="both"/>
              <w:rPr>
                <w:rFonts w:ascii="Arial" w:hAnsi="Arial" w:cs="Arial"/>
                <w:i/>
                <w:sz w:val="20"/>
                <w:szCs w:val="20"/>
              </w:rPr>
            </w:pPr>
            <w:r w:rsidRPr="00EB7BB6">
              <w:rPr>
                <w:rFonts w:ascii="Arial" w:hAnsi="Arial" w:cs="Arial"/>
                <w:i/>
                <w:sz w:val="20"/>
                <w:szCs w:val="20"/>
                <w:lang w:val="en-US"/>
              </w:rPr>
              <w:t>Please c</w:t>
            </w:r>
            <w:r w:rsidR="009F3024" w:rsidRPr="00EB7BB6">
              <w:rPr>
                <w:rFonts w:ascii="Arial" w:hAnsi="Arial" w:cs="Arial"/>
                <w:i/>
                <w:sz w:val="20"/>
                <w:szCs w:val="20"/>
              </w:rPr>
              <w:t xml:space="preserve">onsult the Supreme Court of Canada website at </w:t>
            </w:r>
            <w:hyperlink r:id="rId9" w:history="1">
              <w:r w:rsidR="00E414CA" w:rsidRPr="00EB7BB6">
                <w:rPr>
                  <w:rStyle w:val="Hyperlink"/>
                  <w:rFonts w:ascii="Arial" w:hAnsi="Arial" w:cs="Arial"/>
                  <w:i/>
                  <w:sz w:val="20"/>
                  <w:szCs w:val="20"/>
                </w:rPr>
                <w:t>www.scc-csc.ca</w:t>
              </w:r>
            </w:hyperlink>
            <w:r w:rsidR="009F3024" w:rsidRPr="00EB7BB6">
              <w:rPr>
                <w:rFonts w:ascii="Arial" w:hAnsi="Arial" w:cs="Arial"/>
                <w:i/>
                <w:sz w:val="20"/>
                <w:szCs w:val="20"/>
              </w:rPr>
              <w:t xml:space="preserve"> for more information.</w:t>
            </w:r>
          </w:p>
        </w:tc>
        <w:tc>
          <w:tcPr>
            <w:tcW w:w="630" w:type="dxa"/>
          </w:tcPr>
          <w:p w:rsidR="009F3024" w:rsidRPr="00EB7BB6" w:rsidRDefault="009F3024" w:rsidP="00BF25F3">
            <w:pPr>
              <w:tabs>
                <w:tab w:val="left" w:pos="6075"/>
              </w:tabs>
              <w:jc w:val="both"/>
              <w:rPr>
                <w:rFonts w:ascii="Arial" w:hAnsi="Arial" w:cs="Arial"/>
                <w:i/>
                <w:sz w:val="20"/>
                <w:szCs w:val="20"/>
              </w:rPr>
            </w:pPr>
          </w:p>
        </w:tc>
        <w:tc>
          <w:tcPr>
            <w:tcW w:w="4428" w:type="dxa"/>
          </w:tcPr>
          <w:p w:rsidR="009F3024" w:rsidRPr="00EB7BB6" w:rsidRDefault="009F3024" w:rsidP="00E414CA">
            <w:pPr>
              <w:tabs>
                <w:tab w:val="left" w:pos="6075"/>
              </w:tabs>
              <w:jc w:val="both"/>
              <w:rPr>
                <w:rFonts w:ascii="Arial" w:hAnsi="Arial" w:cs="Arial"/>
                <w:i/>
                <w:sz w:val="20"/>
                <w:szCs w:val="20"/>
                <w:lang w:val="fr-CA"/>
              </w:rPr>
            </w:pPr>
            <w:r w:rsidRPr="00EB7BB6">
              <w:rPr>
                <w:rFonts w:ascii="Arial" w:hAnsi="Arial" w:cs="Arial"/>
                <w:i/>
                <w:sz w:val="20"/>
                <w:szCs w:val="20"/>
                <w:lang w:val="fr-CA"/>
              </w:rPr>
              <w:t xml:space="preserve">Pour de plus amples informations, </w:t>
            </w:r>
            <w:r w:rsidR="00845C2A" w:rsidRPr="00EB7BB6">
              <w:rPr>
                <w:rFonts w:ascii="Arial" w:hAnsi="Arial" w:cs="Arial"/>
                <w:i/>
                <w:sz w:val="20"/>
                <w:szCs w:val="20"/>
                <w:lang w:val="fr-CA"/>
              </w:rPr>
              <w:t xml:space="preserve">veuillez </w:t>
            </w:r>
            <w:r w:rsidRPr="00EB7BB6">
              <w:rPr>
                <w:rFonts w:ascii="Arial" w:hAnsi="Arial" w:cs="Arial"/>
                <w:i/>
                <w:sz w:val="20"/>
                <w:szCs w:val="20"/>
                <w:lang w:val="fr-CA"/>
              </w:rPr>
              <w:t xml:space="preserve">consulter le site Web de la Cour suprême du Canada à l’adresse suivante : </w:t>
            </w:r>
            <w:hyperlink r:id="rId10" w:history="1">
              <w:r w:rsidR="0081473A" w:rsidRPr="00EB7BB6">
                <w:rPr>
                  <w:rStyle w:val="Hyperlink"/>
                  <w:rFonts w:ascii="Arial" w:hAnsi="Arial" w:cs="Arial"/>
                  <w:i/>
                  <w:sz w:val="20"/>
                  <w:szCs w:val="20"/>
                  <w:lang w:val="fr-CA"/>
                </w:rPr>
                <w:t>www.scc-csc.ca</w:t>
              </w:r>
            </w:hyperlink>
            <w:r w:rsidRPr="00EB7BB6">
              <w:rPr>
                <w:rFonts w:ascii="Arial" w:hAnsi="Arial" w:cs="Arial"/>
                <w:i/>
                <w:sz w:val="20"/>
                <w:szCs w:val="20"/>
                <w:lang w:val="fr-CA"/>
              </w:rPr>
              <w:t xml:space="preserve"> </w:t>
            </w:r>
          </w:p>
        </w:tc>
      </w:tr>
    </w:tbl>
    <w:p w:rsidR="00BF25F3" w:rsidRPr="00EB7BB6" w:rsidRDefault="00BF25F3" w:rsidP="00BF25F3">
      <w:pPr>
        <w:tabs>
          <w:tab w:val="left" w:pos="6075"/>
        </w:tabs>
        <w:rPr>
          <w:lang w:val="fr-CA"/>
        </w:rPr>
      </w:pPr>
    </w:p>
    <w:p w:rsidR="00440E24" w:rsidRPr="00EB7BB6" w:rsidRDefault="00440E24" w:rsidP="00440E24">
      <w:pPr>
        <w:pBdr>
          <w:bottom w:val="single" w:sz="6" w:space="1" w:color="auto"/>
        </w:pBdr>
        <w:tabs>
          <w:tab w:val="left" w:pos="6075"/>
        </w:tabs>
        <w:rPr>
          <w:lang w:val="fr-CA"/>
        </w:rPr>
      </w:pPr>
    </w:p>
    <w:p w:rsidR="00440E24" w:rsidRPr="00EB7BB6" w:rsidRDefault="00440E24" w:rsidP="00440E24">
      <w:pPr>
        <w:rPr>
          <w:lang w:val="fr-CA"/>
        </w:rPr>
      </w:pPr>
    </w:p>
    <w:p w:rsidR="00600252" w:rsidRPr="00EB7BB6" w:rsidRDefault="00C008D5" w:rsidP="00F0068D">
      <w:pPr>
        <w:pBdr>
          <w:bottom w:val="single" w:sz="6" w:space="1" w:color="auto"/>
        </w:pBdr>
        <w:tabs>
          <w:tab w:val="center" w:pos="4680"/>
          <w:tab w:val="right" w:pos="9360"/>
        </w:tabs>
        <w:rPr>
          <w:lang w:val="fr-CA"/>
        </w:rPr>
      </w:pPr>
      <w:r w:rsidRPr="00EB7BB6">
        <w:rPr>
          <w:lang w:val="fr-CA"/>
        </w:rPr>
        <w:t>April</w:t>
      </w:r>
      <w:r w:rsidR="00440E24" w:rsidRPr="00EB7BB6">
        <w:rPr>
          <w:lang w:val="fr-CA"/>
        </w:rPr>
        <w:t xml:space="preserve"> </w:t>
      </w:r>
      <w:r w:rsidR="004317DE" w:rsidRPr="00EB7BB6">
        <w:rPr>
          <w:lang w:val="fr-CA"/>
        </w:rPr>
        <w:t>1</w:t>
      </w:r>
      <w:r w:rsidRPr="00EB7BB6">
        <w:rPr>
          <w:lang w:val="fr-CA"/>
        </w:rPr>
        <w:t>8</w:t>
      </w:r>
      <w:r w:rsidR="00440E24" w:rsidRPr="00EB7BB6">
        <w:rPr>
          <w:lang w:val="fr-CA"/>
        </w:rPr>
        <w:t>, 201</w:t>
      </w:r>
      <w:r w:rsidR="004317DE" w:rsidRPr="00EB7BB6">
        <w:rPr>
          <w:lang w:val="fr-CA"/>
        </w:rPr>
        <w:t>9</w:t>
      </w:r>
      <w:r w:rsidR="00F0068D" w:rsidRPr="00EB7BB6">
        <w:rPr>
          <w:lang w:val="fr-CA"/>
        </w:rPr>
        <w:tab/>
        <w:t xml:space="preserve">1 - </w:t>
      </w:r>
      <w:r w:rsidR="00CE4B8E" w:rsidRPr="00EB7BB6">
        <w:rPr>
          <w:lang w:val="fr-CA"/>
        </w:rPr>
        <w:t>39</w:t>
      </w:r>
      <w:r w:rsidR="00440E24" w:rsidRPr="00EB7BB6">
        <w:rPr>
          <w:lang w:val="fr-CA"/>
        </w:rPr>
        <w:tab/>
        <w:t>Le</w:t>
      </w:r>
      <w:r w:rsidR="00C73D06" w:rsidRPr="00EB7BB6">
        <w:rPr>
          <w:lang w:val="fr-CA"/>
        </w:rPr>
        <w:t xml:space="preserve"> </w:t>
      </w:r>
      <w:r w:rsidR="004317DE" w:rsidRPr="00EB7BB6">
        <w:rPr>
          <w:lang w:val="fr-CA"/>
        </w:rPr>
        <w:t>1</w:t>
      </w:r>
      <w:r w:rsidRPr="00EB7BB6">
        <w:rPr>
          <w:lang w:val="fr-CA"/>
        </w:rPr>
        <w:t>8</w:t>
      </w:r>
      <w:r w:rsidR="00C73D06" w:rsidRPr="00EB7BB6">
        <w:rPr>
          <w:lang w:val="fr-CA"/>
        </w:rPr>
        <w:t xml:space="preserve"> </w:t>
      </w:r>
      <w:r w:rsidR="00440E24" w:rsidRPr="00EB7BB6">
        <w:rPr>
          <w:lang w:val="fr-CA"/>
        </w:rPr>
        <w:t>av</w:t>
      </w:r>
      <w:r w:rsidR="00C73D06" w:rsidRPr="00EB7BB6">
        <w:rPr>
          <w:lang w:val="fr-CA"/>
        </w:rPr>
        <w:t>r</w:t>
      </w:r>
      <w:r w:rsidRPr="00EB7BB6">
        <w:rPr>
          <w:lang w:val="fr-CA"/>
        </w:rPr>
        <w:t>il</w:t>
      </w:r>
      <w:r w:rsidR="00440E24" w:rsidRPr="00EB7BB6">
        <w:rPr>
          <w:lang w:val="fr-CA"/>
        </w:rPr>
        <w:t xml:space="preserve"> 201</w:t>
      </w:r>
      <w:r w:rsidR="004317DE" w:rsidRPr="00EB7BB6">
        <w:rPr>
          <w:lang w:val="fr-CA"/>
        </w:rPr>
        <w:t>9</w:t>
      </w:r>
    </w:p>
    <w:p w:rsidR="00440E24" w:rsidRPr="00EB7BB6" w:rsidRDefault="00440E24" w:rsidP="00440E24">
      <w:pPr>
        <w:pBdr>
          <w:bottom w:val="single" w:sz="6" w:space="1" w:color="auto"/>
        </w:pBdr>
        <w:tabs>
          <w:tab w:val="right" w:pos="9360"/>
        </w:tabs>
        <w:rPr>
          <w:lang w:val="fr-CA"/>
        </w:rPr>
      </w:pPr>
    </w:p>
    <w:p w:rsidR="00440E24" w:rsidRPr="00EB7BB6" w:rsidRDefault="00440E24" w:rsidP="00440E24">
      <w:pPr>
        <w:pBdr>
          <w:bottom w:val="single" w:sz="6" w:space="1" w:color="auto"/>
        </w:pBdr>
        <w:tabs>
          <w:tab w:val="right" w:pos="9360"/>
        </w:tabs>
        <w:rPr>
          <w:sz w:val="18"/>
          <w:szCs w:val="18"/>
          <w:lang w:val="fr-CA"/>
        </w:rPr>
      </w:pPr>
      <w:r w:rsidRPr="00EB7BB6">
        <w:rPr>
          <w:sz w:val="18"/>
          <w:szCs w:val="18"/>
          <w:lang w:val="fr-CA"/>
        </w:rPr>
        <w:t>© Supreme Court of Canada (</w:t>
      </w:r>
      <w:r w:rsidR="0030050B" w:rsidRPr="00EB7BB6">
        <w:rPr>
          <w:sz w:val="18"/>
          <w:szCs w:val="18"/>
          <w:lang w:val="fr-CA"/>
        </w:rPr>
        <w:t>201</w:t>
      </w:r>
      <w:r w:rsidR="004317DE" w:rsidRPr="00EB7BB6">
        <w:rPr>
          <w:sz w:val="18"/>
          <w:szCs w:val="18"/>
          <w:lang w:val="fr-CA"/>
        </w:rPr>
        <w:t>9</w:t>
      </w:r>
      <w:r w:rsidRPr="00EB7BB6">
        <w:rPr>
          <w:sz w:val="18"/>
          <w:szCs w:val="18"/>
          <w:lang w:val="fr-CA"/>
        </w:rPr>
        <w:t>)</w:t>
      </w:r>
      <w:r w:rsidRPr="00EB7BB6">
        <w:rPr>
          <w:sz w:val="18"/>
          <w:szCs w:val="18"/>
          <w:lang w:val="fr-CA"/>
        </w:rPr>
        <w:tab/>
        <w:t>© Cour suprême du Canada (</w:t>
      </w:r>
      <w:r w:rsidR="0030050B" w:rsidRPr="00EB7BB6">
        <w:rPr>
          <w:sz w:val="18"/>
          <w:szCs w:val="18"/>
          <w:lang w:val="fr-CA"/>
        </w:rPr>
        <w:t>201</w:t>
      </w:r>
      <w:r w:rsidR="004317DE" w:rsidRPr="00EB7BB6">
        <w:rPr>
          <w:sz w:val="18"/>
          <w:szCs w:val="18"/>
          <w:lang w:val="fr-CA"/>
        </w:rPr>
        <w:t>9</w:t>
      </w:r>
      <w:r w:rsidRPr="00EB7BB6">
        <w:rPr>
          <w:sz w:val="18"/>
          <w:szCs w:val="18"/>
          <w:lang w:val="fr-CA"/>
        </w:rPr>
        <w:t>)</w:t>
      </w:r>
    </w:p>
    <w:p w:rsidR="00440E24" w:rsidRPr="00EB7BB6" w:rsidRDefault="00440E24" w:rsidP="00440E24">
      <w:pPr>
        <w:pBdr>
          <w:bottom w:val="single" w:sz="6" w:space="1" w:color="auto"/>
        </w:pBdr>
        <w:tabs>
          <w:tab w:val="right" w:pos="9360"/>
        </w:tabs>
        <w:rPr>
          <w:sz w:val="18"/>
          <w:szCs w:val="18"/>
          <w:lang w:val="fr-CA"/>
        </w:rPr>
      </w:pPr>
      <w:r w:rsidRPr="00EB7BB6">
        <w:rPr>
          <w:sz w:val="18"/>
          <w:szCs w:val="18"/>
          <w:lang w:val="fr-CA"/>
        </w:rPr>
        <w:t>ISSN 1918-8358 (Online)</w:t>
      </w:r>
      <w:r w:rsidRPr="00EB7BB6">
        <w:rPr>
          <w:sz w:val="18"/>
          <w:szCs w:val="18"/>
          <w:lang w:val="fr-CA"/>
        </w:rPr>
        <w:tab/>
        <w:t>ISSN 1918-8358 (En ligne)</w:t>
      </w:r>
    </w:p>
    <w:p w:rsidR="00600252" w:rsidRPr="00EB7BB6" w:rsidRDefault="00600252" w:rsidP="00BF25F3">
      <w:pPr>
        <w:pBdr>
          <w:bottom w:val="single" w:sz="6" w:space="1" w:color="auto"/>
        </w:pBdr>
        <w:tabs>
          <w:tab w:val="left" w:pos="6075"/>
        </w:tabs>
        <w:rPr>
          <w:lang w:val="fr-CA"/>
        </w:rPr>
      </w:pPr>
    </w:p>
    <w:p w:rsidR="0030050B" w:rsidRPr="00EB7BB6" w:rsidRDefault="0030050B" w:rsidP="00BF25F3">
      <w:pPr>
        <w:pBdr>
          <w:bottom w:val="single" w:sz="6" w:space="1" w:color="auto"/>
        </w:pBdr>
        <w:tabs>
          <w:tab w:val="left" w:pos="6075"/>
        </w:tabs>
        <w:rPr>
          <w:lang w:val="fr-CA"/>
        </w:rPr>
      </w:pPr>
    </w:p>
    <w:p w:rsidR="00560DF1" w:rsidRPr="00EB7BB6"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B7BB6" w:rsidRDefault="00DC6B2E" w:rsidP="00693C38">
          <w:pPr>
            <w:pStyle w:val="Title"/>
            <w:jc w:val="center"/>
            <w:rPr>
              <w:rFonts w:ascii="Times New Roman" w:hAnsi="Times New Roman" w:cs="Times New Roman"/>
              <w:b/>
              <w:sz w:val="24"/>
              <w:szCs w:val="28"/>
              <w:lang w:val="fr-CA"/>
            </w:rPr>
          </w:pPr>
          <w:r w:rsidRPr="00EB7BB6">
            <w:rPr>
              <w:rFonts w:ascii="Times New Roman" w:hAnsi="Times New Roman" w:cs="Times New Roman"/>
              <w:b/>
              <w:sz w:val="24"/>
              <w:szCs w:val="28"/>
              <w:lang w:val="fr-CA"/>
            </w:rPr>
            <w:t>Contents</w:t>
          </w:r>
        </w:p>
        <w:p w:rsidR="00693C38" w:rsidRPr="00EB7BB6" w:rsidRDefault="00DC6B2E" w:rsidP="00693C38">
          <w:pPr>
            <w:jc w:val="center"/>
            <w:rPr>
              <w:b/>
              <w:szCs w:val="28"/>
              <w:lang w:val="fr-CA"/>
            </w:rPr>
          </w:pPr>
          <w:r w:rsidRPr="00EB7BB6">
            <w:rPr>
              <w:b/>
              <w:szCs w:val="28"/>
              <w:lang w:val="fr-CA"/>
            </w:rPr>
            <w:t>Table des matières</w:t>
          </w:r>
        </w:p>
        <w:p w:rsidR="00693C38" w:rsidRPr="00EB7BB6" w:rsidRDefault="00693C38" w:rsidP="00693C38">
          <w:pPr>
            <w:rPr>
              <w:lang w:val="fr-CA"/>
            </w:rPr>
          </w:pPr>
        </w:p>
        <w:p w:rsidR="00CD503D" w:rsidRPr="00EB7BB6" w:rsidRDefault="00DC6B2E">
          <w:pPr>
            <w:pStyle w:val="TOC1"/>
            <w:tabs>
              <w:tab w:val="right" w:leader="dot" w:pos="9638"/>
            </w:tabs>
            <w:rPr>
              <w:rFonts w:asciiTheme="minorHAnsi" w:eastAsiaTheme="minorEastAsia" w:hAnsiTheme="minorHAnsi"/>
              <w:noProof/>
              <w:sz w:val="22"/>
              <w:lang w:val="en-US"/>
            </w:rPr>
          </w:pPr>
          <w:r w:rsidRPr="00EB7BB6">
            <w:rPr>
              <w:b/>
              <w:bCs/>
              <w:noProof/>
            </w:rPr>
            <w:fldChar w:fldCharType="begin"/>
          </w:r>
          <w:r w:rsidRPr="00EB7BB6">
            <w:rPr>
              <w:b/>
              <w:bCs/>
              <w:noProof/>
            </w:rPr>
            <w:instrText xml:space="preserve"> TOC \o "1-3" \h \z \u </w:instrText>
          </w:r>
          <w:r w:rsidRPr="00EB7BB6">
            <w:rPr>
              <w:b/>
              <w:bCs/>
              <w:noProof/>
            </w:rPr>
            <w:fldChar w:fldCharType="separate"/>
          </w:r>
          <w:hyperlink w:anchor="_Toc6468300" w:history="1">
            <w:r w:rsidR="00CD503D" w:rsidRPr="00EB7BB6">
              <w:rPr>
                <w:rStyle w:val="Hyperlink"/>
                <w:noProof/>
                <w:lang w:val="fr-CA"/>
              </w:rPr>
              <w:t>Applications for leave to appeal filed /  Demandes d’autorisation d’appel déposées</w:t>
            </w:r>
            <w:r w:rsidR="00CD503D" w:rsidRPr="00EB7BB6">
              <w:rPr>
                <w:noProof/>
                <w:webHidden/>
              </w:rPr>
              <w:tab/>
            </w:r>
            <w:r w:rsidR="00CD503D" w:rsidRPr="00EB7BB6">
              <w:rPr>
                <w:noProof/>
                <w:webHidden/>
              </w:rPr>
              <w:fldChar w:fldCharType="begin"/>
            </w:r>
            <w:r w:rsidR="00CD503D" w:rsidRPr="00EB7BB6">
              <w:rPr>
                <w:noProof/>
                <w:webHidden/>
              </w:rPr>
              <w:instrText xml:space="preserve"> PAGEREF _Toc6468300 \h </w:instrText>
            </w:r>
            <w:r w:rsidR="00CD503D" w:rsidRPr="00EB7BB6">
              <w:rPr>
                <w:noProof/>
                <w:webHidden/>
              </w:rPr>
            </w:r>
            <w:r w:rsidR="00CD503D" w:rsidRPr="00EB7BB6">
              <w:rPr>
                <w:noProof/>
                <w:webHidden/>
              </w:rPr>
              <w:fldChar w:fldCharType="separate"/>
            </w:r>
            <w:r w:rsidR="00CA7C5D" w:rsidRPr="00EB7BB6">
              <w:rPr>
                <w:noProof/>
                <w:webHidden/>
              </w:rPr>
              <w:t>1</w:t>
            </w:r>
            <w:r w:rsidR="00CD503D" w:rsidRPr="00EB7BB6">
              <w:rPr>
                <w:noProof/>
                <w:webHidden/>
              </w:rPr>
              <w:fldChar w:fldCharType="end"/>
            </w:r>
          </w:hyperlink>
        </w:p>
        <w:p w:rsidR="00CD503D" w:rsidRPr="00EB7BB6" w:rsidRDefault="00EB7BB6">
          <w:pPr>
            <w:pStyle w:val="TOC1"/>
            <w:tabs>
              <w:tab w:val="right" w:leader="dot" w:pos="9638"/>
            </w:tabs>
            <w:rPr>
              <w:rFonts w:asciiTheme="minorHAnsi" w:eastAsiaTheme="minorEastAsia" w:hAnsiTheme="minorHAnsi"/>
              <w:noProof/>
              <w:sz w:val="22"/>
              <w:lang w:val="en-US"/>
            </w:rPr>
          </w:pPr>
          <w:hyperlink w:anchor="_Toc6468301" w:history="1">
            <w:r w:rsidR="00CD503D" w:rsidRPr="00EB7BB6">
              <w:rPr>
                <w:rStyle w:val="Hyperlink"/>
                <w:noProof/>
                <w:lang w:val="fr-CA"/>
              </w:rPr>
              <w:t>Applications for leave submitted to the Court since the last issue /  Demandes soumises à la Cour depuis la dernière parution</w:t>
            </w:r>
            <w:r w:rsidR="00CD503D" w:rsidRPr="00EB7BB6">
              <w:rPr>
                <w:noProof/>
                <w:webHidden/>
              </w:rPr>
              <w:tab/>
            </w:r>
            <w:r w:rsidR="00CD503D" w:rsidRPr="00EB7BB6">
              <w:rPr>
                <w:noProof/>
                <w:webHidden/>
              </w:rPr>
              <w:fldChar w:fldCharType="begin"/>
            </w:r>
            <w:r w:rsidR="00CD503D" w:rsidRPr="00EB7BB6">
              <w:rPr>
                <w:noProof/>
                <w:webHidden/>
              </w:rPr>
              <w:instrText xml:space="preserve"> PAGEREF _Toc6468301 \h </w:instrText>
            </w:r>
            <w:r w:rsidR="00CD503D" w:rsidRPr="00EB7BB6">
              <w:rPr>
                <w:noProof/>
                <w:webHidden/>
              </w:rPr>
            </w:r>
            <w:r w:rsidR="00CD503D" w:rsidRPr="00EB7BB6">
              <w:rPr>
                <w:noProof/>
                <w:webHidden/>
              </w:rPr>
              <w:fldChar w:fldCharType="separate"/>
            </w:r>
            <w:r w:rsidR="00CA7C5D" w:rsidRPr="00EB7BB6">
              <w:rPr>
                <w:noProof/>
                <w:webHidden/>
              </w:rPr>
              <w:t>4</w:t>
            </w:r>
            <w:r w:rsidR="00CD503D" w:rsidRPr="00EB7BB6">
              <w:rPr>
                <w:noProof/>
                <w:webHidden/>
              </w:rPr>
              <w:fldChar w:fldCharType="end"/>
            </w:r>
          </w:hyperlink>
        </w:p>
        <w:p w:rsidR="00CD503D" w:rsidRPr="00EB7BB6" w:rsidRDefault="00EB7BB6">
          <w:pPr>
            <w:pStyle w:val="TOC1"/>
            <w:tabs>
              <w:tab w:val="right" w:leader="dot" w:pos="9638"/>
            </w:tabs>
            <w:rPr>
              <w:rFonts w:asciiTheme="minorHAnsi" w:eastAsiaTheme="minorEastAsia" w:hAnsiTheme="minorHAnsi"/>
              <w:noProof/>
              <w:sz w:val="22"/>
              <w:lang w:val="en-US"/>
            </w:rPr>
          </w:pPr>
          <w:hyperlink w:anchor="_Toc6468302" w:history="1">
            <w:r w:rsidR="00CD503D" w:rsidRPr="00EB7BB6">
              <w:rPr>
                <w:rStyle w:val="Hyperlink"/>
                <w:noProof/>
                <w:lang w:val="fr-CA"/>
              </w:rPr>
              <w:t>Judgments on applications for leave /  Jugements rendus sur les demandes d’autorisation</w:t>
            </w:r>
            <w:r w:rsidR="00CD503D" w:rsidRPr="00EB7BB6">
              <w:rPr>
                <w:noProof/>
                <w:webHidden/>
              </w:rPr>
              <w:tab/>
            </w:r>
            <w:r w:rsidR="00CD503D" w:rsidRPr="00EB7BB6">
              <w:rPr>
                <w:noProof/>
                <w:webHidden/>
              </w:rPr>
              <w:fldChar w:fldCharType="begin"/>
            </w:r>
            <w:r w:rsidR="00CD503D" w:rsidRPr="00EB7BB6">
              <w:rPr>
                <w:noProof/>
                <w:webHidden/>
              </w:rPr>
              <w:instrText xml:space="preserve"> PAGEREF _Toc6468302 \h </w:instrText>
            </w:r>
            <w:r w:rsidR="00CD503D" w:rsidRPr="00EB7BB6">
              <w:rPr>
                <w:noProof/>
                <w:webHidden/>
              </w:rPr>
            </w:r>
            <w:r w:rsidR="00CD503D" w:rsidRPr="00EB7BB6">
              <w:rPr>
                <w:noProof/>
                <w:webHidden/>
              </w:rPr>
              <w:fldChar w:fldCharType="separate"/>
            </w:r>
            <w:r w:rsidR="00CA7C5D" w:rsidRPr="00EB7BB6">
              <w:rPr>
                <w:noProof/>
                <w:webHidden/>
              </w:rPr>
              <w:t>5</w:t>
            </w:r>
            <w:r w:rsidR="00CD503D" w:rsidRPr="00EB7BB6">
              <w:rPr>
                <w:noProof/>
                <w:webHidden/>
              </w:rPr>
              <w:fldChar w:fldCharType="end"/>
            </w:r>
          </w:hyperlink>
        </w:p>
        <w:p w:rsidR="00CD503D" w:rsidRPr="00EB7BB6" w:rsidRDefault="00EB7BB6">
          <w:pPr>
            <w:pStyle w:val="TOC1"/>
            <w:tabs>
              <w:tab w:val="right" w:leader="dot" w:pos="9638"/>
            </w:tabs>
            <w:rPr>
              <w:rFonts w:asciiTheme="minorHAnsi" w:eastAsiaTheme="minorEastAsia" w:hAnsiTheme="minorHAnsi"/>
              <w:noProof/>
              <w:sz w:val="22"/>
              <w:lang w:val="en-US"/>
            </w:rPr>
          </w:pPr>
          <w:hyperlink w:anchor="_Toc6468303" w:history="1">
            <w:r w:rsidR="00CD503D" w:rsidRPr="00EB7BB6">
              <w:rPr>
                <w:rStyle w:val="Hyperlink"/>
                <w:noProof/>
                <w:lang w:val="fr-CA"/>
              </w:rPr>
              <w:t>Judgment on motion /  Jugement sur requête</w:t>
            </w:r>
            <w:r w:rsidR="00CD503D" w:rsidRPr="00EB7BB6">
              <w:rPr>
                <w:noProof/>
                <w:webHidden/>
              </w:rPr>
              <w:tab/>
            </w:r>
            <w:r w:rsidR="00CD503D" w:rsidRPr="00EB7BB6">
              <w:rPr>
                <w:noProof/>
                <w:webHidden/>
              </w:rPr>
              <w:fldChar w:fldCharType="begin"/>
            </w:r>
            <w:r w:rsidR="00CD503D" w:rsidRPr="00EB7BB6">
              <w:rPr>
                <w:noProof/>
                <w:webHidden/>
              </w:rPr>
              <w:instrText xml:space="preserve"> PAGEREF _Toc6468303 \h </w:instrText>
            </w:r>
            <w:r w:rsidR="00CD503D" w:rsidRPr="00EB7BB6">
              <w:rPr>
                <w:noProof/>
                <w:webHidden/>
              </w:rPr>
            </w:r>
            <w:r w:rsidR="00CD503D" w:rsidRPr="00EB7BB6">
              <w:rPr>
                <w:noProof/>
                <w:webHidden/>
              </w:rPr>
              <w:fldChar w:fldCharType="separate"/>
            </w:r>
            <w:r w:rsidR="00CA7C5D" w:rsidRPr="00EB7BB6">
              <w:rPr>
                <w:noProof/>
                <w:webHidden/>
              </w:rPr>
              <w:t>30</w:t>
            </w:r>
            <w:r w:rsidR="00CD503D" w:rsidRPr="00EB7BB6">
              <w:rPr>
                <w:noProof/>
                <w:webHidden/>
              </w:rPr>
              <w:fldChar w:fldCharType="end"/>
            </w:r>
          </w:hyperlink>
        </w:p>
        <w:p w:rsidR="00CD503D" w:rsidRPr="00EB7BB6" w:rsidRDefault="00EB7BB6">
          <w:pPr>
            <w:pStyle w:val="TOC1"/>
            <w:tabs>
              <w:tab w:val="right" w:leader="dot" w:pos="9638"/>
            </w:tabs>
            <w:rPr>
              <w:rFonts w:asciiTheme="minorHAnsi" w:eastAsiaTheme="minorEastAsia" w:hAnsiTheme="minorHAnsi"/>
              <w:noProof/>
              <w:sz w:val="22"/>
              <w:lang w:val="en-US"/>
            </w:rPr>
          </w:pPr>
          <w:hyperlink w:anchor="_Toc6468304" w:history="1">
            <w:r w:rsidR="00CD503D" w:rsidRPr="00EB7BB6">
              <w:rPr>
                <w:rStyle w:val="Hyperlink"/>
                <w:noProof/>
                <w:lang w:val="fr-CA"/>
              </w:rPr>
              <w:t>Motions /  Requêtes</w:t>
            </w:r>
            <w:r w:rsidR="00CD503D" w:rsidRPr="00EB7BB6">
              <w:rPr>
                <w:noProof/>
                <w:webHidden/>
              </w:rPr>
              <w:tab/>
            </w:r>
            <w:r w:rsidR="00CD503D" w:rsidRPr="00EB7BB6">
              <w:rPr>
                <w:noProof/>
                <w:webHidden/>
              </w:rPr>
              <w:fldChar w:fldCharType="begin"/>
            </w:r>
            <w:r w:rsidR="00CD503D" w:rsidRPr="00EB7BB6">
              <w:rPr>
                <w:noProof/>
                <w:webHidden/>
              </w:rPr>
              <w:instrText xml:space="preserve"> PAGEREF _Toc6468304 \h </w:instrText>
            </w:r>
            <w:r w:rsidR="00CD503D" w:rsidRPr="00EB7BB6">
              <w:rPr>
                <w:noProof/>
                <w:webHidden/>
              </w:rPr>
            </w:r>
            <w:r w:rsidR="00CD503D" w:rsidRPr="00EB7BB6">
              <w:rPr>
                <w:noProof/>
                <w:webHidden/>
              </w:rPr>
              <w:fldChar w:fldCharType="separate"/>
            </w:r>
            <w:r w:rsidR="00CA7C5D" w:rsidRPr="00EB7BB6">
              <w:rPr>
                <w:noProof/>
                <w:webHidden/>
              </w:rPr>
              <w:t>31</w:t>
            </w:r>
            <w:r w:rsidR="00CD503D" w:rsidRPr="00EB7BB6">
              <w:rPr>
                <w:noProof/>
                <w:webHidden/>
              </w:rPr>
              <w:fldChar w:fldCharType="end"/>
            </w:r>
          </w:hyperlink>
        </w:p>
        <w:p w:rsidR="00CD503D" w:rsidRPr="00EB7BB6" w:rsidRDefault="00EB7BB6">
          <w:pPr>
            <w:pStyle w:val="TOC1"/>
            <w:tabs>
              <w:tab w:val="right" w:leader="dot" w:pos="9638"/>
            </w:tabs>
            <w:rPr>
              <w:rFonts w:asciiTheme="minorHAnsi" w:eastAsiaTheme="minorEastAsia" w:hAnsiTheme="minorHAnsi"/>
              <w:noProof/>
              <w:sz w:val="22"/>
              <w:lang w:val="en-US"/>
            </w:rPr>
          </w:pPr>
          <w:hyperlink w:anchor="_Toc6468305" w:history="1">
            <w:r w:rsidR="00CD503D" w:rsidRPr="00EB7BB6">
              <w:rPr>
                <w:rStyle w:val="Hyperlink"/>
                <w:noProof/>
              </w:rPr>
              <w:t xml:space="preserve">Notices of appeal filed since the last issue /  </w:t>
            </w:r>
            <w:r w:rsidR="00CD503D" w:rsidRPr="00EB7BB6">
              <w:rPr>
                <w:rStyle w:val="Hyperlink"/>
                <w:noProof/>
                <w:lang w:val="fr-CA"/>
              </w:rPr>
              <w:t>Avis d’appel déposés depuis la dernière parution</w:t>
            </w:r>
            <w:r w:rsidR="00CD503D" w:rsidRPr="00EB7BB6">
              <w:rPr>
                <w:noProof/>
                <w:webHidden/>
              </w:rPr>
              <w:tab/>
            </w:r>
            <w:r w:rsidR="00CD503D" w:rsidRPr="00EB7BB6">
              <w:rPr>
                <w:noProof/>
                <w:webHidden/>
              </w:rPr>
              <w:fldChar w:fldCharType="begin"/>
            </w:r>
            <w:r w:rsidR="00CD503D" w:rsidRPr="00EB7BB6">
              <w:rPr>
                <w:noProof/>
                <w:webHidden/>
              </w:rPr>
              <w:instrText xml:space="preserve"> PAGEREF _Toc6468305 \h </w:instrText>
            </w:r>
            <w:r w:rsidR="00CD503D" w:rsidRPr="00EB7BB6">
              <w:rPr>
                <w:noProof/>
                <w:webHidden/>
              </w:rPr>
            </w:r>
            <w:r w:rsidR="00CD503D" w:rsidRPr="00EB7BB6">
              <w:rPr>
                <w:noProof/>
                <w:webHidden/>
              </w:rPr>
              <w:fldChar w:fldCharType="separate"/>
            </w:r>
            <w:r w:rsidR="00CA7C5D" w:rsidRPr="00EB7BB6">
              <w:rPr>
                <w:noProof/>
                <w:webHidden/>
              </w:rPr>
              <w:t>35</w:t>
            </w:r>
            <w:r w:rsidR="00CD503D" w:rsidRPr="00EB7BB6">
              <w:rPr>
                <w:noProof/>
                <w:webHidden/>
              </w:rPr>
              <w:fldChar w:fldCharType="end"/>
            </w:r>
          </w:hyperlink>
        </w:p>
        <w:p w:rsidR="00CD503D" w:rsidRPr="00EB7BB6" w:rsidRDefault="00EB7BB6">
          <w:pPr>
            <w:pStyle w:val="TOC1"/>
            <w:tabs>
              <w:tab w:val="right" w:leader="dot" w:pos="9638"/>
            </w:tabs>
            <w:rPr>
              <w:rFonts w:asciiTheme="minorHAnsi" w:eastAsiaTheme="minorEastAsia" w:hAnsiTheme="minorHAnsi"/>
              <w:noProof/>
              <w:sz w:val="22"/>
              <w:lang w:val="en-US"/>
            </w:rPr>
          </w:pPr>
          <w:hyperlink w:anchor="_Toc6468306" w:history="1">
            <w:r w:rsidR="00CD503D" w:rsidRPr="00EB7BB6">
              <w:rPr>
                <w:rStyle w:val="Hyperlink"/>
                <w:noProof/>
                <w:lang w:val="fr-CA"/>
              </w:rPr>
              <w:t>Appeals heard since the last issue and disposition /  Appels entendus depuis la dernière parution et résultat</w:t>
            </w:r>
            <w:r w:rsidR="00CD503D" w:rsidRPr="00EB7BB6">
              <w:rPr>
                <w:noProof/>
                <w:webHidden/>
              </w:rPr>
              <w:tab/>
            </w:r>
            <w:r w:rsidR="00CD503D" w:rsidRPr="00EB7BB6">
              <w:rPr>
                <w:noProof/>
                <w:webHidden/>
              </w:rPr>
              <w:fldChar w:fldCharType="begin"/>
            </w:r>
            <w:r w:rsidR="00CD503D" w:rsidRPr="00EB7BB6">
              <w:rPr>
                <w:noProof/>
                <w:webHidden/>
              </w:rPr>
              <w:instrText xml:space="preserve"> PAGEREF _Toc6468306 \h </w:instrText>
            </w:r>
            <w:r w:rsidR="00CD503D" w:rsidRPr="00EB7BB6">
              <w:rPr>
                <w:noProof/>
                <w:webHidden/>
              </w:rPr>
            </w:r>
            <w:r w:rsidR="00CD503D" w:rsidRPr="00EB7BB6">
              <w:rPr>
                <w:noProof/>
                <w:webHidden/>
              </w:rPr>
              <w:fldChar w:fldCharType="separate"/>
            </w:r>
            <w:r w:rsidR="00CA7C5D" w:rsidRPr="00EB7BB6">
              <w:rPr>
                <w:noProof/>
                <w:webHidden/>
              </w:rPr>
              <w:t>36</w:t>
            </w:r>
            <w:r w:rsidR="00CD503D" w:rsidRPr="00EB7BB6">
              <w:rPr>
                <w:noProof/>
                <w:webHidden/>
              </w:rPr>
              <w:fldChar w:fldCharType="end"/>
            </w:r>
          </w:hyperlink>
        </w:p>
        <w:p w:rsidR="00CD503D" w:rsidRPr="00EB7BB6" w:rsidRDefault="00EB7BB6">
          <w:pPr>
            <w:pStyle w:val="TOC1"/>
            <w:tabs>
              <w:tab w:val="right" w:leader="dot" w:pos="9638"/>
            </w:tabs>
            <w:rPr>
              <w:rFonts w:asciiTheme="minorHAnsi" w:eastAsiaTheme="minorEastAsia" w:hAnsiTheme="minorHAnsi"/>
              <w:noProof/>
              <w:sz w:val="22"/>
              <w:lang w:val="en-US"/>
            </w:rPr>
          </w:pPr>
          <w:hyperlink w:anchor="_Toc6468307" w:history="1">
            <w:r w:rsidR="00CD503D" w:rsidRPr="00EB7BB6">
              <w:rPr>
                <w:rStyle w:val="Hyperlink"/>
                <w:noProof/>
                <w:lang w:val="fr-CA"/>
              </w:rPr>
              <w:t>Pronouncements of reserved appeals /  Jugements rendus sur les appels en délibéré</w:t>
            </w:r>
            <w:r w:rsidR="00CD503D" w:rsidRPr="00EB7BB6">
              <w:rPr>
                <w:noProof/>
                <w:webHidden/>
              </w:rPr>
              <w:tab/>
            </w:r>
            <w:r w:rsidR="00CD503D" w:rsidRPr="00EB7BB6">
              <w:rPr>
                <w:noProof/>
                <w:webHidden/>
              </w:rPr>
              <w:fldChar w:fldCharType="begin"/>
            </w:r>
            <w:r w:rsidR="00CD503D" w:rsidRPr="00EB7BB6">
              <w:rPr>
                <w:noProof/>
                <w:webHidden/>
              </w:rPr>
              <w:instrText xml:space="preserve"> PAGEREF _Toc6468307 \h </w:instrText>
            </w:r>
            <w:r w:rsidR="00CD503D" w:rsidRPr="00EB7BB6">
              <w:rPr>
                <w:noProof/>
                <w:webHidden/>
              </w:rPr>
            </w:r>
            <w:r w:rsidR="00CD503D" w:rsidRPr="00EB7BB6">
              <w:rPr>
                <w:noProof/>
                <w:webHidden/>
              </w:rPr>
              <w:fldChar w:fldCharType="separate"/>
            </w:r>
            <w:r w:rsidR="00CA7C5D" w:rsidRPr="00EB7BB6">
              <w:rPr>
                <w:noProof/>
                <w:webHidden/>
              </w:rPr>
              <w:t>39</w:t>
            </w:r>
            <w:r w:rsidR="00CD503D" w:rsidRPr="00EB7BB6">
              <w:rPr>
                <w:noProof/>
                <w:webHidden/>
              </w:rPr>
              <w:fldChar w:fldCharType="end"/>
            </w:r>
          </w:hyperlink>
        </w:p>
        <w:p w:rsidR="00560DF1" w:rsidRPr="00EB7BB6" w:rsidRDefault="00DC6B2E">
          <w:r w:rsidRPr="00EB7BB6">
            <w:rPr>
              <w:b/>
              <w:bCs/>
              <w:noProof/>
              <w:sz w:val="20"/>
            </w:rPr>
            <w:fldChar w:fldCharType="end"/>
          </w:r>
        </w:p>
      </w:sdtContent>
    </w:sdt>
    <w:p w:rsidR="00560DF1" w:rsidRPr="00EB7BB6"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EB7BB6" w:rsidTr="0079724F">
        <w:tc>
          <w:tcPr>
            <w:tcW w:w="9576" w:type="dxa"/>
          </w:tcPr>
          <w:p w:rsidR="0079724F" w:rsidRPr="00EB7BB6" w:rsidRDefault="0079724F" w:rsidP="00215F7C">
            <w:pPr>
              <w:keepNext/>
              <w:tabs>
                <w:tab w:val="right" w:pos="9360"/>
              </w:tabs>
              <w:jc w:val="center"/>
              <w:rPr>
                <w:szCs w:val="24"/>
              </w:rPr>
            </w:pPr>
            <w:r w:rsidRPr="00EB7BB6">
              <w:rPr>
                <w:szCs w:val="24"/>
              </w:rPr>
              <w:t>NOTICE</w:t>
            </w:r>
          </w:p>
          <w:p w:rsidR="0079724F" w:rsidRPr="00EB7BB6" w:rsidRDefault="0079724F" w:rsidP="00215F7C">
            <w:pPr>
              <w:keepNext/>
              <w:tabs>
                <w:tab w:val="right" w:pos="9360"/>
              </w:tabs>
              <w:rPr>
                <w:szCs w:val="24"/>
              </w:rPr>
            </w:pPr>
          </w:p>
          <w:p w:rsidR="0079724F" w:rsidRPr="00EB7BB6" w:rsidRDefault="0079724F" w:rsidP="00215F7C">
            <w:pPr>
              <w:keepNext/>
              <w:tabs>
                <w:tab w:val="right" w:pos="9360"/>
              </w:tabs>
              <w:jc w:val="both"/>
              <w:rPr>
                <w:szCs w:val="24"/>
              </w:rPr>
            </w:pPr>
            <w:r w:rsidRPr="00EB7BB6">
              <w:rPr>
                <w:szCs w:val="24"/>
              </w:rPr>
              <w:t>Case summaries included in the Bulletin are prepared by the Office of the Registrar of the Supreme Court of Canada (Law Branch) for information purposes only.</w:t>
            </w:r>
          </w:p>
          <w:p w:rsidR="0079724F" w:rsidRPr="00EB7BB6" w:rsidRDefault="0079724F" w:rsidP="00215F7C">
            <w:pPr>
              <w:keepNext/>
              <w:tabs>
                <w:tab w:val="right" w:pos="9360"/>
              </w:tabs>
              <w:rPr>
                <w:szCs w:val="24"/>
              </w:rPr>
            </w:pPr>
          </w:p>
          <w:p w:rsidR="0079724F" w:rsidRPr="00EB7BB6" w:rsidRDefault="0079724F" w:rsidP="00215F7C">
            <w:pPr>
              <w:keepNext/>
              <w:tabs>
                <w:tab w:val="right" w:pos="9360"/>
              </w:tabs>
              <w:rPr>
                <w:szCs w:val="24"/>
              </w:rPr>
            </w:pPr>
          </w:p>
          <w:p w:rsidR="0079724F" w:rsidRPr="00EB7BB6" w:rsidRDefault="0079724F" w:rsidP="00215F7C">
            <w:pPr>
              <w:keepNext/>
              <w:tabs>
                <w:tab w:val="right" w:pos="9360"/>
              </w:tabs>
              <w:jc w:val="center"/>
              <w:rPr>
                <w:szCs w:val="24"/>
                <w:lang w:val="fr-CA"/>
              </w:rPr>
            </w:pPr>
            <w:r w:rsidRPr="00EB7BB6">
              <w:rPr>
                <w:szCs w:val="24"/>
                <w:lang w:val="fr-CA"/>
              </w:rPr>
              <w:t>AVIS</w:t>
            </w:r>
          </w:p>
          <w:p w:rsidR="0079724F" w:rsidRPr="00EB7BB6" w:rsidRDefault="0079724F" w:rsidP="00215F7C">
            <w:pPr>
              <w:keepNext/>
              <w:tabs>
                <w:tab w:val="right" w:pos="9360"/>
              </w:tabs>
              <w:rPr>
                <w:szCs w:val="24"/>
                <w:lang w:val="fr-CA"/>
              </w:rPr>
            </w:pPr>
          </w:p>
          <w:p w:rsidR="0079724F" w:rsidRPr="00EB7BB6" w:rsidRDefault="0079724F" w:rsidP="004E44A7">
            <w:pPr>
              <w:keepNext/>
              <w:tabs>
                <w:tab w:val="right" w:pos="9360"/>
              </w:tabs>
              <w:jc w:val="both"/>
              <w:rPr>
                <w:sz w:val="20"/>
                <w:szCs w:val="20"/>
                <w:lang w:val="fr-CA"/>
              </w:rPr>
            </w:pPr>
            <w:r w:rsidRPr="00EB7BB6">
              <w:rPr>
                <w:szCs w:val="24"/>
                <w:lang w:val="fr-CA"/>
              </w:rPr>
              <w:t>Les résumés de</w:t>
            </w:r>
            <w:r w:rsidR="004E44A7" w:rsidRPr="00EB7BB6">
              <w:rPr>
                <w:szCs w:val="24"/>
                <w:lang w:val="fr-CA"/>
              </w:rPr>
              <w:t>s</w:t>
            </w:r>
            <w:r w:rsidRPr="00EB7BB6">
              <w:rPr>
                <w:szCs w:val="24"/>
                <w:lang w:val="fr-CA"/>
              </w:rPr>
              <w:t xml:space="preserve"> </w:t>
            </w:r>
            <w:r w:rsidR="004E44A7" w:rsidRPr="00EB7BB6">
              <w:rPr>
                <w:szCs w:val="24"/>
                <w:lang w:val="fr-CA"/>
              </w:rPr>
              <w:t>causes</w:t>
            </w:r>
            <w:r w:rsidRPr="00EB7BB6">
              <w:rPr>
                <w:szCs w:val="24"/>
                <w:lang w:val="fr-CA"/>
              </w:rPr>
              <w:t xml:space="preserve"> publiés dans le bulletin sont préparés par le Bureau du registraire (Direction générale du droit) uniquement à titre d’information.</w:t>
            </w:r>
          </w:p>
        </w:tc>
      </w:tr>
    </w:tbl>
    <w:p w:rsidR="0095096B" w:rsidRPr="00EB7BB6" w:rsidRDefault="0095096B" w:rsidP="0095096B">
      <w:pPr>
        <w:tabs>
          <w:tab w:val="right" w:pos="9360"/>
        </w:tabs>
        <w:rPr>
          <w:lang w:val="fr-CA"/>
        </w:rPr>
      </w:pPr>
    </w:p>
    <w:p w:rsidR="00C01FCB" w:rsidRPr="00EB7BB6" w:rsidRDefault="00C01FCB" w:rsidP="0095096B">
      <w:pPr>
        <w:tabs>
          <w:tab w:val="right" w:pos="9360"/>
        </w:tabs>
        <w:rPr>
          <w:lang w:val="fr-CA"/>
        </w:rPr>
      </w:pPr>
    </w:p>
    <w:p w:rsidR="00A87207" w:rsidRPr="00EB7BB6" w:rsidRDefault="00A87207" w:rsidP="0095096B">
      <w:pPr>
        <w:tabs>
          <w:tab w:val="right" w:pos="9360"/>
        </w:tabs>
        <w:rPr>
          <w:lang w:val="fr-CA"/>
        </w:rPr>
        <w:sectPr w:rsidR="00A87207" w:rsidRPr="00EB7BB6" w:rsidSect="0044776A">
          <w:pgSz w:w="12240" w:h="15840"/>
          <w:pgMar w:top="720" w:right="1152" w:bottom="1080" w:left="1440" w:header="706" w:footer="706" w:gutter="0"/>
          <w:cols w:space="708"/>
          <w:titlePg/>
          <w:docGrid w:linePitch="360"/>
        </w:sectPr>
      </w:pPr>
    </w:p>
    <w:p w:rsidR="00560DF1" w:rsidRPr="00EB7BB6" w:rsidRDefault="00DD0BDC" w:rsidP="00567602">
      <w:pPr>
        <w:pStyle w:val="Header1StyleE"/>
        <w:pBdr>
          <w:bottom w:val="single" w:sz="12" w:space="1" w:color="auto"/>
        </w:pBdr>
        <w:rPr>
          <w:lang w:val="fr-CA"/>
        </w:rPr>
      </w:pPr>
      <w:bookmarkStart w:id="0" w:name="_Toc6468300"/>
      <w:r w:rsidRPr="00EB7BB6">
        <w:rPr>
          <w:lang w:val="fr-CA"/>
        </w:rPr>
        <w:lastRenderedPageBreak/>
        <w:t>Applications for leave to appeal filed</w:t>
      </w:r>
      <w:r w:rsidR="00271E1E" w:rsidRPr="00EB7BB6">
        <w:rPr>
          <w:lang w:val="fr-CA"/>
        </w:rPr>
        <w:t xml:space="preserve"> / </w:t>
      </w:r>
      <w:r w:rsidR="00727571" w:rsidRPr="00EB7BB6">
        <w:rPr>
          <w:lang w:val="fr-CA"/>
        </w:rPr>
        <w:br/>
      </w:r>
      <w:r w:rsidRPr="00EB7BB6">
        <w:rPr>
          <w:lang w:val="fr-CA"/>
        </w:rPr>
        <w:t>Demandes d’autorisation d’appel déposées</w:t>
      </w:r>
      <w:bookmarkEnd w:id="0"/>
    </w:p>
    <w:p w:rsidR="00FB1DB6" w:rsidRPr="00EB7BB6"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B7BB6" w:rsidTr="009505F2">
        <w:trPr>
          <w:trHeight w:val="2601"/>
        </w:trPr>
        <w:tc>
          <w:tcPr>
            <w:tcW w:w="4320" w:type="dxa"/>
            <w:shd w:val="clear" w:color="auto" w:fill="auto"/>
          </w:tcPr>
          <w:p w:rsidR="00944772" w:rsidRPr="00EB7BB6" w:rsidRDefault="00944772" w:rsidP="00944772">
            <w:pPr>
              <w:tabs>
                <w:tab w:val="left" w:pos="-1440"/>
                <w:tab w:val="left" w:pos="-720"/>
              </w:tabs>
              <w:rPr>
                <w:b/>
                <w:sz w:val="20"/>
                <w:szCs w:val="20"/>
                <w:lang w:val="en-US"/>
              </w:rPr>
            </w:pPr>
            <w:r w:rsidRPr="00EB7BB6">
              <w:rPr>
                <w:b/>
                <w:sz w:val="20"/>
                <w:szCs w:val="20"/>
                <w:lang w:val="en-US"/>
              </w:rPr>
              <w:t>Chando Kayne Jackson</w:t>
            </w:r>
          </w:p>
          <w:p w:rsidR="00C21644" w:rsidRPr="00EB7BB6" w:rsidRDefault="00C21644" w:rsidP="005F1ED8">
            <w:pPr>
              <w:tabs>
                <w:tab w:val="left" w:pos="-1440"/>
                <w:tab w:val="left" w:pos="-720"/>
              </w:tabs>
              <w:rPr>
                <w:sz w:val="20"/>
                <w:szCs w:val="20"/>
                <w:lang w:val="en-US"/>
              </w:rPr>
            </w:pPr>
            <w:r w:rsidRPr="00EB7BB6">
              <w:rPr>
                <w:sz w:val="20"/>
                <w:szCs w:val="20"/>
                <w:lang w:val="en-US"/>
              </w:rPr>
              <w:tab/>
            </w:r>
            <w:r w:rsidR="00944772" w:rsidRPr="00EB7BB6">
              <w:rPr>
                <w:sz w:val="20"/>
                <w:szCs w:val="20"/>
                <w:lang w:val="en-US"/>
              </w:rPr>
              <w:t xml:space="preserve">Chando Kayne Jackson </w:t>
            </w:r>
          </w:p>
          <w:p w:rsidR="00944772" w:rsidRPr="00EB7BB6" w:rsidRDefault="00944772" w:rsidP="005F1ED8">
            <w:pPr>
              <w:tabs>
                <w:tab w:val="left" w:pos="-1440"/>
                <w:tab w:val="left" w:pos="-720"/>
              </w:tabs>
              <w:rPr>
                <w:sz w:val="20"/>
                <w:szCs w:val="20"/>
                <w:lang w:val="en-US"/>
              </w:rPr>
            </w:pPr>
          </w:p>
          <w:p w:rsidR="00C21644" w:rsidRPr="00EB7BB6" w:rsidRDefault="00944772" w:rsidP="005F1ED8">
            <w:pPr>
              <w:tabs>
                <w:tab w:val="left" w:pos="-1440"/>
                <w:tab w:val="left" w:pos="-720"/>
              </w:tabs>
              <w:rPr>
                <w:sz w:val="20"/>
                <w:szCs w:val="20"/>
                <w:lang w:val="en-US"/>
              </w:rPr>
            </w:pPr>
            <w:r w:rsidRPr="00EB7BB6">
              <w:rPr>
                <w:sz w:val="20"/>
                <w:szCs w:val="20"/>
                <w:lang w:val="en-US"/>
              </w:rPr>
              <w:tab/>
              <w:t>v. (3</w:t>
            </w:r>
            <w:r w:rsidR="00C21644" w:rsidRPr="00EB7BB6">
              <w:rPr>
                <w:sz w:val="20"/>
                <w:szCs w:val="20"/>
                <w:lang w:val="en-US"/>
              </w:rPr>
              <w:t>8</w:t>
            </w:r>
            <w:r w:rsidRPr="00EB7BB6">
              <w:rPr>
                <w:sz w:val="20"/>
                <w:szCs w:val="20"/>
                <w:lang w:val="en-US"/>
              </w:rPr>
              <w:t>565</w:t>
            </w:r>
            <w:r w:rsidR="00C21644" w:rsidRPr="00EB7BB6">
              <w:rPr>
                <w:sz w:val="20"/>
                <w:szCs w:val="20"/>
                <w:lang w:val="en-US"/>
              </w:rPr>
              <w:t>)</w:t>
            </w:r>
          </w:p>
          <w:p w:rsidR="00C21644" w:rsidRPr="00EB7BB6" w:rsidRDefault="00C21644" w:rsidP="005F1ED8">
            <w:pPr>
              <w:tabs>
                <w:tab w:val="left" w:pos="-1440"/>
                <w:tab w:val="left" w:pos="-720"/>
              </w:tabs>
              <w:rPr>
                <w:sz w:val="20"/>
                <w:szCs w:val="20"/>
                <w:lang w:val="en-US"/>
              </w:rPr>
            </w:pPr>
          </w:p>
          <w:p w:rsidR="00C21644" w:rsidRPr="00EB7BB6" w:rsidRDefault="00944772" w:rsidP="005F1ED8">
            <w:pPr>
              <w:tabs>
                <w:tab w:val="left" w:pos="-1440"/>
                <w:tab w:val="left" w:pos="-720"/>
              </w:tabs>
              <w:rPr>
                <w:b/>
                <w:sz w:val="20"/>
                <w:szCs w:val="20"/>
                <w:lang w:val="en-US"/>
              </w:rPr>
            </w:pPr>
            <w:r w:rsidRPr="00EB7BB6">
              <w:rPr>
                <w:b/>
                <w:sz w:val="20"/>
                <w:szCs w:val="20"/>
                <w:lang w:val="en-US"/>
              </w:rPr>
              <w:t>Her Majesty the Queen</w:t>
            </w:r>
            <w:r w:rsidR="00C21644" w:rsidRPr="00EB7BB6">
              <w:rPr>
                <w:sz w:val="20"/>
                <w:szCs w:val="20"/>
                <w:lang w:val="en-US"/>
              </w:rPr>
              <w:t xml:space="preserve"> </w:t>
            </w:r>
            <w:r w:rsidR="00C21644" w:rsidRPr="00EB7BB6">
              <w:rPr>
                <w:b/>
                <w:sz w:val="20"/>
                <w:szCs w:val="20"/>
                <w:lang w:val="en-US"/>
              </w:rPr>
              <w:t>(</w:t>
            </w:r>
            <w:r w:rsidRPr="00EB7BB6">
              <w:rPr>
                <w:b/>
                <w:sz w:val="20"/>
                <w:szCs w:val="20"/>
                <w:lang w:val="en-US"/>
              </w:rPr>
              <w:t>Alta</w:t>
            </w:r>
            <w:r w:rsidR="00C21644" w:rsidRPr="00EB7BB6">
              <w:rPr>
                <w:b/>
                <w:sz w:val="20"/>
                <w:szCs w:val="20"/>
                <w:lang w:val="en-US"/>
              </w:rPr>
              <w:t>.)</w:t>
            </w:r>
          </w:p>
          <w:p w:rsidR="00C21644" w:rsidRPr="00EB7BB6" w:rsidRDefault="00C21644" w:rsidP="005F1ED8">
            <w:pPr>
              <w:tabs>
                <w:tab w:val="left" w:pos="-1440"/>
                <w:tab w:val="left" w:pos="-720"/>
              </w:tabs>
              <w:rPr>
                <w:sz w:val="20"/>
                <w:szCs w:val="20"/>
              </w:rPr>
            </w:pPr>
            <w:r w:rsidRPr="00EB7BB6">
              <w:rPr>
                <w:sz w:val="20"/>
                <w:szCs w:val="20"/>
                <w:lang w:val="en-US"/>
              </w:rPr>
              <w:tab/>
            </w:r>
            <w:r w:rsidR="00944772" w:rsidRPr="00EB7BB6">
              <w:rPr>
                <w:sz w:val="20"/>
                <w:szCs w:val="20"/>
                <w:lang w:val="en-US"/>
              </w:rPr>
              <w:t>McGuire, Maureen J.</w:t>
            </w:r>
          </w:p>
          <w:p w:rsidR="00C21644" w:rsidRPr="00EB7BB6" w:rsidRDefault="00C21644" w:rsidP="005F1ED8">
            <w:pPr>
              <w:tabs>
                <w:tab w:val="left" w:pos="-1440"/>
                <w:tab w:val="left" w:pos="-720"/>
              </w:tabs>
              <w:rPr>
                <w:sz w:val="20"/>
                <w:szCs w:val="20"/>
              </w:rPr>
            </w:pPr>
            <w:r w:rsidRPr="00EB7BB6">
              <w:rPr>
                <w:sz w:val="20"/>
                <w:szCs w:val="20"/>
              </w:rPr>
              <w:tab/>
            </w:r>
            <w:r w:rsidR="00944772" w:rsidRPr="00EB7BB6">
              <w:rPr>
                <w:sz w:val="20"/>
                <w:szCs w:val="20"/>
              </w:rPr>
              <w:t>Attorney General of Alberta</w:t>
            </w:r>
          </w:p>
          <w:p w:rsidR="00C21644" w:rsidRPr="00EB7BB6" w:rsidRDefault="00C21644" w:rsidP="005F1ED8">
            <w:pPr>
              <w:tabs>
                <w:tab w:val="left" w:pos="-1440"/>
                <w:tab w:val="left" w:pos="-720"/>
              </w:tabs>
              <w:rPr>
                <w:sz w:val="20"/>
                <w:szCs w:val="20"/>
              </w:rPr>
            </w:pPr>
          </w:p>
          <w:p w:rsidR="00C21644" w:rsidRPr="00EB7BB6" w:rsidRDefault="00C21644" w:rsidP="005F1ED8">
            <w:pPr>
              <w:rPr>
                <w:sz w:val="20"/>
                <w:szCs w:val="20"/>
              </w:rPr>
            </w:pPr>
            <w:r w:rsidRPr="00EB7BB6">
              <w:rPr>
                <w:sz w:val="20"/>
                <w:szCs w:val="20"/>
              </w:rPr>
              <w:t xml:space="preserve">FILING DATE: </w:t>
            </w:r>
            <w:r w:rsidR="00436ED6" w:rsidRPr="00EB7BB6">
              <w:rPr>
                <w:sz w:val="20"/>
                <w:szCs w:val="20"/>
              </w:rPr>
              <w:t>January</w:t>
            </w:r>
            <w:r w:rsidR="00944772" w:rsidRPr="00EB7BB6">
              <w:rPr>
                <w:sz w:val="20"/>
                <w:szCs w:val="20"/>
              </w:rPr>
              <w:t xml:space="preserve"> </w:t>
            </w:r>
            <w:r w:rsidR="00436ED6" w:rsidRPr="00EB7BB6">
              <w:rPr>
                <w:sz w:val="20"/>
                <w:szCs w:val="20"/>
              </w:rPr>
              <w:t>2</w:t>
            </w:r>
            <w:r w:rsidR="00684F23" w:rsidRPr="00EB7BB6">
              <w:rPr>
                <w:sz w:val="20"/>
                <w:szCs w:val="20"/>
              </w:rPr>
              <w:t>, 2019</w:t>
            </w:r>
          </w:p>
          <w:p w:rsidR="00C21644" w:rsidRPr="00EB7BB6" w:rsidRDefault="00EB7BB6" w:rsidP="005F1ED8">
            <w:pPr>
              <w:rPr>
                <w:sz w:val="20"/>
                <w:szCs w:val="20"/>
              </w:rPr>
            </w:pPr>
            <w:r w:rsidRPr="00EB7BB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EB7BB6" w:rsidRDefault="00C21644" w:rsidP="00242AEE">
            <w:pPr>
              <w:jc w:val="center"/>
              <w:rPr>
                <w:sz w:val="20"/>
                <w:szCs w:val="20"/>
              </w:rPr>
            </w:pPr>
          </w:p>
          <w:p w:rsidR="00C21644" w:rsidRPr="00EB7BB6" w:rsidRDefault="00C21644" w:rsidP="00242AEE">
            <w:pPr>
              <w:jc w:val="center"/>
              <w:rPr>
                <w:sz w:val="20"/>
                <w:szCs w:val="20"/>
              </w:rPr>
            </w:pPr>
          </w:p>
          <w:p w:rsidR="00C21644" w:rsidRPr="00EB7BB6" w:rsidRDefault="00C21644" w:rsidP="00242AEE">
            <w:pPr>
              <w:jc w:val="center"/>
              <w:rPr>
                <w:sz w:val="20"/>
                <w:szCs w:val="20"/>
              </w:rPr>
            </w:pPr>
          </w:p>
          <w:p w:rsidR="00C21644" w:rsidRPr="00EB7BB6" w:rsidRDefault="00C21644" w:rsidP="00242AEE">
            <w:pPr>
              <w:jc w:val="center"/>
              <w:rPr>
                <w:sz w:val="20"/>
                <w:szCs w:val="20"/>
              </w:rPr>
            </w:pPr>
          </w:p>
          <w:p w:rsidR="00C21644" w:rsidRPr="00EB7BB6" w:rsidRDefault="00C21644" w:rsidP="00242AEE">
            <w:pPr>
              <w:jc w:val="center"/>
              <w:rPr>
                <w:sz w:val="20"/>
                <w:szCs w:val="20"/>
              </w:rPr>
            </w:pPr>
          </w:p>
          <w:p w:rsidR="00C21644" w:rsidRPr="00EB7BB6" w:rsidRDefault="00C21644" w:rsidP="00242AEE">
            <w:pPr>
              <w:jc w:val="center"/>
              <w:rPr>
                <w:sz w:val="20"/>
                <w:szCs w:val="20"/>
              </w:rPr>
            </w:pPr>
          </w:p>
          <w:p w:rsidR="00C21644" w:rsidRPr="00EB7BB6" w:rsidRDefault="00C21644" w:rsidP="00242AEE">
            <w:pPr>
              <w:jc w:val="center"/>
              <w:rPr>
                <w:sz w:val="20"/>
                <w:szCs w:val="20"/>
              </w:rPr>
            </w:pPr>
          </w:p>
          <w:p w:rsidR="00C21644" w:rsidRPr="00EB7BB6" w:rsidRDefault="00C21644" w:rsidP="00242AEE">
            <w:pPr>
              <w:jc w:val="center"/>
              <w:rPr>
                <w:sz w:val="20"/>
                <w:szCs w:val="20"/>
              </w:rPr>
            </w:pPr>
          </w:p>
          <w:p w:rsidR="00C21644" w:rsidRPr="00EB7BB6" w:rsidRDefault="00C21644" w:rsidP="008446E2">
            <w:pPr>
              <w:jc w:val="center"/>
              <w:rPr>
                <w:sz w:val="20"/>
                <w:szCs w:val="20"/>
              </w:rPr>
            </w:pPr>
          </w:p>
          <w:p w:rsidR="009505F2" w:rsidRPr="00EB7BB6" w:rsidRDefault="009505F2" w:rsidP="008446E2">
            <w:pPr>
              <w:jc w:val="center"/>
              <w:rPr>
                <w:sz w:val="20"/>
                <w:szCs w:val="20"/>
              </w:rPr>
            </w:pPr>
          </w:p>
          <w:p w:rsidR="009505F2" w:rsidRPr="00EB7BB6" w:rsidRDefault="009505F2" w:rsidP="008446E2">
            <w:pPr>
              <w:jc w:val="center"/>
              <w:rPr>
                <w:sz w:val="20"/>
                <w:szCs w:val="20"/>
              </w:rPr>
            </w:pPr>
          </w:p>
          <w:p w:rsidR="009505F2" w:rsidRPr="00EB7BB6" w:rsidRDefault="009505F2" w:rsidP="009505F2">
            <w:pPr>
              <w:rPr>
                <w:sz w:val="20"/>
                <w:szCs w:val="20"/>
              </w:rPr>
            </w:pPr>
          </w:p>
        </w:tc>
        <w:tc>
          <w:tcPr>
            <w:tcW w:w="4320" w:type="dxa"/>
            <w:shd w:val="clear" w:color="auto" w:fill="auto"/>
          </w:tcPr>
          <w:p w:rsidR="00436ED6" w:rsidRPr="00EB7BB6" w:rsidRDefault="00436ED6" w:rsidP="00436ED6">
            <w:pPr>
              <w:keepNext/>
              <w:keepLines/>
              <w:tabs>
                <w:tab w:val="left" w:pos="-1440"/>
                <w:tab w:val="left" w:pos="-720"/>
              </w:tabs>
              <w:rPr>
                <w:b/>
                <w:sz w:val="20"/>
                <w:szCs w:val="20"/>
                <w:lang w:val="fr-CA"/>
              </w:rPr>
            </w:pPr>
            <w:r w:rsidRPr="00EB7BB6">
              <w:rPr>
                <w:b/>
                <w:sz w:val="20"/>
                <w:szCs w:val="20"/>
                <w:lang w:val="fr-CA"/>
              </w:rPr>
              <w:t>Margaret Strang</w:t>
            </w:r>
          </w:p>
          <w:p w:rsidR="00436ED6" w:rsidRPr="00EB7BB6" w:rsidRDefault="00436ED6" w:rsidP="00436ED6">
            <w:pPr>
              <w:keepNext/>
              <w:keepLines/>
              <w:tabs>
                <w:tab w:val="left" w:pos="-1440"/>
                <w:tab w:val="left" w:pos="-720"/>
              </w:tabs>
              <w:rPr>
                <w:sz w:val="20"/>
                <w:szCs w:val="20"/>
                <w:lang w:val="fr-CA"/>
              </w:rPr>
            </w:pPr>
            <w:r w:rsidRPr="00EB7BB6">
              <w:rPr>
                <w:sz w:val="20"/>
                <w:szCs w:val="20"/>
                <w:lang w:val="fr-CA"/>
              </w:rPr>
              <w:tab/>
              <w:t>Margaret Strang</w:t>
            </w:r>
          </w:p>
          <w:p w:rsidR="00436ED6" w:rsidRPr="00EB7BB6" w:rsidRDefault="00436ED6" w:rsidP="00436ED6">
            <w:pPr>
              <w:keepNext/>
              <w:keepLines/>
              <w:tabs>
                <w:tab w:val="left" w:pos="-1440"/>
                <w:tab w:val="left" w:pos="-720"/>
              </w:tabs>
              <w:rPr>
                <w:sz w:val="20"/>
                <w:szCs w:val="20"/>
                <w:lang w:val="fr-CA"/>
              </w:rPr>
            </w:pPr>
          </w:p>
          <w:p w:rsidR="00436ED6" w:rsidRPr="00EB7BB6" w:rsidRDefault="00436ED6" w:rsidP="00436ED6">
            <w:pPr>
              <w:keepNext/>
              <w:keepLines/>
              <w:tabs>
                <w:tab w:val="left" w:pos="-1440"/>
                <w:tab w:val="left" w:pos="-720"/>
              </w:tabs>
              <w:rPr>
                <w:sz w:val="20"/>
                <w:szCs w:val="20"/>
                <w:lang w:val="fr-CA"/>
              </w:rPr>
            </w:pPr>
            <w:r w:rsidRPr="00EB7BB6">
              <w:rPr>
                <w:sz w:val="20"/>
                <w:szCs w:val="20"/>
                <w:lang w:val="fr-CA"/>
              </w:rPr>
              <w:tab/>
              <w:t>c. (38568)</w:t>
            </w:r>
          </w:p>
          <w:p w:rsidR="00436ED6" w:rsidRPr="00EB7BB6" w:rsidRDefault="00436ED6" w:rsidP="00436ED6">
            <w:pPr>
              <w:keepNext/>
              <w:keepLines/>
              <w:tabs>
                <w:tab w:val="left" w:pos="-1440"/>
                <w:tab w:val="left" w:pos="-720"/>
              </w:tabs>
              <w:rPr>
                <w:sz w:val="20"/>
                <w:szCs w:val="20"/>
                <w:lang w:val="fr-CA"/>
              </w:rPr>
            </w:pPr>
          </w:p>
          <w:p w:rsidR="00436ED6" w:rsidRPr="00EB7BB6" w:rsidRDefault="00436ED6" w:rsidP="00436ED6">
            <w:pPr>
              <w:keepNext/>
              <w:keepLines/>
              <w:tabs>
                <w:tab w:val="left" w:pos="-1440"/>
                <w:tab w:val="left" w:pos="-720"/>
              </w:tabs>
              <w:rPr>
                <w:b/>
                <w:sz w:val="20"/>
                <w:szCs w:val="20"/>
                <w:lang w:val="fr-CA"/>
              </w:rPr>
            </w:pPr>
            <w:r w:rsidRPr="00EB7BB6">
              <w:rPr>
                <w:b/>
                <w:sz w:val="20"/>
                <w:szCs w:val="20"/>
                <w:lang w:val="fr-CA"/>
              </w:rPr>
              <w:t>Sa Majesté la Reine (Ont.)</w:t>
            </w:r>
          </w:p>
          <w:p w:rsidR="00436ED6" w:rsidRPr="00EB7BB6" w:rsidRDefault="00436ED6" w:rsidP="00436ED6">
            <w:pPr>
              <w:keepNext/>
              <w:keepLines/>
              <w:tabs>
                <w:tab w:val="left" w:pos="-1440"/>
                <w:tab w:val="left" w:pos="-720"/>
              </w:tabs>
              <w:rPr>
                <w:sz w:val="20"/>
                <w:szCs w:val="20"/>
                <w:lang w:val="en-US"/>
              </w:rPr>
            </w:pPr>
            <w:r w:rsidRPr="00EB7BB6">
              <w:rPr>
                <w:sz w:val="20"/>
                <w:szCs w:val="20"/>
                <w:lang w:val="fr-CA"/>
              </w:rPr>
              <w:tab/>
            </w:r>
            <w:r w:rsidRPr="00EB7BB6">
              <w:rPr>
                <w:sz w:val="20"/>
                <w:szCs w:val="20"/>
                <w:lang w:val="en-US"/>
              </w:rPr>
              <w:t>Glick, Jeremy</w:t>
            </w:r>
          </w:p>
          <w:p w:rsidR="00436ED6" w:rsidRPr="00EB7BB6" w:rsidRDefault="00436ED6" w:rsidP="00436ED6">
            <w:pPr>
              <w:keepNext/>
              <w:keepLines/>
              <w:tabs>
                <w:tab w:val="left" w:pos="-1440"/>
                <w:tab w:val="left" w:pos="-720"/>
              </w:tabs>
              <w:rPr>
                <w:sz w:val="20"/>
                <w:szCs w:val="20"/>
                <w:lang w:val="en-US"/>
              </w:rPr>
            </w:pPr>
            <w:r w:rsidRPr="00EB7BB6">
              <w:rPr>
                <w:sz w:val="20"/>
                <w:szCs w:val="20"/>
                <w:lang w:val="en-US"/>
              </w:rPr>
              <w:tab/>
              <w:t>Attorney General of Ontario</w:t>
            </w:r>
          </w:p>
          <w:p w:rsidR="00436ED6" w:rsidRPr="00EB7BB6" w:rsidRDefault="00436ED6" w:rsidP="00436ED6">
            <w:pPr>
              <w:keepNext/>
              <w:keepLines/>
              <w:tabs>
                <w:tab w:val="left" w:pos="-1440"/>
                <w:tab w:val="left" w:pos="-720"/>
              </w:tabs>
              <w:rPr>
                <w:sz w:val="20"/>
                <w:szCs w:val="20"/>
                <w:lang w:val="en-US"/>
              </w:rPr>
            </w:pPr>
          </w:p>
          <w:p w:rsidR="00E27859" w:rsidRPr="00EB7BB6" w:rsidRDefault="00436ED6" w:rsidP="00436ED6">
            <w:pPr>
              <w:rPr>
                <w:sz w:val="20"/>
                <w:szCs w:val="20"/>
                <w:lang w:val="fr-CA"/>
              </w:rPr>
            </w:pPr>
            <w:r w:rsidRPr="00EB7BB6">
              <w:rPr>
                <w:sz w:val="20"/>
                <w:szCs w:val="20"/>
                <w:lang w:val="fr-CA"/>
              </w:rPr>
              <w:t>DATE DE PRODUCTION: Le 26 novembre 2018</w:t>
            </w:r>
            <w:r w:rsidR="00EB7BB6" w:rsidRPr="00EB7BB6">
              <w:rPr>
                <w:sz w:val="20"/>
                <w:szCs w:val="20"/>
                <w:lang w:val="fr-CA"/>
              </w:rPr>
              <w:pict>
                <v:rect id="_x0000_i1026" style="width:108pt;height:1pt" o:hrpct="0" o:hralign="center" o:hrstd="t" o:hrnoshade="t" o:hr="t" fillcolor="black [3213]" stroked="f"/>
              </w:pict>
            </w:r>
          </w:p>
        </w:tc>
      </w:tr>
      <w:tr w:rsidR="00F8315A" w:rsidRPr="00EB7BB6" w:rsidTr="0074607C">
        <w:trPr>
          <w:trHeight w:val="2812"/>
        </w:trPr>
        <w:tc>
          <w:tcPr>
            <w:tcW w:w="4320" w:type="dxa"/>
            <w:shd w:val="clear" w:color="auto" w:fill="auto"/>
          </w:tcPr>
          <w:p w:rsidR="00F8315A" w:rsidRPr="00EB7BB6" w:rsidRDefault="00F8315A" w:rsidP="00F8315A">
            <w:pPr>
              <w:tabs>
                <w:tab w:val="left" w:pos="-1440"/>
                <w:tab w:val="left" w:pos="-720"/>
              </w:tabs>
              <w:rPr>
                <w:b/>
                <w:bCs/>
                <w:sz w:val="20"/>
                <w:szCs w:val="20"/>
                <w:lang w:val="en"/>
              </w:rPr>
            </w:pPr>
            <w:r w:rsidRPr="00EB7BB6">
              <w:rPr>
                <w:b/>
                <w:bCs/>
                <w:sz w:val="20"/>
                <w:szCs w:val="20"/>
                <w:lang w:val="en"/>
              </w:rPr>
              <w:t>Gursher Singh Randhawa</w:t>
            </w:r>
          </w:p>
          <w:p w:rsidR="00F8315A" w:rsidRPr="00EB7BB6" w:rsidRDefault="00F8315A" w:rsidP="00F8315A">
            <w:pPr>
              <w:tabs>
                <w:tab w:val="left" w:pos="-1440"/>
                <w:tab w:val="left" w:pos="-720"/>
              </w:tabs>
              <w:rPr>
                <w:sz w:val="20"/>
                <w:szCs w:val="20"/>
                <w:lang w:val="en-US"/>
              </w:rPr>
            </w:pPr>
            <w:r w:rsidRPr="00EB7BB6">
              <w:rPr>
                <w:sz w:val="20"/>
                <w:szCs w:val="20"/>
                <w:lang w:val="en-US"/>
              </w:rPr>
              <w:tab/>
              <w:t>Wilson, Q.C., Peter</w:t>
            </w:r>
          </w:p>
          <w:p w:rsidR="00F8315A" w:rsidRPr="00EB7BB6" w:rsidRDefault="00F8315A" w:rsidP="00F8315A">
            <w:pPr>
              <w:tabs>
                <w:tab w:val="left" w:pos="-1440"/>
                <w:tab w:val="left" w:pos="-720"/>
              </w:tabs>
              <w:ind w:firstLine="720"/>
              <w:rPr>
                <w:sz w:val="20"/>
                <w:szCs w:val="20"/>
                <w:lang w:val="en-US"/>
              </w:rPr>
            </w:pPr>
            <w:r w:rsidRPr="00EB7BB6">
              <w:rPr>
                <w:sz w:val="20"/>
                <w:szCs w:val="20"/>
                <w:lang w:val="en-US"/>
              </w:rPr>
              <w:t>Wilson Butcher</w:t>
            </w:r>
          </w:p>
          <w:p w:rsidR="00F8315A" w:rsidRPr="00EB7BB6" w:rsidRDefault="00F8315A" w:rsidP="00F8315A">
            <w:pPr>
              <w:tabs>
                <w:tab w:val="left" w:pos="-1440"/>
                <w:tab w:val="left" w:pos="-720"/>
              </w:tabs>
              <w:rPr>
                <w:sz w:val="20"/>
                <w:szCs w:val="20"/>
                <w:lang w:val="en-US"/>
              </w:rPr>
            </w:pPr>
          </w:p>
          <w:p w:rsidR="00F8315A" w:rsidRPr="00EB7BB6" w:rsidRDefault="00F8315A" w:rsidP="00F8315A">
            <w:pPr>
              <w:tabs>
                <w:tab w:val="left" w:pos="-1440"/>
                <w:tab w:val="left" w:pos="-720"/>
              </w:tabs>
              <w:rPr>
                <w:sz w:val="20"/>
                <w:szCs w:val="20"/>
                <w:lang w:val="en-US"/>
              </w:rPr>
            </w:pPr>
            <w:r w:rsidRPr="00EB7BB6">
              <w:rPr>
                <w:sz w:val="20"/>
                <w:szCs w:val="20"/>
                <w:lang w:val="en-US"/>
              </w:rPr>
              <w:tab/>
              <w:t>v. (38554)</w:t>
            </w:r>
          </w:p>
          <w:p w:rsidR="00F8315A" w:rsidRPr="00EB7BB6" w:rsidRDefault="00F8315A" w:rsidP="00F8315A">
            <w:pPr>
              <w:tabs>
                <w:tab w:val="left" w:pos="-1440"/>
                <w:tab w:val="left" w:pos="-720"/>
              </w:tabs>
              <w:rPr>
                <w:sz w:val="20"/>
                <w:szCs w:val="20"/>
                <w:lang w:val="en-US"/>
              </w:rPr>
            </w:pPr>
          </w:p>
          <w:p w:rsidR="00F8315A" w:rsidRPr="00EB7BB6" w:rsidRDefault="00F8315A" w:rsidP="00F8315A">
            <w:pPr>
              <w:tabs>
                <w:tab w:val="left" w:pos="-1440"/>
                <w:tab w:val="left" w:pos="-720"/>
              </w:tabs>
              <w:rPr>
                <w:b/>
                <w:sz w:val="20"/>
                <w:szCs w:val="20"/>
                <w:lang w:val="en-US"/>
              </w:rPr>
            </w:pPr>
            <w:r w:rsidRPr="00EB7BB6">
              <w:rPr>
                <w:b/>
                <w:sz w:val="20"/>
                <w:szCs w:val="20"/>
                <w:lang w:val="en-US"/>
              </w:rPr>
              <w:t>Her Majesty the Queen</w:t>
            </w:r>
            <w:r w:rsidRPr="00EB7BB6">
              <w:rPr>
                <w:sz w:val="20"/>
                <w:szCs w:val="20"/>
                <w:lang w:val="en-US"/>
              </w:rPr>
              <w:t xml:space="preserve"> </w:t>
            </w:r>
            <w:r w:rsidRPr="00EB7BB6">
              <w:rPr>
                <w:b/>
                <w:sz w:val="20"/>
                <w:szCs w:val="20"/>
                <w:lang w:val="en-US"/>
              </w:rPr>
              <w:t>(B.C.)</w:t>
            </w:r>
          </w:p>
          <w:p w:rsidR="00F8315A" w:rsidRPr="00EB7BB6" w:rsidRDefault="00F8315A" w:rsidP="00F8315A">
            <w:pPr>
              <w:tabs>
                <w:tab w:val="left" w:pos="-1440"/>
                <w:tab w:val="left" w:pos="-720"/>
              </w:tabs>
              <w:rPr>
                <w:sz w:val="20"/>
                <w:szCs w:val="20"/>
                <w:lang w:val="en-US"/>
              </w:rPr>
            </w:pPr>
            <w:r w:rsidRPr="00EB7BB6">
              <w:rPr>
                <w:sz w:val="20"/>
                <w:szCs w:val="20"/>
                <w:lang w:val="en-US"/>
              </w:rPr>
              <w:tab/>
              <w:t>Street, Megan A.</w:t>
            </w:r>
          </w:p>
          <w:p w:rsidR="00F8315A" w:rsidRPr="00EB7BB6" w:rsidRDefault="00F8315A" w:rsidP="00F8315A">
            <w:pPr>
              <w:tabs>
                <w:tab w:val="left" w:pos="-1440"/>
                <w:tab w:val="left" w:pos="-720"/>
              </w:tabs>
              <w:rPr>
                <w:sz w:val="20"/>
                <w:szCs w:val="20"/>
              </w:rPr>
            </w:pPr>
            <w:r w:rsidRPr="00EB7BB6">
              <w:rPr>
                <w:sz w:val="20"/>
                <w:szCs w:val="20"/>
              </w:rPr>
              <w:tab/>
              <w:t>Attorney General of British Columbia</w:t>
            </w:r>
          </w:p>
          <w:p w:rsidR="00F8315A" w:rsidRPr="00EB7BB6" w:rsidRDefault="00F8315A" w:rsidP="00F8315A">
            <w:pPr>
              <w:tabs>
                <w:tab w:val="left" w:pos="-1440"/>
                <w:tab w:val="left" w:pos="-720"/>
              </w:tabs>
              <w:rPr>
                <w:sz w:val="20"/>
                <w:szCs w:val="20"/>
              </w:rPr>
            </w:pPr>
          </w:p>
          <w:p w:rsidR="00F8315A" w:rsidRPr="00EB7BB6" w:rsidRDefault="00F8315A" w:rsidP="00F8315A">
            <w:pPr>
              <w:rPr>
                <w:sz w:val="20"/>
                <w:szCs w:val="20"/>
              </w:rPr>
            </w:pPr>
            <w:r w:rsidRPr="00EB7BB6">
              <w:rPr>
                <w:sz w:val="20"/>
                <w:szCs w:val="20"/>
              </w:rPr>
              <w:t>FILING DATE: March 14, 2019</w:t>
            </w:r>
          </w:p>
          <w:p w:rsidR="00F8315A" w:rsidRPr="00EB7BB6" w:rsidRDefault="00EB7BB6" w:rsidP="00F8315A">
            <w:pPr>
              <w:rPr>
                <w:sz w:val="20"/>
                <w:szCs w:val="20"/>
                <w:lang w:val="fr-CA"/>
              </w:rPr>
            </w:pPr>
            <w:r w:rsidRPr="00EB7BB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p w:rsidR="00F8315A" w:rsidRPr="00EB7BB6" w:rsidRDefault="00F8315A" w:rsidP="00F8315A">
            <w:pPr>
              <w:jc w:val="center"/>
              <w:rPr>
                <w:sz w:val="20"/>
                <w:szCs w:val="20"/>
                <w:lang w:val="fr-CA"/>
              </w:rPr>
            </w:pPr>
          </w:p>
        </w:tc>
        <w:tc>
          <w:tcPr>
            <w:tcW w:w="4320" w:type="dxa"/>
            <w:shd w:val="clear" w:color="auto" w:fill="auto"/>
          </w:tcPr>
          <w:p w:rsidR="00F8315A" w:rsidRPr="00EB7BB6" w:rsidRDefault="00F8315A" w:rsidP="00F8315A">
            <w:pPr>
              <w:tabs>
                <w:tab w:val="left" w:pos="-1440"/>
                <w:tab w:val="left" w:pos="-720"/>
              </w:tabs>
              <w:rPr>
                <w:b/>
                <w:bCs/>
                <w:sz w:val="20"/>
                <w:szCs w:val="20"/>
                <w:lang w:val="en"/>
              </w:rPr>
            </w:pPr>
            <w:r w:rsidRPr="00EB7BB6">
              <w:rPr>
                <w:b/>
                <w:bCs/>
                <w:sz w:val="20"/>
                <w:szCs w:val="20"/>
                <w:lang w:val="en"/>
              </w:rPr>
              <w:t>Abdullah Almalki, et al.</w:t>
            </w:r>
          </w:p>
          <w:p w:rsidR="00F8315A" w:rsidRPr="00EB7BB6" w:rsidRDefault="00F8315A" w:rsidP="00F8315A">
            <w:pPr>
              <w:tabs>
                <w:tab w:val="left" w:pos="-1440"/>
                <w:tab w:val="left" w:pos="-720"/>
              </w:tabs>
              <w:rPr>
                <w:sz w:val="20"/>
                <w:szCs w:val="20"/>
                <w:lang w:val="en-US"/>
              </w:rPr>
            </w:pPr>
            <w:r w:rsidRPr="00EB7BB6">
              <w:rPr>
                <w:sz w:val="20"/>
                <w:szCs w:val="20"/>
                <w:lang w:val="en-US"/>
              </w:rPr>
              <w:tab/>
              <w:t>Waldmann, Peter I.</w:t>
            </w:r>
          </w:p>
          <w:p w:rsidR="00F8315A" w:rsidRPr="00EB7BB6" w:rsidRDefault="00F8315A" w:rsidP="00F8315A">
            <w:pPr>
              <w:tabs>
                <w:tab w:val="left" w:pos="-1440"/>
                <w:tab w:val="left" w:pos="-720"/>
              </w:tabs>
              <w:rPr>
                <w:sz w:val="20"/>
                <w:szCs w:val="20"/>
                <w:lang w:val="en-US"/>
              </w:rPr>
            </w:pPr>
          </w:p>
          <w:p w:rsidR="00F8315A" w:rsidRPr="00EB7BB6" w:rsidRDefault="00F8315A" w:rsidP="00F8315A">
            <w:pPr>
              <w:tabs>
                <w:tab w:val="left" w:pos="-1440"/>
                <w:tab w:val="left" w:pos="-720"/>
              </w:tabs>
              <w:rPr>
                <w:sz w:val="20"/>
                <w:szCs w:val="20"/>
                <w:lang w:val="en-US"/>
              </w:rPr>
            </w:pPr>
            <w:r w:rsidRPr="00EB7BB6">
              <w:rPr>
                <w:sz w:val="20"/>
                <w:szCs w:val="20"/>
                <w:lang w:val="en-US"/>
              </w:rPr>
              <w:tab/>
              <w:t>v. (38552)</w:t>
            </w:r>
          </w:p>
          <w:p w:rsidR="00F8315A" w:rsidRPr="00EB7BB6" w:rsidRDefault="00F8315A" w:rsidP="00F8315A">
            <w:pPr>
              <w:tabs>
                <w:tab w:val="left" w:pos="-1440"/>
                <w:tab w:val="left" w:pos="-720"/>
              </w:tabs>
              <w:rPr>
                <w:sz w:val="20"/>
                <w:szCs w:val="20"/>
                <w:lang w:val="en-US"/>
              </w:rPr>
            </w:pPr>
          </w:p>
          <w:p w:rsidR="00F8315A" w:rsidRPr="00EB7BB6" w:rsidRDefault="00F8315A" w:rsidP="00F8315A">
            <w:pPr>
              <w:tabs>
                <w:tab w:val="left" w:pos="-1440"/>
                <w:tab w:val="left" w:pos="-720"/>
              </w:tabs>
              <w:rPr>
                <w:b/>
                <w:sz w:val="20"/>
                <w:szCs w:val="20"/>
                <w:lang w:val="en-US"/>
              </w:rPr>
            </w:pPr>
            <w:r w:rsidRPr="00EB7BB6">
              <w:rPr>
                <w:b/>
                <w:sz w:val="20"/>
                <w:szCs w:val="20"/>
                <w:lang w:val="en-US"/>
              </w:rPr>
              <w:t>Stockwoods LLP (Ont.)</w:t>
            </w:r>
          </w:p>
          <w:p w:rsidR="00F8315A" w:rsidRPr="00EB7BB6" w:rsidRDefault="00F8315A" w:rsidP="00F8315A">
            <w:pPr>
              <w:tabs>
                <w:tab w:val="left" w:pos="-1440"/>
                <w:tab w:val="left" w:pos="-720"/>
              </w:tabs>
              <w:rPr>
                <w:sz w:val="20"/>
                <w:szCs w:val="20"/>
                <w:lang w:val="en-US"/>
              </w:rPr>
            </w:pPr>
            <w:r w:rsidRPr="00EB7BB6">
              <w:rPr>
                <w:sz w:val="20"/>
                <w:szCs w:val="20"/>
                <w:lang w:val="en-US"/>
              </w:rPr>
              <w:tab/>
              <w:t>Stockwoods LLP</w:t>
            </w:r>
          </w:p>
          <w:p w:rsidR="00F8315A" w:rsidRPr="00EB7BB6" w:rsidRDefault="00F8315A" w:rsidP="00F8315A">
            <w:pPr>
              <w:tabs>
                <w:tab w:val="left" w:pos="-1440"/>
                <w:tab w:val="left" w:pos="-720"/>
              </w:tabs>
              <w:rPr>
                <w:sz w:val="20"/>
                <w:szCs w:val="20"/>
              </w:rPr>
            </w:pPr>
          </w:p>
          <w:p w:rsidR="00F8315A" w:rsidRPr="00EB7BB6" w:rsidRDefault="00F8315A" w:rsidP="00F8315A">
            <w:pPr>
              <w:rPr>
                <w:sz w:val="20"/>
                <w:szCs w:val="20"/>
              </w:rPr>
            </w:pPr>
            <w:r w:rsidRPr="00EB7BB6">
              <w:rPr>
                <w:sz w:val="20"/>
                <w:szCs w:val="20"/>
              </w:rPr>
              <w:t>FILING DATE: March 13, 2019</w:t>
            </w:r>
          </w:p>
          <w:p w:rsidR="00F8315A" w:rsidRPr="00EB7BB6" w:rsidRDefault="00EB7BB6" w:rsidP="00F8315A">
            <w:pPr>
              <w:rPr>
                <w:sz w:val="20"/>
                <w:szCs w:val="20"/>
                <w:lang w:val="fr-CA"/>
              </w:rPr>
            </w:pPr>
            <w:r w:rsidRPr="00EB7BB6">
              <w:rPr>
                <w:sz w:val="20"/>
                <w:szCs w:val="20"/>
                <w:lang w:val="fr-CA"/>
              </w:rPr>
              <w:pict w14:anchorId="1E54B1A6">
                <v:rect id="_x0000_i1028" style="width:108pt;height:1pt" o:hrpct="0" o:hralign="center" o:hrstd="t" o:hrnoshade="t" o:hr="t" fillcolor="black [3213]" stroked="f"/>
              </w:pict>
            </w:r>
          </w:p>
        </w:tc>
      </w:tr>
      <w:tr w:rsidR="000B2C85" w:rsidRPr="00EB7BB6" w:rsidTr="000B2C85">
        <w:trPr>
          <w:trHeight w:val="2970"/>
        </w:trPr>
        <w:tc>
          <w:tcPr>
            <w:tcW w:w="4320" w:type="dxa"/>
            <w:shd w:val="clear" w:color="auto" w:fill="auto"/>
          </w:tcPr>
          <w:p w:rsidR="000B2C85" w:rsidRPr="00EB7BB6" w:rsidRDefault="000B2C85" w:rsidP="000B2C85">
            <w:pPr>
              <w:tabs>
                <w:tab w:val="left" w:pos="-1440"/>
                <w:tab w:val="left" w:pos="-720"/>
              </w:tabs>
              <w:rPr>
                <w:sz w:val="20"/>
                <w:szCs w:val="20"/>
                <w:lang w:val="en-US"/>
              </w:rPr>
            </w:pPr>
            <w:r w:rsidRPr="00EB7BB6">
              <w:rPr>
                <w:b/>
                <w:bCs/>
                <w:sz w:val="20"/>
                <w:szCs w:val="20"/>
                <w:lang w:val="en"/>
              </w:rPr>
              <w:t>Fort Mckay Métis Community Association</w:t>
            </w:r>
            <w:r w:rsidRPr="00EB7BB6">
              <w:rPr>
                <w:sz w:val="20"/>
                <w:szCs w:val="20"/>
                <w:lang w:val="en-US"/>
              </w:rPr>
              <w:tab/>
              <w:t>Conroy, Meaghan M.</w:t>
            </w:r>
          </w:p>
          <w:p w:rsidR="000B2C85" w:rsidRPr="00EB7BB6" w:rsidRDefault="000B2C85" w:rsidP="000B2C85">
            <w:pPr>
              <w:tabs>
                <w:tab w:val="left" w:pos="-1440"/>
                <w:tab w:val="left" w:pos="-720"/>
              </w:tabs>
              <w:ind w:firstLine="720"/>
              <w:rPr>
                <w:sz w:val="20"/>
                <w:szCs w:val="20"/>
                <w:lang w:val="en-US"/>
              </w:rPr>
            </w:pPr>
            <w:r w:rsidRPr="00EB7BB6">
              <w:rPr>
                <w:sz w:val="20"/>
                <w:szCs w:val="20"/>
                <w:lang w:val="en-US"/>
              </w:rPr>
              <w:t>MLT Aikins LLP</w:t>
            </w:r>
          </w:p>
          <w:p w:rsidR="000B2C85" w:rsidRPr="00EB7BB6" w:rsidRDefault="000B2C85" w:rsidP="000B2C85">
            <w:pPr>
              <w:tabs>
                <w:tab w:val="left" w:pos="-1440"/>
                <w:tab w:val="left" w:pos="-720"/>
              </w:tabs>
              <w:rPr>
                <w:sz w:val="20"/>
                <w:szCs w:val="20"/>
                <w:lang w:val="en-US"/>
              </w:rPr>
            </w:pPr>
          </w:p>
          <w:p w:rsidR="000B2C85" w:rsidRPr="00EB7BB6" w:rsidRDefault="000B2C85" w:rsidP="000B2C85">
            <w:pPr>
              <w:tabs>
                <w:tab w:val="left" w:pos="-1440"/>
                <w:tab w:val="left" w:pos="-720"/>
              </w:tabs>
              <w:rPr>
                <w:sz w:val="20"/>
                <w:szCs w:val="20"/>
                <w:lang w:val="en-US"/>
              </w:rPr>
            </w:pPr>
            <w:r w:rsidRPr="00EB7BB6">
              <w:rPr>
                <w:sz w:val="20"/>
                <w:szCs w:val="20"/>
                <w:lang w:val="en-US"/>
              </w:rPr>
              <w:tab/>
              <w:t>v. (38549)</w:t>
            </w:r>
          </w:p>
          <w:p w:rsidR="000B2C85" w:rsidRPr="00EB7BB6" w:rsidRDefault="000B2C85" w:rsidP="000B2C85">
            <w:pPr>
              <w:tabs>
                <w:tab w:val="left" w:pos="-1440"/>
                <w:tab w:val="left" w:pos="-720"/>
              </w:tabs>
              <w:rPr>
                <w:sz w:val="20"/>
                <w:szCs w:val="20"/>
                <w:lang w:val="en-US"/>
              </w:rPr>
            </w:pPr>
          </w:p>
          <w:p w:rsidR="000B2C85" w:rsidRPr="00EB7BB6" w:rsidRDefault="000B2C85" w:rsidP="000B2C85">
            <w:pPr>
              <w:tabs>
                <w:tab w:val="left" w:pos="-1440"/>
                <w:tab w:val="left" w:pos="-720"/>
              </w:tabs>
              <w:rPr>
                <w:b/>
                <w:sz w:val="20"/>
                <w:szCs w:val="20"/>
                <w:lang w:val="en-US"/>
              </w:rPr>
            </w:pPr>
            <w:r w:rsidRPr="00EB7BB6">
              <w:rPr>
                <w:b/>
                <w:sz w:val="20"/>
                <w:szCs w:val="20"/>
                <w:lang w:val="en-US"/>
              </w:rPr>
              <w:t>Alberta Energy Regulator, et al. (Alta.)</w:t>
            </w:r>
          </w:p>
          <w:p w:rsidR="000B2C85" w:rsidRPr="00EB7BB6" w:rsidRDefault="000B2C85" w:rsidP="000B2C85">
            <w:pPr>
              <w:tabs>
                <w:tab w:val="left" w:pos="-1440"/>
                <w:tab w:val="left" w:pos="-720"/>
              </w:tabs>
              <w:rPr>
                <w:sz w:val="20"/>
                <w:szCs w:val="20"/>
                <w:lang w:val="en-US"/>
              </w:rPr>
            </w:pPr>
            <w:r w:rsidRPr="00EB7BB6">
              <w:rPr>
                <w:sz w:val="20"/>
                <w:szCs w:val="20"/>
                <w:lang w:val="en-US"/>
              </w:rPr>
              <w:tab/>
              <w:t>LaCasse, Meighan G.</w:t>
            </w:r>
          </w:p>
          <w:p w:rsidR="000B2C85" w:rsidRPr="00EB7BB6" w:rsidRDefault="000B2C85" w:rsidP="000B2C85">
            <w:pPr>
              <w:tabs>
                <w:tab w:val="left" w:pos="-1440"/>
                <w:tab w:val="left" w:pos="-720"/>
              </w:tabs>
              <w:rPr>
                <w:sz w:val="20"/>
                <w:szCs w:val="20"/>
                <w:lang w:val="en"/>
              </w:rPr>
            </w:pPr>
            <w:r w:rsidRPr="00EB7BB6">
              <w:rPr>
                <w:sz w:val="20"/>
                <w:szCs w:val="20"/>
              </w:rPr>
              <w:tab/>
            </w:r>
            <w:r w:rsidRPr="00EB7BB6">
              <w:rPr>
                <w:sz w:val="20"/>
                <w:szCs w:val="20"/>
                <w:lang w:val="en"/>
              </w:rPr>
              <w:t xml:space="preserve">Energy Resources Conservation Board </w:t>
            </w:r>
          </w:p>
          <w:p w:rsidR="000B2C85" w:rsidRPr="00EB7BB6" w:rsidRDefault="000B2C85" w:rsidP="000B2C85">
            <w:pPr>
              <w:tabs>
                <w:tab w:val="left" w:pos="-1440"/>
                <w:tab w:val="left" w:pos="-720"/>
              </w:tabs>
              <w:rPr>
                <w:sz w:val="20"/>
                <w:szCs w:val="20"/>
                <w:lang w:val="en"/>
              </w:rPr>
            </w:pPr>
          </w:p>
          <w:p w:rsidR="000B2C85" w:rsidRPr="00EB7BB6" w:rsidRDefault="000B2C85" w:rsidP="000B2C85">
            <w:pPr>
              <w:rPr>
                <w:sz w:val="20"/>
                <w:szCs w:val="20"/>
              </w:rPr>
            </w:pPr>
            <w:r w:rsidRPr="00EB7BB6">
              <w:rPr>
                <w:sz w:val="20"/>
                <w:szCs w:val="20"/>
              </w:rPr>
              <w:t>FILING DATE: March 18, 2019</w:t>
            </w:r>
          </w:p>
          <w:p w:rsidR="000B2C85" w:rsidRPr="00EB7BB6" w:rsidRDefault="00EB7BB6" w:rsidP="000B2C85">
            <w:pPr>
              <w:rPr>
                <w:sz w:val="20"/>
                <w:szCs w:val="20"/>
                <w:lang w:val="fr-CA"/>
              </w:rPr>
            </w:pPr>
            <w:r w:rsidRPr="00EB7BB6">
              <w:rPr>
                <w:sz w:val="20"/>
                <w:szCs w:val="20"/>
                <w:lang w:val="fr-CA"/>
              </w:rPr>
              <w:pict>
                <v:rect id="_x0000_i1029" style="width:108pt;height:1pt" o:hrpct="0" o:hralign="center" o:hrstd="t" o:hrnoshade="t" o:hr="t" fillcolor="black [3213]" stroked="f"/>
              </w:pict>
            </w:r>
          </w:p>
          <w:p w:rsidR="0074607C" w:rsidRPr="00EB7BB6" w:rsidRDefault="0074607C" w:rsidP="000B2C85">
            <w:pPr>
              <w:rPr>
                <w:sz w:val="20"/>
                <w:szCs w:val="20"/>
                <w:lang w:val="fr-CA"/>
              </w:rPr>
            </w:pPr>
          </w:p>
        </w:tc>
        <w:tc>
          <w:tcPr>
            <w:tcW w:w="1181" w:type="dxa"/>
            <w:shd w:val="clear" w:color="auto" w:fill="auto"/>
          </w:tcPr>
          <w:p w:rsidR="000B2C85" w:rsidRPr="00EB7BB6" w:rsidRDefault="000B2C85" w:rsidP="000B2C85">
            <w:pPr>
              <w:jc w:val="center"/>
              <w:rPr>
                <w:sz w:val="20"/>
                <w:szCs w:val="20"/>
                <w:lang w:val="fr-CA"/>
              </w:rPr>
            </w:pPr>
          </w:p>
        </w:tc>
        <w:tc>
          <w:tcPr>
            <w:tcW w:w="4320" w:type="dxa"/>
            <w:shd w:val="clear" w:color="auto" w:fill="auto"/>
          </w:tcPr>
          <w:p w:rsidR="000B2C85" w:rsidRPr="00EB7BB6" w:rsidRDefault="000B2C85" w:rsidP="000B2C85">
            <w:pPr>
              <w:tabs>
                <w:tab w:val="left" w:pos="-1440"/>
                <w:tab w:val="left" w:pos="-720"/>
              </w:tabs>
              <w:rPr>
                <w:b/>
                <w:bCs/>
                <w:sz w:val="20"/>
                <w:szCs w:val="20"/>
                <w:lang w:val="en-US"/>
              </w:rPr>
            </w:pPr>
            <w:r w:rsidRPr="00EB7BB6">
              <w:rPr>
                <w:b/>
                <w:bCs/>
                <w:sz w:val="20"/>
                <w:szCs w:val="20"/>
                <w:lang w:val="en-US"/>
              </w:rPr>
              <w:t>Sadhu Singh Hamdard Trust</w:t>
            </w:r>
          </w:p>
          <w:p w:rsidR="000B2C85" w:rsidRPr="00EB7BB6" w:rsidRDefault="000B2C85" w:rsidP="000B2C85">
            <w:pPr>
              <w:tabs>
                <w:tab w:val="left" w:pos="-1440"/>
                <w:tab w:val="left" w:pos="-720"/>
              </w:tabs>
              <w:rPr>
                <w:sz w:val="20"/>
                <w:szCs w:val="20"/>
                <w:lang w:val="en-US"/>
              </w:rPr>
            </w:pPr>
            <w:r w:rsidRPr="00EB7BB6">
              <w:rPr>
                <w:sz w:val="20"/>
                <w:szCs w:val="20"/>
                <w:lang w:val="en-US"/>
              </w:rPr>
              <w:tab/>
              <w:t>Allsebrook, David</w:t>
            </w:r>
          </w:p>
          <w:p w:rsidR="000B2C85" w:rsidRPr="00EB7BB6" w:rsidRDefault="000B2C85" w:rsidP="000B2C85">
            <w:pPr>
              <w:tabs>
                <w:tab w:val="left" w:pos="-1440"/>
                <w:tab w:val="left" w:pos="-720"/>
              </w:tabs>
              <w:ind w:firstLine="720"/>
              <w:rPr>
                <w:sz w:val="20"/>
                <w:szCs w:val="20"/>
                <w:lang w:val="en-US"/>
              </w:rPr>
            </w:pPr>
            <w:r w:rsidRPr="00EB7BB6">
              <w:rPr>
                <w:sz w:val="20"/>
                <w:szCs w:val="20"/>
                <w:lang w:val="en-US"/>
              </w:rPr>
              <w:t>Ludlow Law</w:t>
            </w:r>
          </w:p>
          <w:p w:rsidR="000B2C85" w:rsidRPr="00EB7BB6" w:rsidRDefault="000B2C85" w:rsidP="000B2C85">
            <w:pPr>
              <w:tabs>
                <w:tab w:val="left" w:pos="-1440"/>
                <w:tab w:val="left" w:pos="-720"/>
              </w:tabs>
              <w:rPr>
                <w:sz w:val="20"/>
                <w:szCs w:val="20"/>
                <w:lang w:val="en-US"/>
              </w:rPr>
            </w:pPr>
          </w:p>
          <w:p w:rsidR="000B2C85" w:rsidRPr="00EB7BB6" w:rsidRDefault="000B2C85" w:rsidP="000B2C85">
            <w:pPr>
              <w:tabs>
                <w:tab w:val="left" w:pos="-1440"/>
                <w:tab w:val="left" w:pos="-720"/>
              </w:tabs>
              <w:rPr>
                <w:sz w:val="20"/>
                <w:szCs w:val="20"/>
                <w:lang w:val="en-US"/>
              </w:rPr>
            </w:pPr>
            <w:r w:rsidRPr="00EB7BB6">
              <w:rPr>
                <w:sz w:val="20"/>
                <w:szCs w:val="20"/>
                <w:lang w:val="en-US"/>
              </w:rPr>
              <w:tab/>
              <w:t>v. (38550)</w:t>
            </w:r>
          </w:p>
          <w:p w:rsidR="000B2C85" w:rsidRPr="00EB7BB6" w:rsidRDefault="000B2C85" w:rsidP="000B2C85">
            <w:pPr>
              <w:tabs>
                <w:tab w:val="left" w:pos="-1440"/>
                <w:tab w:val="left" w:pos="-720"/>
              </w:tabs>
              <w:rPr>
                <w:sz w:val="20"/>
                <w:szCs w:val="20"/>
                <w:lang w:val="en-US"/>
              </w:rPr>
            </w:pPr>
          </w:p>
          <w:p w:rsidR="000B2C85" w:rsidRPr="00EB7BB6" w:rsidRDefault="000B2C85" w:rsidP="000B2C85">
            <w:pPr>
              <w:tabs>
                <w:tab w:val="left" w:pos="-1440"/>
                <w:tab w:val="left" w:pos="-720"/>
              </w:tabs>
              <w:rPr>
                <w:b/>
                <w:sz w:val="20"/>
                <w:szCs w:val="20"/>
                <w:lang w:val="en-US"/>
              </w:rPr>
            </w:pPr>
            <w:r w:rsidRPr="00EB7BB6">
              <w:rPr>
                <w:b/>
                <w:sz w:val="20"/>
                <w:szCs w:val="20"/>
                <w:lang w:val="en-US"/>
              </w:rPr>
              <w:t>Navsun Holdings Ltd. (F.C.)</w:t>
            </w:r>
          </w:p>
          <w:p w:rsidR="000B2C85" w:rsidRPr="00EB7BB6" w:rsidRDefault="000B2C85" w:rsidP="000B2C85">
            <w:pPr>
              <w:tabs>
                <w:tab w:val="left" w:pos="-1440"/>
                <w:tab w:val="left" w:pos="-720"/>
              </w:tabs>
              <w:rPr>
                <w:sz w:val="20"/>
                <w:szCs w:val="20"/>
                <w:lang w:val="en-US"/>
              </w:rPr>
            </w:pPr>
            <w:r w:rsidRPr="00EB7BB6">
              <w:rPr>
                <w:sz w:val="20"/>
                <w:szCs w:val="20"/>
                <w:lang w:val="en-US"/>
              </w:rPr>
              <w:tab/>
              <w:t>Ramsey, Tamara</w:t>
            </w:r>
          </w:p>
          <w:p w:rsidR="000B2C85" w:rsidRPr="00EB7BB6" w:rsidRDefault="000B2C85" w:rsidP="000B2C85">
            <w:pPr>
              <w:tabs>
                <w:tab w:val="left" w:pos="-1440"/>
                <w:tab w:val="left" w:pos="-720"/>
              </w:tabs>
              <w:rPr>
                <w:sz w:val="20"/>
                <w:szCs w:val="20"/>
                <w:lang w:val="en"/>
              </w:rPr>
            </w:pPr>
            <w:r w:rsidRPr="00EB7BB6">
              <w:rPr>
                <w:sz w:val="20"/>
                <w:szCs w:val="20"/>
                <w:lang w:val="en-US"/>
              </w:rPr>
              <w:tab/>
            </w:r>
            <w:r w:rsidRPr="00EB7BB6">
              <w:rPr>
                <w:sz w:val="20"/>
                <w:szCs w:val="20"/>
                <w:lang w:val="en"/>
              </w:rPr>
              <w:t xml:space="preserve">Chitiz Pathak LLP </w:t>
            </w:r>
          </w:p>
          <w:p w:rsidR="000B2C85" w:rsidRPr="00EB7BB6" w:rsidRDefault="000B2C85" w:rsidP="000B2C85">
            <w:pPr>
              <w:tabs>
                <w:tab w:val="left" w:pos="-1440"/>
                <w:tab w:val="left" w:pos="-720"/>
              </w:tabs>
              <w:rPr>
                <w:sz w:val="20"/>
                <w:szCs w:val="20"/>
                <w:lang w:val="en"/>
              </w:rPr>
            </w:pPr>
          </w:p>
          <w:p w:rsidR="000B2C85" w:rsidRPr="00EB7BB6" w:rsidRDefault="000B2C85" w:rsidP="000B2C85">
            <w:pPr>
              <w:rPr>
                <w:sz w:val="20"/>
                <w:szCs w:val="20"/>
              </w:rPr>
            </w:pPr>
            <w:r w:rsidRPr="00EB7BB6">
              <w:rPr>
                <w:sz w:val="20"/>
                <w:szCs w:val="20"/>
              </w:rPr>
              <w:t>FILING DATE: March 15, 2019</w:t>
            </w:r>
          </w:p>
          <w:p w:rsidR="000B2C85" w:rsidRPr="00EB7BB6" w:rsidRDefault="00EB7BB6" w:rsidP="000B2C85">
            <w:pPr>
              <w:rPr>
                <w:sz w:val="20"/>
                <w:szCs w:val="20"/>
                <w:lang w:val="fr-CA"/>
              </w:rPr>
            </w:pPr>
            <w:r w:rsidRPr="00EB7BB6">
              <w:rPr>
                <w:sz w:val="20"/>
                <w:szCs w:val="20"/>
                <w:lang w:val="fr-CA"/>
              </w:rPr>
              <w:pict w14:anchorId="52BECEEF">
                <v:rect id="_x0000_i1030" style="width:108pt;height:1pt" o:hrpct="0" o:hralign="center" o:hrstd="t" o:hrnoshade="t" o:hr="t" fillcolor="black [3213]" stroked="f"/>
              </w:pict>
            </w:r>
          </w:p>
        </w:tc>
      </w:tr>
      <w:tr w:rsidR="000B2C85" w:rsidRPr="00EB7BB6" w:rsidTr="000B2C85">
        <w:trPr>
          <w:trHeight w:val="3231"/>
        </w:trPr>
        <w:tc>
          <w:tcPr>
            <w:tcW w:w="4320" w:type="dxa"/>
            <w:shd w:val="clear" w:color="auto" w:fill="auto"/>
          </w:tcPr>
          <w:p w:rsidR="000B2C85" w:rsidRPr="00EB7BB6" w:rsidRDefault="000B2C85" w:rsidP="000B2C85">
            <w:pPr>
              <w:tabs>
                <w:tab w:val="left" w:pos="-1440"/>
                <w:tab w:val="left" w:pos="-720"/>
              </w:tabs>
              <w:rPr>
                <w:b/>
                <w:bCs/>
                <w:sz w:val="20"/>
                <w:szCs w:val="20"/>
                <w:lang w:val="en"/>
              </w:rPr>
            </w:pPr>
            <w:r w:rsidRPr="00EB7BB6">
              <w:rPr>
                <w:b/>
                <w:bCs/>
                <w:sz w:val="20"/>
                <w:szCs w:val="20"/>
                <w:lang w:val="en"/>
              </w:rPr>
              <w:t>Brittany Beaver</w:t>
            </w:r>
          </w:p>
          <w:p w:rsidR="000B2C85" w:rsidRPr="00EB7BB6" w:rsidRDefault="000B2C85" w:rsidP="000B2C85">
            <w:pPr>
              <w:tabs>
                <w:tab w:val="left" w:pos="-1440"/>
                <w:tab w:val="left" w:pos="-720"/>
              </w:tabs>
              <w:rPr>
                <w:sz w:val="20"/>
                <w:szCs w:val="20"/>
                <w:lang w:val="en-US"/>
              </w:rPr>
            </w:pPr>
            <w:r w:rsidRPr="00EB7BB6">
              <w:rPr>
                <w:sz w:val="20"/>
                <w:szCs w:val="20"/>
                <w:lang w:val="en-US"/>
              </w:rPr>
              <w:tab/>
              <w:t>Radbord, Joanna</w:t>
            </w:r>
          </w:p>
          <w:p w:rsidR="000B2C85" w:rsidRPr="00EB7BB6" w:rsidRDefault="000B2C85" w:rsidP="000B2C85">
            <w:pPr>
              <w:tabs>
                <w:tab w:val="left" w:pos="-1440"/>
                <w:tab w:val="left" w:pos="-720"/>
              </w:tabs>
              <w:ind w:firstLine="720"/>
              <w:rPr>
                <w:sz w:val="20"/>
                <w:szCs w:val="20"/>
                <w:lang w:val="en-US"/>
              </w:rPr>
            </w:pPr>
            <w:r w:rsidRPr="00EB7BB6">
              <w:rPr>
                <w:sz w:val="20"/>
                <w:szCs w:val="20"/>
                <w:lang w:val="en-US"/>
              </w:rPr>
              <w:t>Martha McCarthy &amp; Company</w:t>
            </w:r>
          </w:p>
          <w:p w:rsidR="000B2C85" w:rsidRPr="00EB7BB6" w:rsidRDefault="000B2C85" w:rsidP="000B2C85">
            <w:pPr>
              <w:tabs>
                <w:tab w:val="left" w:pos="-1440"/>
                <w:tab w:val="left" w:pos="-720"/>
              </w:tabs>
              <w:rPr>
                <w:sz w:val="20"/>
                <w:szCs w:val="20"/>
                <w:lang w:val="en-US"/>
              </w:rPr>
            </w:pPr>
          </w:p>
          <w:p w:rsidR="000B2C85" w:rsidRPr="00EB7BB6" w:rsidRDefault="000B2C85" w:rsidP="000B2C85">
            <w:pPr>
              <w:tabs>
                <w:tab w:val="left" w:pos="-1440"/>
                <w:tab w:val="left" w:pos="-720"/>
              </w:tabs>
              <w:rPr>
                <w:sz w:val="20"/>
                <w:szCs w:val="20"/>
                <w:lang w:val="en-US"/>
              </w:rPr>
            </w:pPr>
            <w:r w:rsidRPr="00EB7BB6">
              <w:rPr>
                <w:sz w:val="20"/>
                <w:szCs w:val="20"/>
                <w:lang w:val="en-US"/>
              </w:rPr>
              <w:tab/>
              <w:t>v. (38555)</w:t>
            </w:r>
          </w:p>
          <w:p w:rsidR="000B2C85" w:rsidRPr="00EB7BB6" w:rsidRDefault="000B2C85" w:rsidP="000B2C85">
            <w:pPr>
              <w:tabs>
                <w:tab w:val="left" w:pos="-1440"/>
                <w:tab w:val="left" w:pos="-720"/>
              </w:tabs>
              <w:rPr>
                <w:sz w:val="20"/>
                <w:szCs w:val="20"/>
                <w:lang w:val="en-US"/>
              </w:rPr>
            </w:pPr>
          </w:p>
          <w:p w:rsidR="000B2C85" w:rsidRPr="00EB7BB6" w:rsidRDefault="000B2C85" w:rsidP="000B2C85">
            <w:pPr>
              <w:tabs>
                <w:tab w:val="left" w:pos="-1440"/>
                <w:tab w:val="left" w:pos="-720"/>
              </w:tabs>
              <w:rPr>
                <w:b/>
                <w:sz w:val="20"/>
                <w:szCs w:val="20"/>
                <w:lang w:val="en-US"/>
              </w:rPr>
            </w:pPr>
            <w:r w:rsidRPr="00EB7BB6">
              <w:rPr>
                <w:b/>
                <w:sz w:val="20"/>
                <w:szCs w:val="20"/>
                <w:lang w:val="en-US"/>
              </w:rPr>
              <w:t>Kenneth Hill (Ont.)</w:t>
            </w:r>
          </w:p>
          <w:p w:rsidR="000B2C85" w:rsidRPr="00EB7BB6" w:rsidRDefault="000B2C85" w:rsidP="000B2C85">
            <w:pPr>
              <w:tabs>
                <w:tab w:val="left" w:pos="-1440"/>
                <w:tab w:val="left" w:pos="-720"/>
              </w:tabs>
              <w:rPr>
                <w:sz w:val="20"/>
                <w:szCs w:val="20"/>
                <w:lang w:val="en-US"/>
              </w:rPr>
            </w:pPr>
            <w:r w:rsidRPr="00EB7BB6">
              <w:rPr>
                <w:sz w:val="20"/>
                <w:szCs w:val="20"/>
                <w:lang w:val="en-US"/>
              </w:rPr>
              <w:tab/>
              <w:t>Paliare, Chris G.</w:t>
            </w:r>
          </w:p>
          <w:p w:rsidR="000B2C85" w:rsidRPr="00EB7BB6" w:rsidRDefault="000B2C85" w:rsidP="000B2C85">
            <w:pPr>
              <w:tabs>
                <w:tab w:val="left" w:pos="-1440"/>
                <w:tab w:val="left" w:pos="-720"/>
              </w:tabs>
              <w:ind w:left="702"/>
              <w:rPr>
                <w:sz w:val="20"/>
                <w:szCs w:val="20"/>
                <w:lang w:val="en"/>
              </w:rPr>
            </w:pPr>
            <w:r w:rsidRPr="00EB7BB6">
              <w:rPr>
                <w:sz w:val="20"/>
                <w:szCs w:val="20"/>
              </w:rPr>
              <w:tab/>
            </w:r>
            <w:r w:rsidRPr="00EB7BB6">
              <w:rPr>
                <w:sz w:val="20"/>
                <w:szCs w:val="20"/>
                <w:lang w:val="en"/>
              </w:rPr>
              <w:t>Paliare, Roland, Rosenberg, Rothstein, LLP</w:t>
            </w:r>
          </w:p>
          <w:p w:rsidR="000B2C85" w:rsidRPr="00EB7BB6" w:rsidRDefault="000B2C85" w:rsidP="000B2C85">
            <w:pPr>
              <w:tabs>
                <w:tab w:val="left" w:pos="-1440"/>
                <w:tab w:val="left" w:pos="-720"/>
              </w:tabs>
              <w:rPr>
                <w:sz w:val="20"/>
                <w:szCs w:val="20"/>
                <w:lang w:val="en"/>
              </w:rPr>
            </w:pPr>
          </w:p>
          <w:p w:rsidR="000B2C85" w:rsidRPr="00EB7BB6" w:rsidRDefault="000B2C85" w:rsidP="000B2C85">
            <w:pPr>
              <w:rPr>
                <w:sz w:val="20"/>
                <w:szCs w:val="20"/>
              </w:rPr>
            </w:pPr>
            <w:r w:rsidRPr="00EB7BB6">
              <w:rPr>
                <w:sz w:val="20"/>
                <w:szCs w:val="20"/>
              </w:rPr>
              <w:t>FILING DATE: March 12, 2019</w:t>
            </w:r>
          </w:p>
          <w:p w:rsidR="000B2C85" w:rsidRPr="00EB7BB6" w:rsidRDefault="00EB7BB6" w:rsidP="000B2C85">
            <w:pPr>
              <w:rPr>
                <w:sz w:val="20"/>
                <w:szCs w:val="20"/>
                <w:lang w:val="fr-CA"/>
              </w:rPr>
            </w:pPr>
            <w:r w:rsidRPr="00EB7BB6">
              <w:rPr>
                <w:sz w:val="20"/>
                <w:szCs w:val="20"/>
                <w:lang w:val="fr-CA"/>
              </w:rPr>
              <w:pict>
                <v:rect id="_x0000_i1031" style="width:108pt;height:1pt" o:hrpct="0" o:hralign="center" o:hrstd="t" o:hrnoshade="t" o:hr="t" fillcolor="black [3213]" stroked="f"/>
              </w:pict>
            </w:r>
          </w:p>
          <w:p w:rsidR="0074607C" w:rsidRPr="00EB7BB6" w:rsidRDefault="0074607C" w:rsidP="000B2C85">
            <w:pPr>
              <w:rPr>
                <w:sz w:val="20"/>
                <w:szCs w:val="20"/>
                <w:lang w:val="fr-CA"/>
              </w:rPr>
            </w:pPr>
          </w:p>
        </w:tc>
        <w:tc>
          <w:tcPr>
            <w:tcW w:w="1181" w:type="dxa"/>
            <w:shd w:val="clear" w:color="auto" w:fill="auto"/>
          </w:tcPr>
          <w:p w:rsidR="000B2C85" w:rsidRPr="00EB7BB6" w:rsidRDefault="000B2C85" w:rsidP="000B2C85">
            <w:pPr>
              <w:jc w:val="center"/>
              <w:rPr>
                <w:sz w:val="20"/>
                <w:szCs w:val="20"/>
                <w:lang w:val="fr-CA"/>
              </w:rPr>
            </w:pPr>
          </w:p>
        </w:tc>
        <w:tc>
          <w:tcPr>
            <w:tcW w:w="4320" w:type="dxa"/>
            <w:shd w:val="clear" w:color="auto" w:fill="auto"/>
          </w:tcPr>
          <w:p w:rsidR="000B2C85" w:rsidRPr="00EB7BB6" w:rsidRDefault="000B2C85" w:rsidP="000B2C85">
            <w:pPr>
              <w:tabs>
                <w:tab w:val="left" w:pos="-1440"/>
                <w:tab w:val="left" w:pos="-720"/>
              </w:tabs>
              <w:rPr>
                <w:b/>
                <w:bCs/>
                <w:sz w:val="20"/>
                <w:szCs w:val="20"/>
                <w:lang w:val="en-US"/>
              </w:rPr>
            </w:pPr>
            <w:r w:rsidRPr="00EB7BB6">
              <w:rPr>
                <w:b/>
                <w:bCs/>
                <w:sz w:val="20"/>
                <w:szCs w:val="20"/>
                <w:lang w:val="en-US"/>
              </w:rPr>
              <w:t>Integrated Maintenance &amp; Operations Services Inc., et al.</w:t>
            </w:r>
          </w:p>
          <w:p w:rsidR="000B2C85" w:rsidRPr="00EB7BB6" w:rsidRDefault="000B2C85" w:rsidP="000B2C85">
            <w:pPr>
              <w:tabs>
                <w:tab w:val="left" w:pos="-1440"/>
                <w:tab w:val="left" w:pos="-720"/>
              </w:tabs>
              <w:rPr>
                <w:sz w:val="20"/>
                <w:szCs w:val="20"/>
                <w:lang w:val="en-US"/>
              </w:rPr>
            </w:pPr>
            <w:r w:rsidRPr="00EB7BB6">
              <w:rPr>
                <w:sz w:val="20"/>
                <w:szCs w:val="20"/>
                <w:lang w:val="en-US"/>
              </w:rPr>
              <w:tab/>
              <w:t>Ross, Stephen G.</w:t>
            </w:r>
          </w:p>
          <w:p w:rsidR="000B2C85" w:rsidRPr="00EB7BB6" w:rsidRDefault="000B2C85" w:rsidP="000B2C85">
            <w:pPr>
              <w:tabs>
                <w:tab w:val="left" w:pos="-1440"/>
                <w:tab w:val="left" w:pos="-720"/>
              </w:tabs>
              <w:ind w:firstLine="720"/>
              <w:rPr>
                <w:sz w:val="20"/>
                <w:szCs w:val="20"/>
                <w:lang w:val="en-US"/>
              </w:rPr>
            </w:pPr>
            <w:r w:rsidRPr="00EB7BB6">
              <w:rPr>
                <w:sz w:val="20"/>
                <w:szCs w:val="20"/>
                <w:lang w:val="en-US"/>
              </w:rPr>
              <w:t>Rogers Partners LLP</w:t>
            </w:r>
          </w:p>
          <w:p w:rsidR="000B2C85" w:rsidRPr="00EB7BB6" w:rsidRDefault="000B2C85" w:rsidP="000B2C85">
            <w:pPr>
              <w:tabs>
                <w:tab w:val="left" w:pos="-1440"/>
                <w:tab w:val="left" w:pos="-720"/>
              </w:tabs>
              <w:rPr>
                <w:sz w:val="20"/>
                <w:szCs w:val="20"/>
                <w:lang w:val="en-US"/>
              </w:rPr>
            </w:pPr>
          </w:p>
          <w:p w:rsidR="000B2C85" w:rsidRPr="00EB7BB6" w:rsidRDefault="000B2C85" w:rsidP="000B2C85">
            <w:pPr>
              <w:tabs>
                <w:tab w:val="left" w:pos="-1440"/>
                <w:tab w:val="left" w:pos="-720"/>
              </w:tabs>
              <w:rPr>
                <w:sz w:val="20"/>
                <w:szCs w:val="20"/>
                <w:lang w:val="en-US"/>
              </w:rPr>
            </w:pPr>
            <w:r w:rsidRPr="00EB7BB6">
              <w:rPr>
                <w:sz w:val="20"/>
                <w:szCs w:val="20"/>
                <w:lang w:val="en-US"/>
              </w:rPr>
              <w:tab/>
              <w:t>v. (38553)</w:t>
            </w:r>
          </w:p>
          <w:p w:rsidR="000B2C85" w:rsidRPr="00EB7BB6" w:rsidRDefault="000B2C85" w:rsidP="000B2C85">
            <w:pPr>
              <w:tabs>
                <w:tab w:val="left" w:pos="-1440"/>
                <w:tab w:val="left" w:pos="-720"/>
              </w:tabs>
              <w:rPr>
                <w:sz w:val="20"/>
                <w:szCs w:val="20"/>
                <w:lang w:val="en-US"/>
              </w:rPr>
            </w:pPr>
          </w:p>
          <w:p w:rsidR="000B2C85" w:rsidRPr="00EB7BB6" w:rsidRDefault="000B2C85" w:rsidP="000B2C85">
            <w:pPr>
              <w:tabs>
                <w:tab w:val="left" w:pos="-1440"/>
                <w:tab w:val="left" w:pos="-720"/>
              </w:tabs>
              <w:rPr>
                <w:b/>
                <w:sz w:val="20"/>
                <w:szCs w:val="20"/>
                <w:lang w:val="en-US"/>
              </w:rPr>
            </w:pPr>
            <w:r w:rsidRPr="00EB7BB6">
              <w:rPr>
                <w:b/>
                <w:sz w:val="20"/>
                <w:szCs w:val="20"/>
                <w:lang w:val="en-US"/>
              </w:rPr>
              <w:t>Greg McKnight (Ont.)</w:t>
            </w:r>
          </w:p>
          <w:p w:rsidR="000B2C85" w:rsidRPr="00EB7BB6" w:rsidRDefault="000B2C85" w:rsidP="000B2C85">
            <w:pPr>
              <w:tabs>
                <w:tab w:val="left" w:pos="-1440"/>
                <w:tab w:val="left" w:pos="-720"/>
              </w:tabs>
              <w:rPr>
                <w:sz w:val="20"/>
                <w:szCs w:val="20"/>
                <w:lang w:val="en-US"/>
              </w:rPr>
            </w:pPr>
            <w:r w:rsidRPr="00EB7BB6">
              <w:rPr>
                <w:sz w:val="20"/>
                <w:szCs w:val="20"/>
                <w:lang w:val="en-US"/>
              </w:rPr>
              <w:tab/>
              <w:t>Morrison, Christopher I.R.</w:t>
            </w:r>
          </w:p>
          <w:p w:rsidR="000B2C85" w:rsidRPr="00EB7BB6" w:rsidRDefault="000B2C85" w:rsidP="000B2C85">
            <w:pPr>
              <w:tabs>
                <w:tab w:val="left" w:pos="-1440"/>
                <w:tab w:val="left" w:pos="-720"/>
              </w:tabs>
              <w:rPr>
                <w:sz w:val="20"/>
                <w:szCs w:val="20"/>
              </w:rPr>
            </w:pPr>
            <w:r w:rsidRPr="00EB7BB6">
              <w:rPr>
                <w:sz w:val="20"/>
                <w:szCs w:val="20"/>
                <w:lang w:val="en-US"/>
              </w:rPr>
              <w:tab/>
            </w:r>
            <w:r w:rsidRPr="00EB7BB6">
              <w:rPr>
                <w:sz w:val="20"/>
                <w:szCs w:val="20"/>
                <w:lang w:val="en"/>
              </w:rPr>
              <w:t>Will Davidson LLP</w:t>
            </w:r>
          </w:p>
          <w:p w:rsidR="000B2C85" w:rsidRPr="00EB7BB6" w:rsidRDefault="000B2C85" w:rsidP="000B2C85">
            <w:pPr>
              <w:tabs>
                <w:tab w:val="left" w:pos="-1440"/>
                <w:tab w:val="left" w:pos="-720"/>
              </w:tabs>
              <w:rPr>
                <w:sz w:val="20"/>
                <w:szCs w:val="20"/>
                <w:lang w:val="en"/>
              </w:rPr>
            </w:pPr>
          </w:p>
          <w:p w:rsidR="000B2C85" w:rsidRPr="00EB7BB6" w:rsidRDefault="000B2C85" w:rsidP="000B2C85">
            <w:pPr>
              <w:rPr>
                <w:sz w:val="20"/>
                <w:szCs w:val="20"/>
              </w:rPr>
            </w:pPr>
            <w:r w:rsidRPr="00EB7BB6">
              <w:rPr>
                <w:sz w:val="20"/>
                <w:szCs w:val="20"/>
              </w:rPr>
              <w:t>FILING DATE: March 14, 2019</w:t>
            </w:r>
          </w:p>
          <w:p w:rsidR="000B2C85" w:rsidRPr="00EB7BB6" w:rsidRDefault="00EB7BB6" w:rsidP="000B2C85">
            <w:pPr>
              <w:rPr>
                <w:sz w:val="20"/>
                <w:szCs w:val="20"/>
                <w:lang w:val="fr-CA"/>
              </w:rPr>
            </w:pPr>
            <w:r w:rsidRPr="00EB7BB6">
              <w:rPr>
                <w:sz w:val="20"/>
                <w:szCs w:val="20"/>
                <w:lang w:val="fr-CA"/>
              </w:rPr>
              <w:pict>
                <v:rect id="_x0000_i1032" style="width:108pt;height:1pt" o:hrpct="0" o:hralign="center" o:hrstd="t" o:hrnoshade="t" o:hr="t" fillcolor="black [3213]" stroked="f"/>
              </w:pict>
            </w:r>
          </w:p>
        </w:tc>
      </w:tr>
    </w:tbl>
    <w:p w:rsidR="000A634C" w:rsidRPr="00EB7BB6" w:rsidRDefault="000A634C">
      <w:r w:rsidRPr="00EB7BB6">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B2C85" w:rsidRPr="00EB7BB6" w:rsidTr="00E36EED">
        <w:trPr>
          <w:trHeight w:val="3139"/>
        </w:trPr>
        <w:tc>
          <w:tcPr>
            <w:tcW w:w="4320" w:type="dxa"/>
            <w:shd w:val="clear" w:color="auto" w:fill="auto"/>
          </w:tcPr>
          <w:p w:rsidR="000A634C" w:rsidRPr="00EB7BB6" w:rsidRDefault="000A634C" w:rsidP="000A634C">
            <w:pPr>
              <w:tabs>
                <w:tab w:val="left" w:pos="-1440"/>
                <w:tab w:val="left" w:pos="-720"/>
              </w:tabs>
              <w:rPr>
                <w:b/>
                <w:bCs/>
                <w:sz w:val="20"/>
                <w:szCs w:val="20"/>
                <w:lang w:val="en"/>
              </w:rPr>
            </w:pPr>
            <w:r w:rsidRPr="00EB7BB6">
              <w:rPr>
                <w:b/>
                <w:bCs/>
                <w:sz w:val="20"/>
                <w:szCs w:val="20"/>
                <w:lang w:val="en"/>
              </w:rPr>
              <w:lastRenderedPageBreak/>
              <w:t>P.B.</w:t>
            </w:r>
          </w:p>
          <w:p w:rsidR="000A634C" w:rsidRPr="00EB7BB6" w:rsidRDefault="000A634C" w:rsidP="000A634C">
            <w:pPr>
              <w:tabs>
                <w:tab w:val="left" w:pos="-1440"/>
                <w:tab w:val="left" w:pos="-720"/>
              </w:tabs>
              <w:rPr>
                <w:sz w:val="20"/>
                <w:szCs w:val="20"/>
                <w:lang w:val="en-US"/>
              </w:rPr>
            </w:pPr>
            <w:r w:rsidRPr="00EB7BB6">
              <w:rPr>
                <w:sz w:val="20"/>
                <w:szCs w:val="20"/>
                <w:lang w:val="en-US"/>
              </w:rPr>
              <w:tab/>
              <w:t>Thorning, Peter</w:t>
            </w:r>
          </w:p>
          <w:p w:rsidR="000A634C" w:rsidRPr="00EB7BB6" w:rsidRDefault="000A634C" w:rsidP="000A634C">
            <w:pPr>
              <w:tabs>
                <w:tab w:val="left" w:pos="-1440"/>
                <w:tab w:val="left" w:pos="-720"/>
              </w:tabs>
              <w:ind w:firstLine="720"/>
              <w:rPr>
                <w:sz w:val="20"/>
                <w:szCs w:val="20"/>
                <w:lang w:val="en-US"/>
              </w:rPr>
            </w:pPr>
            <w:r w:rsidRPr="00EB7BB6">
              <w:rPr>
                <w:sz w:val="20"/>
                <w:szCs w:val="20"/>
                <w:lang w:val="en-US"/>
              </w:rPr>
              <w:t>Brauti Thorning LLP</w:t>
            </w:r>
          </w:p>
          <w:p w:rsidR="000A634C" w:rsidRPr="00EB7BB6" w:rsidRDefault="000A634C" w:rsidP="000A634C">
            <w:pPr>
              <w:tabs>
                <w:tab w:val="left" w:pos="-1440"/>
                <w:tab w:val="left" w:pos="-720"/>
              </w:tabs>
              <w:rPr>
                <w:sz w:val="20"/>
                <w:szCs w:val="20"/>
                <w:lang w:val="en-US"/>
              </w:rPr>
            </w:pPr>
          </w:p>
          <w:p w:rsidR="000A634C" w:rsidRPr="00EB7BB6" w:rsidRDefault="000A634C" w:rsidP="000A634C">
            <w:pPr>
              <w:tabs>
                <w:tab w:val="left" w:pos="-1440"/>
                <w:tab w:val="left" w:pos="-720"/>
              </w:tabs>
              <w:rPr>
                <w:sz w:val="20"/>
                <w:szCs w:val="20"/>
                <w:lang w:val="en-US"/>
              </w:rPr>
            </w:pPr>
            <w:r w:rsidRPr="00EB7BB6">
              <w:rPr>
                <w:sz w:val="20"/>
                <w:szCs w:val="20"/>
                <w:lang w:val="en-US"/>
              </w:rPr>
              <w:tab/>
              <w:t>v. (38551)</w:t>
            </w:r>
          </w:p>
          <w:p w:rsidR="000A634C" w:rsidRPr="00EB7BB6" w:rsidRDefault="000A634C" w:rsidP="000A634C">
            <w:pPr>
              <w:tabs>
                <w:tab w:val="left" w:pos="-1440"/>
                <w:tab w:val="left" w:pos="-720"/>
              </w:tabs>
              <w:rPr>
                <w:sz w:val="20"/>
                <w:szCs w:val="20"/>
                <w:lang w:val="en-US"/>
              </w:rPr>
            </w:pPr>
          </w:p>
          <w:p w:rsidR="000A634C" w:rsidRPr="00EB7BB6" w:rsidRDefault="000A634C" w:rsidP="000A634C">
            <w:pPr>
              <w:tabs>
                <w:tab w:val="left" w:pos="-1440"/>
                <w:tab w:val="left" w:pos="-720"/>
              </w:tabs>
              <w:rPr>
                <w:b/>
                <w:sz w:val="20"/>
                <w:szCs w:val="20"/>
                <w:lang w:val="en-US"/>
              </w:rPr>
            </w:pPr>
            <w:r w:rsidRPr="00EB7BB6">
              <w:rPr>
                <w:b/>
                <w:sz w:val="20"/>
                <w:szCs w:val="20"/>
                <w:lang w:val="en-US"/>
              </w:rPr>
              <w:t>Her Majesty the Queen (Ont.)</w:t>
            </w:r>
          </w:p>
          <w:p w:rsidR="000A634C" w:rsidRPr="00EB7BB6" w:rsidRDefault="000A634C" w:rsidP="000A634C">
            <w:pPr>
              <w:tabs>
                <w:tab w:val="left" w:pos="-1440"/>
                <w:tab w:val="left" w:pos="-720"/>
              </w:tabs>
              <w:ind w:left="702"/>
              <w:rPr>
                <w:sz w:val="20"/>
                <w:szCs w:val="20"/>
                <w:lang w:val="en-US"/>
              </w:rPr>
            </w:pPr>
            <w:r w:rsidRPr="00EB7BB6">
              <w:rPr>
                <w:sz w:val="20"/>
                <w:szCs w:val="20"/>
                <w:lang w:val="en-US"/>
              </w:rPr>
              <w:t>Reid, Justin</w:t>
            </w:r>
          </w:p>
          <w:p w:rsidR="000A634C" w:rsidRPr="00EB7BB6" w:rsidRDefault="000A634C" w:rsidP="000A634C">
            <w:pPr>
              <w:tabs>
                <w:tab w:val="left" w:pos="-1440"/>
                <w:tab w:val="left" w:pos="-720"/>
              </w:tabs>
              <w:ind w:left="702"/>
              <w:rPr>
                <w:sz w:val="20"/>
                <w:szCs w:val="20"/>
                <w:lang w:val="en"/>
              </w:rPr>
            </w:pPr>
            <w:r w:rsidRPr="00EB7BB6">
              <w:rPr>
                <w:sz w:val="20"/>
                <w:szCs w:val="20"/>
              </w:rPr>
              <w:tab/>
            </w:r>
            <w:r w:rsidRPr="00EB7BB6">
              <w:rPr>
                <w:sz w:val="20"/>
                <w:szCs w:val="20"/>
                <w:lang w:val="en"/>
              </w:rPr>
              <w:t>Ministry of the Attorney General of Ontario</w:t>
            </w:r>
          </w:p>
          <w:p w:rsidR="000A634C" w:rsidRPr="00EB7BB6" w:rsidRDefault="000A634C" w:rsidP="000A634C">
            <w:pPr>
              <w:tabs>
                <w:tab w:val="left" w:pos="-1440"/>
                <w:tab w:val="left" w:pos="-720"/>
              </w:tabs>
              <w:rPr>
                <w:sz w:val="20"/>
                <w:szCs w:val="20"/>
                <w:lang w:val="en"/>
              </w:rPr>
            </w:pPr>
          </w:p>
          <w:p w:rsidR="000A634C" w:rsidRPr="00EB7BB6" w:rsidRDefault="000A634C" w:rsidP="000A634C">
            <w:pPr>
              <w:rPr>
                <w:sz w:val="20"/>
                <w:szCs w:val="20"/>
              </w:rPr>
            </w:pPr>
            <w:r w:rsidRPr="00EB7BB6">
              <w:rPr>
                <w:sz w:val="20"/>
                <w:szCs w:val="20"/>
              </w:rPr>
              <w:t>FILING DATE: March 12, 2019</w:t>
            </w:r>
          </w:p>
          <w:p w:rsidR="000B2C85" w:rsidRPr="00EB7BB6" w:rsidRDefault="00EB7BB6" w:rsidP="000A634C">
            <w:pPr>
              <w:rPr>
                <w:sz w:val="20"/>
                <w:szCs w:val="20"/>
                <w:lang w:val="fr-CA"/>
              </w:rPr>
            </w:pPr>
            <w:r w:rsidRPr="00EB7BB6">
              <w:rPr>
                <w:sz w:val="20"/>
                <w:szCs w:val="20"/>
                <w:lang w:val="fr-CA"/>
              </w:rPr>
              <w:pict>
                <v:rect id="_x0000_i1033" style="width:108pt;height:1pt" o:hrpct="0" o:hralign="center" o:hrstd="t" o:hrnoshade="t" o:hr="t" fillcolor="black [3213]" stroked="f"/>
              </w:pict>
            </w:r>
          </w:p>
          <w:p w:rsidR="00E36EED" w:rsidRPr="00EB7BB6" w:rsidRDefault="00E36EED" w:rsidP="000A634C">
            <w:pPr>
              <w:rPr>
                <w:sz w:val="20"/>
                <w:szCs w:val="20"/>
                <w:lang w:val="fr-CA"/>
              </w:rPr>
            </w:pPr>
          </w:p>
        </w:tc>
        <w:tc>
          <w:tcPr>
            <w:tcW w:w="1181" w:type="dxa"/>
            <w:shd w:val="clear" w:color="auto" w:fill="auto"/>
          </w:tcPr>
          <w:p w:rsidR="000B2C85" w:rsidRPr="00EB7BB6" w:rsidRDefault="000B2C85" w:rsidP="000B2C85">
            <w:pPr>
              <w:jc w:val="center"/>
              <w:rPr>
                <w:sz w:val="20"/>
                <w:szCs w:val="20"/>
                <w:lang w:val="fr-CA"/>
              </w:rPr>
            </w:pPr>
          </w:p>
        </w:tc>
        <w:tc>
          <w:tcPr>
            <w:tcW w:w="4320" w:type="dxa"/>
            <w:shd w:val="clear" w:color="auto" w:fill="auto"/>
          </w:tcPr>
          <w:p w:rsidR="000A634C" w:rsidRPr="00EB7BB6" w:rsidRDefault="000A634C" w:rsidP="000A634C">
            <w:pPr>
              <w:tabs>
                <w:tab w:val="left" w:pos="-1440"/>
                <w:tab w:val="left" w:pos="-720"/>
              </w:tabs>
              <w:rPr>
                <w:b/>
                <w:bCs/>
                <w:sz w:val="20"/>
                <w:szCs w:val="20"/>
                <w:lang w:val="fr-CA"/>
              </w:rPr>
            </w:pPr>
            <w:r w:rsidRPr="00EB7BB6">
              <w:rPr>
                <w:b/>
                <w:bCs/>
                <w:sz w:val="20"/>
                <w:szCs w:val="20"/>
                <w:lang w:val="fr-CA"/>
              </w:rPr>
              <w:t>Alex Martinez</w:t>
            </w:r>
          </w:p>
          <w:p w:rsidR="000A634C" w:rsidRPr="00EB7BB6" w:rsidRDefault="000A634C" w:rsidP="000A634C">
            <w:pPr>
              <w:tabs>
                <w:tab w:val="left" w:pos="-1440"/>
                <w:tab w:val="left" w:pos="-720"/>
              </w:tabs>
              <w:rPr>
                <w:bCs/>
                <w:sz w:val="20"/>
                <w:szCs w:val="20"/>
                <w:lang w:val="fr-CA"/>
              </w:rPr>
            </w:pPr>
            <w:r w:rsidRPr="00EB7BB6">
              <w:rPr>
                <w:sz w:val="20"/>
                <w:szCs w:val="20"/>
                <w:lang w:val="fr-CA"/>
              </w:rPr>
              <w:tab/>
            </w:r>
            <w:r w:rsidRPr="00EB7BB6">
              <w:rPr>
                <w:bCs/>
                <w:sz w:val="20"/>
                <w:szCs w:val="20"/>
                <w:lang w:val="fr-CA"/>
              </w:rPr>
              <w:t>Alex Martinez</w:t>
            </w:r>
          </w:p>
          <w:p w:rsidR="000A634C" w:rsidRPr="00EB7BB6" w:rsidRDefault="000A634C" w:rsidP="000A634C">
            <w:pPr>
              <w:tabs>
                <w:tab w:val="left" w:pos="-1440"/>
                <w:tab w:val="left" w:pos="-720"/>
              </w:tabs>
              <w:rPr>
                <w:sz w:val="20"/>
                <w:szCs w:val="20"/>
                <w:lang w:val="fr-CA"/>
              </w:rPr>
            </w:pPr>
          </w:p>
          <w:p w:rsidR="000A634C" w:rsidRPr="00EB7BB6" w:rsidRDefault="000A634C" w:rsidP="000A634C">
            <w:pPr>
              <w:tabs>
                <w:tab w:val="left" w:pos="-1440"/>
                <w:tab w:val="left" w:pos="-720"/>
              </w:tabs>
              <w:rPr>
                <w:sz w:val="20"/>
                <w:szCs w:val="20"/>
                <w:lang w:val="fr-CA"/>
              </w:rPr>
            </w:pPr>
            <w:r w:rsidRPr="00EB7BB6">
              <w:rPr>
                <w:sz w:val="20"/>
                <w:szCs w:val="20"/>
                <w:lang w:val="fr-CA"/>
              </w:rPr>
              <w:tab/>
              <w:t>v. (38563)</w:t>
            </w:r>
          </w:p>
          <w:p w:rsidR="000A634C" w:rsidRPr="00EB7BB6" w:rsidRDefault="000A634C" w:rsidP="000A634C">
            <w:pPr>
              <w:tabs>
                <w:tab w:val="left" w:pos="-1440"/>
                <w:tab w:val="left" w:pos="-720"/>
              </w:tabs>
              <w:rPr>
                <w:sz w:val="20"/>
                <w:szCs w:val="20"/>
                <w:lang w:val="fr-CA"/>
              </w:rPr>
            </w:pPr>
          </w:p>
          <w:p w:rsidR="000A634C" w:rsidRPr="00EB7BB6" w:rsidRDefault="000A634C" w:rsidP="000A634C">
            <w:pPr>
              <w:tabs>
                <w:tab w:val="left" w:pos="-1440"/>
                <w:tab w:val="left" w:pos="-720"/>
              </w:tabs>
              <w:rPr>
                <w:b/>
                <w:sz w:val="20"/>
                <w:szCs w:val="20"/>
                <w:lang w:val="en-US"/>
              </w:rPr>
            </w:pPr>
            <w:r w:rsidRPr="00EB7BB6">
              <w:rPr>
                <w:b/>
                <w:sz w:val="20"/>
                <w:szCs w:val="20"/>
                <w:lang w:val="en-US"/>
              </w:rPr>
              <w:t>Her Majesty the Queen, et al. (F.C.)</w:t>
            </w:r>
          </w:p>
          <w:p w:rsidR="000A634C" w:rsidRPr="00EB7BB6" w:rsidRDefault="000A634C" w:rsidP="000A634C">
            <w:pPr>
              <w:tabs>
                <w:tab w:val="left" w:pos="-1440"/>
                <w:tab w:val="left" w:pos="-720"/>
              </w:tabs>
              <w:ind w:left="702"/>
              <w:rPr>
                <w:sz w:val="20"/>
                <w:szCs w:val="20"/>
                <w:lang w:val="en-US"/>
              </w:rPr>
            </w:pPr>
            <w:r w:rsidRPr="00EB7BB6">
              <w:rPr>
                <w:sz w:val="20"/>
                <w:szCs w:val="20"/>
                <w:lang w:val="en-US"/>
              </w:rPr>
              <w:t>Bouchard, Marieke</w:t>
            </w:r>
          </w:p>
          <w:p w:rsidR="000A634C" w:rsidRPr="00EB7BB6" w:rsidRDefault="000A634C" w:rsidP="000A634C">
            <w:pPr>
              <w:tabs>
                <w:tab w:val="left" w:pos="-1440"/>
                <w:tab w:val="left" w:pos="-720"/>
              </w:tabs>
              <w:ind w:left="702"/>
              <w:rPr>
                <w:sz w:val="20"/>
                <w:szCs w:val="20"/>
                <w:lang w:val="en"/>
              </w:rPr>
            </w:pPr>
            <w:r w:rsidRPr="00EB7BB6">
              <w:rPr>
                <w:sz w:val="20"/>
                <w:szCs w:val="20"/>
              </w:rPr>
              <w:tab/>
            </w:r>
            <w:r w:rsidRPr="00EB7BB6">
              <w:rPr>
                <w:sz w:val="20"/>
                <w:szCs w:val="20"/>
                <w:lang w:val="en"/>
              </w:rPr>
              <w:t>Department of Justice</w:t>
            </w:r>
          </w:p>
          <w:p w:rsidR="000A634C" w:rsidRPr="00EB7BB6" w:rsidRDefault="000A634C" w:rsidP="000A634C">
            <w:pPr>
              <w:tabs>
                <w:tab w:val="left" w:pos="-1440"/>
                <w:tab w:val="left" w:pos="-720"/>
              </w:tabs>
              <w:rPr>
                <w:sz w:val="20"/>
                <w:szCs w:val="20"/>
                <w:lang w:val="en"/>
              </w:rPr>
            </w:pPr>
          </w:p>
          <w:p w:rsidR="000A634C" w:rsidRPr="00EB7BB6" w:rsidRDefault="000A634C" w:rsidP="000A634C">
            <w:pPr>
              <w:rPr>
                <w:sz w:val="20"/>
                <w:szCs w:val="20"/>
              </w:rPr>
            </w:pPr>
            <w:r w:rsidRPr="00EB7BB6">
              <w:rPr>
                <w:sz w:val="20"/>
                <w:szCs w:val="20"/>
              </w:rPr>
              <w:t>FILING DATE: December 19, 2018</w:t>
            </w:r>
          </w:p>
          <w:p w:rsidR="000B2C85" w:rsidRPr="00EB7BB6" w:rsidRDefault="00EB7BB6" w:rsidP="000A634C">
            <w:pPr>
              <w:rPr>
                <w:sz w:val="20"/>
                <w:szCs w:val="20"/>
                <w:lang w:val="fr-CA"/>
              </w:rPr>
            </w:pPr>
            <w:r w:rsidRPr="00EB7BB6">
              <w:rPr>
                <w:sz w:val="20"/>
                <w:szCs w:val="20"/>
                <w:lang w:val="fr-CA"/>
              </w:rPr>
              <w:pict>
                <v:rect id="_x0000_i1034" style="width:108pt;height:1pt" o:hrpct="0" o:hralign="center" o:hrstd="t" o:hrnoshade="t" o:hr="t" fillcolor="black [3213]" stroked="f"/>
              </w:pict>
            </w:r>
          </w:p>
        </w:tc>
      </w:tr>
      <w:tr w:rsidR="000B2C85" w:rsidRPr="00EB7BB6" w:rsidTr="00E14193">
        <w:trPr>
          <w:trHeight w:val="2889"/>
        </w:trPr>
        <w:tc>
          <w:tcPr>
            <w:tcW w:w="4320" w:type="dxa"/>
            <w:shd w:val="clear" w:color="auto" w:fill="auto"/>
          </w:tcPr>
          <w:p w:rsidR="000A634C" w:rsidRPr="00EB7BB6" w:rsidRDefault="000A634C" w:rsidP="000A634C">
            <w:pPr>
              <w:tabs>
                <w:tab w:val="left" w:pos="-1440"/>
                <w:tab w:val="left" w:pos="-720"/>
              </w:tabs>
              <w:rPr>
                <w:b/>
                <w:bCs/>
                <w:sz w:val="20"/>
                <w:szCs w:val="20"/>
                <w:lang w:val="fr-CA"/>
              </w:rPr>
            </w:pPr>
            <w:r w:rsidRPr="00EB7BB6">
              <w:rPr>
                <w:b/>
                <w:bCs/>
                <w:sz w:val="20"/>
                <w:szCs w:val="20"/>
                <w:lang w:val="fr-CA"/>
              </w:rPr>
              <w:t>Melanie Anne Lay, et al.</w:t>
            </w:r>
          </w:p>
          <w:p w:rsidR="00E14193" w:rsidRPr="00EB7BB6" w:rsidRDefault="00E14193" w:rsidP="000A634C">
            <w:pPr>
              <w:tabs>
                <w:tab w:val="left" w:pos="-1440"/>
                <w:tab w:val="left" w:pos="-720"/>
              </w:tabs>
              <w:ind w:firstLine="720"/>
              <w:rPr>
                <w:sz w:val="20"/>
                <w:szCs w:val="20"/>
                <w:lang w:val="en-US"/>
              </w:rPr>
            </w:pPr>
            <w:r w:rsidRPr="00EB7BB6">
              <w:rPr>
                <w:sz w:val="20"/>
                <w:szCs w:val="20"/>
                <w:lang w:val="en-US"/>
              </w:rPr>
              <w:t xml:space="preserve">Ksiazek, Jakub </w:t>
            </w:r>
          </w:p>
          <w:p w:rsidR="000A634C" w:rsidRPr="00EB7BB6" w:rsidRDefault="00E14193" w:rsidP="000A634C">
            <w:pPr>
              <w:tabs>
                <w:tab w:val="left" w:pos="-1440"/>
                <w:tab w:val="left" w:pos="-720"/>
              </w:tabs>
              <w:ind w:firstLine="720"/>
              <w:rPr>
                <w:sz w:val="20"/>
                <w:szCs w:val="20"/>
                <w:lang w:val="en-US"/>
              </w:rPr>
            </w:pPr>
            <w:r w:rsidRPr="00EB7BB6">
              <w:rPr>
                <w:sz w:val="20"/>
                <w:szCs w:val="20"/>
                <w:lang w:val="en-US"/>
              </w:rPr>
              <w:t>Ksiazek Law Office</w:t>
            </w:r>
          </w:p>
          <w:p w:rsidR="000A634C" w:rsidRPr="00EB7BB6" w:rsidRDefault="000A634C" w:rsidP="000A634C">
            <w:pPr>
              <w:tabs>
                <w:tab w:val="left" w:pos="-1440"/>
                <w:tab w:val="left" w:pos="-720"/>
              </w:tabs>
              <w:rPr>
                <w:sz w:val="20"/>
                <w:szCs w:val="20"/>
                <w:lang w:val="en-US"/>
              </w:rPr>
            </w:pPr>
          </w:p>
          <w:p w:rsidR="000A634C" w:rsidRPr="00EB7BB6" w:rsidRDefault="000A634C" w:rsidP="000A634C">
            <w:pPr>
              <w:tabs>
                <w:tab w:val="left" w:pos="-1440"/>
                <w:tab w:val="left" w:pos="-720"/>
              </w:tabs>
              <w:rPr>
                <w:sz w:val="20"/>
                <w:szCs w:val="20"/>
                <w:lang w:val="en-US"/>
              </w:rPr>
            </w:pPr>
            <w:r w:rsidRPr="00EB7BB6">
              <w:rPr>
                <w:sz w:val="20"/>
                <w:szCs w:val="20"/>
                <w:lang w:val="en-US"/>
              </w:rPr>
              <w:tab/>
              <w:t>v. (3855</w:t>
            </w:r>
            <w:r w:rsidR="00E14193" w:rsidRPr="00EB7BB6">
              <w:rPr>
                <w:sz w:val="20"/>
                <w:szCs w:val="20"/>
                <w:lang w:val="en-US"/>
              </w:rPr>
              <w:t>6</w:t>
            </w:r>
            <w:r w:rsidRPr="00EB7BB6">
              <w:rPr>
                <w:sz w:val="20"/>
                <w:szCs w:val="20"/>
                <w:lang w:val="en-US"/>
              </w:rPr>
              <w:t>)</w:t>
            </w:r>
          </w:p>
          <w:p w:rsidR="000A634C" w:rsidRPr="00EB7BB6" w:rsidRDefault="000A634C" w:rsidP="000A634C">
            <w:pPr>
              <w:tabs>
                <w:tab w:val="left" w:pos="-1440"/>
                <w:tab w:val="left" w:pos="-720"/>
              </w:tabs>
              <w:rPr>
                <w:sz w:val="20"/>
                <w:szCs w:val="20"/>
                <w:lang w:val="en-US"/>
              </w:rPr>
            </w:pPr>
          </w:p>
          <w:p w:rsidR="000A634C" w:rsidRPr="00EB7BB6" w:rsidRDefault="00E14193" w:rsidP="000A634C">
            <w:pPr>
              <w:tabs>
                <w:tab w:val="left" w:pos="-1440"/>
                <w:tab w:val="left" w:pos="-720"/>
              </w:tabs>
              <w:rPr>
                <w:b/>
                <w:sz w:val="20"/>
                <w:szCs w:val="20"/>
                <w:lang w:val="en-US"/>
              </w:rPr>
            </w:pPr>
            <w:r w:rsidRPr="00EB7BB6">
              <w:rPr>
                <w:b/>
                <w:sz w:val="20"/>
                <w:szCs w:val="20"/>
                <w:lang w:val="en-US"/>
              </w:rPr>
              <w:t xml:space="preserve">Bradley Lay, et al. </w:t>
            </w:r>
            <w:r w:rsidR="000A634C" w:rsidRPr="00EB7BB6">
              <w:rPr>
                <w:b/>
                <w:sz w:val="20"/>
                <w:szCs w:val="20"/>
                <w:lang w:val="en-US"/>
              </w:rPr>
              <w:t>(</w:t>
            </w:r>
            <w:r w:rsidRPr="00EB7BB6">
              <w:rPr>
                <w:b/>
                <w:sz w:val="20"/>
                <w:szCs w:val="20"/>
                <w:lang w:val="en-US"/>
              </w:rPr>
              <w:t>Al</w:t>
            </w:r>
            <w:r w:rsidR="000A634C" w:rsidRPr="00EB7BB6">
              <w:rPr>
                <w:b/>
                <w:sz w:val="20"/>
                <w:szCs w:val="20"/>
                <w:lang w:val="en-US"/>
              </w:rPr>
              <w:t>t</w:t>
            </w:r>
            <w:r w:rsidRPr="00EB7BB6">
              <w:rPr>
                <w:b/>
                <w:sz w:val="20"/>
                <w:szCs w:val="20"/>
                <w:lang w:val="en-US"/>
              </w:rPr>
              <w:t>a</w:t>
            </w:r>
            <w:r w:rsidR="000A634C" w:rsidRPr="00EB7BB6">
              <w:rPr>
                <w:b/>
                <w:sz w:val="20"/>
                <w:szCs w:val="20"/>
                <w:lang w:val="en-US"/>
              </w:rPr>
              <w:t>.)</w:t>
            </w:r>
          </w:p>
          <w:p w:rsidR="000A634C" w:rsidRPr="00EB7BB6" w:rsidRDefault="00E14193" w:rsidP="000A634C">
            <w:pPr>
              <w:tabs>
                <w:tab w:val="left" w:pos="-1440"/>
                <w:tab w:val="left" w:pos="-720"/>
              </w:tabs>
              <w:ind w:left="702"/>
              <w:rPr>
                <w:sz w:val="20"/>
                <w:szCs w:val="20"/>
                <w:lang w:val="en-US"/>
              </w:rPr>
            </w:pPr>
            <w:r w:rsidRPr="00EB7BB6">
              <w:rPr>
                <w:sz w:val="20"/>
                <w:szCs w:val="20"/>
                <w:lang w:val="en-US"/>
              </w:rPr>
              <w:t>Breitman, Ariel Z.</w:t>
            </w:r>
          </w:p>
          <w:p w:rsidR="000A634C" w:rsidRPr="00EB7BB6" w:rsidRDefault="000A634C" w:rsidP="000A634C">
            <w:pPr>
              <w:tabs>
                <w:tab w:val="left" w:pos="-1440"/>
                <w:tab w:val="left" w:pos="-720"/>
              </w:tabs>
              <w:ind w:left="702"/>
              <w:rPr>
                <w:sz w:val="20"/>
                <w:szCs w:val="20"/>
                <w:lang w:val="en"/>
              </w:rPr>
            </w:pPr>
            <w:r w:rsidRPr="00EB7BB6">
              <w:rPr>
                <w:sz w:val="20"/>
                <w:szCs w:val="20"/>
              </w:rPr>
              <w:tab/>
            </w:r>
            <w:r w:rsidR="00E14193" w:rsidRPr="00EB7BB6">
              <w:rPr>
                <w:sz w:val="20"/>
                <w:szCs w:val="20"/>
                <w:lang w:val="en"/>
              </w:rPr>
              <w:t>MLT Aikins LLP</w:t>
            </w:r>
          </w:p>
          <w:p w:rsidR="000A634C" w:rsidRPr="00EB7BB6" w:rsidRDefault="000A634C" w:rsidP="000A634C">
            <w:pPr>
              <w:tabs>
                <w:tab w:val="left" w:pos="-1440"/>
                <w:tab w:val="left" w:pos="-720"/>
              </w:tabs>
              <w:rPr>
                <w:sz w:val="20"/>
                <w:szCs w:val="20"/>
                <w:lang w:val="en"/>
              </w:rPr>
            </w:pPr>
          </w:p>
          <w:p w:rsidR="000A634C" w:rsidRPr="00EB7BB6" w:rsidRDefault="000A634C" w:rsidP="000A634C">
            <w:pPr>
              <w:rPr>
                <w:sz w:val="20"/>
                <w:szCs w:val="20"/>
              </w:rPr>
            </w:pPr>
            <w:r w:rsidRPr="00EB7BB6">
              <w:rPr>
                <w:sz w:val="20"/>
                <w:szCs w:val="20"/>
              </w:rPr>
              <w:t xml:space="preserve">FILING DATE: </w:t>
            </w:r>
            <w:r w:rsidR="00E14193" w:rsidRPr="00EB7BB6">
              <w:rPr>
                <w:sz w:val="20"/>
                <w:szCs w:val="20"/>
              </w:rPr>
              <w:t xml:space="preserve">March </w:t>
            </w:r>
            <w:r w:rsidRPr="00EB7BB6">
              <w:rPr>
                <w:sz w:val="20"/>
                <w:szCs w:val="20"/>
              </w:rPr>
              <w:t>2</w:t>
            </w:r>
            <w:r w:rsidR="00E14193" w:rsidRPr="00EB7BB6">
              <w:rPr>
                <w:sz w:val="20"/>
                <w:szCs w:val="20"/>
              </w:rPr>
              <w:t>1</w:t>
            </w:r>
            <w:r w:rsidRPr="00EB7BB6">
              <w:rPr>
                <w:sz w:val="20"/>
                <w:szCs w:val="20"/>
              </w:rPr>
              <w:t>, 2019</w:t>
            </w:r>
          </w:p>
          <w:p w:rsidR="000B2C85" w:rsidRPr="00EB7BB6" w:rsidRDefault="00EB7BB6" w:rsidP="000A634C">
            <w:pPr>
              <w:rPr>
                <w:sz w:val="20"/>
                <w:szCs w:val="20"/>
                <w:lang w:val="fr-CA"/>
              </w:rPr>
            </w:pPr>
            <w:r w:rsidRPr="00EB7BB6">
              <w:rPr>
                <w:sz w:val="20"/>
                <w:szCs w:val="20"/>
                <w:lang w:val="fr-CA"/>
              </w:rPr>
              <w:pict>
                <v:rect id="_x0000_i1035" style="width:108pt;height:1pt" o:hrpct="0" o:hralign="center" o:hrstd="t" o:hrnoshade="t" o:hr="t" fillcolor="black [3213]" stroked="f"/>
              </w:pict>
            </w:r>
          </w:p>
          <w:p w:rsidR="00E36EED" w:rsidRPr="00EB7BB6" w:rsidRDefault="00E36EED" w:rsidP="000A634C">
            <w:pPr>
              <w:rPr>
                <w:sz w:val="20"/>
                <w:szCs w:val="20"/>
                <w:lang w:val="fr-CA"/>
              </w:rPr>
            </w:pPr>
          </w:p>
        </w:tc>
        <w:tc>
          <w:tcPr>
            <w:tcW w:w="1181" w:type="dxa"/>
            <w:shd w:val="clear" w:color="auto" w:fill="auto"/>
          </w:tcPr>
          <w:p w:rsidR="000B2C85" w:rsidRPr="00EB7BB6" w:rsidRDefault="000B2C85" w:rsidP="000B2C85">
            <w:pPr>
              <w:jc w:val="center"/>
              <w:rPr>
                <w:sz w:val="20"/>
                <w:szCs w:val="20"/>
                <w:lang w:val="fr-CA"/>
              </w:rPr>
            </w:pPr>
          </w:p>
        </w:tc>
        <w:tc>
          <w:tcPr>
            <w:tcW w:w="4320" w:type="dxa"/>
            <w:shd w:val="clear" w:color="auto" w:fill="auto"/>
          </w:tcPr>
          <w:p w:rsidR="00E14193" w:rsidRPr="00EB7BB6" w:rsidRDefault="00E14193" w:rsidP="00E14193">
            <w:pPr>
              <w:tabs>
                <w:tab w:val="left" w:pos="-1440"/>
                <w:tab w:val="left" w:pos="-720"/>
              </w:tabs>
              <w:rPr>
                <w:b/>
                <w:bCs/>
                <w:sz w:val="20"/>
                <w:szCs w:val="20"/>
                <w:lang w:val="fr-CA"/>
              </w:rPr>
            </w:pPr>
            <w:r w:rsidRPr="00EB7BB6">
              <w:rPr>
                <w:b/>
                <w:bCs/>
                <w:sz w:val="20"/>
                <w:szCs w:val="20"/>
                <w:lang w:val="fr-CA"/>
              </w:rPr>
              <w:t>International Air Transport Association, et al.</w:t>
            </w:r>
          </w:p>
          <w:p w:rsidR="00E14193" w:rsidRPr="00EB7BB6" w:rsidRDefault="00E14193" w:rsidP="00E14193">
            <w:pPr>
              <w:tabs>
                <w:tab w:val="left" w:pos="-1440"/>
                <w:tab w:val="left" w:pos="-720"/>
              </w:tabs>
              <w:ind w:firstLine="720"/>
              <w:rPr>
                <w:sz w:val="20"/>
                <w:szCs w:val="20"/>
                <w:lang w:val="fr-CA"/>
              </w:rPr>
            </w:pPr>
            <w:r w:rsidRPr="00EB7BB6">
              <w:rPr>
                <w:sz w:val="20"/>
                <w:szCs w:val="20"/>
                <w:lang w:val="fr-CA"/>
              </w:rPr>
              <w:t xml:space="preserve">Vallières, Éric </w:t>
            </w:r>
          </w:p>
          <w:p w:rsidR="00E14193" w:rsidRPr="00EB7BB6" w:rsidRDefault="00E14193" w:rsidP="00E14193">
            <w:pPr>
              <w:tabs>
                <w:tab w:val="left" w:pos="-1440"/>
                <w:tab w:val="left" w:pos="-720"/>
              </w:tabs>
              <w:ind w:firstLine="720"/>
              <w:rPr>
                <w:sz w:val="20"/>
                <w:szCs w:val="20"/>
                <w:lang w:val="fr-CA"/>
              </w:rPr>
            </w:pPr>
            <w:r w:rsidRPr="00EB7BB6">
              <w:rPr>
                <w:sz w:val="20"/>
                <w:szCs w:val="20"/>
                <w:lang w:val="fr-CA"/>
              </w:rPr>
              <w:t>McMillan LLP</w:t>
            </w:r>
          </w:p>
          <w:p w:rsidR="00E14193" w:rsidRPr="00EB7BB6" w:rsidRDefault="00E14193" w:rsidP="00E14193">
            <w:pPr>
              <w:tabs>
                <w:tab w:val="left" w:pos="-1440"/>
                <w:tab w:val="left" w:pos="-720"/>
              </w:tabs>
              <w:rPr>
                <w:sz w:val="20"/>
                <w:szCs w:val="20"/>
                <w:lang w:val="fr-CA"/>
              </w:rPr>
            </w:pPr>
          </w:p>
          <w:p w:rsidR="00E14193" w:rsidRPr="00EB7BB6" w:rsidRDefault="00E14193" w:rsidP="00E14193">
            <w:pPr>
              <w:tabs>
                <w:tab w:val="left" w:pos="-1440"/>
                <w:tab w:val="left" w:pos="-720"/>
              </w:tabs>
              <w:rPr>
                <w:sz w:val="20"/>
                <w:szCs w:val="20"/>
                <w:lang w:val="fr-CA"/>
              </w:rPr>
            </w:pPr>
            <w:r w:rsidRPr="00EB7BB6">
              <w:rPr>
                <w:sz w:val="20"/>
                <w:szCs w:val="20"/>
                <w:lang w:val="fr-CA"/>
              </w:rPr>
              <w:tab/>
              <w:t>v. (38562)</w:t>
            </w:r>
          </w:p>
          <w:p w:rsidR="00E14193" w:rsidRPr="00EB7BB6" w:rsidRDefault="00E14193" w:rsidP="00E14193">
            <w:pPr>
              <w:tabs>
                <w:tab w:val="left" w:pos="-1440"/>
                <w:tab w:val="left" w:pos="-720"/>
              </w:tabs>
              <w:rPr>
                <w:sz w:val="20"/>
                <w:szCs w:val="20"/>
                <w:lang w:val="fr-CA"/>
              </w:rPr>
            </w:pPr>
          </w:p>
          <w:p w:rsidR="00E14193" w:rsidRPr="00EB7BB6" w:rsidRDefault="00E14193" w:rsidP="00E14193">
            <w:pPr>
              <w:tabs>
                <w:tab w:val="left" w:pos="-1440"/>
                <w:tab w:val="left" w:pos="-720"/>
              </w:tabs>
              <w:rPr>
                <w:b/>
                <w:sz w:val="20"/>
                <w:szCs w:val="20"/>
                <w:lang w:val="en-US"/>
              </w:rPr>
            </w:pPr>
            <w:r w:rsidRPr="00EB7BB6">
              <w:rPr>
                <w:b/>
                <w:sz w:val="20"/>
                <w:szCs w:val="20"/>
                <w:lang w:val="fr-CA"/>
              </w:rPr>
              <w:t xml:space="preserve">Intrubel, N.V., et al. </w:t>
            </w:r>
            <w:r w:rsidRPr="00EB7BB6">
              <w:rPr>
                <w:b/>
                <w:sz w:val="20"/>
                <w:szCs w:val="20"/>
                <w:lang w:val="en-US"/>
              </w:rPr>
              <w:t>(Que.)</w:t>
            </w:r>
          </w:p>
          <w:p w:rsidR="00E14193" w:rsidRPr="00EB7BB6" w:rsidRDefault="00E14193" w:rsidP="00E14193">
            <w:pPr>
              <w:tabs>
                <w:tab w:val="left" w:pos="-1440"/>
                <w:tab w:val="left" w:pos="-720"/>
              </w:tabs>
              <w:ind w:left="702"/>
              <w:rPr>
                <w:sz w:val="20"/>
                <w:szCs w:val="20"/>
                <w:lang w:val="en-US"/>
              </w:rPr>
            </w:pPr>
            <w:r w:rsidRPr="00EB7BB6">
              <w:rPr>
                <w:sz w:val="20"/>
                <w:szCs w:val="20"/>
                <w:lang w:val="en-US"/>
              </w:rPr>
              <w:t>Kalichman, Peter</w:t>
            </w:r>
          </w:p>
          <w:p w:rsidR="00E14193" w:rsidRPr="00EB7BB6" w:rsidRDefault="00E14193" w:rsidP="00E14193">
            <w:pPr>
              <w:tabs>
                <w:tab w:val="left" w:pos="-1440"/>
                <w:tab w:val="left" w:pos="-720"/>
              </w:tabs>
              <w:ind w:left="702"/>
              <w:rPr>
                <w:sz w:val="20"/>
                <w:szCs w:val="20"/>
                <w:lang w:val="en"/>
              </w:rPr>
            </w:pPr>
            <w:r w:rsidRPr="00EB7BB6">
              <w:rPr>
                <w:sz w:val="20"/>
                <w:szCs w:val="20"/>
              </w:rPr>
              <w:tab/>
            </w:r>
            <w:r w:rsidRPr="00EB7BB6">
              <w:rPr>
                <w:sz w:val="20"/>
                <w:szCs w:val="20"/>
                <w:lang w:val="en"/>
              </w:rPr>
              <w:t>IMK LLP</w:t>
            </w:r>
          </w:p>
          <w:p w:rsidR="00E14193" w:rsidRPr="00EB7BB6" w:rsidRDefault="00E14193" w:rsidP="00E14193">
            <w:pPr>
              <w:tabs>
                <w:tab w:val="left" w:pos="-1440"/>
                <w:tab w:val="left" w:pos="-720"/>
              </w:tabs>
              <w:rPr>
                <w:sz w:val="20"/>
                <w:szCs w:val="20"/>
                <w:lang w:val="en"/>
              </w:rPr>
            </w:pPr>
          </w:p>
          <w:p w:rsidR="00E14193" w:rsidRPr="00EB7BB6" w:rsidRDefault="00E14193" w:rsidP="00E14193">
            <w:pPr>
              <w:rPr>
                <w:sz w:val="20"/>
                <w:szCs w:val="20"/>
              </w:rPr>
            </w:pPr>
            <w:r w:rsidRPr="00EB7BB6">
              <w:rPr>
                <w:sz w:val="20"/>
                <w:szCs w:val="20"/>
              </w:rPr>
              <w:t>FILING DATE: March 25, 2019</w:t>
            </w:r>
          </w:p>
          <w:p w:rsidR="000B2C85" w:rsidRPr="00EB7BB6" w:rsidRDefault="00EB7BB6" w:rsidP="00E14193">
            <w:pPr>
              <w:rPr>
                <w:sz w:val="20"/>
                <w:szCs w:val="20"/>
                <w:lang w:val="fr-CA"/>
              </w:rPr>
            </w:pPr>
            <w:r w:rsidRPr="00EB7BB6">
              <w:rPr>
                <w:sz w:val="20"/>
                <w:szCs w:val="20"/>
                <w:lang w:val="fr-CA"/>
              </w:rPr>
              <w:pict>
                <v:rect id="_x0000_i1036" style="width:108pt;height:1pt" o:hrpct="0" o:hralign="center" o:hrstd="t" o:hrnoshade="t" o:hr="t" fillcolor="black [3213]" stroked="f"/>
              </w:pict>
            </w:r>
          </w:p>
        </w:tc>
      </w:tr>
      <w:tr w:rsidR="000B2C85" w:rsidRPr="00EB7BB6" w:rsidTr="008446E2">
        <w:trPr>
          <w:trHeight w:val="3085"/>
        </w:trPr>
        <w:tc>
          <w:tcPr>
            <w:tcW w:w="4320" w:type="dxa"/>
            <w:shd w:val="clear" w:color="auto" w:fill="auto"/>
          </w:tcPr>
          <w:p w:rsidR="00E14193" w:rsidRPr="00EB7BB6" w:rsidRDefault="00E14193" w:rsidP="00E14193">
            <w:pPr>
              <w:tabs>
                <w:tab w:val="left" w:pos="-1440"/>
                <w:tab w:val="left" w:pos="-720"/>
              </w:tabs>
              <w:rPr>
                <w:b/>
                <w:bCs/>
                <w:sz w:val="20"/>
                <w:szCs w:val="20"/>
                <w:lang w:val="en-US"/>
              </w:rPr>
            </w:pPr>
            <w:r w:rsidRPr="00EB7BB6">
              <w:rPr>
                <w:b/>
                <w:bCs/>
                <w:sz w:val="20"/>
                <w:szCs w:val="20"/>
                <w:lang w:val="en-US"/>
              </w:rPr>
              <w:t>Agent E</w:t>
            </w:r>
          </w:p>
          <w:p w:rsidR="00E14193" w:rsidRPr="00EB7BB6" w:rsidRDefault="00E14193" w:rsidP="00E14193">
            <w:pPr>
              <w:tabs>
                <w:tab w:val="left" w:pos="-1440"/>
                <w:tab w:val="left" w:pos="-720"/>
              </w:tabs>
              <w:ind w:firstLine="720"/>
              <w:rPr>
                <w:sz w:val="20"/>
                <w:szCs w:val="20"/>
                <w:lang w:val="en-US"/>
              </w:rPr>
            </w:pPr>
            <w:r w:rsidRPr="00EB7BB6">
              <w:rPr>
                <w:sz w:val="20"/>
                <w:szCs w:val="20"/>
                <w:lang w:val="en-US"/>
              </w:rPr>
              <w:t>Gratl, Jason B.</w:t>
            </w:r>
          </w:p>
          <w:p w:rsidR="00E14193" w:rsidRPr="00EB7BB6" w:rsidRDefault="00E14193" w:rsidP="00E14193">
            <w:pPr>
              <w:tabs>
                <w:tab w:val="left" w:pos="-1440"/>
                <w:tab w:val="left" w:pos="-720"/>
              </w:tabs>
              <w:ind w:firstLine="720"/>
              <w:rPr>
                <w:sz w:val="20"/>
                <w:szCs w:val="20"/>
                <w:lang w:val="en-US"/>
              </w:rPr>
            </w:pPr>
            <w:r w:rsidRPr="00EB7BB6">
              <w:rPr>
                <w:sz w:val="20"/>
                <w:szCs w:val="20"/>
                <w:lang w:val="en-US"/>
              </w:rPr>
              <w:t>Gratl &amp; Company</w:t>
            </w:r>
          </w:p>
          <w:p w:rsidR="00E14193" w:rsidRPr="00EB7BB6" w:rsidRDefault="00E14193" w:rsidP="00E14193">
            <w:pPr>
              <w:tabs>
                <w:tab w:val="left" w:pos="-1440"/>
                <w:tab w:val="left" w:pos="-720"/>
              </w:tabs>
              <w:rPr>
                <w:sz w:val="20"/>
                <w:szCs w:val="20"/>
                <w:lang w:val="en-US"/>
              </w:rPr>
            </w:pPr>
          </w:p>
          <w:p w:rsidR="00E14193" w:rsidRPr="00EB7BB6" w:rsidRDefault="00E14193" w:rsidP="00E14193">
            <w:pPr>
              <w:tabs>
                <w:tab w:val="left" w:pos="-1440"/>
                <w:tab w:val="left" w:pos="-720"/>
              </w:tabs>
              <w:rPr>
                <w:sz w:val="20"/>
                <w:szCs w:val="20"/>
                <w:lang w:val="en-US"/>
              </w:rPr>
            </w:pPr>
            <w:r w:rsidRPr="00EB7BB6">
              <w:rPr>
                <w:sz w:val="20"/>
                <w:szCs w:val="20"/>
                <w:lang w:val="en-US"/>
              </w:rPr>
              <w:tab/>
              <w:t>v. (38523)</w:t>
            </w:r>
          </w:p>
          <w:p w:rsidR="00E14193" w:rsidRPr="00EB7BB6" w:rsidRDefault="00E14193" w:rsidP="00E14193">
            <w:pPr>
              <w:tabs>
                <w:tab w:val="left" w:pos="-1440"/>
                <w:tab w:val="left" w:pos="-720"/>
              </w:tabs>
              <w:rPr>
                <w:sz w:val="20"/>
                <w:szCs w:val="20"/>
                <w:lang w:val="en-US"/>
              </w:rPr>
            </w:pPr>
          </w:p>
          <w:p w:rsidR="00E14193" w:rsidRPr="00EB7BB6" w:rsidRDefault="00E14193" w:rsidP="00E14193">
            <w:pPr>
              <w:tabs>
                <w:tab w:val="left" w:pos="-1440"/>
                <w:tab w:val="left" w:pos="-720"/>
              </w:tabs>
              <w:rPr>
                <w:b/>
                <w:sz w:val="20"/>
                <w:szCs w:val="20"/>
                <w:lang w:val="en-US"/>
              </w:rPr>
            </w:pPr>
            <w:r w:rsidRPr="00EB7BB6">
              <w:rPr>
                <w:b/>
                <w:sz w:val="20"/>
                <w:szCs w:val="20"/>
                <w:lang w:val="en-US"/>
              </w:rPr>
              <w:t>Attorney General of Canada (In right of the Royal Canadian Mounted Police) (B.C.)</w:t>
            </w:r>
          </w:p>
          <w:p w:rsidR="00E14193" w:rsidRPr="00EB7BB6" w:rsidRDefault="00E14193" w:rsidP="00E14193">
            <w:pPr>
              <w:tabs>
                <w:tab w:val="left" w:pos="-1440"/>
                <w:tab w:val="left" w:pos="-720"/>
              </w:tabs>
              <w:ind w:left="702"/>
              <w:rPr>
                <w:sz w:val="20"/>
                <w:szCs w:val="20"/>
                <w:lang w:val="en-US"/>
              </w:rPr>
            </w:pPr>
            <w:r w:rsidRPr="00EB7BB6">
              <w:rPr>
                <w:sz w:val="20"/>
                <w:szCs w:val="20"/>
                <w:lang w:val="en-US"/>
              </w:rPr>
              <w:t>Kwan, David</w:t>
            </w:r>
          </w:p>
          <w:p w:rsidR="00E14193" w:rsidRPr="00EB7BB6" w:rsidRDefault="00E14193" w:rsidP="00E14193">
            <w:pPr>
              <w:tabs>
                <w:tab w:val="left" w:pos="-1440"/>
                <w:tab w:val="left" w:pos="-720"/>
              </w:tabs>
              <w:ind w:left="702"/>
              <w:rPr>
                <w:sz w:val="20"/>
                <w:szCs w:val="20"/>
                <w:lang w:val="en"/>
              </w:rPr>
            </w:pPr>
            <w:r w:rsidRPr="00EB7BB6">
              <w:rPr>
                <w:sz w:val="20"/>
                <w:szCs w:val="20"/>
                <w:lang w:val="en-US"/>
              </w:rPr>
              <w:t>Department of Justice</w:t>
            </w:r>
          </w:p>
          <w:p w:rsidR="00E14193" w:rsidRPr="00EB7BB6" w:rsidRDefault="00E14193" w:rsidP="00E14193">
            <w:pPr>
              <w:tabs>
                <w:tab w:val="left" w:pos="-1440"/>
                <w:tab w:val="left" w:pos="-720"/>
              </w:tabs>
              <w:rPr>
                <w:sz w:val="20"/>
                <w:szCs w:val="20"/>
                <w:lang w:val="en"/>
              </w:rPr>
            </w:pPr>
          </w:p>
          <w:p w:rsidR="00E14193" w:rsidRPr="00EB7BB6" w:rsidRDefault="00E14193" w:rsidP="00E14193">
            <w:pPr>
              <w:rPr>
                <w:sz w:val="20"/>
                <w:szCs w:val="20"/>
              </w:rPr>
            </w:pPr>
            <w:r w:rsidRPr="00EB7BB6">
              <w:rPr>
                <w:sz w:val="20"/>
                <w:szCs w:val="20"/>
              </w:rPr>
              <w:t>FILING DATE: February 13, 2019</w:t>
            </w:r>
          </w:p>
          <w:p w:rsidR="000B2C85" w:rsidRPr="00EB7BB6" w:rsidRDefault="00EB7BB6" w:rsidP="00E14193">
            <w:pPr>
              <w:rPr>
                <w:sz w:val="20"/>
                <w:szCs w:val="20"/>
                <w:lang w:val="fr-CA"/>
              </w:rPr>
            </w:pPr>
            <w:r w:rsidRPr="00EB7BB6">
              <w:rPr>
                <w:sz w:val="20"/>
                <w:szCs w:val="20"/>
                <w:lang w:val="fr-CA"/>
              </w:rPr>
              <w:pict>
                <v:rect id="_x0000_i1037" style="width:108pt;height:1pt" o:hrpct="0" o:hralign="center" o:hrstd="t" o:hrnoshade="t" o:hr="t" fillcolor="black [3213]" stroked="f"/>
              </w:pict>
            </w:r>
          </w:p>
          <w:p w:rsidR="00E36EED" w:rsidRPr="00EB7BB6" w:rsidRDefault="00E36EED" w:rsidP="00E14193">
            <w:pPr>
              <w:rPr>
                <w:sz w:val="20"/>
                <w:szCs w:val="20"/>
                <w:lang w:val="fr-CA"/>
              </w:rPr>
            </w:pPr>
          </w:p>
        </w:tc>
        <w:tc>
          <w:tcPr>
            <w:tcW w:w="1181" w:type="dxa"/>
            <w:shd w:val="clear" w:color="auto" w:fill="auto"/>
          </w:tcPr>
          <w:p w:rsidR="000B2C85" w:rsidRPr="00EB7BB6" w:rsidRDefault="000B2C85" w:rsidP="000B2C85">
            <w:pPr>
              <w:jc w:val="center"/>
              <w:rPr>
                <w:sz w:val="20"/>
                <w:szCs w:val="20"/>
                <w:lang w:val="fr-CA"/>
              </w:rPr>
            </w:pPr>
          </w:p>
        </w:tc>
        <w:tc>
          <w:tcPr>
            <w:tcW w:w="4320" w:type="dxa"/>
            <w:shd w:val="clear" w:color="auto" w:fill="auto"/>
          </w:tcPr>
          <w:p w:rsidR="00790C49" w:rsidRPr="00EB7BB6" w:rsidRDefault="00790C49" w:rsidP="00790C49">
            <w:pPr>
              <w:tabs>
                <w:tab w:val="left" w:pos="-1440"/>
                <w:tab w:val="left" w:pos="-720"/>
              </w:tabs>
              <w:rPr>
                <w:b/>
                <w:bCs/>
                <w:sz w:val="20"/>
                <w:szCs w:val="20"/>
                <w:lang w:val="en-US"/>
              </w:rPr>
            </w:pPr>
            <w:r w:rsidRPr="00EB7BB6">
              <w:rPr>
                <w:b/>
                <w:bCs/>
                <w:sz w:val="20"/>
                <w:szCs w:val="20"/>
                <w:lang w:val="en-US"/>
              </w:rPr>
              <w:t>Van Raay Paskal Farms Ltd., et al.</w:t>
            </w:r>
          </w:p>
          <w:p w:rsidR="00790C49" w:rsidRPr="00EB7BB6" w:rsidRDefault="00790C49" w:rsidP="00790C49">
            <w:pPr>
              <w:tabs>
                <w:tab w:val="left" w:pos="-1440"/>
                <w:tab w:val="left" w:pos="-720"/>
              </w:tabs>
              <w:ind w:firstLine="720"/>
              <w:rPr>
                <w:sz w:val="20"/>
                <w:szCs w:val="20"/>
                <w:lang w:val="fr-CA"/>
              </w:rPr>
            </w:pPr>
            <w:r w:rsidRPr="00EB7BB6">
              <w:rPr>
                <w:sz w:val="20"/>
                <w:szCs w:val="20"/>
                <w:lang w:val="fr-CA"/>
              </w:rPr>
              <w:t>McCue, Robert D.</w:t>
            </w:r>
          </w:p>
          <w:p w:rsidR="00790C49" w:rsidRPr="00EB7BB6" w:rsidRDefault="00790C49" w:rsidP="00790C49">
            <w:pPr>
              <w:tabs>
                <w:tab w:val="left" w:pos="-1440"/>
                <w:tab w:val="left" w:pos="-720"/>
              </w:tabs>
              <w:ind w:firstLine="720"/>
              <w:rPr>
                <w:sz w:val="20"/>
                <w:szCs w:val="20"/>
                <w:lang w:val="fr-CA"/>
              </w:rPr>
            </w:pPr>
            <w:r w:rsidRPr="00EB7BB6">
              <w:rPr>
                <w:sz w:val="20"/>
                <w:szCs w:val="20"/>
                <w:lang w:val="fr-CA"/>
              </w:rPr>
              <w:t>Bennett Jones LLP</w:t>
            </w:r>
          </w:p>
          <w:p w:rsidR="00790C49" w:rsidRPr="00EB7BB6" w:rsidRDefault="00790C49" w:rsidP="00790C49">
            <w:pPr>
              <w:tabs>
                <w:tab w:val="left" w:pos="-1440"/>
                <w:tab w:val="left" w:pos="-720"/>
              </w:tabs>
              <w:rPr>
                <w:sz w:val="20"/>
                <w:szCs w:val="20"/>
                <w:lang w:val="fr-CA"/>
              </w:rPr>
            </w:pPr>
          </w:p>
          <w:p w:rsidR="00790C49" w:rsidRPr="00EB7BB6" w:rsidRDefault="00790C49" w:rsidP="00790C49">
            <w:pPr>
              <w:tabs>
                <w:tab w:val="left" w:pos="-1440"/>
                <w:tab w:val="left" w:pos="-720"/>
              </w:tabs>
              <w:rPr>
                <w:sz w:val="20"/>
                <w:szCs w:val="20"/>
                <w:lang w:val="en-US"/>
              </w:rPr>
            </w:pPr>
            <w:r w:rsidRPr="00EB7BB6">
              <w:rPr>
                <w:sz w:val="20"/>
                <w:szCs w:val="20"/>
                <w:lang w:val="fr-CA"/>
              </w:rPr>
              <w:tab/>
            </w:r>
            <w:r w:rsidRPr="00EB7BB6">
              <w:rPr>
                <w:sz w:val="20"/>
                <w:szCs w:val="20"/>
                <w:lang w:val="en-US"/>
              </w:rPr>
              <w:t>v. (38557)</w:t>
            </w:r>
          </w:p>
          <w:p w:rsidR="00790C49" w:rsidRPr="00EB7BB6" w:rsidRDefault="00790C49" w:rsidP="00790C49">
            <w:pPr>
              <w:tabs>
                <w:tab w:val="left" w:pos="-1440"/>
                <w:tab w:val="left" w:pos="-720"/>
              </w:tabs>
              <w:rPr>
                <w:sz w:val="20"/>
                <w:szCs w:val="20"/>
                <w:lang w:val="en-US"/>
              </w:rPr>
            </w:pPr>
          </w:p>
          <w:p w:rsidR="00790C49" w:rsidRPr="00EB7BB6" w:rsidRDefault="00790C49" w:rsidP="00790C49">
            <w:pPr>
              <w:tabs>
                <w:tab w:val="left" w:pos="-1440"/>
                <w:tab w:val="left" w:pos="-720"/>
              </w:tabs>
              <w:rPr>
                <w:b/>
                <w:sz w:val="20"/>
                <w:szCs w:val="20"/>
                <w:lang w:val="en-US"/>
              </w:rPr>
            </w:pPr>
            <w:r w:rsidRPr="00EB7BB6">
              <w:rPr>
                <w:b/>
                <w:sz w:val="20"/>
                <w:szCs w:val="20"/>
                <w:lang w:val="en-US"/>
              </w:rPr>
              <w:t>County of Lethbridge (Alta.)</w:t>
            </w:r>
          </w:p>
          <w:p w:rsidR="00790C49" w:rsidRPr="00EB7BB6" w:rsidRDefault="00790C49" w:rsidP="00790C49">
            <w:pPr>
              <w:tabs>
                <w:tab w:val="left" w:pos="-1440"/>
                <w:tab w:val="left" w:pos="-720"/>
              </w:tabs>
              <w:ind w:left="702"/>
              <w:rPr>
                <w:sz w:val="20"/>
                <w:szCs w:val="20"/>
                <w:lang w:val="en-US"/>
              </w:rPr>
            </w:pPr>
            <w:r w:rsidRPr="00EB7BB6">
              <w:rPr>
                <w:sz w:val="20"/>
                <w:szCs w:val="20"/>
                <w:lang w:val="en-US"/>
              </w:rPr>
              <w:t>Solowan, Michael S.</w:t>
            </w:r>
          </w:p>
          <w:p w:rsidR="00790C49" w:rsidRPr="00EB7BB6" w:rsidRDefault="00790C49" w:rsidP="00790C49">
            <w:pPr>
              <w:tabs>
                <w:tab w:val="left" w:pos="-1440"/>
                <w:tab w:val="left" w:pos="-720"/>
              </w:tabs>
              <w:ind w:left="702"/>
              <w:rPr>
                <w:sz w:val="20"/>
                <w:szCs w:val="20"/>
                <w:lang w:val="en"/>
              </w:rPr>
            </w:pPr>
            <w:r w:rsidRPr="00EB7BB6">
              <w:rPr>
                <w:sz w:val="20"/>
                <w:szCs w:val="20"/>
                <w:lang w:val="en-US"/>
              </w:rPr>
              <w:t>Brownlee LLP</w:t>
            </w:r>
          </w:p>
          <w:p w:rsidR="00790C49" w:rsidRPr="00EB7BB6" w:rsidRDefault="00790C49" w:rsidP="00790C49">
            <w:pPr>
              <w:tabs>
                <w:tab w:val="left" w:pos="-1440"/>
                <w:tab w:val="left" w:pos="-720"/>
              </w:tabs>
              <w:rPr>
                <w:sz w:val="20"/>
                <w:szCs w:val="20"/>
                <w:lang w:val="en"/>
              </w:rPr>
            </w:pPr>
          </w:p>
          <w:p w:rsidR="00790C49" w:rsidRPr="00EB7BB6" w:rsidRDefault="00790C49" w:rsidP="00790C49">
            <w:pPr>
              <w:rPr>
                <w:sz w:val="20"/>
                <w:szCs w:val="20"/>
              </w:rPr>
            </w:pPr>
            <w:r w:rsidRPr="00EB7BB6">
              <w:rPr>
                <w:sz w:val="20"/>
                <w:szCs w:val="20"/>
              </w:rPr>
              <w:t>FILING DATE: March 19, 2019</w:t>
            </w:r>
          </w:p>
          <w:p w:rsidR="000B2C85" w:rsidRPr="00EB7BB6" w:rsidRDefault="00EB7BB6" w:rsidP="00790C49">
            <w:pPr>
              <w:rPr>
                <w:sz w:val="20"/>
                <w:szCs w:val="20"/>
                <w:lang w:val="fr-CA"/>
              </w:rPr>
            </w:pPr>
            <w:r w:rsidRPr="00EB7BB6">
              <w:rPr>
                <w:sz w:val="20"/>
                <w:szCs w:val="20"/>
                <w:lang w:val="fr-CA"/>
              </w:rPr>
              <w:pict>
                <v:rect id="_x0000_i1038" style="width:108pt;height:1pt" o:hrpct="0" o:hralign="center" o:hrstd="t" o:hrnoshade="t" o:hr="t" fillcolor="black [3213]" stroked="f"/>
              </w:pict>
            </w:r>
          </w:p>
        </w:tc>
      </w:tr>
      <w:tr w:rsidR="000B2C85" w:rsidRPr="00EB7BB6" w:rsidTr="00FD39B6">
        <w:trPr>
          <w:trHeight w:val="2778"/>
        </w:trPr>
        <w:tc>
          <w:tcPr>
            <w:tcW w:w="4320" w:type="dxa"/>
            <w:shd w:val="clear" w:color="auto" w:fill="auto"/>
          </w:tcPr>
          <w:p w:rsidR="00790C49" w:rsidRPr="00EB7BB6" w:rsidRDefault="00790C49" w:rsidP="00790C49">
            <w:pPr>
              <w:rPr>
                <w:b/>
                <w:sz w:val="20"/>
                <w:szCs w:val="20"/>
                <w:lang w:val="fr-CA"/>
              </w:rPr>
            </w:pPr>
            <w:r w:rsidRPr="00EB7BB6">
              <w:rPr>
                <w:b/>
                <w:sz w:val="20"/>
                <w:szCs w:val="20"/>
                <w:lang w:val="fr-CA"/>
              </w:rPr>
              <w:t>Pascal Croteau</w:t>
            </w:r>
          </w:p>
          <w:p w:rsidR="00790C49" w:rsidRPr="00EB7BB6" w:rsidRDefault="00790C49" w:rsidP="00790C49">
            <w:pPr>
              <w:ind w:left="720"/>
              <w:rPr>
                <w:sz w:val="20"/>
                <w:szCs w:val="20"/>
                <w:lang w:val="fr-CA"/>
              </w:rPr>
            </w:pPr>
            <w:r w:rsidRPr="00EB7BB6">
              <w:rPr>
                <w:sz w:val="20"/>
                <w:szCs w:val="20"/>
                <w:lang w:val="fr-CA"/>
              </w:rPr>
              <w:t xml:space="preserve">Fréchette, Paul </w:t>
            </w:r>
          </w:p>
          <w:p w:rsidR="00790C49" w:rsidRPr="00EB7BB6" w:rsidRDefault="00790C49" w:rsidP="00790C49">
            <w:pPr>
              <w:rPr>
                <w:sz w:val="20"/>
                <w:szCs w:val="20"/>
                <w:lang w:val="fr-CA"/>
              </w:rPr>
            </w:pPr>
          </w:p>
          <w:p w:rsidR="00790C49" w:rsidRPr="00EB7BB6" w:rsidRDefault="00790C49" w:rsidP="00790C49">
            <w:pPr>
              <w:rPr>
                <w:sz w:val="20"/>
                <w:szCs w:val="20"/>
                <w:lang w:val="fr-CA"/>
              </w:rPr>
            </w:pPr>
            <w:r w:rsidRPr="00EB7BB6">
              <w:rPr>
                <w:sz w:val="20"/>
                <w:szCs w:val="20"/>
                <w:lang w:val="fr-CA"/>
              </w:rPr>
              <w:tab/>
              <w:t>c. (38559)</w:t>
            </w:r>
          </w:p>
          <w:p w:rsidR="00790C49" w:rsidRPr="00EB7BB6" w:rsidRDefault="00790C49" w:rsidP="00790C49">
            <w:pPr>
              <w:rPr>
                <w:sz w:val="20"/>
                <w:szCs w:val="20"/>
                <w:lang w:val="fr-CA"/>
              </w:rPr>
            </w:pPr>
          </w:p>
          <w:p w:rsidR="00790C49" w:rsidRPr="00EB7BB6" w:rsidRDefault="00790C49" w:rsidP="00790C49">
            <w:pPr>
              <w:rPr>
                <w:b/>
                <w:sz w:val="20"/>
                <w:szCs w:val="20"/>
                <w:lang w:val="fr-CA"/>
              </w:rPr>
            </w:pPr>
            <w:r w:rsidRPr="00EB7BB6">
              <w:rPr>
                <w:b/>
                <w:sz w:val="20"/>
                <w:szCs w:val="20"/>
                <w:lang w:val="fr-CA"/>
              </w:rPr>
              <w:t>Comité de révision, et al. (Qc)</w:t>
            </w:r>
          </w:p>
          <w:p w:rsidR="00790C49" w:rsidRPr="00EB7BB6" w:rsidRDefault="00790C49" w:rsidP="00790C49">
            <w:pPr>
              <w:ind w:left="720"/>
              <w:rPr>
                <w:sz w:val="20"/>
                <w:szCs w:val="20"/>
                <w:lang w:val="fr-CA"/>
              </w:rPr>
            </w:pPr>
            <w:r w:rsidRPr="00EB7BB6">
              <w:rPr>
                <w:sz w:val="20"/>
                <w:szCs w:val="20"/>
                <w:lang w:val="fr-CA"/>
              </w:rPr>
              <w:t>Henrichon, Marie-Ève</w:t>
            </w:r>
          </w:p>
          <w:p w:rsidR="00790C49" w:rsidRPr="00EB7BB6" w:rsidRDefault="00790C49" w:rsidP="00790C49">
            <w:pPr>
              <w:ind w:left="720"/>
              <w:rPr>
                <w:sz w:val="20"/>
                <w:szCs w:val="20"/>
                <w:lang w:val="fr-CA"/>
              </w:rPr>
            </w:pPr>
            <w:r w:rsidRPr="00EB7BB6">
              <w:rPr>
                <w:sz w:val="20"/>
                <w:szCs w:val="20"/>
                <w:lang w:val="fr-CA"/>
              </w:rPr>
              <w:t>Centre d'intégré de santé et de services sociaux de l'Outaouais</w:t>
            </w:r>
          </w:p>
          <w:p w:rsidR="00790C49" w:rsidRPr="00EB7BB6" w:rsidRDefault="00790C49" w:rsidP="00790C49">
            <w:pPr>
              <w:rPr>
                <w:sz w:val="20"/>
                <w:szCs w:val="20"/>
                <w:lang w:val="fr-CA"/>
              </w:rPr>
            </w:pPr>
          </w:p>
          <w:p w:rsidR="000B2C85" w:rsidRPr="00EB7BB6" w:rsidRDefault="00790C49" w:rsidP="00790C49">
            <w:pPr>
              <w:rPr>
                <w:sz w:val="20"/>
                <w:szCs w:val="20"/>
                <w:lang w:val="fr-CA"/>
              </w:rPr>
            </w:pPr>
            <w:r w:rsidRPr="00EB7BB6">
              <w:rPr>
                <w:sz w:val="20"/>
                <w:szCs w:val="20"/>
                <w:lang w:val="fr-CA"/>
              </w:rPr>
              <w:t>DATE DE PRODUCTION: Le 22 mars 2019</w:t>
            </w:r>
            <w:r w:rsidR="00EB7BB6" w:rsidRPr="00EB7BB6">
              <w:rPr>
                <w:sz w:val="20"/>
                <w:szCs w:val="20"/>
                <w:lang w:val="fr-CA"/>
              </w:rPr>
              <w:pict>
                <v:rect id="_x0000_i1039" style="width:108pt;height:1pt" o:hrpct="0" o:hralign="center" o:hrstd="t" o:hrnoshade="t" o:hr="t" fillcolor="black [3213]" stroked="f"/>
              </w:pict>
            </w:r>
          </w:p>
          <w:p w:rsidR="00FD39B6" w:rsidRPr="00EB7BB6" w:rsidRDefault="00FD39B6" w:rsidP="00790C49">
            <w:pPr>
              <w:rPr>
                <w:sz w:val="20"/>
                <w:szCs w:val="20"/>
                <w:lang w:val="fr-CA"/>
              </w:rPr>
            </w:pPr>
          </w:p>
        </w:tc>
        <w:tc>
          <w:tcPr>
            <w:tcW w:w="1181" w:type="dxa"/>
            <w:shd w:val="clear" w:color="auto" w:fill="auto"/>
          </w:tcPr>
          <w:p w:rsidR="000B2C85" w:rsidRPr="00EB7BB6" w:rsidRDefault="000B2C85" w:rsidP="000B2C85">
            <w:pPr>
              <w:jc w:val="center"/>
              <w:rPr>
                <w:sz w:val="20"/>
                <w:szCs w:val="20"/>
                <w:lang w:val="fr-CA"/>
              </w:rPr>
            </w:pPr>
          </w:p>
        </w:tc>
        <w:tc>
          <w:tcPr>
            <w:tcW w:w="4320" w:type="dxa"/>
            <w:shd w:val="clear" w:color="auto" w:fill="auto"/>
          </w:tcPr>
          <w:p w:rsidR="00615003" w:rsidRPr="00EB7BB6" w:rsidRDefault="00615003" w:rsidP="00615003">
            <w:pPr>
              <w:tabs>
                <w:tab w:val="left" w:pos="-1440"/>
                <w:tab w:val="left" w:pos="-720"/>
              </w:tabs>
              <w:rPr>
                <w:b/>
                <w:bCs/>
                <w:sz w:val="20"/>
                <w:szCs w:val="20"/>
                <w:lang w:val="fr-CA"/>
              </w:rPr>
            </w:pPr>
            <w:r w:rsidRPr="00EB7BB6">
              <w:rPr>
                <w:b/>
                <w:bCs/>
                <w:sz w:val="20"/>
                <w:szCs w:val="20"/>
                <w:lang w:val="fr-CA"/>
              </w:rPr>
              <w:t xml:space="preserve">Zheqiang Wu, et al. </w:t>
            </w:r>
          </w:p>
          <w:p w:rsidR="00615003" w:rsidRPr="00EB7BB6" w:rsidRDefault="00615003" w:rsidP="00615003">
            <w:pPr>
              <w:tabs>
                <w:tab w:val="left" w:pos="-1440"/>
                <w:tab w:val="left" w:pos="-720"/>
              </w:tabs>
              <w:ind w:left="720"/>
              <w:rPr>
                <w:sz w:val="20"/>
                <w:szCs w:val="20"/>
                <w:lang w:val="fr-CA"/>
              </w:rPr>
            </w:pPr>
            <w:r w:rsidRPr="00EB7BB6">
              <w:rPr>
                <w:sz w:val="20"/>
                <w:szCs w:val="20"/>
                <w:lang w:val="fr-CA"/>
              </w:rPr>
              <w:t>Holmes, Q.C., Robert D.</w:t>
            </w:r>
          </w:p>
          <w:p w:rsidR="00615003" w:rsidRPr="00EB7BB6" w:rsidRDefault="00615003" w:rsidP="00615003">
            <w:pPr>
              <w:tabs>
                <w:tab w:val="left" w:pos="-1440"/>
                <w:tab w:val="left" w:pos="-720"/>
              </w:tabs>
              <w:ind w:left="720"/>
              <w:rPr>
                <w:sz w:val="20"/>
                <w:szCs w:val="20"/>
                <w:lang w:val="en-US"/>
              </w:rPr>
            </w:pPr>
            <w:r w:rsidRPr="00EB7BB6">
              <w:rPr>
                <w:sz w:val="20"/>
                <w:szCs w:val="20"/>
                <w:lang w:val="en-US"/>
              </w:rPr>
              <w:t xml:space="preserve">Holmes &amp; Bilawich </w:t>
            </w:r>
          </w:p>
          <w:p w:rsidR="00615003" w:rsidRPr="00EB7BB6" w:rsidRDefault="00615003" w:rsidP="00615003">
            <w:pPr>
              <w:tabs>
                <w:tab w:val="left" w:pos="-1440"/>
                <w:tab w:val="left" w:pos="-720"/>
              </w:tabs>
              <w:rPr>
                <w:sz w:val="20"/>
                <w:szCs w:val="20"/>
                <w:lang w:val="en-US"/>
              </w:rPr>
            </w:pPr>
          </w:p>
          <w:p w:rsidR="00615003" w:rsidRPr="00EB7BB6" w:rsidRDefault="00615003" w:rsidP="00615003">
            <w:pPr>
              <w:tabs>
                <w:tab w:val="left" w:pos="-1440"/>
                <w:tab w:val="left" w:pos="-720"/>
              </w:tabs>
              <w:rPr>
                <w:sz w:val="20"/>
                <w:szCs w:val="20"/>
                <w:lang w:val="en-US"/>
              </w:rPr>
            </w:pPr>
            <w:r w:rsidRPr="00EB7BB6">
              <w:rPr>
                <w:sz w:val="20"/>
                <w:szCs w:val="20"/>
                <w:lang w:val="en-US"/>
              </w:rPr>
              <w:tab/>
              <w:t>v. (38561)</w:t>
            </w:r>
          </w:p>
          <w:p w:rsidR="00615003" w:rsidRPr="00EB7BB6" w:rsidRDefault="00615003" w:rsidP="00615003">
            <w:pPr>
              <w:tabs>
                <w:tab w:val="left" w:pos="-1440"/>
                <w:tab w:val="left" w:pos="-720"/>
              </w:tabs>
              <w:rPr>
                <w:sz w:val="20"/>
                <w:szCs w:val="20"/>
                <w:lang w:val="en-US"/>
              </w:rPr>
            </w:pPr>
          </w:p>
          <w:p w:rsidR="00615003" w:rsidRPr="00EB7BB6" w:rsidRDefault="00615003" w:rsidP="00615003">
            <w:pPr>
              <w:tabs>
                <w:tab w:val="left" w:pos="-1440"/>
                <w:tab w:val="left" w:pos="-720"/>
              </w:tabs>
              <w:rPr>
                <w:b/>
                <w:sz w:val="20"/>
                <w:szCs w:val="20"/>
                <w:lang w:val="en-US"/>
              </w:rPr>
            </w:pPr>
            <w:r w:rsidRPr="00EB7BB6">
              <w:rPr>
                <w:b/>
                <w:sz w:val="20"/>
                <w:szCs w:val="20"/>
                <w:lang w:val="en-US"/>
              </w:rPr>
              <w:t>City of Vancouver (B.C.)</w:t>
            </w:r>
          </w:p>
          <w:p w:rsidR="00615003" w:rsidRPr="00EB7BB6" w:rsidRDefault="00615003" w:rsidP="00615003">
            <w:pPr>
              <w:tabs>
                <w:tab w:val="left" w:pos="-1440"/>
                <w:tab w:val="left" w:pos="-720"/>
              </w:tabs>
              <w:ind w:left="702"/>
              <w:rPr>
                <w:sz w:val="20"/>
                <w:szCs w:val="20"/>
                <w:lang w:val="en-US"/>
              </w:rPr>
            </w:pPr>
            <w:r w:rsidRPr="00EB7BB6">
              <w:rPr>
                <w:sz w:val="20"/>
                <w:szCs w:val="20"/>
                <w:lang w:val="en-US"/>
              </w:rPr>
              <w:t>Bennett, Q.C., Daniel R.</w:t>
            </w:r>
          </w:p>
          <w:p w:rsidR="00615003" w:rsidRPr="00EB7BB6" w:rsidRDefault="00615003" w:rsidP="00615003">
            <w:pPr>
              <w:tabs>
                <w:tab w:val="left" w:pos="-1440"/>
                <w:tab w:val="left" w:pos="-720"/>
              </w:tabs>
              <w:ind w:left="702"/>
              <w:rPr>
                <w:sz w:val="20"/>
                <w:szCs w:val="20"/>
                <w:lang w:val="en-US"/>
              </w:rPr>
            </w:pPr>
            <w:r w:rsidRPr="00EB7BB6">
              <w:rPr>
                <w:sz w:val="20"/>
                <w:szCs w:val="20"/>
                <w:lang w:val="en-US"/>
              </w:rPr>
              <w:t>Norton Rose Fulbright Canada LLP</w:t>
            </w:r>
          </w:p>
          <w:p w:rsidR="00615003" w:rsidRPr="00EB7BB6" w:rsidRDefault="00615003" w:rsidP="00615003">
            <w:pPr>
              <w:tabs>
                <w:tab w:val="left" w:pos="-1440"/>
                <w:tab w:val="left" w:pos="-720"/>
              </w:tabs>
              <w:rPr>
                <w:sz w:val="20"/>
                <w:szCs w:val="20"/>
                <w:lang w:val="en"/>
              </w:rPr>
            </w:pPr>
          </w:p>
          <w:p w:rsidR="00615003" w:rsidRPr="00EB7BB6" w:rsidRDefault="00615003" w:rsidP="00615003">
            <w:pPr>
              <w:rPr>
                <w:sz w:val="20"/>
                <w:szCs w:val="20"/>
              </w:rPr>
            </w:pPr>
            <w:r w:rsidRPr="00EB7BB6">
              <w:rPr>
                <w:sz w:val="20"/>
                <w:szCs w:val="20"/>
              </w:rPr>
              <w:t xml:space="preserve">FILING DATE: </w:t>
            </w:r>
            <w:r w:rsidR="00B91975" w:rsidRPr="00EB7BB6">
              <w:rPr>
                <w:sz w:val="20"/>
                <w:szCs w:val="20"/>
              </w:rPr>
              <w:t>March</w:t>
            </w:r>
            <w:r w:rsidRPr="00EB7BB6">
              <w:rPr>
                <w:sz w:val="20"/>
                <w:szCs w:val="20"/>
              </w:rPr>
              <w:t xml:space="preserve"> </w:t>
            </w:r>
            <w:r w:rsidR="00B91975" w:rsidRPr="00EB7BB6">
              <w:rPr>
                <w:sz w:val="20"/>
                <w:szCs w:val="20"/>
              </w:rPr>
              <w:t>2</w:t>
            </w:r>
            <w:r w:rsidRPr="00EB7BB6">
              <w:rPr>
                <w:sz w:val="20"/>
                <w:szCs w:val="20"/>
              </w:rPr>
              <w:t>1, 2019</w:t>
            </w:r>
          </w:p>
          <w:p w:rsidR="000B2C85" w:rsidRPr="00EB7BB6" w:rsidRDefault="00EB7BB6" w:rsidP="00615003">
            <w:pPr>
              <w:rPr>
                <w:sz w:val="20"/>
                <w:szCs w:val="20"/>
                <w:lang w:val="fr-CA"/>
              </w:rPr>
            </w:pPr>
            <w:r w:rsidRPr="00EB7BB6">
              <w:rPr>
                <w:sz w:val="20"/>
                <w:szCs w:val="20"/>
                <w:lang w:val="fr-CA"/>
              </w:rPr>
              <w:pict>
                <v:rect id="_x0000_i1040" style="width:108pt;height:1pt" o:hrpct="0" o:hralign="center" o:hrstd="t" o:hrnoshade="t" o:hr="t" fillcolor="black [3213]" stroked="f"/>
              </w:pict>
            </w:r>
          </w:p>
        </w:tc>
      </w:tr>
    </w:tbl>
    <w:p w:rsidR="00B91975" w:rsidRPr="00EB7BB6" w:rsidRDefault="00B91975">
      <w:r w:rsidRPr="00EB7BB6">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B2C85" w:rsidRPr="00EB7BB6" w:rsidTr="00B91975">
        <w:trPr>
          <w:trHeight w:val="3258"/>
        </w:trPr>
        <w:tc>
          <w:tcPr>
            <w:tcW w:w="4320" w:type="dxa"/>
            <w:shd w:val="clear" w:color="auto" w:fill="auto"/>
          </w:tcPr>
          <w:p w:rsidR="00B91975" w:rsidRPr="00EB7BB6" w:rsidRDefault="00B91975" w:rsidP="00B91975">
            <w:pPr>
              <w:tabs>
                <w:tab w:val="left" w:pos="-1440"/>
                <w:tab w:val="left" w:pos="-720"/>
              </w:tabs>
              <w:rPr>
                <w:b/>
                <w:bCs/>
                <w:sz w:val="20"/>
                <w:szCs w:val="20"/>
                <w:lang w:val="fr-CA"/>
              </w:rPr>
            </w:pPr>
            <w:r w:rsidRPr="00EB7BB6">
              <w:rPr>
                <w:b/>
                <w:bCs/>
                <w:sz w:val="20"/>
                <w:szCs w:val="20"/>
                <w:lang w:val="fr-CA"/>
              </w:rPr>
              <w:lastRenderedPageBreak/>
              <w:t>Franca Zeppa, et al.</w:t>
            </w:r>
          </w:p>
          <w:p w:rsidR="00B91975" w:rsidRPr="00EB7BB6" w:rsidRDefault="00B91975" w:rsidP="00B91975">
            <w:pPr>
              <w:tabs>
                <w:tab w:val="left" w:pos="-1440"/>
                <w:tab w:val="left" w:pos="-720"/>
              </w:tabs>
              <w:ind w:left="720"/>
              <w:rPr>
                <w:sz w:val="20"/>
                <w:szCs w:val="20"/>
                <w:lang w:val="fr-CA"/>
              </w:rPr>
            </w:pPr>
            <w:r w:rsidRPr="00EB7BB6">
              <w:rPr>
                <w:sz w:val="20"/>
                <w:szCs w:val="20"/>
                <w:lang w:val="fr-CA"/>
              </w:rPr>
              <w:t xml:space="preserve">Bisceglia, Emilio </w:t>
            </w:r>
          </w:p>
          <w:p w:rsidR="00B91975" w:rsidRPr="00EB7BB6" w:rsidRDefault="00B91975" w:rsidP="00B91975">
            <w:pPr>
              <w:tabs>
                <w:tab w:val="left" w:pos="-1440"/>
                <w:tab w:val="left" w:pos="-720"/>
              </w:tabs>
              <w:ind w:left="720"/>
              <w:rPr>
                <w:sz w:val="20"/>
                <w:szCs w:val="20"/>
                <w:lang w:val="en-US"/>
              </w:rPr>
            </w:pPr>
            <w:r w:rsidRPr="00EB7BB6">
              <w:rPr>
                <w:sz w:val="20"/>
                <w:szCs w:val="20"/>
                <w:lang w:val="en-US"/>
              </w:rPr>
              <w:t>Bisceglia &amp; Associates</w:t>
            </w:r>
          </w:p>
          <w:p w:rsidR="00B91975" w:rsidRPr="00EB7BB6" w:rsidRDefault="00B91975" w:rsidP="00B91975">
            <w:pPr>
              <w:tabs>
                <w:tab w:val="left" w:pos="-1440"/>
                <w:tab w:val="left" w:pos="-720"/>
              </w:tabs>
              <w:rPr>
                <w:sz w:val="20"/>
                <w:szCs w:val="20"/>
                <w:lang w:val="en-US"/>
              </w:rPr>
            </w:pPr>
          </w:p>
          <w:p w:rsidR="00B91975" w:rsidRPr="00EB7BB6" w:rsidRDefault="00B91975" w:rsidP="00B91975">
            <w:pPr>
              <w:tabs>
                <w:tab w:val="left" w:pos="-1440"/>
                <w:tab w:val="left" w:pos="-720"/>
              </w:tabs>
              <w:rPr>
                <w:sz w:val="20"/>
                <w:szCs w:val="20"/>
                <w:lang w:val="en-US"/>
              </w:rPr>
            </w:pPr>
            <w:r w:rsidRPr="00EB7BB6">
              <w:rPr>
                <w:sz w:val="20"/>
                <w:szCs w:val="20"/>
                <w:lang w:val="en-US"/>
              </w:rPr>
              <w:tab/>
              <w:t>v. (38569)</w:t>
            </w:r>
          </w:p>
          <w:p w:rsidR="00B91975" w:rsidRPr="00EB7BB6" w:rsidRDefault="00B91975" w:rsidP="00B91975">
            <w:pPr>
              <w:tabs>
                <w:tab w:val="left" w:pos="-1440"/>
                <w:tab w:val="left" w:pos="-720"/>
              </w:tabs>
              <w:rPr>
                <w:sz w:val="20"/>
                <w:szCs w:val="20"/>
                <w:lang w:val="en-US"/>
              </w:rPr>
            </w:pPr>
          </w:p>
          <w:p w:rsidR="00B91975" w:rsidRPr="00EB7BB6" w:rsidRDefault="00B91975" w:rsidP="00B91975">
            <w:pPr>
              <w:tabs>
                <w:tab w:val="left" w:pos="-1440"/>
                <w:tab w:val="left" w:pos="-720"/>
              </w:tabs>
              <w:rPr>
                <w:b/>
                <w:sz w:val="20"/>
                <w:szCs w:val="20"/>
                <w:lang w:val="en-US"/>
              </w:rPr>
            </w:pPr>
            <w:r w:rsidRPr="00EB7BB6">
              <w:rPr>
                <w:b/>
                <w:sz w:val="20"/>
                <w:szCs w:val="20"/>
                <w:lang w:val="en-US"/>
              </w:rPr>
              <w:t>Woodbridge Heating &amp; Air-Conditioning Ltd. (Ont.)</w:t>
            </w:r>
          </w:p>
          <w:p w:rsidR="00B91975" w:rsidRPr="00EB7BB6" w:rsidRDefault="00B91975" w:rsidP="00B91975">
            <w:pPr>
              <w:tabs>
                <w:tab w:val="left" w:pos="-1440"/>
                <w:tab w:val="left" w:pos="-720"/>
              </w:tabs>
              <w:ind w:left="702"/>
              <w:rPr>
                <w:sz w:val="20"/>
                <w:szCs w:val="20"/>
                <w:lang w:val="en-US"/>
              </w:rPr>
            </w:pPr>
            <w:r w:rsidRPr="00EB7BB6">
              <w:rPr>
                <w:sz w:val="20"/>
                <w:szCs w:val="20"/>
                <w:lang w:val="en-US"/>
              </w:rPr>
              <w:t xml:space="preserve">Sunohara, Brian G. </w:t>
            </w:r>
          </w:p>
          <w:p w:rsidR="00B91975" w:rsidRPr="00EB7BB6" w:rsidRDefault="00B91975" w:rsidP="00B91975">
            <w:pPr>
              <w:tabs>
                <w:tab w:val="left" w:pos="-1440"/>
                <w:tab w:val="left" w:pos="-720"/>
              </w:tabs>
              <w:ind w:left="702"/>
              <w:rPr>
                <w:sz w:val="20"/>
                <w:szCs w:val="20"/>
                <w:lang w:val="en-US"/>
              </w:rPr>
            </w:pPr>
            <w:r w:rsidRPr="00EB7BB6">
              <w:rPr>
                <w:sz w:val="20"/>
                <w:szCs w:val="20"/>
                <w:lang w:val="en-US"/>
              </w:rPr>
              <w:t>Rogers Partners LLP</w:t>
            </w:r>
          </w:p>
          <w:p w:rsidR="00B91975" w:rsidRPr="00EB7BB6" w:rsidRDefault="00B91975" w:rsidP="00B91975">
            <w:pPr>
              <w:tabs>
                <w:tab w:val="left" w:pos="-1440"/>
                <w:tab w:val="left" w:pos="-720"/>
              </w:tabs>
              <w:rPr>
                <w:sz w:val="20"/>
                <w:szCs w:val="20"/>
                <w:lang w:val="en"/>
              </w:rPr>
            </w:pPr>
          </w:p>
          <w:p w:rsidR="00B91975" w:rsidRPr="00EB7BB6" w:rsidRDefault="00B91975" w:rsidP="00B91975">
            <w:pPr>
              <w:rPr>
                <w:sz w:val="20"/>
                <w:szCs w:val="20"/>
              </w:rPr>
            </w:pPr>
            <w:r w:rsidRPr="00EB7BB6">
              <w:rPr>
                <w:sz w:val="20"/>
                <w:szCs w:val="20"/>
              </w:rPr>
              <w:t>FILING DATE: March 26, 2019</w:t>
            </w:r>
          </w:p>
          <w:p w:rsidR="000B2C85" w:rsidRPr="00EB7BB6" w:rsidRDefault="00EB7BB6" w:rsidP="00B91975">
            <w:pPr>
              <w:rPr>
                <w:sz w:val="20"/>
                <w:szCs w:val="20"/>
                <w:lang w:val="fr-CA"/>
              </w:rPr>
            </w:pPr>
            <w:r w:rsidRPr="00EB7BB6">
              <w:rPr>
                <w:sz w:val="20"/>
                <w:szCs w:val="20"/>
                <w:lang w:val="fr-CA"/>
              </w:rPr>
              <w:pict>
                <v:rect id="_x0000_i1041" style="width:108pt;height:1pt" o:hrpct="0" o:hralign="center" o:hrstd="t" o:hrnoshade="t" o:hr="t" fillcolor="black [3213]" stroked="f"/>
              </w:pict>
            </w:r>
          </w:p>
          <w:p w:rsidR="00FD39B6" w:rsidRPr="00EB7BB6" w:rsidRDefault="00FD39B6" w:rsidP="00B91975">
            <w:pPr>
              <w:rPr>
                <w:sz w:val="20"/>
                <w:szCs w:val="20"/>
                <w:lang w:val="fr-CA"/>
              </w:rPr>
            </w:pPr>
          </w:p>
        </w:tc>
        <w:tc>
          <w:tcPr>
            <w:tcW w:w="1181" w:type="dxa"/>
            <w:shd w:val="clear" w:color="auto" w:fill="auto"/>
          </w:tcPr>
          <w:p w:rsidR="000B2C85" w:rsidRPr="00EB7BB6" w:rsidRDefault="000B2C85" w:rsidP="000B2C85">
            <w:pPr>
              <w:jc w:val="center"/>
              <w:rPr>
                <w:sz w:val="20"/>
                <w:szCs w:val="20"/>
                <w:lang w:val="fr-CA"/>
              </w:rPr>
            </w:pPr>
          </w:p>
        </w:tc>
        <w:tc>
          <w:tcPr>
            <w:tcW w:w="4320" w:type="dxa"/>
            <w:shd w:val="clear" w:color="auto" w:fill="auto"/>
          </w:tcPr>
          <w:p w:rsidR="00B91975" w:rsidRPr="00EB7BB6" w:rsidRDefault="00B91975" w:rsidP="00B91975">
            <w:pPr>
              <w:tabs>
                <w:tab w:val="left" w:pos="-1440"/>
                <w:tab w:val="left" w:pos="-720"/>
              </w:tabs>
              <w:rPr>
                <w:b/>
                <w:bCs/>
                <w:sz w:val="20"/>
                <w:szCs w:val="20"/>
                <w:lang w:val="en-US"/>
              </w:rPr>
            </w:pPr>
            <w:r w:rsidRPr="00EB7BB6">
              <w:rPr>
                <w:b/>
                <w:bCs/>
                <w:sz w:val="20"/>
                <w:szCs w:val="20"/>
                <w:lang w:val="en-US"/>
              </w:rPr>
              <w:t xml:space="preserve">Ravia Walia </w:t>
            </w:r>
          </w:p>
          <w:p w:rsidR="00B91975" w:rsidRPr="00EB7BB6" w:rsidRDefault="00B91975" w:rsidP="00B91975">
            <w:pPr>
              <w:tabs>
                <w:tab w:val="left" w:pos="-1440"/>
                <w:tab w:val="left" w:pos="-720"/>
              </w:tabs>
              <w:ind w:left="720"/>
              <w:rPr>
                <w:sz w:val="20"/>
                <w:szCs w:val="20"/>
                <w:lang w:val="en-US"/>
              </w:rPr>
            </w:pPr>
            <w:r w:rsidRPr="00EB7BB6">
              <w:rPr>
                <w:sz w:val="20"/>
                <w:szCs w:val="20"/>
                <w:lang w:val="en-US"/>
              </w:rPr>
              <w:t>Guiste, Ernest J.</w:t>
            </w:r>
          </w:p>
          <w:p w:rsidR="00B91975" w:rsidRPr="00EB7BB6" w:rsidRDefault="00B91975" w:rsidP="00B91975">
            <w:pPr>
              <w:tabs>
                <w:tab w:val="left" w:pos="-1440"/>
                <w:tab w:val="left" w:pos="-720"/>
              </w:tabs>
              <w:ind w:left="720"/>
              <w:rPr>
                <w:sz w:val="20"/>
                <w:szCs w:val="20"/>
                <w:lang w:val="en-US"/>
              </w:rPr>
            </w:pPr>
            <w:r w:rsidRPr="00EB7BB6">
              <w:rPr>
                <w:sz w:val="20"/>
                <w:szCs w:val="20"/>
                <w:lang w:val="en-US"/>
              </w:rPr>
              <w:t>E.J. Guiste Professional Corporation</w:t>
            </w:r>
          </w:p>
          <w:p w:rsidR="00B91975" w:rsidRPr="00EB7BB6" w:rsidRDefault="00B91975" w:rsidP="00B91975">
            <w:pPr>
              <w:tabs>
                <w:tab w:val="left" w:pos="-1440"/>
                <w:tab w:val="left" w:pos="-720"/>
              </w:tabs>
              <w:rPr>
                <w:sz w:val="20"/>
                <w:szCs w:val="20"/>
                <w:lang w:val="en-US"/>
              </w:rPr>
            </w:pPr>
          </w:p>
          <w:p w:rsidR="00B91975" w:rsidRPr="00EB7BB6" w:rsidRDefault="00B91975" w:rsidP="00B91975">
            <w:pPr>
              <w:tabs>
                <w:tab w:val="left" w:pos="-1440"/>
                <w:tab w:val="left" w:pos="-720"/>
              </w:tabs>
              <w:rPr>
                <w:sz w:val="20"/>
                <w:szCs w:val="20"/>
                <w:lang w:val="en-US"/>
              </w:rPr>
            </w:pPr>
            <w:r w:rsidRPr="00EB7BB6">
              <w:rPr>
                <w:sz w:val="20"/>
                <w:szCs w:val="20"/>
                <w:lang w:val="en-US"/>
              </w:rPr>
              <w:tab/>
              <w:t>v. (38570)</w:t>
            </w:r>
          </w:p>
          <w:p w:rsidR="00B91975" w:rsidRPr="00EB7BB6" w:rsidRDefault="00B91975" w:rsidP="00B91975">
            <w:pPr>
              <w:tabs>
                <w:tab w:val="left" w:pos="-1440"/>
                <w:tab w:val="left" w:pos="-720"/>
              </w:tabs>
              <w:rPr>
                <w:sz w:val="20"/>
                <w:szCs w:val="20"/>
                <w:lang w:val="en-US"/>
              </w:rPr>
            </w:pPr>
          </w:p>
          <w:p w:rsidR="00B91975" w:rsidRPr="00EB7BB6" w:rsidRDefault="00B91975" w:rsidP="00B91975">
            <w:pPr>
              <w:tabs>
                <w:tab w:val="left" w:pos="-1440"/>
                <w:tab w:val="left" w:pos="-720"/>
              </w:tabs>
              <w:rPr>
                <w:b/>
                <w:sz w:val="20"/>
                <w:szCs w:val="20"/>
                <w:lang w:val="en-US"/>
              </w:rPr>
            </w:pPr>
            <w:r w:rsidRPr="00EB7BB6">
              <w:rPr>
                <w:b/>
                <w:sz w:val="20"/>
                <w:szCs w:val="20"/>
                <w:lang w:val="en-US"/>
              </w:rPr>
              <w:t>College of Veterinarians of Ontario (Ont.)</w:t>
            </w:r>
          </w:p>
          <w:p w:rsidR="00B91975" w:rsidRPr="00EB7BB6" w:rsidRDefault="00B91975" w:rsidP="00B91975">
            <w:pPr>
              <w:tabs>
                <w:tab w:val="left" w:pos="-1440"/>
                <w:tab w:val="left" w:pos="-720"/>
              </w:tabs>
              <w:ind w:left="702"/>
              <w:rPr>
                <w:sz w:val="20"/>
                <w:szCs w:val="20"/>
                <w:lang w:val="fr-CA"/>
              </w:rPr>
            </w:pPr>
            <w:r w:rsidRPr="00EB7BB6">
              <w:rPr>
                <w:sz w:val="20"/>
                <w:szCs w:val="20"/>
                <w:lang w:val="fr-CA"/>
              </w:rPr>
              <w:t>LeBlanc, Bernard C.</w:t>
            </w:r>
          </w:p>
          <w:p w:rsidR="00B91975" w:rsidRPr="00EB7BB6" w:rsidRDefault="00B91975" w:rsidP="00B91975">
            <w:pPr>
              <w:tabs>
                <w:tab w:val="left" w:pos="-1440"/>
                <w:tab w:val="left" w:pos="-720"/>
              </w:tabs>
              <w:ind w:left="702"/>
              <w:rPr>
                <w:sz w:val="20"/>
                <w:szCs w:val="20"/>
                <w:lang w:val="fr-CA"/>
              </w:rPr>
            </w:pPr>
            <w:r w:rsidRPr="00EB7BB6">
              <w:rPr>
                <w:sz w:val="20"/>
                <w:szCs w:val="20"/>
                <w:lang w:val="fr-CA"/>
              </w:rPr>
              <w:t xml:space="preserve">Steinecke Maciura LeBlanc </w:t>
            </w:r>
          </w:p>
          <w:p w:rsidR="00B91975" w:rsidRPr="00EB7BB6" w:rsidRDefault="00B91975" w:rsidP="00B91975">
            <w:pPr>
              <w:tabs>
                <w:tab w:val="left" w:pos="-1440"/>
                <w:tab w:val="left" w:pos="-720"/>
              </w:tabs>
              <w:rPr>
                <w:sz w:val="20"/>
                <w:szCs w:val="20"/>
                <w:lang w:val="fr-CA"/>
              </w:rPr>
            </w:pPr>
          </w:p>
          <w:p w:rsidR="00B91975" w:rsidRPr="00EB7BB6" w:rsidRDefault="00B91975" w:rsidP="00B91975">
            <w:pPr>
              <w:rPr>
                <w:sz w:val="20"/>
                <w:szCs w:val="20"/>
              </w:rPr>
            </w:pPr>
            <w:r w:rsidRPr="00EB7BB6">
              <w:rPr>
                <w:sz w:val="20"/>
                <w:szCs w:val="20"/>
              </w:rPr>
              <w:t>FILING DATE: March 28, 2019</w:t>
            </w:r>
          </w:p>
          <w:p w:rsidR="000B2C85" w:rsidRPr="00EB7BB6" w:rsidRDefault="00EB7BB6" w:rsidP="00B91975">
            <w:pPr>
              <w:rPr>
                <w:sz w:val="20"/>
                <w:szCs w:val="20"/>
                <w:lang w:val="fr-CA"/>
              </w:rPr>
            </w:pPr>
            <w:r w:rsidRPr="00EB7BB6">
              <w:rPr>
                <w:sz w:val="20"/>
                <w:szCs w:val="20"/>
                <w:lang w:val="fr-CA"/>
              </w:rPr>
              <w:pict>
                <v:rect id="_x0000_i1042" style="width:108pt;height:1pt" o:hrpct="0" o:hralign="center" o:hrstd="t" o:hrnoshade="t" o:hr="t" fillcolor="black [3213]" stroked="f"/>
              </w:pict>
            </w:r>
          </w:p>
        </w:tc>
      </w:tr>
      <w:tr w:rsidR="00B91975" w:rsidRPr="00EB7BB6" w:rsidTr="009C26F0">
        <w:trPr>
          <w:trHeight w:val="3002"/>
        </w:trPr>
        <w:tc>
          <w:tcPr>
            <w:tcW w:w="4320" w:type="dxa"/>
            <w:shd w:val="clear" w:color="auto" w:fill="auto"/>
          </w:tcPr>
          <w:p w:rsidR="00B91975" w:rsidRPr="00EB7BB6" w:rsidRDefault="00B91975" w:rsidP="00B91975">
            <w:pPr>
              <w:tabs>
                <w:tab w:val="left" w:pos="-1440"/>
                <w:tab w:val="left" w:pos="-720"/>
              </w:tabs>
              <w:rPr>
                <w:b/>
                <w:bCs/>
                <w:sz w:val="20"/>
                <w:szCs w:val="20"/>
                <w:lang w:val="en-US"/>
              </w:rPr>
            </w:pPr>
            <w:r w:rsidRPr="00EB7BB6">
              <w:rPr>
                <w:b/>
                <w:bCs/>
                <w:sz w:val="20"/>
                <w:szCs w:val="20"/>
                <w:lang w:val="en-US"/>
              </w:rPr>
              <w:t xml:space="preserve">Corey Scott Tymchyshyn </w:t>
            </w:r>
          </w:p>
          <w:p w:rsidR="00B91975" w:rsidRPr="00EB7BB6" w:rsidRDefault="00B91975" w:rsidP="00B91975">
            <w:pPr>
              <w:tabs>
                <w:tab w:val="left" w:pos="-1440"/>
                <w:tab w:val="left" w:pos="-720"/>
              </w:tabs>
              <w:ind w:left="720"/>
              <w:rPr>
                <w:bCs/>
                <w:sz w:val="20"/>
                <w:szCs w:val="20"/>
                <w:lang w:val="en-US"/>
              </w:rPr>
            </w:pPr>
            <w:r w:rsidRPr="00EB7BB6">
              <w:rPr>
                <w:bCs/>
                <w:sz w:val="20"/>
                <w:szCs w:val="20"/>
                <w:lang w:val="en-US"/>
              </w:rPr>
              <w:t xml:space="preserve">Corey Scott Tymchyshyn </w:t>
            </w:r>
          </w:p>
          <w:p w:rsidR="00B91975" w:rsidRPr="00EB7BB6" w:rsidRDefault="00B91975" w:rsidP="00B91975">
            <w:pPr>
              <w:tabs>
                <w:tab w:val="left" w:pos="-1440"/>
                <w:tab w:val="left" w:pos="-720"/>
              </w:tabs>
              <w:rPr>
                <w:sz w:val="20"/>
                <w:szCs w:val="20"/>
                <w:lang w:val="en-US"/>
              </w:rPr>
            </w:pPr>
          </w:p>
          <w:p w:rsidR="00B91975" w:rsidRPr="00EB7BB6" w:rsidRDefault="00B91975" w:rsidP="00B91975">
            <w:pPr>
              <w:tabs>
                <w:tab w:val="left" w:pos="-1440"/>
                <w:tab w:val="left" w:pos="-720"/>
              </w:tabs>
              <w:rPr>
                <w:sz w:val="20"/>
                <w:szCs w:val="20"/>
                <w:lang w:val="en-US"/>
              </w:rPr>
            </w:pPr>
            <w:r w:rsidRPr="00EB7BB6">
              <w:rPr>
                <w:sz w:val="20"/>
                <w:szCs w:val="20"/>
                <w:lang w:val="en-US"/>
              </w:rPr>
              <w:tab/>
              <w:t>v. (38566)</w:t>
            </w:r>
          </w:p>
          <w:p w:rsidR="00B91975" w:rsidRPr="00EB7BB6" w:rsidRDefault="00B91975" w:rsidP="00B91975">
            <w:pPr>
              <w:tabs>
                <w:tab w:val="left" w:pos="-1440"/>
                <w:tab w:val="left" w:pos="-720"/>
              </w:tabs>
              <w:rPr>
                <w:sz w:val="20"/>
                <w:szCs w:val="20"/>
                <w:lang w:val="en-US"/>
              </w:rPr>
            </w:pPr>
          </w:p>
          <w:p w:rsidR="00B91975" w:rsidRPr="00EB7BB6" w:rsidRDefault="00B91975" w:rsidP="00B91975">
            <w:pPr>
              <w:tabs>
                <w:tab w:val="left" w:pos="-1440"/>
                <w:tab w:val="left" w:pos="-720"/>
              </w:tabs>
              <w:rPr>
                <w:b/>
                <w:sz w:val="20"/>
                <w:szCs w:val="20"/>
                <w:lang w:val="en-US"/>
              </w:rPr>
            </w:pPr>
            <w:r w:rsidRPr="00EB7BB6">
              <w:rPr>
                <w:b/>
                <w:sz w:val="20"/>
                <w:szCs w:val="20"/>
                <w:lang w:val="en-US"/>
              </w:rPr>
              <w:t>Her Majesty the Queen (Man.)</w:t>
            </w:r>
          </w:p>
          <w:p w:rsidR="00B91975" w:rsidRPr="00EB7BB6" w:rsidRDefault="00B91975" w:rsidP="00B91975">
            <w:pPr>
              <w:tabs>
                <w:tab w:val="left" w:pos="-1440"/>
                <w:tab w:val="left" w:pos="-720"/>
              </w:tabs>
              <w:ind w:left="702"/>
              <w:rPr>
                <w:sz w:val="20"/>
                <w:szCs w:val="20"/>
                <w:lang w:val="en-US"/>
              </w:rPr>
            </w:pPr>
            <w:r w:rsidRPr="00EB7BB6">
              <w:rPr>
                <w:sz w:val="20"/>
                <w:szCs w:val="20"/>
                <w:lang w:val="en-US"/>
              </w:rPr>
              <w:t xml:space="preserve">Kotler, Amiram </w:t>
            </w:r>
          </w:p>
          <w:p w:rsidR="00B91975" w:rsidRPr="00EB7BB6" w:rsidRDefault="00B91975" w:rsidP="00B91975">
            <w:pPr>
              <w:tabs>
                <w:tab w:val="left" w:pos="-1440"/>
                <w:tab w:val="left" w:pos="-720"/>
              </w:tabs>
              <w:ind w:left="702"/>
              <w:rPr>
                <w:sz w:val="20"/>
                <w:szCs w:val="20"/>
                <w:lang w:val="en-US"/>
              </w:rPr>
            </w:pPr>
            <w:r w:rsidRPr="00EB7BB6">
              <w:rPr>
                <w:sz w:val="20"/>
                <w:szCs w:val="20"/>
                <w:lang w:val="en-US"/>
              </w:rPr>
              <w:t xml:space="preserve">Attorney General of Manitoba </w:t>
            </w:r>
          </w:p>
          <w:p w:rsidR="00B91975" w:rsidRPr="00EB7BB6" w:rsidRDefault="00B91975" w:rsidP="00B91975">
            <w:pPr>
              <w:tabs>
                <w:tab w:val="left" w:pos="-1440"/>
                <w:tab w:val="left" w:pos="-720"/>
              </w:tabs>
              <w:rPr>
                <w:sz w:val="20"/>
                <w:szCs w:val="20"/>
                <w:lang w:val="en-US"/>
              </w:rPr>
            </w:pPr>
          </w:p>
          <w:p w:rsidR="00B91975" w:rsidRPr="00EB7BB6" w:rsidRDefault="00B91975" w:rsidP="00B91975">
            <w:pPr>
              <w:rPr>
                <w:sz w:val="20"/>
                <w:szCs w:val="20"/>
              </w:rPr>
            </w:pPr>
            <w:r w:rsidRPr="00EB7BB6">
              <w:rPr>
                <w:sz w:val="20"/>
                <w:szCs w:val="20"/>
              </w:rPr>
              <w:t>FILING DATE: November 5, 2018</w:t>
            </w:r>
          </w:p>
          <w:p w:rsidR="00B91975" w:rsidRPr="00EB7BB6" w:rsidRDefault="00EB7BB6" w:rsidP="00B91975">
            <w:pPr>
              <w:rPr>
                <w:sz w:val="20"/>
                <w:szCs w:val="20"/>
                <w:lang w:val="fr-CA"/>
              </w:rPr>
            </w:pPr>
            <w:r w:rsidRPr="00EB7BB6">
              <w:rPr>
                <w:sz w:val="20"/>
                <w:szCs w:val="20"/>
                <w:lang w:val="fr-CA"/>
              </w:rPr>
              <w:pict w14:anchorId="6A9948A8">
                <v:rect id="_x0000_i1043" style="width:108pt;height:1pt" o:hrpct="0" o:hralign="center" o:hrstd="t" o:hrnoshade="t" o:hr="t" fillcolor="black [3213]" stroked="f"/>
              </w:pict>
            </w:r>
          </w:p>
        </w:tc>
        <w:tc>
          <w:tcPr>
            <w:tcW w:w="1181" w:type="dxa"/>
            <w:shd w:val="clear" w:color="auto" w:fill="auto"/>
          </w:tcPr>
          <w:p w:rsidR="00B91975" w:rsidRPr="00EB7BB6" w:rsidRDefault="00B91975" w:rsidP="00B91975">
            <w:pPr>
              <w:jc w:val="center"/>
              <w:rPr>
                <w:sz w:val="20"/>
                <w:szCs w:val="20"/>
                <w:lang w:val="fr-CA"/>
              </w:rPr>
            </w:pPr>
          </w:p>
        </w:tc>
        <w:tc>
          <w:tcPr>
            <w:tcW w:w="4320" w:type="dxa"/>
            <w:shd w:val="clear" w:color="auto" w:fill="auto"/>
          </w:tcPr>
          <w:p w:rsidR="00B91975" w:rsidRPr="00EB7BB6" w:rsidRDefault="00B91975" w:rsidP="00B91975">
            <w:pPr>
              <w:tabs>
                <w:tab w:val="left" w:pos="-1440"/>
                <w:tab w:val="left" w:pos="-720"/>
              </w:tabs>
              <w:rPr>
                <w:b/>
                <w:bCs/>
                <w:sz w:val="20"/>
                <w:szCs w:val="20"/>
                <w:lang w:val="en-US"/>
              </w:rPr>
            </w:pPr>
            <w:r w:rsidRPr="00EB7BB6">
              <w:rPr>
                <w:b/>
                <w:bCs/>
                <w:sz w:val="20"/>
                <w:szCs w:val="20"/>
                <w:lang w:val="en-US"/>
              </w:rPr>
              <w:t xml:space="preserve">Prashant Jadhav </w:t>
            </w:r>
          </w:p>
          <w:p w:rsidR="00B91975" w:rsidRPr="00EB7BB6" w:rsidRDefault="00B91975" w:rsidP="00B91975">
            <w:pPr>
              <w:tabs>
                <w:tab w:val="left" w:pos="-1440"/>
                <w:tab w:val="left" w:pos="-720"/>
              </w:tabs>
              <w:ind w:left="720"/>
              <w:rPr>
                <w:sz w:val="20"/>
                <w:szCs w:val="20"/>
                <w:lang w:val="en-US"/>
              </w:rPr>
            </w:pPr>
            <w:r w:rsidRPr="00EB7BB6">
              <w:rPr>
                <w:sz w:val="20"/>
                <w:szCs w:val="20"/>
                <w:lang w:val="en-US"/>
              </w:rPr>
              <w:t>Buckingham, Philip J.</w:t>
            </w:r>
          </w:p>
          <w:p w:rsidR="00B91975" w:rsidRPr="00EB7BB6" w:rsidRDefault="00B91975" w:rsidP="00B91975">
            <w:pPr>
              <w:tabs>
                <w:tab w:val="left" w:pos="-1440"/>
                <w:tab w:val="left" w:pos="-720"/>
              </w:tabs>
              <w:ind w:left="720"/>
              <w:rPr>
                <w:sz w:val="20"/>
                <w:szCs w:val="20"/>
                <w:lang w:val="en-US"/>
              </w:rPr>
            </w:pPr>
            <w:r w:rsidRPr="00EB7BB6">
              <w:rPr>
                <w:sz w:val="20"/>
                <w:szCs w:val="20"/>
                <w:lang w:val="en-US"/>
              </w:rPr>
              <w:t xml:space="preserve">Goodland O'Flaherty </w:t>
            </w:r>
          </w:p>
          <w:p w:rsidR="00B91975" w:rsidRPr="00EB7BB6" w:rsidRDefault="00B91975" w:rsidP="00B91975">
            <w:pPr>
              <w:tabs>
                <w:tab w:val="left" w:pos="-1440"/>
                <w:tab w:val="left" w:pos="-720"/>
              </w:tabs>
              <w:rPr>
                <w:sz w:val="20"/>
                <w:szCs w:val="20"/>
                <w:lang w:val="en-US"/>
              </w:rPr>
            </w:pPr>
          </w:p>
          <w:p w:rsidR="00B91975" w:rsidRPr="00EB7BB6" w:rsidRDefault="00B91975" w:rsidP="00B91975">
            <w:pPr>
              <w:tabs>
                <w:tab w:val="left" w:pos="-1440"/>
                <w:tab w:val="left" w:pos="-720"/>
              </w:tabs>
              <w:rPr>
                <w:sz w:val="20"/>
                <w:szCs w:val="20"/>
                <w:lang w:val="en-US"/>
              </w:rPr>
            </w:pPr>
            <w:r w:rsidRPr="00EB7BB6">
              <w:rPr>
                <w:sz w:val="20"/>
                <w:szCs w:val="20"/>
                <w:lang w:val="en-US"/>
              </w:rPr>
              <w:tab/>
              <w:t>v. (38560)</w:t>
            </w:r>
          </w:p>
          <w:p w:rsidR="00B91975" w:rsidRPr="00EB7BB6" w:rsidRDefault="00B91975" w:rsidP="00B91975">
            <w:pPr>
              <w:tabs>
                <w:tab w:val="left" w:pos="-1440"/>
                <w:tab w:val="left" w:pos="-720"/>
              </w:tabs>
              <w:rPr>
                <w:sz w:val="20"/>
                <w:szCs w:val="20"/>
                <w:lang w:val="en-US"/>
              </w:rPr>
            </w:pPr>
          </w:p>
          <w:p w:rsidR="00B91975" w:rsidRPr="00EB7BB6" w:rsidRDefault="00B91975" w:rsidP="00B91975">
            <w:pPr>
              <w:tabs>
                <w:tab w:val="left" w:pos="-1440"/>
                <w:tab w:val="left" w:pos="-720"/>
              </w:tabs>
              <w:rPr>
                <w:b/>
                <w:sz w:val="20"/>
                <w:szCs w:val="20"/>
                <w:lang w:val="en-US"/>
              </w:rPr>
            </w:pPr>
            <w:r w:rsidRPr="00EB7BB6">
              <w:rPr>
                <w:b/>
                <w:sz w:val="20"/>
                <w:szCs w:val="20"/>
                <w:lang w:val="en-US"/>
              </w:rPr>
              <w:t>David Kielly (N.L.)</w:t>
            </w:r>
          </w:p>
          <w:p w:rsidR="00B91975" w:rsidRPr="00EB7BB6" w:rsidRDefault="00B91975" w:rsidP="00B91975">
            <w:pPr>
              <w:tabs>
                <w:tab w:val="left" w:pos="-1440"/>
                <w:tab w:val="left" w:pos="-720"/>
              </w:tabs>
              <w:ind w:left="702"/>
              <w:rPr>
                <w:sz w:val="20"/>
                <w:szCs w:val="20"/>
                <w:lang w:val="en-US"/>
              </w:rPr>
            </w:pPr>
            <w:r w:rsidRPr="00EB7BB6">
              <w:rPr>
                <w:sz w:val="20"/>
                <w:szCs w:val="20"/>
                <w:lang w:val="en-US"/>
              </w:rPr>
              <w:t xml:space="preserve">Shea, Peter </w:t>
            </w:r>
          </w:p>
          <w:p w:rsidR="00B91975" w:rsidRPr="00EB7BB6" w:rsidRDefault="00B91975" w:rsidP="00B91975">
            <w:pPr>
              <w:tabs>
                <w:tab w:val="left" w:pos="-1440"/>
                <w:tab w:val="left" w:pos="-720"/>
              </w:tabs>
              <w:ind w:left="702"/>
              <w:rPr>
                <w:sz w:val="20"/>
                <w:szCs w:val="20"/>
                <w:lang w:val="en-US"/>
              </w:rPr>
            </w:pPr>
            <w:r w:rsidRPr="00EB7BB6">
              <w:rPr>
                <w:sz w:val="20"/>
                <w:szCs w:val="20"/>
                <w:lang w:val="en-US"/>
              </w:rPr>
              <w:t xml:space="preserve">Intact Insurance Company </w:t>
            </w:r>
          </w:p>
          <w:p w:rsidR="00B91975" w:rsidRPr="00EB7BB6" w:rsidRDefault="00B91975" w:rsidP="00B91975">
            <w:pPr>
              <w:tabs>
                <w:tab w:val="left" w:pos="-1440"/>
                <w:tab w:val="left" w:pos="-720"/>
              </w:tabs>
              <w:rPr>
                <w:sz w:val="20"/>
                <w:szCs w:val="20"/>
                <w:lang w:val="en"/>
              </w:rPr>
            </w:pPr>
          </w:p>
          <w:p w:rsidR="00B91975" w:rsidRPr="00EB7BB6" w:rsidRDefault="00B91975" w:rsidP="00B91975">
            <w:pPr>
              <w:rPr>
                <w:sz w:val="20"/>
                <w:szCs w:val="20"/>
              </w:rPr>
            </w:pPr>
            <w:r w:rsidRPr="00EB7BB6">
              <w:rPr>
                <w:sz w:val="20"/>
                <w:szCs w:val="20"/>
              </w:rPr>
              <w:t>FILING DATE: March 22, 2019</w:t>
            </w:r>
          </w:p>
          <w:p w:rsidR="00B91975" w:rsidRPr="00EB7BB6" w:rsidRDefault="00EB7BB6" w:rsidP="00B91975">
            <w:pPr>
              <w:rPr>
                <w:sz w:val="20"/>
                <w:szCs w:val="20"/>
                <w:lang w:val="fr-CA"/>
              </w:rPr>
            </w:pPr>
            <w:r w:rsidRPr="00EB7BB6">
              <w:rPr>
                <w:sz w:val="20"/>
                <w:szCs w:val="20"/>
                <w:lang w:val="fr-CA"/>
              </w:rPr>
              <w:pict>
                <v:rect id="_x0000_i1044" style="width:108pt;height:1pt" o:hrpct="0" o:hralign="center" o:hrstd="t" o:hrnoshade="t" o:hr="t" fillcolor="black [3213]" stroked="f"/>
              </w:pict>
            </w:r>
          </w:p>
          <w:p w:rsidR="00FD39B6" w:rsidRPr="00EB7BB6" w:rsidRDefault="00FD39B6" w:rsidP="00B91975">
            <w:pPr>
              <w:rPr>
                <w:sz w:val="20"/>
                <w:szCs w:val="20"/>
                <w:lang w:val="fr-CA"/>
              </w:rPr>
            </w:pPr>
          </w:p>
        </w:tc>
      </w:tr>
      <w:tr w:rsidR="00B91975" w:rsidRPr="00EB7BB6" w:rsidTr="009C26F0">
        <w:trPr>
          <w:trHeight w:val="3115"/>
        </w:trPr>
        <w:tc>
          <w:tcPr>
            <w:tcW w:w="4320" w:type="dxa"/>
            <w:shd w:val="clear" w:color="auto" w:fill="auto"/>
          </w:tcPr>
          <w:p w:rsidR="00B91975" w:rsidRPr="00EB7BB6" w:rsidRDefault="00B91975" w:rsidP="00B91975">
            <w:pPr>
              <w:rPr>
                <w:b/>
                <w:sz w:val="20"/>
                <w:szCs w:val="20"/>
                <w:lang w:val="en-US"/>
              </w:rPr>
            </w:pPr>
            <w:r w:rsidRPr="00EB7BB6">
              <w:rPr>
                <w:b/>
                <w:sz w:val="20"/>
                <w:szCs w:val="20"/>
                <w:lang w:val="en-US"/>
              </w:rPr>
              <w:t>O'Leary Funds Management LP, et al.</w:t>
            </w:r>
          </w:p>
          <w:p w:rsidR="00B91975" w:rsidRPr="00EB7BB6" w:rsidRDefault="004A167A" w:rsidP="004A167A">
            <w:pPr>
              <w:ind w:left="720"/>
              <w:rPr>
                <w:sz w:val="20"/>
                <w:szCs w:val="20"/>
                <w:lang w:val="en-US"/>
              </w:rPr>
            </w:pPr>
            <w:r w:rsidRPr="00EB7BB6">
              <w:rPr>
                <w:sz w:val="20"/>
                <w:szCs w:val="20"/>
                <w:lang w:val="en-US"/>
              </w:rPr>
              <w:t xml:space="preserve">O'Neill, Louis-Martin </w:t>
            </w:r>
          </w:p>
          <w:p w:rsidR="004A167A" w:rsidRPr="00EB7BB6" w:rsidRDefault="004A167A" w:rsidP="004A167A">
            <w:pPr>
              <w:ind w:left="720"/>
              <w:rPr>
                <w:sz w:val="20"/>
                <w:szCs w:val="20"/>
                <w:lang w:val="en-US"/>
              </w:rPr>
            </w:pPr>
            <w:r w:rsidRPr="00EB7BB6">
              <w:rPr>
                <w:sz w:val="20"/>
                <w:szCs w:val="20"/>
                <w:lang w:val="en-US"/>
              </w:rPr>
              <w:t>Davies Ward Phillips &amp; Vineberg LLP</w:t>
            </w:r>
          </w:p>
          <w:p w:rsidR="004A167A" w:rsidRPr="00EB7BB6" w:rsidRDefault="004A167A" w:rsidP="004A167A">
            <w:pPr>
              <w:ind w:left="720"/>
              <w:rPr>
                <w:sz w:val="20"/>
                <w:szCs w:val="20"/>
                <w:lang w:val="en-US"/>
              </w:rPr>
            </w:pPr>
          </w:p>
          <w:p w:rsidR="00B91975" w:rsidRPr="00EB7BB6" w:rsidRDefault="00B91975" w:rsidP="00B91975">
            <w:pPr>
              <w:rPr>
                <w:sz w:val="20"/>
                <w:szCs w:val="20"/>
                <w:lang w:val="fr-CA"/>
              </w:rPr>
            </w:pPr>
            <w:r w:rsidRPr="00EB7BB6">
              <w:rPr>
                <w:sz w:val="20"/>
                <w:szCs w:val="20"/>
                <w:lang w:val="en-US"/>
              </w:rPr>
              <w:tab/>
            </w:r>
            <w:r w:rsidRPr="00EB7BB6">
              <w:rPr>
                <w:sz w:val="20"/>
                <w:szCs w:val="20"/>
                <w:lang w:val="fr-CA"/>
              </w:rPr>
              <w:t>c. (385</w:t>
            </w:r>
            <w:r w:rsidR="004A167A" w:rsidRPr="00EB7BB6">
              <w:rPr>
                <w:sz w:val="20"/>
                <w:szCs w:val="20"/>
                <w:lang w:val="fr-CA"/>
              </w:rPr>
              <w:t>64</w:t>
            </w:r>
            <w:r w:rsidRPr="00EB7BB6">
              <w:rPr>
                <w:sz w:val="20"/>
                <w:szCs w:val="20"/>
                <w:lang w:val="fr-CA"/>
              </w:rPr>
              <w:t>)</w:t>
            </w:r>
          </w:p>
          <w:p w:rsidR="00B91975" w:rsidRPr="00EB7BB6" w:rsidRDefault="00B91975" w:rsidP="00B91975">
            <w:pPr>
              <w:rPr>
                <w:sz w:val="20"/>
                <w:szCs w:val="20"/>
                <w:lang w:val="fr-CA"/>
              </w:rPr>
            </w:pPr>
          </w:p>
          <w:p w:rsidR="00B91975" w:rsidRPr="00EB7BB6" w:rsidRDefault="004A167A" w:rsidP="00B91975">
            <w:pPr>
              <w:rPr>
                <w:b/>
                <w:sz w:val="20"/>
                <w:szCs w:val="20"/>
                <w:lang w:val="fr-CA"/>
              </w:rPr>
            </w:pPr>
            <w:r w:rsidRPr="00EB7BB6">
              <w:rPr>
                <w:b/>
                <w:sz w:val="20"/>
                <w:szCs w:val="20"/>
                <w:lang w:val="fr-CA"/>
              </w:rPr>
              <w:t xml:space="preserve">Boralex Inc., et al. </w:t>
            </w:r>
            <w:r w:rsidR="00B91975" w:rsidRPr="00EB7BB6">
              <w:rPr>
                <w:b/>
                <w:sz w:val="20"/>
                <w:szCs w:val="20"/>
                <w:lang w:val="fr-CA"/>
              </w:rPr>
              <w:t>(Qc)</w:t>
            </w:r>
          </w:p>
          <w:p w:rsidR="00B91975" w:rsidRPr="00EB7BB6" w:rsidRDefault="004A167A" w:rsidP="00B91975">
            <w:pPr>
              <w:ind w:left="720"/>
              <w:rPr>
                <w:sz w:val="20"/>
                <w:szCs w:val="20"/>
                <w:lang w:val="fr-CA"/>
              </w:rPr>
            </w:pPr>
            <w:r w:rsidRPr="00EB7BB6">
              <w:rPr>
                <w:sz w:val="20"/>
                <w:szCs w:val="20"/>
                <w:lang w:val="fr-CA"/>
              </w:rPr>
              <w:t>Nahmiash, Laurent</w:t>
            </w:r>
          </w:p>
          <w:p w:rsidR="00B91975" w:rsidRPr="00EB7BB6" w:rsidRDefault="004A167A" w:rsidP="004A167A">
            <w:pPr>
              <w:ind w:left="720"/>
              <w:rPr>
                <w:sz w:val="20"/>
                <w:szCs w:val="20"/>
                <w:lang w:val="fr-CA"/>
              </w:rPr>
            </w:pPr>
            <w:r w:rsidRPr="00EB7BB6">
              <w:rPr>
                <w:sz w:val="20"/>
                <w:szCs w:val="20"/>
                <w:lang w:val="fr-CA"/>
              </w:rPr>
              <w:t xml:space="preserve">INF S.E.N.C.R.L. / LLP </w:t>
            </w:r>
          </w:p>
          <w:p w:rsidR="004A167A" w:rsidRPr="00EB7BB6" w:rsidRDefault="004A167A" w:rsidP="004A167A">
            <w:pPr>
              <w:ind w:left="720"/>
              <w:rPr>
                <w:sz w:val="20"/>
                <w:szCs w:val="20"/>
                <w:lang w:val="fr-CA"/>
              </w:rPr>
            </w:pPr>
          </w:p>
          <w:p w:rsidR="00B91975" w:rsidRPr="00EB7BB6" w:rsidRDefault="00B91975" w:rsidP="00B91975">
            <w:pPr>
              <w:tabs>
                <w:tab w:val="left" w:pos="-1440"/>
                <w:tab w:val="left" w:pos="-720"/>
              </w:tabs>
              <w:rPr>
                <w:b/>
                <w:bCs/>
                <w:sz w:val="20"/>
                <w:szCs w:val="20"/>
                <w:lang w:val="fr-CA"/>
              </w:rPr>
            </w:pPr>
            <w:r w:rsidRPr="00EB7BB6">
              <w:rPr>
                <w:sz w:val="20"/>
                <w:szCs w:val="20"/>
                <w:lang w:val="fr-CA"/>
              </w:rPr>
              <w:t>DATE DE PRODUCTION: Le 22 mars 2019</w:t>
            </w:r>
            <w:r w:rsidR="00EB7BB6" w:rsidRPr="00EB7BB6">
              <w:rPr>
                <w:sz w:val="20"/>
                <w:szCs w:val="20"/>
                <w:lang w:val="fr-CA"/>
              </w:rPr>
              <w:pict>
                <v:rect id="_x0000_i1045" style="width:108pt;height:1pt" o:hrpct="0" o:hralign="center" o:hrstd="t" o:hrnoshade="t" o:hr="t" fillcolor="black [3213]" stroked="f"/>
              </w:pict>
            </w:r>
          </w:p>
        </w:tc>
        <w:tc>
          <w:tcPr>
            <w:tcW w:w="1181" w:type="dxa"/>
            <w:shd w:val="clear" w:color="auto" w:fill="auto"/>
          </w:tcPr>
          <w:p w:rsidR="00B91975" w:rsidRPr="00EB7BB6" w:rsidRDefault="00B91975" w:rsidP="00B91975">
            <w:pPr>
              <w:jc w:val="center"/>
              <w:rPr>
                <w:sz w:val="20"/>
                <w:szCs w:val="20"/>
                <w:lang w:val="fr-CA"/>
              </w:rPr>
            </w:pPr>
          </w:p>
        </w:tc>
        <w:tc>
          <w:tcPr>
            <w:tcW w:w="4320" w:type="dxa"/>
            <w:shd w:val="clear" w:color="auto" w:fill="auto"/>
          </w:tcPr>
          <w:p w:rsidR="004A167A" w:rsidRPr="00EB7BB6" w:rsidRDefault="004A167A" w:rsidP="004A167A">
            <w:pPr>
              <w:tabs>
                <w:tab w:val="left" w:pos="-1440"/>
                <w:tab w:val="left" w:pos="-720"/>
              </w:tabs>
              <w:rPr>
                <w:b/>
                <w:bCs/>
                <w:sz w:val="20"/>
                <w:szCs w:val="20"/>
                <w:lang w:val="en-US"/>
              </w:rPr>
            </w:pPr>
            <w:r w:rsidRPr="00EB7BB6">
              <w:rPr>
                <w:b/>
                <w:bCs/>
                <w:sz w:val="20"/>
                <w:szCs w:val="20"/>
                <w:lang w:val="en-US"/>
              </w:rPr>
              <w:t>Lyudmila Chavdarova a.k.a. Mila Chavdarova</w:t>
            </w:r>
          </w:p>
          <w:p w:rsidR="004A167A" w:rsidRPr="00EB7BB6" w:rsidRDefault="004A167A" w:rsidP="004A167A">
            <w:pPr>
              <w:tabs>
                <w:tab w:val="left" w:pos="-1440"/>
                <w:tab w:val="left" w:pos="-720"/>
              </w:tabs>
              <w:ind w:left="720"/>
              <w:rPr>
                <w:bCs/>
                <w:sz w:val="20"/>
                <w:szCs w:val="20"/>
                <w:lang w:val="en-US"/>
              </w:rPr>
            </w:pPr>
            <w:r w:rsidRPr="00EB7BB6">
              <w:rPr>
                <w:bCs/>
                <w:sz w:val="20"/>
                <w:szCs w:val="20"/>
                <w:lang w:val="en-US"/>
              </w:rPr>
              <w:t>Lyudmila Chavdarova a.k.a. Mila Chavdarova</w:t>
            </w:r>
          </w:p>
          <w:p w:rsidR="004A167A" w:rsidRPr="00EB7BB6" w:rsidRDefault="004A167A" w:rsidP="004A167A">
            <w:pPr>
              <w:tabs>
                <w:tab w:val="left" w:pos="-1440"/>
                <w:tab w:val="left" w:pos="-720"/>
              </w:tabs>
              <w:rPr>
                <w:sz w:val="20"/>
                <w:szCs w:val="20"/>
                <w:lang w:val="en-US"/>
              </w:rPr>
            </w:pPr>
          </w:p>
          <w:p w:rsidR="004A167A" w:rsidRPr="00EB7BB6" w:rsidRDefault="004A167A" w:rsidP="004A167A">
            <w:pPr>
              <w:tabs>
                <w:tab w:val="left" w:pos="-1440"/>
                <w:tab w:val="left" w:pos="-720"/>
              </w:tabs>
              <w:rPr>
                <w:sz w:val="20"/>
                <w:szCs w:val="20"/>
                <w:lang w:val="en-US"/>
              </w:rPr>
            </w:pPr>
            <w:r w:rsidRPr="00EB7BB6">
              <w:rPr>
                <w:sz w:val="20"/>
                <w:szCs w:val="20"/>
                <w:lang w:val="en-US"/>
              </w:rPr>
              <w:tab/>
              <w:t>v. (38567)</w:t>
            </w:r>
          </w:p>
          <w:p w:rsidR="004A167A" w:rsidRPr="00EB7BB6" w:rsidRDefault="004A167A" w:rsidP="004A167A">
            <w:pPr>
              <w:tabs>
                <w:tab w:val="left" w:pos="-1440"/>
                <w:tab w:val="left" w:pos="-720"/>
              </w:tabs>
              <w:rPr>
                <w:sz w:val="20"/>
                <w:szCs w:val="20"/>
                <w:lang w:val="en-US"/>
              </w:rPr>
            </w:pPr>
          </w:p>
          <w:p w:rsidR="004A167A" w:rsidRPr="00EB7BB6" w:rsidRDefault="004A167A" w:rsidP="004A167A">
            <w:pPr>
              <w:tabs>
                <w:tab w:val="left" w:pos="-1440"/>
                <w:tab w:val="left" w:pos="-720"/>
              </w:tabs>
              <w:rPr>
                <w:b/>
                <w:sz w:val="20"/>
                <w:szCs w:val="20"/>
                <w:lang w:val="en-US"/>
              </w:rPr>
            </w:pPr>
            <w:r w:rsidRPr="00EB7BB6">
              <w:rPr>
                <w:b/>
                <w:sz w:val="20"/>
                <w:szCs w:val="20"/>
                <w:lang w:val="en-US"/>
              </w:rPr>
              <w:t>The Staffing Exchange Inc. a.k.a. TSE Canada Inc. (Ont.)</w:t>
            </w:r>
          </w:p>
          <w:p w:rsidR="004A167A" w:rsidRPr="00EB7BB6" w:rsidRDefault="004A167A" w:rsidP="004A167A">
            <w:pPr>
              <w:tabs>
                <w:tab w:val="left" w:pos="-1440"/>
                <w:tab w:val="left" w:pos="-720"/>
              </w:tabs>
              <w:ind w:left="702"/>
              <w:rPr>
                <w:sz w:val="20"/>
                <w:szCs w:val="20"/>
                <w:lang w:val="en-US"/>
              </w:rPr>
            </w:pPr>
            <w:r w:rsidRPr="00EB7BB6">
              <w:rPr>
                <w:sz w:val="20"/>
                <w:szCs w:val="20"/>
                <w:lang w:val="en-US"/>
              </w:rPr>
              <w:t xml:space="preserve">Polvere, Michael </w:t>
            </w:r>
          </w:p>
          <w:p w:rsidR="004A167A" w:rsidRPr="00EB7BB6" w:rsidRDefault="004A167A" w:rsidP="004A167A">
            <w:pPr>
              <w:tabs>
                <w:tab w:val="left" w:pos="-1440"/>
                <w:tab w:val="left" w:pos="-720"/>
              </w:tabs>
              <w:ind w:left="702"/>
              <w:rPr>
                <w:sz w:val="20"/>
                <w:szCs w:val="20"/>
                <w:lang w:val="en"/>
              </w:rPr>
            </w:pPr>
            <w:r w:rsidRPr="00EB7BB6">
              <w:rPr>
                <w:sz w:val="20"/>
                <w:szCs w:val="20"/>
                <w:lang w:val="en"/>
              </w:rPr>
              <w:t xml:space="preserve">Siskinds LLP </w:t>
            </w:r>
          </w:p>
          <w:p w:rsidR="004A167A" w:rsidRPr="00EB7BB6" w:rsidRDefault="004A167A" w:rsidP="004A167A">
            <w:pPr>
              <w:tabs>
                <w:tab w:val="left" w:pos="-1440"/>
                <w:tab w:val="left" w:pos="-720"/>
              </w:tabs>
              <w:rPr>
                <w:sz w:val="20"/>
                <w:szCs w:val="20"/>
                <w:lang w:val="en"/>
              </w:rPr>
            </w:pPr>
          </w:p>
          <w:p w:rsidR="004A167A" w:rsidRPr="00EB7BB6" w:rsidRDefault="004A167A" w:rsidP="004A167A">
            <w:pPr>
              <w:rPr>
                <w:sz w:val="20"/>
                <w:szCs w:val="20"/>
              </w:rPr>
            </w:pPr>
            <w:r w:rsidRPr="00EB7BB6">
              <w:rPr>
                <w:sz w:val="20"/>
                <w:szCs w:val="20"/>
              </w:rPr>
              <w:t>FILING DATE: February 5, 2019</w:t>
            </w:r>
          </w:p>
          <w:p w:rsidR="00B91975" w:rsidRPr="00EB7BB6" w:rsidRDefault="00EB7BB6" w:rsidP="004A167A">
            <w:pPr>
              <w:rPr>
                <w:sz w:val="20"/>
                <w:szCs w:val="20"/>
                <w:lang w:val="fr-CA"/>
              </w:rPr>
            </w:pPr>
            <w:r w:rsidRPr="00EB7BB6">
              <w:rPr>
                <w:sz w:val="20"/>
                <w:szCs w:val="20"/>
                <w:lang w:val="fr-CA"/>
              </w:rPr>
              <w:pict>
                <v:rect id="_x0000_i1046" style="width:108pt;height:1pt" o:hrpct="0" o:hralign="center" o:hrstd="t" o:hrnoshade="t" o:hr="t" fillcolor="black [3213]" stroked="f"/>
              </w:pict>
            </w:r>
          </w:p>
          <w:p w:rsidR="00FD39B6" w:rsidRPr="00EB7BB6" w:rsidRDefault="00FD39B6" w:rsidP="004A167A">
            <w:pPr>
              <w:rPr>
                <w:sz w:val="20"/>
                <w:szCs w:val="20"/>
                <w:lang w:val="fr-CA"/>
              </w:rPr>
            </w:pPr>
          </w:p>
        </w:tc>
      </w:tr>
    </w:tbl>
    <w:p w:rsidR="00242AEE" w:rsidRPr="00EB7BB6" w:rsidRDefault="00242AEE" w:rsidP="0095096B">
      <w:pPr>
        <w:tabs>
          <w:tab w:val="right" w:pos="9360"/>
        </w:tabs>
        <w:rPr>
          <w:sz w:val="20"/>
          <w:szCs w:val="20"/>
          <w:lang w:val="fr-CA"/>
        </w:rPr>
      </w:pPr>
    </w:p>
    <w:p w:rsidR="00C01FCB" w:rsidRPr="00EB7BB6" w:rsidRDefault="00C01FCB" w:rsidP="0095096B">
      <w:pPr>
        <w:tabs>
          <w:tab w:val="right" w:pos="9360"/>
        </w:tabs>
        <w:rPr>
          <w:sz w:val="20"/>
          <w:szCs w:val="20"/>
          <w:lang w:val="fr-CA"/>
        </w:rPr>
      </w:pPr>
    </w:p>
    <w:p w:rsidR="00C01FCB" w:rsidRPr="00EB7BB6" w:rsidRDefault="00C01FCB" w:rsidP="0095096B">
      <w:pPr>
        <w:tabs>
          <w:tab w:val="right" w:pos="9360"/>
        </w:tabs>
        <w:rPr>
          <w:sz w:val="20"/>
          <w:szCs w:val="20"/>
          <w:lang w:val="fr-CA"/>
        </w:rPr>
      </w:pPr>
    </w:p>
    <w:p w:rsidR="00242AEE" w:rsidRPr="00EB7BB6" w:rsidRDefault="00242AEE" w:rsidP="0095096B">
      <w:pPr>
        <w:tabs>
          <w:tab w:val="right" w:pos="9360"/>
        </w:tabs>
        <w:rPr>
          <w:sz w:val="20"/>
          <w:szCs w:val="20"/>
          <w:lang w:val="fr-CA"/>
        </w:rPr>
        <w:sectPr w:rsidR="00242AEE" w:rsidRPr="00EB7BB6"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B7BB6" w:rsidRDefault="00DD0BDC" w:rsidP="00567602">
      <w:pPr>
        <w:pStyle w:val="Header1StyleE"/>
        <w:pBdr>
          <w:bottom w:val="single" w:sz="12" w:space="1" w:color="auto"/>
        </w:pBdr>
        <w:rPr>
          <w:lang w:val="fr-CA"/>
        </w:rPr>
      </w:pPr>
      <w:bookmarkStart w:id="1" w:name="_Toc6468301"/>
      <w:r w:rsidRPr="00EB7BB6">
        <w:rPr>
          <w:lang w:val="fr-CA"/>
        </w:rPr>
        <w:lastRenderedPageBreak/>
        <w:t>Applications for leave submitted to the Court</w:t>
      </w:r>
      <w:r w:rsidR="000F2CA3" w:rsidRPr="00EB7BB6">
        <w:rPr>
          <w:lang w:val="fr-CA"/>
        </w:rPr>
        <w:t xml:space="preserve"> </w:t>
      </w:r>
      <w:r w:rsidRPr="00EB7BB6">
        <w:rPr>
          <w:lang w:val="fr-CA"/>
        </w:rPr>
        <w:t>since the last issue</w:t>
      </w:r>
      <w:r w:rsidR="000F2CA3" w:rsidRPr="00EB7BB6">
        <w:rPr>
          <w:lang w:val="fr-CA"/>
        </w:rPr>
        <w:t xml:space="preserve"> </w:t>
      </w:r>
      <w:r w:rsidR="00271E1E" w:rsidRPr="00EB7BB6">
        <w:rPr>
          <w:lang w:val="fr-CA"/>
        </w:rPr>
        <w:t xml:space="preserve">/ </w:t>
      </w:r>
      <w:r w:rsidRPr="00EB7BB6">
        <w:rPr>
          <w:lang w:val="fr-CA"/>
        </w:rPr>
        <w:br/>
        <w:t xml:space="preserve">Demandes soumises à la </w:t>
      </w:r>
      <w:r w:rsidR="000C1D9D" w:rsidRPr="00EB7BB6">
        <w:rPr>
          <w:lang w:val="fr-CA"/>
        </w:rPr>
        <w:t>C</w:t>
      </w:r>
      <w:r w:rsidRPr="00EB7BB6">
        <w:rPr>
          <w:lang w:val="fr-CA"/>
        </w:rPr>
        <w:t>our depuis la dernière parution</w:t>
      </w:r>
      <w:bookmarkEnd w:id="1"/>
    </w:p>
    <w:p w:rsidR="00FB1DB6" w:rsidRPr="00EB7BB6" w:rsidRDefault="00FB1DB6" w:rsidP="00FB1DB6">
      <w:pPr>
        <w:rPr>
          <w:sz w:val="20"/>
          <w:szCs w:val="20"/>
          <w:lang w:val="fr-CA" w:eastAsia="en-CA"/>
        </w:rPr>
      </w:pPr>
    </w:p>
    <w:p w:rsidR="00102792" w:rsidRPr="00EB7BB6" w:rsidRDefault="00414F50" w:rsidP="00102792">
      <w:pPr>
        <w:widowControl w:val="0"/>
        <w:rPr>
          <w:b/>
          <w:sz w:val="20"/>
          <w:szCs w:val="20"/>
          <w:lang w:val="fr-CA"/>
        </w:rPr>
      </w:pPr>
      <w:r w:rsidRPr="00EB7BB6">
        <w:rPr>
          <w:b/>
          <w:sz w:val="20"/>
          <w:szCs w:val="20"/>
          <w:lang w:val="fr-CA"/>
        </w:rPr>
        <w:t>APRIL</w:t>
      </w:r>
      <w:r w:rsidR="00102792" w:rsidRPr="00EB7BB6">
        <w:rPr>
          <w:b/>
          <w:sz w:val="20"/>
          <w:szCs w:val="20"/>
          <w:lang w:val="fr-CA"/>
        </w:rPr>
        <w:t xml:space="preserve"> </w:t>
      </w:r>
      <w:r w:rsidRPr="00EB7BB6">
        <w:rPr>
          <w:b/>
          <w:sz w:val="20"/>
          <w:szCs w:val="20"/>
          <w:lang w:val="fr-CA"/>
        </w:rPr>
        <w:t>15</w:t>
      </w:r>
      <w:r w:rsidR="00102792" w:rsidRPr="00EB7BB6">
        <w:rPr>
          <w:b/>
          <w:sz w:val="20"/>
          <w:szCs w:val="20"/>
          <w:lang w:val="fr-CA"/>
        </w:rPr>
        <w:t xml:space="preserve">, </w:t>
      </w:r>
      <w:r w:rsidR="0034657E" w:rsidRPr="00EB7BB6">
        <w:rPr>
          <w:b/>
          <w:sz w:val="20"/>
          <w:szCs w:val="20"/>
          <w:lang w:val="fr-CA"/>
        </w:rPr>
        <w:t>2019</w:t>
      </w:r>
      <w:r w:rsidR="00102792" w:rsidRPr="00EB7BB6">
        <w:rPr>
          <w:b/>
          <w:sz w:val="20"/>
          <w:szCs w:val="20"/>
          <w:lang w:val="fr-CA"/>
        </w:rPr>
        <w:t xml:space="preserve"> / LE </w:t>
      </w:r>
      <w:r w:rsidRPr="00EB7BB6">
        <w:rPr>
          <w:b/>
          <w:sz w:val="20"/>
          <w:szCs w:val="20"/>
          <w:lang w:val="fr-CA"/>
        </w:rPr>
        <w:t>15</w:t>
      </w:r>
      <w:r w:rsidR="00102792" w:rsidRPr="00EB7BB6">
        <w:rPr>
          <w:b/>
          <w:sz w:val="20"/>
          <w:szCs w:val="20"/>
          <w:lang w:val="fr-CA"/>
        </w:rPr>
        <w:t xml:space="preserve"> </w:t>
      </w:r>
      <w:r w:rsidRPr="00EB7BB6">
        <w:rPr>
          <w:b/>
          <w:sz w:val="20"/>
          <w:szCs w:val="20"/>
          <w:lang w:val="fr-CA"/>
        </w:rPr>
        <w:t>AVRIL</w:t>
      </w:r>
      <w:r w:rsidR="00102792" w:rsidRPr="00EB7BB6">
        <w:rPr>
          <w:b/>
          <w:sz w:val="20"/>
          <w:szCs w:val="20"/>
          <w:lang w:val="fr-CA"/>
        </w:rPr>
        <w:t xml:space="preserve"> </w:t>
      </w:r>
      <w:r w:rsidR="0034657E" w:rsidRPr="00EB7BB6">
        <w:rPr>
          <w:b/>
          <w:sz w:val="20"/>
          <w:szCs w:val="20"/>
          <w:lang w:val="fr-CA"/>
        </w:rPr>
        <w:t>2019</w:t>
      </w:r>
    </w:p>
    <w:p w:rsidR="00215574" w:rsidRPr="00EB7BB6" w:rsidRDefault="00215574" w:rsidP="00215574">
      <w:pPr>
        <w:widowControl w:val="0"/>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3C127D" w:rsidRPr="00EB7BB6" w:rsidTr="008446E2">
        <w:trPr>
          <w:cantSplit/>
        </w:trPr>
        <w:tc>
          <w:tcPr>
            <w:tcW w:w="508" w:type="dxa"/>
          </w:tcPr>
          <w:p w:rsidR="003C127D" w:rsidRPr="00EB7BB6" w:rsidRDefault="003C127D" w:rsidP="008446E2">
            <w:pPr>
              <w:rPr>
                <w:sz w:val="20"/>
                <w:szCs w:val="20"/>
                <w:lang w:val="fr-CA"/>
              </w:rPr>
            </w:pPr>
          </w:p>
        </w:tc>
        <w:tc>
          <w:tcPr>
            <w:tcW w:w="810" w:type="dxa"/>
          </w:tcPr>
          <w:p w:rsidR="003C127D" w:rsidRPr="00EB7BB6" w:rsidRDefault="003C127D" w:rsidP="008446E2">
            <w:pPr>
              <w:rPr>
                <w:sz w:val="20"/>
                <w:szCs w:val="20"/>
                <w:lang w:val="fr-CA"/>
              </w:rPr>
            </w:pPr>
          </w:p>
        </w:tc>
        <w:tc>
          <w:tcPr>
            <w:tcW w:w="8258" w:type="dxa"/>
            <w:gridSpan w:val="3"/>
          </w:tcPr>
          <w:p w:rsidR="003C127D" w:rsidRPr="00EB7BB6" w:rsidRDefault="003C127D" w:rsidP="003C127D">
            <w:pPr>
              <w:widowControl w:val="0"/>
              <w:jc w:val="center"/>
              <w:rPr>
                <w:b/>
                <w:sz w:val="20"/>
                <w:szCs w:val="20"/>
              </w:rPr>
            </w:pPr>
            <w:r w:rsidRPr="00EB7BB6">
              <w:rPr>
                <w:b/>
                <w:sz w:val="20"/>
                <w:szCs w:val="20"/>
              </w:rPr>
              <w:t>CORAM:  Chief Justice Wagner and Rowe and Martin JJ.</w:t>
            </w:r>
          </w:p>
          <w:p w:rsidR="003C127D" w:rsidRPr="00EB7BB6" w:rsidRDefault="003C127D" w:rsidP="000F2973">
            <w:pPr>
              <w:widowControl w:val="0"/>
              <w:jc w:val="center"/>
              <w:rPr>
                <w:sz w:val="20"/>
                <w:szCs w:val="20"/>
                <w:lang w:val="fr-CA"/>
              </w:rPr>
            </w:pPr>
            <w:r w:rsidRPr="00EB7BB6">
              <w:rPr>
                <w:b/>
                <w:sz w:val="20"/>
                <w:szCs w:val="20"/>
                <w:lang w:val="fr-CA"/>
              </w:rPr>
              <w:t>Le juge en chef Wagner et les juges Rowe et Martin</w:t>
            </w:r>
          </w:p>
        </w:tc>
      </w:tr>
      <w:tr w:rsidR="000072F0" w:rsidRPr="00EB7BB6" w:rsidTr="008446E2">
        <w:trPr>
          <w:cantSplit/>
        </w:trPr>
        <w:tc>
          <w:tcPr>
            <w:tcW w:w="508" w:type="dxa"/>
          </w:tcPr>
          <w:p w:rsidR="000072F0" w:rsidRPr="00EB7BB6" w:rsidRDefault="000072F0" w:rsidP="008446E2">
            <w:pPr>
              <w:rPr>
                <w:sz w:val="20"/>
                <w:szCs w:val="20"/>
                <w:lang w:val="fr-CA"/>
              </w:rPr>
            </w:pPr>
          </w:p>
        </w:tc>
        <w:tc>
          <w:tcPr>
            <w:tcW w:w="810" w:type="dxa"/>
          </w:tcPr>
          <w:p w:rsidR="000072F0" w:rsidRPr="00EB7BB6" w:rsidRDefault="000072F0" w:rsidP="008446E2">
            <w:pPr>
              <w:rPr>
                <w:sz w:val="20"/>
                <w:szCs w:val="20"/>
                <w:lang w:val="fr-CA"/>
              </w:rPr>
            </w:pPr>
          </w:p>
        </w:tc>
        <w:tc>
          <w:tcPr>
            <w:tcW w:w="4050" w:type="dxa"/>
          </w:tcPr>
          <w:p w:rsidR="000072F0" w:rsidRPr="00EB7BB6" w:rsidRDefault="000072F0" w:rsidP="008446E2">
            <w:pPr>
              <w:pStyle w:val="SCCAppellantInfoTypeOfCase"/>
              <w:rPr>
                <w:sz w:val="20"/>
                <w:szCs w:val="20"/>
              </w:rPr>
            </w:pPr>
            <w:r w:rsidRPr="00EB7BB6">
              <w:rPr>
                <w:sz w:val="20"/>
                <w:szCs w:val="20"/>
              </w:rPr>
              <w:t>Criminal / Criminelle</w:t>
            </w:r>
          </w:p>
        </w:tc>
        <w:tc>
          <w:tcPr>
            <w:tcW w:w="360" w:type="dxa"/>
          </w:tcPr>
          <w:p w:rsidR="000072F0" w:rsidRPr="00EB7BB6" w:rsidRDefault="000072F0" w:rsidP="008446E2">
            <w:pPr>
              <w:rPr>
                <w:sz w:val="20"/>
                <w:szCs w:val="20"/>
              </w:rPr>
            </w:pPr>
          </w:p>
        </w:tc>
        <w:tc>
          <w:tcPr>
            <w:tcW w:w="3848" w:type="dxa"/>
          </w:tcPr>
          <w:p w:rsidR="000072F0" w:rsidRPr="00EB7BB6" w:rsidRDefault="000072F0" w:rsidP="008446E2">
            <w:pPr>
              <w:rPr>
                <w:sz w:val="20"/>
                <w:szCs w:val="20"/>
              </w:rPr>
            </w:pPr>
          </w:p>
        </w:tc>
      </w:tr>
      <w:tr w:rsidR="000072F0" w:rsidRPr="00EB7BB6" w:rsidTr="008446E2">
        <w:trPr>
          <w:cantSplit/>
        </w:trPr>
        <w:tc>
          <w:tcPr>
            <w:tcW w:w="508" w:type="dxa"/>
          </w:tcPr>
          <w:p w:rsidR="000072F0" w:rsidRPr="00EB7BB6" w:rsidRDefault="000072F0" w:rsidP="008446E2">
            <w:pPr>
              <w:rPr>
                <w:sz w:val="20"/>
                <w:szCs w:val="20"/>
              </w:rPr>
            </w:pPr>
            <w:r w:rsidRPr="00EB7BB6">
              <w:rPr>
                <w:sz w:val="20"/>
                <w:szCs w:val="20"/>
              </w:rPr>
              <w:t>1.</w:t>
            </w:r>
          </w:p>
        </w:tc>
        <w:tc>
          <w:tcPr>
            <w:tcW w:w="810" w:type="dxa"/>
          </w:tcPr>
          <w:p w:rsidR="000072F0" w:rsidRPr="00EB7BB6" w:rsidRDefault="000072F0" w:rsidP="008446E2">
            <w:pPr>
              <w:rPr>
                <w:sz w:val="20"/>
                <w:szCs w:val="20"/>
              </w:rPr>
            </w:pPr>
            <w:r w:rsidRPr="00EB7BB6">
              <w:rPr>
                <w:sz w:val="20"/>
                <w:szCs w:val="20"/>
              </w:rPr>
              <w:t>38429</w:t>
            </w:r>
          </w:p>
        </w:tc>
        <w:tc>
          <w:tcPr>
            <w:tcW w:w="4050" w:type="dxa"/>
          </w:tcPr>
          <w:p w:rsidR="000072F0" w:rsidRPr="00EB7BB6" w:rsidRDefault="000072F0" w:rsidP="008446E2">
            <w:pPr>
              <w:pStyle w:val="SCCAppellantInfoAppellantInfo"/>
              <w:rPr>
                <w:sz w:val="20"/>
                <w:szCs w:val="20"/>
              </w:rPr>
            </w:pPr>
            <w:r w:rsidRPr="00EB7BB6">
              <w:rPr>
                <w:sz w:val="20"/>
                <w:szCs w:val="20"/>
              </w:rPr>
              <w:t>Timothy Mark Rempel</w:t>
            </w:r>
          </w:p>
          <w:p w:rsidR="000072F0" w:rsidRPr="00EB7BB6" w:rsidRDefault="000072F0" w:rsidP="008446E2">
            <w:pPr>
              <w:pStyle w:val="SCCAppellantInfoAppellantInfo"/>
              <w:rPr>
                <w:sz w:val="20"/>
                <w:szCs w:val="20"/>
              </w:rPr>
            </w:pPr>
            <w:r w:rsidRPr="00EB7BB6">
              <w:rPr>
                <w:sz w:val="20"/>
                <w:szCs w:val="20"/>
              </w:rPr>
              <w:t>(Alta.) (Criminal) (By Leave)</w:t>
            </w:r>
          </w:p>
        </w:tc>
        <w:tc>
          <w:tcPr>
            <w:tcW w:w="360" w:type="dxa"/>
          </w:tcPr>
          <w:p w:rsidR="000072F0" w:rsidRPr="00EB7BB6" w:rsidRDefault="000072F0" w:rsidP="008446E2">
            <w:pPr>
              <w:rPr>
                <w:sz w:val="20"/>
                <w:szCs w:val="20"/>
              </w:rPr>
            </w:pPr>
            <w:r w:rsidRPr="00EB7BB6">
              <w:rPr>
                <w:sz w:val="20"/>
                <w:szCs w:val="20"/>
              </w:rPr>
              <w:t>v.</w:t>
            </w:r>
          </w:p>
        </w:tc>
        <w:tc>
          <w:tcPr>
            <w:tcW w:w="3848" w:type="dxa"/>
          </w:tcPr>
          <w:p w:rsidR="000072F0" w:rsidRPr="00EB7BB6" w:rsidRDefault="000072F0" w:rsidP="008446E2">
            <w:pPr>
              <w:pStyle w:val="SCCAppellantInfoAppellantInfo"/>
              <w:rPr>
                <w:sz w:val="20"/>
                <w:szCs w:val="20"/>
              </w:rPr>
            </w:pPr>
            <w:r w:rsidRPr="00EB7BB6">
              <w:rPr>
                <w:sz w:val="20"/>
                <w:szCs w:val="20"/>
              </w:rPr>
              <w:t>Her Majesty the Queen</w:t>
            </w:r>
          </w:p>
        </w:tc>
      </w:tr>
      <w:tr w:rsidR="000072F0" w:rsidRPr="00EB7BB6" w:rsidTr="008446E2">
        <w:trPr>
          <w:cantSplit/>
        </w:trPr>
        <w:tc>
          <w:tcPr>
            <w:tcW w:w="508" w:type="dxa"/>
          </w:tcPr>
          <w:p w:rsidR="000072F0" w:rsidRPr="00EB7BB6" w:rsidRDefault="000072F0" w:rsidP="008446E2">
            <w:pPr>
              <w:rPr>
                <w:sz w:val="20"/>
                <w:szCs w:val="20"/>
              </w:rPr>
            </w:pPr>
            <w:r w:rsidRPr="00EB7BB6">
              <w:rPr>
                <w:sz w:val="20"/>
                <w:szCs w:val="20"/>
              </w:rPr>
              <w:t>2.</w:t>
            </w:r>
          </w:p>
        </w:tc>
        <w:tc>
          <w:tcPr>
            <w:tcW w:w="810" w:type="dxa"/>
          </w:tcPr>
          <w:p w:rsidR="000072F0" w:rsidRPr="00EB7BB6" w:rsidRDefault="000072F0" w:rsidP="008446E2">
            <w:pPr>
              <w:rPr>
                <w:sz w:val="20"/>
                <w:szCs w:val="20"/>
              </w:rPr>
            </w:pPr>
            <w:r w:rsidRPr="00EB7BB6">
              <w:rPr>
                <w:sz w:val="20"/>
                <w:szCs w:val="20"/>
              </w:rPr>
              <w:t>38504</w:t>
            </w:r>
          </w:p>
        </w:tc>
        <w:tc>
          <w:tcPr>
            <w:tcW w:w="4050" w:type="dxa"/>
          </w:tcPr>
          <w:p w:rsidR="000072F0" w:rsidRPr="00EB7BB6" w:rsidRDefault="000072F0" w:rsidP="008446E2">
            <w:pPr>
              <w:pStyle w:val="SCCAppellantInfoAppellantInfo"/>
              <w:rPr>
                <w:sz w:val="20"/>
                <w:szCs w:val="20"/>
              </w:rPr>
            </w:pPr>
            <w:r w:rsidRPr="00EB7BB6">
              <w:rPr>
                <w:sz w:val="20"/>
                <w:szCs w:val="20"/>
              </w:rPr>
              <w:t>Sheena Cuthill</w:t>
            </w:r>
          </w:p>
          <w:p w:rsidR="000072F0" w:rsidRPr="00EB7BB6" w:rsidRDefault="000072F0" w:rsidP="008446E2">
            <w:pPr>
              <w:pStyle w:val="SCCAppellantInfoAppellantInfo"/>
              <w:rPr>
                <w:sz w:val="20"/>
                <w:szCs w:val="20"/>
              </w:rPr>
            </w:pPr>
            <w:r w:rsidRPr="00EB7BB6">
              <w:rPr>
                <w:sz w:val="20"/>
                <w:szCs w:val="20"/>
              </w:rPr>
              <w:t>(Alta.) (Criminal) (By Leave)</w:t>
            </w:r>
          </w:p>
        </w:tc>
        <w:tc>
          <w:tcPr>
            <w:tcW w:w="360" w:type="dxa"/>
          </w:tcPr>
          <w:p w:rsidR="000072F0" w:rsidRPr="00EB7BB6" w:rsidRDefault="000072F0" w:rsidP="008446E2">
            <w:pPr>
              <w:rPr>
                <w:sz w:val="20"/>
                <w:szCs w:val="20"/>
              </w:rPr>
            </w:pPr>
            <w:r w:rsidRPr="00EB7BB6">
              <w:rPr>
                <w:sz w:val="20"/>
                <w:szCs w:val="20"/>
              </w:rPr>
              <w:t>v.</w:t>
            </w:r>
          </w:p>
        </w:tc>
        <w:tc>
          <w:tcPr>
            <w:tcW w:w="3848" w:type="dxa"/>
          </w:tcPr>
          <w:p w:rsidR="000072F0" w:rsidRPr="00EB7BB6" w:rsidRDefault="000072F0" w:rsidP="008446E2">
            <w:pPr>
              <w:pStyle w:val="SCCAppellantInfoAppellantInfo"/>
              <w:rPr>
                <w:sz w:val="20"/>
                <w:szCs w:val="20"/>
              </w:rPr>
            </w:pPr>
            <w:r w:rsidRPr="00EB7BB6">
              <w:rPr>
                <w:sz w:val="20"/>
                <w:szCs w:val="20"/>
              </w:rPr>
              <w:t>Her Majesty the Queen</w:t>
            </w:r>
          </w:p>
        </w:tc>
      </w:tr>
      <w:tr w:rsidR="000072F0" w:rsidRPr="00EB7BB6" w:rsidTr="008446E2">
        <w:trPr>
          <w:cantSplit/>
        </w:trPr>
        <w:tc>
          <w:tcPr>
            <w:tcW w:w="508" w:type="dxa"/>
          </w:tcPr>
          <w:p w:rsidR="000072F0" w:rsidRPr="00EB7BB6" w:rsidRDefault="000072F0" w:rsidP="008446E2">
            <w:pPr>
              <w:rPr>
                <w:sz w:val="20"/>
                <w:szCs w:val="20"/>
              </w:rPr>
            </w:pPr>
          </w:p>
        </w:tc>
        <w:tc>
          <w:tcPr>
            <w:tcW w:w="810" w:type="dxa"/>
          </w:tcPr>
          <w:p w:rsidR="000072F0" w:rsidRPr="00EB7BB6" w:rsidRDefault="000072F0" w:rsidP="008446E2">
            <w:pPr>
              <w:rPr>
                <w:sz w:val="20"/>
                <w:szCs w:val="20"/>
              </w:rPr>
            </w:pPr>
          </w:p>
        </w:tc>
        <w:tc>
          <w:tcPr>
            <w:tcW w:w="4050" w:type="dxa"/>
          </w:tcPr>
          <w:p w:rsidR="000072F0" w:rsidRPr="00EB7BB6" w:rsidRDefault="000072F0" w:rsidP="008446E2">
            <w:pPr>
              <w:pStyle w:val="SCCAppellantInfoTypeOfCase"/>
              <w:rPr>
                <w:sz w:val="20"/>
                <w:szCs w:val="20"/>
              </w:rPr>
            </w:pPr>
            <w:r w:rsidRPr="00EB7BB6">
              <w:rPr>
                <w:sz w:val="20"/>
                <w:szCs w:val="20"/>
              </w:rPr>
              <w:t>Civil / Civile</w:t>
            </w:r>
          </w:p>
        </w:tc>
        <w:tc>
          <w:tcPr>
            <w:tcW w:w="360" w:type="dxa"/>
          </w:tcPr>
          <w:p w:rsidR="000072F0" w:rsidRPr="00EB7BB6" w:rsidRDefault="000072F0" w:rsidP="008446E2">
            <w:pPr>
              <w:rPr>
                <w:sz w:val="20"/>
                <w:szCs w:val="20"/>
              </w:rPr>
            </w:pPr>
          </w:p>
        </w:tc>
        <w:tc>
          <w:tcPr>
            <w:tcW w:w="3848" w:type="dxa"/>
          </w:tcPr>
          <w:p w:rsidR="000072F0" w:rsidRPr="00EB7BB6" w:rsidRDefault="000072F0" w:rsidP="008446E2">
            <w:pPr>
              <w:rPr>
                <w:sz w:val="20"/>
                <w:szCs w:val="20"/>
              </w:rPr>
            </w:pPr>
          </w:p>
        </w:tc>
      </w:tr>
      <w:tr w:rsidR="000072F0" w:rsidRPr="00EB7BB6" w:rsidTr="008446E2">
        <w:trPr>
          <w:cantSplit/>
        </w:trPr>
        <w:tc>
          <w:tcPr>
            <w:tcW w:w="508" w:type="dxa"/>
          </w:tcPr>
          <w:p w:rsidR="000072F0" w:rsidRPr="00EB7BB6" w:rsidRDefault="000072F0" w:rsidP="008446E2">
            <w:pPr>
              <w:rPr>
                <w:sz w:val="20"/>
                <w:szCs w:val="20"/>
              </w:rPr>
            </w:pPr>
            <w:r w:rsidRPr="00EB7BB6">
              <w:rPr>
                <w:sz w:val="20"/>
                <w:szCs w:val="20"/>
              </w:rPr>
              <w:t>3.</w:t>
            </w:r>
          </w:p>
        </w:tc>
        <w:tc>
          <w:tcPr>
            <w:tcW w:w="810" w:type="dxa"/>
          </w:tcPr>
          <w:p w:rsidR="000072F0" w:rsidRPr="00EB7BB6" w:rsidRDefault="000072F0" w:rsidP="008446E2">
            <w:pPr>
              <w:rPr>
                <w:sz w:val="20"/>
                <w:szCs w:val="20"/>
              </w:rPr>
            </w:pPr>
            <w:r w:rsidRPr="00EB7BB6">
              <w:rPr>
                <w:sz w:val="20"/>
                <w:szCs w:val="20"/>
              </w:rPr>
              <w:t>38464</w:t>
            </w:r>
          </w:p>
        </w:tc>
        <w:tc>
          <w:tcPr>
            <w:tcW w:w="4050" w:type="dxa"/>
          </w:tcPr>
          <w:p w:rsidR="000072F0" w:rsidRPr="00EB7BB6" w:rsidRDefault="000072F0" w:rsidP="008446E2">
            <w:pPr>
              <w:pStyle w:val="SCCAppellantInfoAppellantInfo"/>
              <w:rPr>
                <w:sz w:val="20"/>
                <w:szCs w:val="20"/>
              </w:rPr>
            </w:pPr>
            <w:r w:rsidRPr="00EB7BB6">
              <w:rPr>
                <w:sz w:val="20"/>
                <w:szCs w:val="20"/>
              </w:rPr>
              <w:t>Hampton Securities Limited</w:t>
            </w:r>
          </w:p>
          <w:p w:rsidR="000072F0" w:rsidRPr="00EB7BB6" w:rsidRDefault="000072F0" w:rsidP="008446E2">
            <w:pPr>
              <w:pStyle w:val="SCCAppellantInfoAppellantInfo"/>
              <w:rPr>
                <w:sz w:val="20"/>
                <w:szCs w:val="20"/>
              </w:rPr>
            </w:pPr>
            <w:r w:rsidRPr="00EB7BB6">
              <w:rPr>
                <w:sz w:val="20"/>
                <w:szCs w:val="20"/>
              </w:rPr>
              <w:t>(Ont.) (Civil) (By Leave)</w:t>
            </w:r>
          </w:p>
        </w:tc>
        <w:tc>
          <w:tcPr>
            <w:tcW w:w="360" w:type="dxa"/>
          </w:tcPr>
          <w:p w:rsidR="000072F0" w:rsidRPr="00EB7BB6" w:rsidRDefault="000072F0" w:rsidP="008446E2">
            <w:pPr>
              <w:rPr>
                <w:sz w:val="20"/>
                <w:szCs w:val="20"/>
              </w:rPr>
            </w:pPr>
            <w:r w:rsidRPr="00EB7BB6">
              <w:rPr>
                <w:sz w:val="20"/>
                <w:szCs w:val="20"/>
              </w:rPr>
              <w:t>v.</w:t>
            </w:r>
          </w:p>
        </w:tc>
        <w:tc>
          <w:tcPr>
            <w:tcW w:w="3848" w:type="dxa"/>
          </w:tcPr>
          <w:p w:rsidR="000072F0" w:rsidRPr="00EB7BB6" w:rsidRDefault="000072F0" w:rsidP="008446E2">
            <w:pPr>
              <w:pStyle w:val="SCCAppellantInfoAppellantInfo"/>
              <w:rPr>
                <w:sz w:val="20"/>
                <w:szCs w:val="20"/>
              </w:rPr>
            </w:pPr>
            <w:r w:rsidRPr="00EB7BB6">
              <w:rPr>
                <w:sz w:val="20"/>
                <w:szCs w:val="20"/>
              </w:rPr>
              <w:t>Christina Nicole (Niki) Dean</w:t>
            </w:r>
          </w:p>
        </w:tc>
      </w:tr>
      <w:tr w:rsidR="000072F0" w:rsidRPr="00EB7BB6" w:rsidTr="00E93A39">
        <w:trPr>
          <w:cantSplit/>
          <w:trHeight w:val="637"/>
        </w:trPr>
        <w:tc>
          <w:tcPr>
            <w:tcW w:w="508" w:type="dxa"/>
          </w:tcPr>
          <w:p w:rsidR="000072F0" w:rsidRPr="00EB7BB6" w:rsidRDefault="000072F0" w:rsidP="008446E2">
            <w:pPr>
              <w:rPr>
                <w:sz w:val="20"/>
                <w:szCs w:val="20"/>
              </w:rPr>
            </w:pPr>
            <w:r w:rsidRPr="00EB7BB6">
              <w:rPr>
                <w:sz w:val="20"/>
                <w:szCs w:val="20"/>
              </w:rPr>
              <w:t>4.</w:t>
            </w:r>
          </w:p>
        </w:tc>
        <w:tc>
          <w:tcPr>
            <w:tcW w:w="810" w:type="dxa"/>
          </w:tcPr>
          <w:p w:rsidR="000072F0" w:rsidRPr="00EB7BB6" w:rsidRDefault="000072F0" w:rsidP="008446E2">
            <w:pPr>
              <w:rPr>
                <w:sz w:val="20"/>
                <w:szCs w:val="20"/>
              </w:rPr>
            </w:pPr>
            <w:r w:rsidRPr="00EB7BB6">
              <w:rPr>
                <w:sz w:val="20"/>
                <w:szCs w:val="20"/>
              </w:rPr>
              <w:t>38533</w:t>
            </w:r>
          </w:p>
        </w:tc>
        <w:tc>
          <w:tcPr>
            <w:tcW w:w="4050" w:type="dxa"/>
          </w:tcPr>
          <w:p w:rsidR="000072F0" w:rsidRPr="00EB7BB6" w:rsidRDefault="000072F0" w:rsidP="008446E2">
            <w:pPr>
              <w:pStyle w:val="SCCAppellantInfoAppellantInfo"/>
              <w:rPr>
                <w:sz w:val="20"/>
                <w:szCs w:val="20"/>
              </w:rPr>
            </w:pPr>
            <w:r w:rsidRPr="00EB7BB6">
              <w:rPr>
                <w:sz w:val="20"/>
                <w:szCs w:val="20"/>
              </w:rPr>
              <w:t>Mikel Golzarian</w:t>
            </w:r>
          </w:p>
          <w:p w:rsidR="000072F0" w:rsidRPr="00EB7BB6" w:rsidRDefault="000072F0" w:rsidP="00E93A39">
            <w:pPr>
              <w:pStyle w:val="SCCAppellantInfoAppellantInfo"/>
              <w:rPr>
                <w:sz w:val="20"/>
                <w:szCs w:val="20"/>
              </w:rPr>
            </w:pPr>
            <w:r w:rsidRPr="00EB7BB6">
              <w:rPr>
                <w:sz w:val="20"/>
                <w:szCs w:val="20"/>
              </w:rPr>
              <w:t>(Qc) (Civile) (Autorisation)</w:t>
            </w:r>
          </w:p>
        </w:tc>
        <w:tc>
          <w:tcPr>
            <w:tcW w:w="360" w:type="dxa"/>
          </w:tcPr>
          <w:p w:rsidR="000072F0" w:rsidRPr="00EB7BB6" w:rsidRDefault="000072F0" w:rsidP="008446E2">
            <w:pPr>
              <w:rPr>
                <w:sz w:val="20"/>
                <w:szCs w:val="20"/>
              </w:rPr>
            </w:pPr>
            <w:r w:rsidRPr="00EB7BB6">
              <w:rPr>
                <w:sz w:val="20"/>
                <w:szCs w:val="20"/>
              </w:rPr>
              <w:t>c.</w:t>
            </w:r>
          </w:p>
        </w:tc>
        <w:tc>
          <w:tcPr>
            <w:tcW w:w="3848" w:type="dxa"/>
          </w:tcPr>
          <w:p w:rsidR="000072F0" w:rsidRPr="00EB7BB6" w:rsidRDefault="000072F0" w:rsidP="008446E2">
            <w:pPr>
              <w:pStyle w:val="SCCAppellantInfoAppellantInfo"/>
              <w:rPr>
                <w:sz w:val="20"/>
                <w:szCs w:val="20"/>
                <w:lang w:val="fr-CA"/>
              </w:rPr>
            </w:pPr>
            <w:r w:rsidRPr="00EB7BB6">
              <w:rPr>
                <w:sz w:val="20"/>
                <w:szCs w:val="20"/>
                <w:lang w:val="fr-CA"/>
              </w:rPr>
              <w:t>Association des policières et policiers provinciaux du Québec</w:t>
            </w:r>
          </w:p>
        </w:tc>
      </w:tr>
      <w:tr w:rsidR="000933D9" w:rsidRPr="00EB7BB6" w:rsidTr="008446E2">
        <w:trPr>
          <w:cantSplit/>
        </w:trPr>
        <w:tc>
          <w:tcPr>
            <w:tcW w:w="508" w:type="dxa"/>
          </w:tcPr>
          <w:p w:rsidR="000933D9" w:rsidRPr="00EB7BB6" w:rsidRDefault="000933D9" w:rsidP="008446E2">
            <w:pPr>
              <w:rPr>
                <w:sz w:val="20"/>
                <w:szCs w:val="20"/>
                <w:lang w:val="fr-CA"/>
              </w:rPr>
            </w:pPr>
          </w:p>
        </w:tc>
        <w:tc>
          <w:tcPr>
            <w:tcW w:w="810" w:type="dxa"/>
          </w:tcPr>
          <w:p w:rsidR="000933D9" w:rsidRPr="00EB7BB6" w:rsidRDefault="000933D9" w:rsidP="008446E2">
            <w:pPr>
              <w:rPr>
                <w:sz w:val="20"/>
                <w:szCs w:val="20"/>
                <w:lang w:val="fr-CA"/>
              </w:rPr>
            </w:pPr>
          </w:p>
        </w:tc>
        <w:tc>
          <w:tcPr>
            <w:tcW w:w="8258" w:type="dxa"/>
            <w:gridSpan w:val="3"/>
          </w:tcPr>
          <w:p w:rsidR="000933D9" w:rsidRPr="00EB7BB6" w:rsidRDefault="000933D9" w:rsidP="000933D9">
            <w:pPr>
              <w:widowControl w:val="0"/>
              <w:jc w:val="center"/>
              <w:rPr>
                <w:b/>
                <w:sz w:val="20"/>
                <w:szCs w:val="20"/>
                <w:lang w:val="en-US"/>
              </w:rPr>
            </w:pPr>
            <w:r w:rsidRPr="00EB7BB6">
              <w:rPr>
                <w:b/>
                <w:sz w:val="20"/>
                <w:szCs w:val="20"/>
                <w:lang w:val="en-US"/>
              </w:rPr>
              <w:t>CORAM: Abella, Moldaver and Brown JJ.</w:t>
            </w:r>
          </w:p>
          <w:p w:rsidR="000933D9" w:rsidRPr="00EB7BB6" w:rsidRDefault="000933D9" w:rsidP="000F2973">
            <w:pPr>
              <w:widowControl w:val="0"/>
              <w:jc w:val="center"/>
              <w:rPr>
                <w:sz w:val="20"/>
                <w:szCs w:val="20"/>
                <w:lang w:val="fr-CA"/>
              </w:rPr>
            </w:pPr>
            <w:r w:rsidRPr="00EB7BB6">
              <w:rPr>
                <w:b/>
                <w:sz w:val="20"/>
                <w:szCs w:val="20"/>
                <w:lang w:val="fr-CA"/>
              </w:rPr>
              <w:t>Les juges Abella, Moldaver et Brown</w:t>
            </w:r>
          </w:p>
        </w:tc>
      </w:tr>
      <w:tr w:rsidR="000072F0" w:rsidRPr="00EB7BB6" w:rsidTr="008446E2">
        <w:trPr>
          <w:cantSplit/>
        </w:trPr>
        <w:tc>
          <w:tcPr>
            <w:tcW w:w="508" w:type="dxa"/>
          </w:tcPr>
          <w:p w:rsidR="000072F0" w:rsidRPr="00EB7BB6" w:rsidRDefault="000072F0" w:rsidP="008446E2">
            <w:pPr>
              <w:rPr>
                <w:sz w:val="20"/>
                <w:szCs w:val="20"/>
                <w:lang w:val="fr-CA"/>
              </w:rPr>
            </w:pPr>
          </w:p>
        </w:tc>
        <w:tc>
          <w:tcPr>
            <w:tcW w:w="810" w:type="dxa"/>
          </w:tcPr>
          <w:p w:rsidR="000072F0" w:rsidRPr="00EB7BB6" w:rsidRDefault="000072F0" w:rsidP="008446E2">
            <w:pPr>
              <w:rPr>
                <w:sz w:val="20"/>
                <w:szCs w:val="20"/>
                <w:lang w:val="fr-CA"/>
              </w:rPr>
            </w:pPr>
          </w:p>
        </w:tc>
        <w:tc>
          <w:tcPr>
            <w:tcW w:w="4050" w:type="dxa"/>
          </w:tcPr>
          <w:p w:rsidR="000072F0" w:rsidRPr="00EB7BB6" w:rsidRDefault="000072F0" w:rsidP="008446E2">
            <w:pPr>
              <w:pStyle w:val="SCCAppellantInfoTypeOfCase"/>
              <w:rPr>
                <w:sz w:val="20"/>
                <w:szCs w:val="20"/>
              </w:rPr>
            </w:pPr>
            <w:r w:rsidRPr="00EB7BB6">
              <w:rPr>
                <w:sz w:val="20"/>
                <w:szCs w:val="20"/>
              </w:rPr>
              <w:t>Criminal / Criminelle</w:t>
            </w:r>
          </w:p>
        </w:tc>
        <w:tc>
          <w:tcPr>
            <w:tcW w:w="360" w:type="dxa"/>
          </w:tcPr>
          <w:p w:rsidR="000072F0" w:rsidRPr="00EB7BB6" w:rsidRDefault="000072F0" w:rsidP="008446E2">
            <w:pPr>
              <w:rPr>
                <w:sz w:val="20"/>
                <w:szCs w:val="20"/>
              </w:rPr>
            </w:pPr>
          </w:p>
        </w:tc>
        <w:tc>
          <w:tcPr>
            <w:tcW w:w="3848" w:type="dxa"/>
          </w:tcPr>
          <w:p w:rsidR="000072F0" w:rsidRPr="00EB7BB6" w:rsidRDefault="000072F0" w:rsidP="008446E2">
            <w:pPr>
              <w:rPr>
                <w:sz w:val="20"/>
                <w:szCs w:val="20"/>
              </w:rPr>
            </w:pPr>
          </w:p>
        </w:tc>
      </w:tr>
      <w:tr w:rsidR="000072F0" w:rsidRPr="00EB7BB6" w:rsidTr="008446E2">
        <w:trPr>
          <w:cantSplit/>
        </w:trPr>
        <w:tc>
          <w:tcPr>
            <w:tcW w:w="508" w:type="dxa"/>
          </w:tcPr>
          <w:p w:rsidR="000072F0" w:rsidRPr="00EB7BB6" w:rsidRDefault="000072F0" w:rsidP="008446E2">
            <w:pPr>
              <w:rPr>
                <w:sz w:val="20"/>
                <w:szCs w:val="20"/>
              </w:rPr>
            </w:pPr>
            <w:r w:rsidRPr="00EB7BB6">
              <w:rPr>
                <w:sz w:val="20"/>
                <w:szCs w:val="20"/>
              </w:rPr>
              <w:t>5.</w:t>
            </w:r>
          </w:p>
        </w:tc>
        <w:tc>
          <w:tcPr>
            <w:tcW w:w="810" w:type="dxa"/>
          </w:tcPr>
          <w:p w:rsidR="000072F0" w:rsidRPr="00EB7BB6" w:rsidRDefault="000072F0" w:rsidP="008446E2">
            <w:pPr>
              <w:rPr>
                <w:sz w:val="20"/>
                <w:szCs w:val="20"/>
              </w:rPr>
            </w:pPr>
            <w:r w:rsidRPr="00EB7BB6">
              <w:rPr>
                <w:sz w:val="20"/>
                <w:szCs w:val="20"/>
              </w:rPr>
              <w:t>38502</w:t>
            </w:r>
          </w:p>
        </w:tc>
        <w:tc>
          <w:tcPr>
            <w:tcW w:w="4050" w:type="dxa"/>
          </w:tcPr>
          <w:p w:rsidR="000072F0" w:rsidRPr="00EB7BB6" w:rsidRDefault="000072F0" w:rsidP="008446E2">
            <w:pPr>
              <w:pStyle w:val="SCCAppellantInfoAppellantInfo"/>
              <w:rPr>
                <w:sz w:val="20"/>
                <w:szCs w:val="20"/>
              </w:rPr>
            </w:pPr>
            <w:r w:rsidRPr="00EB7BB6">
              <w:rPr>
                <w:sz w:val="20"/>
                <w:szCs w:val="20"/>
              </w:rPr>
              <w:t>Glen Glady Anderson</w:t>
            </w:r>
          </w:p>
          <w:p w:rsidR="000072F0" w:rsidRPr="00EB7BB6" w:rsidRDefault="000072F0" w:rsidP="008446E2">
            <w:pPr>
              <w:pStyle w:val="SCCAppellantInfoAppellantInfo"/>
              <w:rPr>
                <w:sz w:val="20"/>
                <w:szCs w:val="20"/>
              </w:rPr>
            </w:pPr>
            <w:r w:rsidRPr="00EB7BB6">
              <w:rPr>
                <w:sz w:val="20"/>
                <w:szCs w:val="20"/>
              </w:rPr>
              <w:t>(Alta.) (Criminal) (By Leave)</w:t>
            </w:r>
          </w:p>
        </w:tc>
        <w:tc>
          <w:tcPr>
            <w:tcW w:w="360" w:type="dxa"/>
          </w:tcPr>
          <w:p w:rsidR="000072F0" w:rsidRPr="00EB7BB6" w:rsidRDefault="000072F0" w:rsidP="008446E2">
            <w:pPr>
              <w:rPr>
                <w:sz w:val="20"/>
                <w:szCs w:val="20"/>
              </w:rPr>
            </w:pPr>
            <w:r w:rsidRPr="00EB7BB6">
              <w:rPr>
                <w:sz w:val="20"/>
                <w:szCs w:val="20"/>
              </w:rPr>
              <w:t>v.</w:t>
            </w:r>
          </w:p>
        </w:tc>
        <w:tc>
          <w:tcPr>
            <w:tcW w:w="3848" w:type="dxa"/>
          </w:tcPr>
          <w:p w:rsidR="000072F0" w:rsidRPr="00EB7BB6" w:rsidRDefault="000072F0" w:rsidP="008446E2">
            <w:pPr>
              <w:pStyle w:val="SCCAppellantInfoAppellantInfo"/>
              <w:rPr>
                <w:sz w:val="20"/>
                <w:szCs w:val="20"/>
              </w:rPr>
            </w:pPr>
            <w:r w:rsidRPr="00EB7BB6">
              <w:rPr>
                <w:sz w:val="20"/>
                <w:szCs w:val="20"/>
              </w:rPr>
              <w:t>Her Majesty the Queen</w:t>
            </w:r>
          </w:p>
        </w:tc>
      </w:tr>
      <w:tr w:rsidR="000072F0" w:rsidRPr="00EB7BB6" w:rsidTr="008446E2">
        <w:trPr>
          <w:cantSplit/>
        </w:trPr>
        <w:tc>
          <w:tcPr>
            <w:tcW w:w="508" w:type="dxa"/>
          </w:tcPr>
          <w:p w:rsidR="000072F0" w:rsidRPr="00EB7BB6" w:rsidRDefault="000072F0" w:rsidP="008446E2">
            <w:pPr>
              <w:rPr>
                <w:sz w:val="20"/>
                <w:szCs w:val="20"/>
              </w:rPr>
            </w:pPr>
          </w:p>
        </w:tc>
        <w:tc>
          <w:tcPr>
            <w:tcW w:w="810" w:type="dxa"/>
          </w:tcPr>
          <w:p w:rsidR="000072F0" w:rsidRPr="00EB7BB6" w:rsidRDefault="000072F0" w:rsidP="008446E2">
            <w:pPr>
              <w:rPr>
                <w:sz w:val="20"/>
                <w:szCs w:val="20"/>
              </w:rPr>
            </w:pPr>
          </w:p>
        </w:tc>
        <w:tc>
          <w:tcPr>
            <w:tcW w:w="4050" w:type="dxa"/>
          </w:tcPr>
          <w:p w:rsidR="000072F0" w:rsidRPr="00EB7BB6" w:rsidRDefault="000072F0" w:rsidP="008446E2">
            <w:pPr>
              <w:pStyle w:val="SCCAppellantInfoTypeOfCase"/>
              <w:rPr>
                <w:sz w:val="20"/>
                <w:szCs w:val="20"/>
              </w:rPr>
            </w:pPr>
            <w:r w:rsidRPr="00EB7BB6">
              <w:rPr>
                <w:sz w:val="20"/>
                <w:szCs w:val="20"/>
              </w:rPr>
              <w:t>Civil / Civile</w:t>
            </w:r>
          </w:p>
        </w:tc>
        <w:tc>
          <w:tcPr>
            <w:tcW w:w="360" w:type="dxa"/>
          </w:tcPr>
          <w:p w:rsidR="000072F0" w:rsidRPr="00EB7BB6" w:rsidRDefault="000072F0" w:rsidP="008446E2">
            <w:pPr>
              <w:rPr>
                <w:sz w:val="20"/>
                <w:szCs w:val="20"/>
              </w:rPr>
            </w:pPr>
          </w:p>
        </w:tc>
        <w:tc>
          <w:tcPr>
            <w:tcW w:w="3848" w:type="dxa"/>
          </w:tcPr>
          <w:p w:rsidR="000072F0" w:rsidRPr="00EB7BB6" w:rsidRDefault="000072F0" w:rsidP="008446E2">
            <w:pPr>
              <w:rPr>
                <w:sz w:val="20"/>
                <w:szCs w:val="20"/>
              </w:rPr>
            </w:pPr>
          </w:p>
        </w:tc>
      </w:tr>
      <w:tr w:rsidR="000072F0" w:rsidRPr="00EB7BB6" w:rsidTr="008446E2">
        <w:trPr>
          <w:cantSplit/>
        </w:trPr>
        <w:tc>
          <w:tcPr>
            <w:tcW w:w="508" w:type="dxa"/>
          </w:tcPr>
          <w:p w:rsidR="000072F0" w:rsidRPr="00EB7BB6" w:rsidRDefault="000072F0" w:rsidP="008446E2">
            <w:pPr>
              <w:rPr>
                <w:sz w:val="20"/>
                <w:szCs w:val="20"/>
              </w:rPr>
            </w:pPr>
            <w:r w:rsidRPr="00EB7BB6">
              <w:rPr>
                <w:sz w:val="20"/>
                <w:szCs w:val="20"/>
              </w:rPr>
              <w:t>6.</w:t>
            </w:r>
          </w:p>
        </w:tc>
        <w:tc>
          <w:tcPr>
            <w:tcW w:w="810" w:type="dxa"/>
          </w:tcPr>
          <w:p w:rsidR="000072F0" w:rsidRPr="00EB7BB6" w:rsidRDefault="000072F0" w:rsidP="008446E2">
            <w:pPr>
              <w:rPr>
                <w:sz w:val="20"/>
                <w:szCs w:val="20"/>
              </w:rPr>
            </w:pPr>
            <w:r w:rsidRPr="00EB7BB6">
              <w:rPr>
                <w:sz w:val="20"/>
                <w:szCs w:val="20"/>
              </w:rPr>
              <w:t>38498</w:t>
            </w:r>
          </w:p>
        </w:tc>
        <w:tc>
          <w:tcPr>
            <w:tcW w:w="4050" w:type="dxa"/>
          </w:tcPr>
          <w:p w:rsidR="000072F0" w:rsidRPr="00EB7BB6" w:rsidRDefault="000072F0" w:rsidP="008446E2">
            <w:pPr>
              <w:pStyle w:val="SCCAppellantInfoAppellantInfo"/>
              <w:rPr>
                <w:sz w:val="20"/>
                <w:szCs w:val="20"/>
              </w:rPr>
            </w:pPr>
            <w:r w:rsidRPr="00EB7BB6">
              <w:rPr>
                <w:sz w:val="20"/>
                <w:szCs w:val="20"/>
              </w:rPr>
              <w:t>Danelle Michel</w:t>
            </w:r>
          </w:p>
          <w:p w:rsidR="000072F0" w:rsidRPr="00EB7BB6" w:rsidRDefault="000072F0" w:rsidP="008446E2">
            <w:pPr>
              <w:pStyle w:val="SCCAppellantInfoAppellantInfo"/>
              <w:rPr>
                <w:sz w:val="20"/>
                <w:szCs w:val="20"/>
              </w:rPr>
            </w:pPr>
            <w:r w:rsidRPr="00EB7BB6">
              <w:rPr>
                <w:sz w:val="20"/>
                <w:szCs w:val="20"/>
              </w:rPr>
              <w:t>(B.C.) (Civil) (By Leave)</w:t>
            </w:r>
          </w:p>
        </w:tc>
        <w:tc>
          <w:tcPr>
            <w:tcW w:w="360" w:type="dxa"/>
          </w:tcPr>
          <w:p w:rsidR="000072F0" w:rsidRPr="00EB7BB6" w:rsidRDefault="000072F0" w:rsidP="008446E2">
            <w:pPr>
              <w:rPr>
                <w:sz w:val="20"/>
                <w:szCs w:val="20"/>
              </w:rPr>
            </w:pPr>
            <w:r w:rsidRPr="00EB7BB6">
              <w:rPr>
                <w:sz w:val="20"/>
                <w:szCs w:val="20"/>
              </w:rPr>
              <w:t>v.</w:t>
            </w:r>
          </w:p>
        </w:tc>
        <w:tc>
          <w:tcPr>
            <w:tcW w:w="3848" w:type="dxa"/>
          </w:tcPr>
          <w:p w:rsidR="000072F0" w:rsidRPr="00EB7BB6" w:rsidRDefault="000072F0" w:rsidP="008446E2">
            <w:pPr>
              <w:pStyle w:val="SCCAppellantInfoAppellantInfo"/>
              <w:rPr>
                <w:sz w:val="20"/>
                <w:szCs w:val="20"/>
              </w:rPr>
            </w:pPr>
            <w:r w:rsidRPr="00EB7BB6">
              <w:rPr>
                <w:sz w:val="20"/>
                <w:szCs w:val="20"/>
              </w:rPr>
              <w:t>Sean Graydon</w:t>
            </w:r>
          </w:p>
        </w:tc>
      </w:tr>
      <w:tr w:rsidR="000072F0" w:rsidRPr="00EB7BB6" w:rsidTr="008446E2">
        <w:trPr>
          <w:cantSplit/>
        </w:trPr>
        <w:tc>
          <w:tcPr>
            <w:tcW w:w="508" w:type="dxa"/>
          </w:tcPr>
          <w:p w:rsidR="000072F0" w:rsidRPr="00EB7BB6" w:rsidRDefault="000072F0" w:rsidP="008446E2">
            <w:pPr>
              <w:rPr>
                <w:sz w:val="20"/>
                <w:szCs w:val="20"/>
              </w:rPr>
            </w:pPr>
            <w:r w:rsidRPr="00EB7BB6">
              <w:rPr>
                <w:sz w:val="20"/>
                <w:szCs w:val="20"/>
              </w:rPr>
              <w:t>7.</w:t>
            </w:r>
          </w:p>
        </w:tc>
        <w:tc>
          <w:tcPr>
            <w:tcW w:w="810" w:type="dxa"/>
          </w:tcPr>
          <w:p w:rsidR="000072F0" w:rsidRPr="00EB7BB6" w:rsidRDefault="000072F0" w:rsidP="008446E2">
            <w:pPr>
              <w:rPr>
                <w:sz w:val="20"/>
                <w:szCs w:val="20"/>
              </w:rPr>
            </w:pPr>
            <w:r w:rsidRPr="00EB7BB6">
              <w:rPr>
                <w:sz w:val="20"/>
                <w:szCs w:val="20"/>
              </w:rPr>
              <w:t>38505</w:t>
            </w:r>
          </w:p>
        </w:tc>
        <w:tc>
          <w:tcPr>
            <w:tcW w:w="4050" w:type="dxa"/>
          </w:tcPr>
          <w:p w:rsidR="000072F0" w:rsidRPr="00EB7BB6" w:rsidRDefault="000072F0" w:rsidP="008446E2">
            <w:pPr>
              <w:pStyle w:val="SCCAppellantInfoAppellantInfo"/>
              <w:rPr>
                <w:sz w:val="20"/>
                <w:szCs w:val="20"/>
              </w:rPr>
            </w:pPr>
            <w:r w:rsidRPr="00EB7BB6">
              <w:rPr>
                <w:sz w:val="20"/>
                <w:szCs w:val="20"/>
              </w:rPr>
              <w:t>Joanne Fraser, et al.</w:t>
            </w:r>
          </w:p>
          <w:p w:rsidR="000072F0" w:rsidRPr="00EB7BB6" w:rsidRDefault="000072F0" w:rsidP="008446E2">
            <w:pPr>
              <w:pStyle w:val="SCCAppellantInfoAppellantInfo"/>
              <w:rPr>
                <w:sz w:val="20"/>
                <w:szCs w:val="20"/>
              </w:rPr>
            </w:pPr>
            <w:r w:rsidRPr="00EB7BB6">
              <w:rPr>
                <w:sz w:val="20"/>
                <w:szCs w:val="20"/>
              </w:rPr>
              <w:t>(F</w:t>
            </w:r>
            <w:r w:rsidR="0048376A" w:rsidRPr="00EB7BB6">
              <w:rPr>
                <w:sz w:val="20"/>
                <w:szCs w:val="20"/>
              </w:rPr>
              <w:t>.</w:t>
            </w:r>
            <w:r w:rsidRPr="00EB7BB6">
              <w:rPr>
                <w:sz w:val="20"/>
                <w:szCs w:val="20"/>
              </w:rPr>
              <w:t>C</w:t>
            </w:r>
            <w:r w:rsidR="0048376A" w:rsidRPr="00EB7BB6">
              <w:rPr>
                <w:sz w:val="20"/>
                <w:szCs w:val="20"/>
              </w:rPr>
              <w:t>.</w:t>
            </w:r>
            <w:r w:rsidRPr="00EB7BB6">
              <w:rPr>
                <w:sz w:val="20"/>
                <w:szCs w:val="20"/>
              </w:rPr>
              <w:t>) (Civil) (By Leave)</w:t>
            </w:r>
          </w:p>
        </w:tc>
        <w:tc>
          <w:tcPr>
            <w:tcW w:w="360" w:type="dxa"/>
          </w:tcPr>
          <w:p w:rsidR="000072F0" w:rsidRPr="00EB7BB6" w:rsidRDefault="000072F0" w:rsidP="008446E2">
            <w:pPr>
              <w:rPr>
                <w:sz w:val="20"/>
                <w:szCs w:val="20"/>
              </w:rPr>
            </w:pPr>
            <w:r w:rsidRPr="00EB7BB6">
              <w:rPr>
                <w:sz w:val="20"/>
                <w:szCs w:val="20"/>
              </w:rPr>
              <w:t>v.</w:t>
            </w:r>
          </w:p>
        </w:tc>
        <w:tc>
          <w:tcPr>
            <w:tcW w:w="3848" w:type="dxa"/>
          </w:tcPr>
          <w:p w:rsidR="000072F0" w:rsidRPr="00EB7BB6" w:rsidRDefault="000072F0" w:rsidP="008446E2">
            <w:pPr>
              <w:pStyle w:val="SCCAppellantInfoAppellantInfo"/>
              <w:rPr>
                <w:sz w:val="20"/>
                <w:szCs w:val="20"/>
              </w:rPr>
            </w:pPr>
            <w:r w:rsidRPr="00EB7BB6">
              <w:rPr>
                <w:sz w:val="20"/>
                <w:szCs w:val="20"/>
              </w:rPr>
              <w:t>Attorney General of Canada</w:t>
            </w:r>
          </w:p>
        </w:tc>
      </w:tr>
      <w:tr w:rsidR="000072F0" w:rsidRPr="00EB7BB6" w:rsidTr="00E93A39">
        <w:trPr>
          <w:cantSplit/>
          <w:trHeight w:val="847"/>
        </w:trPr>
        <w:tc>
          <w:tcPr>
            <w:tcW w:w="508" w:type="dxa"/>
          </w:tcPr>
          <w:p w:rsidR="000072F0" w:rsidRPr="00EB7BB6" w:rsidRDefault="000072F0" w:rsidP="008446E2">
            <w:pPr>
              <w:rPr>
                <w:sz w:val="20"/>
                <w:szCs w:val="20"/>
              </w:rPr>
            </w:pPr>
            <w:r w:rsidRPr="00EB7BB6">
              <w:rPr>
                <w:sz w:val="20"/>
                <w:szCs w:val="20"/>
              </w:rPr>
              <w:t>8.</w:t>
            </w:r>
          </w:p>
        </w:tc>
        <w:tc>
          <w:tcPr>
            <w:tcW w:w="810" w:type="dxa"/>
          </w:tcPr>
          <w:p w:rsidR="000072F0" w:rsidRPr="00EB7BB6" w:rsidRDefault="000072F0" w:rsidP="008446E2">
            <w:pPr>
              <w:rPr>
                <w:sz w:val="20"/>
                <w:szCs w:val="20"/>
              </w:rPr>
            </w:pPr>
            <w:r w:rsidRPr="00EB7BB6">
              <w:rPr>
                <w:sz w:val="20"/>
                <w:szCs w:val="20"/>
              </w:rPr>
              <w:t>38487</w:t>
            </w:r>
          </w:p>
        </w:tc>
        <w:tc>
          <w:tcPr>
            <w:tcW w:w="4050" w:type="dxa"/>
          </w:tcPr>
          <w:p w:rsidR="000072F0" w:rsidRPr="00EB7BB6" w:rsidRDefault="000072F0" w:rsidP="008446E2">
            <w:pPr>
              <w:pStyle w:val="SCCAppellantInfoAppellantInfo"/>
              <w:rPr>
                <w:sz w:val="20"/>
                <w:szCs w:val="20"/>
              </w:rPr>
            </w:pPr>
            <w:r w:rsidRPr="00EB7BB6">
              <w:rPr>
                <w:sz w:val="20"/>
                <w:szCs w:val="20"/>
              </w:rPr>
              <w:t>Workers’ Compensation Board of British Columbia</w:t>
            </w:r>
          </w:p>
          <w:p w:rsidR="00DF6819" w:rsidRPr="00EB7BB6" w:rsidRDefault="000072F0" w:rsidP="00E93A39">
            <w:pPr>
              <w:pStyle w:val="SCCAppellantInfoAppellantInfo"/>
              <w:rPr>
                <w:sz w:val="20"/>
                <w:szCs w:val="20"/>
              </w:rPr>
            </w:pPr>
            <w:r w:rsidRPr="00EB7BB6">
              <w:rPr>
                <w:sz w:val="20"/>
                <w:szCs w:val="20"/>
              </w:rPr>
              <w:t>(B.C.) (Civil) (By Leave)</w:t>
            </w:r>
          </w:p>
        </w:tc>
        <w:tc>
          <w:tcPr>
            <w:tcW w:w="360" w:type="dxa"/>
          </w:tcPr>
          <w:p w:rsidR="000072F0" w:rsidRPr="00EB7BB6" w:rsidRDefault="000072F0" w:rsidP="008446E2">
            <w:pPr>
              <w:rPr>
                <w:sz w:val="20"/>
                <w:szCs w:val="20"/>
              </w:rPr>
            </w:pPr>
            <w:r w:rsidRPr="00EB7BB6">
              <w:rPr>
                <w:sz w:val="20"/>
                <w:szCs w:val="20"/>
              </w:rPr>
              <w:t>v.</w:t>
            </w:r>
          </w:p>
        </w:tc>
        <w:tc>
          <w:tcPr>
            <w:tcW w:w="3848" w:type="dxa"/>
          </w:tcPr>
          <w:p w:rsidR="000072F0" w:rsidRPr="00EB7BB6" w:rsidRDefault="000072F0" w:rsidP="008446E2">
            <w:pPr>
              <w:pStyle w:val="SCCAppellantInfoAppellantInfo"/>
              <w:rPr>
                <w:sz w:val="20"/>
                <w:szCs w:val="20"/>
              </w:rPr>
            </w:pPr>
            <w:r w:rsidRPr="00EB7BB6">
              <w:rPr>
                <w:sz w:val="20"/>
                <w:szCs w:val="20"/>
              </w:rPr>
              <w:t>Flanagan Enterprises (Nevada) Inc., et al.</w:t>
            </w:r>
          </w:p>
        </w:tc>
      </w:tr>
      <w:tr w:rsidR="00DF6819" w:rsidRPr="00EB7BB6" w:rsidTr="008446E2">
        <w:trPr>
          <w:cantSplit/>
        </w:trPr>
        <w:tc>
          <w:tcPr>
            <w:tcW w:w="508" w:type="dxa"/>
          </w:tcPr>
          <w:p w:rsidR="00DF6819" w:rsidRPr="00EB7BB6" w:rsidRDefault="00DF6819" w:rsidP="008446E2">
            <w:pPr>
              <w:rPr>
                <w:sz w:val="20"/>
                <w:szCs w:val="20"/>
              </w:rPr>
            </w:pPr>
          </w:p>
        </w:tc>
        <w:tc>
          <w:tcPr>
            <w:tcW w:w="810" w:type="dxa"/>
          </w:tcPr>
          <w:p w:rsidR="00DF6819" w:rsidRPr="00EB7BB6" w:rsidRDefault="00DF6819" w:rsidP="008446E2">
            <w:pPr>
              <w:rPr>
                <w:sz w:val="20"/>
                <w:szCs w:val="20"/>
              </w:rPr>
            </w:pPr>
          </w:p>
        </w:tc>
        <w:tc>
          <w:tcPr>
            <w:tcW w:w="8258" w:type="dxa"/>
            <w:gridSpan w:val="3"/>
          </w:tcPr>
          <w:p w:rsidR="00DF6819" w:rsidRPr="00EB7BB6" w:rsidRDefault="00DF6819" w:rsidP="00DF6819">
            <w:pPr>
              <w:widowControl w:val="0"/>
              <w:jc w:val="center"/>
              <w:rPr>
                <w:b/>
                <w:sz w:val="20"/>
                <w:szCs w:val="20"/>
              </w:rPr>
            </w:pPr>
            <w:r w:rsidRPr="00EB7BB6">
              <w:rPr>
                <w:b/>
                <w:sz w:val="20"/>
                <w:szCs w:val="20"/>
              </w:rPr>
              <w:t>CORAM: Moldaver, Karakatsanis and Côté JJ.</w:t>
            </w:r>
          </w:p>
          <w:p w:rsidR="00DF6819" w:rsidRPr="00EB7BB6" w:rsidRDefault="00DF6819" w:rsidP="000F2973">
            <w:pPr>
              <w:widowControl w:val="0"/>
              <w:jc w:val="center"/>
              <w:rPr>
                <w:sz w:val="20"/>
                <w:szCs w:val="20"/>
                <w:lang w:val="fr-CA"/>
              </w:rPr>
            </w:pPr>
            <w:r w:rsidRPr="00EB7BB6">
              <w:rPr>
                <w:b/>
                <w:sz w:val="20"/>
                <w:szCs w:val="20"/>
                <w:lang w:val="fr-CA"/>
              </w:rPr>
              <w:t>Les juges Moldaver, Karakatsanis et Côté</w:t>
            </w:r>
          </w:p>
        </w:tc>
      </w:tr>
      <w:tr w:rsidR="000072F0" w:rsidRPr="00EB7BB6" w:rsidTr="008446E2">
        <w:trPr>
          <w:cantSplit/>
        </w:trPr>
        <w:tc>
          <w:tcPr>
            <w:tcW w:w="508" w:type="dxa"/>
          </w:tcPr>
          <w:p w:rsidR="000072F0" w:rsidRPr="00EB7BB6" w:rsidRDefault="000072F0" w:rsidP="008446E2">
            <w:pPr>
              <w:rPr>
                <w:sz w:val="20"/>
                <w:szCs w:val="20"/>
                <w:lang w:val="fr-CA"/>
              </w:rPr>
            </w:pPr>
          </w:p>
        </w:tc>
        <w:tc>
          <w:tcPr>
            <w:tcW w:w="810" w:type="dxa"/>
          </w:tcPr>
          <w:p w:rsidR="000072F0" w:rsidRPr="00EB7BB6" w:rsidRDefault="000072F0" w:rsidP="008446E2">
            <w:pPr>
              <w:rPr>
                <w:sz w:val="20"/>
                <w:szCs w:val="20"/>
                <w:lang w:val="fr-CA"/>
              </w:rPr>
            </w:pPr>
          </w:p>
        </w:tc>
        <w:tc>
          <w:tcPr>
            <w:tcW w:w="4050" w:type="dxa"/>
          </w:tcPr>
          <w:p w:rsidR="000072F0" w:rsidRPr="00EB7BB6" w:rsidRDefault="000072F0" w:rsidP="008446E2">
            <w:pPr>
              <w:pStyle w:val="SCCAppellantInfoTypeOfCase"/>
              <w:rPr>
                <w:sz w:val="20"/>
                <w:szCs w:val="20"/>
              </w:rPr>
            </w:pPr>
            <w:r w:rsidRPr="00EB7BB6">
              <w:rPr>
                <w:sz w:val="20"/>
                <w:szCs w:val="20"/>
              </w:rPr>
              <w:t>Criminal / Criminelle</w:t>
            </w:r>
          </w:p>
        </w:tc>
        <w:tc>
          <w:tcPr>
            <w:tcW w:w="360" w:type="dxa"/>
          </w:tcPr>
          <w:p w:rsidR="000072F0" w:rsidRPr="00EB7BB6" w:rsidRDefault="000072F0" w:rsidP="008446E2">
            <w:pPr>
              <w:rPr>
                <w:sz w:val="20"/>
                <w:szCs w:val="20"/>
              </w:rPr>
            </w:pPr>
          </w:p>
        </w:tc>
        <w:tc>
          <w:tcPr>
            <w:tcW w:w="3848" w:type="dxa"/>
          </w:tcPr>
          <w:p w:rsidR="000072F0" w:rsidRPr="00EB7BB6" w:rsidRDefault="000072F0" w:rsidP="008446E2">
            <w:pPr>
              <w:rPr>
                <w:sz w:val="20"/>
                <w:szCs w:val="20"/>
              </w:rPr>
            </w:pPr>
          </w:p>
        </w:tc>
      </w:tr>
      <w:tr w:rsidR="000072F0" w:rsidRPr="00EB7BB6" w:rsidTr="008446E2">
        <w:trPr>
          <w:cantSplit/>
        </w:trPr>
        <w:tc>
          <w:tcPr>
            <w:tcW w:w="508" w:type="dxa"/>
          </w:tcPr>
          <w:p w:rsidR="000072F0" w:rsidRPr="00EB7BB6" w:rsidRDefault="000072F0" w:rsidP="008446E2">
            <w:pPr>
              <w:rPr>
                <w:sz w:val="20"/>
                <w:szCs w:val="20"/>
              </w:rPr>
            </w:pPr>
            <w:r w:rsidRPr="00EB7BB6">
              <w:rPr>
                <w:sz w:val="20"/>
                <w:szCs w:val="20"/>
              </w:rPr>
              <w:t>9.</w:t>
            </w:r>
          </w:p>
        </w:tc>
        <w:tc>
          <w:tcPr>
            <w:tcW w:w="810" w:type="dxa"/>
          </w:tcPr>
          <w:p w:rsidR="000072F0" w:rsidRPr="00EB7BB6" w:rsidRDefault="000072F0" w:rsidP="008446E2">
            <w:pPr>
              <w:rPr>
                <w:sz w:val="20"/>
                <w:szCs w:val="20"/>
              </w:rPr>
            </w:pPr>
            <w:r w:rsidRPr="00EB7BB6">
              <w:rPr>
                <w:sz w:val="20"/>
                <w:szCs w:val="20"/>
              </w:rPr>
              <w:t>38522</w:t>
            </w:r>
          </w:p>
        </w:tc>
        <w:tc>
          <w:tcPr>
            <w:tcW w:w="4050" w:type="dxa"/>
          </w:tcPr>
          <w:p w:rsidR="000072F0" w:rsidRPr="00EB7BB6" w:rsidRDefault="000072F0" w:rsidP="008446E2">
            <w:pPr>
              <w:pStyle w:val="SCCAppellantInfoAppellantInfo"/>
              <w:rPr>
                <w:sz w:val="20"/>
                <w:szCs w:val="20"/>
                <w:lang w:val="fr-CA"/>
              </w:rPr>
            </w:pPr>
            <w:r w:rsidRPr="00EB7BB6">
              <w:rPr>
                <w:sz w:val="20"/>
                <w:szCs w:val="20"/>
                <w:lang w:val="fr-CA"/>
              </w:rPr>
              <w:t>Benoît Bissonnette</w:t>
            </w:r>
          </w:p>
          <w:p w:rsidR="000072F0" w:rsidRPr="00EB7BB6" w:rsidRDefault="000072F0" w:rsidP="008446E2">
            <w:pPr>
              <w:pStyle w:val="SCCAppellantInfoAppellantInfo"/>
              <w:rPr>
                <w:sz w:val="20"/>
                <w:szCs w:val="20"/>
                <w:lang w:val="fr-CA"/>
              </w:rPr>
            </w:pPr>
            <w:r w:rsidRPr="00EB7BB6">
              <w:rPr>
                <w:sz w:val="20"/>
                <w:szCs w:val="20"/>
                <w:lang w:val="fr-CA"/>
              </w:rPr>
              <w:t>(Qc) (Criminelle) (Autorisation)</w:t>
            </w:r>
          </w:p>
        </w:tc>
        <w:tc>
          <w:tcPr>
            <w:tcW w:w="360" w:type="dxa"/>
          </w:tcPr>
          <w:p w:rsidR="000072F0" w:rsidRPr="00EB7BB6" w:rsidRDefault="000072F0" w:rsidP="008446E2">
            <w:pPr>
              <w:rPr>
                <w:sz w:val="20"/>
                <w:szCs w:val="20"/>
              </w:rPr>
            </w:pPr>
            <w:r w:rsidRPr="00EB7BB6">
              <w:rPr>
                <w:sz w:val="20"/>
                <w:szCs w:val="20"/>
              </w:rPr>
              <w:t>c.</w:t>
            </w:r>
          </w:p>
        </w:tc>
        <w:tc>
          <w:tcPr>
            <w:tcW w:w="3848" w:type="dxa"/>
          </w:tcPr>
          <w:p w:rsidR="000072F0" w:rsidRPr="00EB7BB6" w:rsidRDefault="000072F0" w:rsidP="008446E2">
            <w:pPr>
              <w:pStyle w:val="SCCAppellantInfoAppellantInfo"/>
              <w:rPr>
                <w:sz w:val="20"/>
                <w:szCs w:val="20"/>
              </w:rPr>
            </w:pPr>
            <w:r w:rsidRPr="00EB7BB6">
              <w:rPr>
                <w:sz w:val="20"/>
                <w:szCs w:val="20"/>
              </w:rPr>
              <w:t>Sa Majesté la Reine</w:t>
            </w:r>
          </w:p>
        </w:tc>
      </w:tr>
      <w:tr w:rsidR="000072F0" w:rsidRPr="00EB7BB6" w:rsidTr="008446E2">
        <w:trPr>
          <w:cantSplit/>
        </w:trPr>
        <w:tc>
          <w:tcPr>
            <w:tcW w:w="508" w:type="dxa"/>
          </w:tcPr>
          <w:p w:rsidR="000072F0" w:rsidRPr="00EB7BB6" w:rsidRDefault="000072F0" w:rsidP="008446E2">
            <w:pPr>
              <w:rPr>
                <w:sz w:val="20"/>
                <w:szCs w:val="20"/>
              </w:rPr>
            </w:pPr>
          </w:p>
        </w:tc>
        <w:tc>
          <w:tcPr>
            <w:tcW w:w="810" w:type="dxa"/>
          </w:tcPr>
          <w:p w:rsidR="000072F0" w:rsidRPr="00EB7BB6" w:rsidRDefault="000072F0" w:rsidP="008446E2">
            <w:pPr>
              <w:rPr>
                <w:sz w:val="20"/>
                <w:szCs w:val="20"/>
              </w:rPr>
            </w:pPr>
          </w:p>
        </w:tc>
        <w:tc>
          <w:tcPr>
            <w:tcW w:w="4050" w:type="dxa"/>
          </w:tcPr>
          <w:p w:rsidR="000072F0" w:rsidRPr="00EB7BB6" w:rsidRDefault="000072F0" w:rsidP="008446E2">
            <w:pPr>
              <w:pStyle w:val="SCCAppellantInfoTypeOfCase"/>
              <w:rPr>
                <w:sz w:val="20"/>
                <w:szCs w:val="20"/>
              </w:rPr>
            </w:pPr>
            <w:r w:rsidRPr="00EB7BB6">
              <w:rPr>
                <w:sz w:val="20"/>
                <w:szCs w:val="20"/>
              </w:rPr>
              <w:t>Civil / Civile</w:t>
            </w:r>
          </w:p>
        </w:tc>
        <w:tc>
          <w:tcPr>
            <w:tcW w:w="360" w:type="dxa"/>
          </w:tcPr>
          <w:p w:rsidR="000072F0" w:rsidRPr="00EB7BB6" w:rsidRDefault="000072F0" w:rsidP="008446E2">
            <w:pPr>
              <w:rPr>
                <w:sz w:val="20"/>
                <w:szCs w:val="20"/>
              </w:rPr>
            </w:pPr>
          </w:p>
        </w:tc>
        <w:tc>
          <w:tcPr>
            <w:tcW w:w="3848" w:type="dxa"/>
          </w:tcPr>
          <w:p w:rsidR="000072F0" w:rsidRPr="00EB7BB6" w:rsidRDefault="000072F0" w:rsidP="008446E2">
            <w:pPr>
              <w:rPr>
                <w:sz w:val="20"/>
                <w:szCs w:val="20"/>
              </w:rPr>
            </w:pPr>
          </w:p>
        </w:tc>
      </w:tr>
      <w:tr w:rsidR="000072F0" w:rsidRPr="00EB7BB6" w:rsidTr="008446E2">
        <w:trPr>
          <w:cantSplit/>
        </w:trPr>
        <w:tc>
          <w:tcPr>
            <w:tcW w:w="508" w:type="dxa"/>
          </w:tcPr>
          <w:p w:rsidR="000072F0" w:rsidRPr="00EB7BB6" w:rsidRDefault="000072F0" w:rsidP="008446E2">
            <w:pPr>
              <w:rPr>
                <w:sz w:val="20"/>
                <w:szCs w:val="20"/>
              </w:rPr>
            </w:pPr>
            <w:r w:rsidRPr="00EB7BB6">
              <w:rPr>
                <w:sz w:val="20"/>
                <w:szCs w:val="20"/>
              </w:rPr>
              <w:t>10.</w:t>
            </w:r>
          </w:p>
        </w:tc>
        <w:tc>
          <w:tcPr>
            <w:tcW w:w="810" w:type="dxa"/>
          </w:tcPr>
          <w:p w:rsidR="000072F0" w:rsidRPr="00EB7BB6" w:rsidRDefault="000072F0" w:rsidP="008446E2">
            <w:pPr>
              <w:rPr>
                <w:sz w:val="20"/>
                <w:szCs w:val="20"/>
              </w:rPr>
            </w:pPr>
            <w:r w:rsidRPr="00EB7BB6">
              <w:rPr>
                <w:sz w:val="20"/>
                <w:szCs w:val="20"/>
              </w:rPr>
              <w:t>38521</w:t>
            </w:r>
          </w:p>
        </w:tc>
        <w:tc>
          <w:tcPr>
            <w:tcW w:w="4050" w:type="dxa"/>
          </w:tcPr>
          <w:p w:rsidR="000072F0" w:rsidRPr="00EB7BB6" w:rsidRDefault="000072F0" w:rsidP="008446E2">
            <w:pPr>
              <w:pStyle w:val="SCCAppellantInfoAppellantInfo"/>
              <w:rPr>
                <w:sz w:val="20"/>
                <w:szCs w:val="20"/>
                <w:lang w:val="fr-CA"/>
              </w:rPr>
            </w:pPr>
            <w:r w:rsidRPr="00EB7BB6">
              <w:rPr>
                <w:sz w:val="20"/>
                <w:szCs w:val="20"/>
                <w:lang w:val="fr-CA"/>
              </w:rPr>
              <w:t>Atlantic Lottery Corporation Inc. - Société des lotteries de L'Atlantique, et al.</w:t>
            </w:r>
          </w:p>
          <w:p w:rsidR="000072F0" w:rsidRPr="00EB7BB6" w:rsidRDefault="000072F0" w:rsidP="008446E2">
            <w:pPr>
              <w:pStyle w:val="SCCAppellantInfoAppellantInfo"/>
              <w:rPr>
                <w:sz w:val="20"/>
                <w:szCs w:val="20"/>
              </w:rPr>
            </w:pPr>
            <w:r w:rsidRPr="00EB7BB6">
              <w:rPr>
                <w:sz w:val="20"/>
                <w:szCs w:val="20"/>
              </w:rPr>
              <w:t>(N.L.) (Civil) (By Leave)</w:t>
            </w:r>
          </w:p>
        </w:tc>
        <w:tc>
          <w:tcPr>
            <w:tcW w:w="360" w:type="dxa"/>
          </w:tcPr>
          <w:p w:rsidR="000072F0" w:rsidRPr="00EB7BB6" w:rsidRDefault="000072F0" w:rsidP="008446E2">
            <w:pPr>
              <w:rPr>
                <w:sz w:val="20"/>
                <w:szCs w:val="20"/>
              </w:rPr>
            </w:pPr>
            <w:r w:rsidRPr="00EB7BB6">
              <w:rPr>
                <w:sz w:val="20"/>
                <w:szCs w:val="20"/>
              </w:rPr>
              <w:t>v.</w:t>
            </w:r>
          </w:p>
        </w:tc>
        <w:tc>
          <w:tcPr>
            <w:tcW w:w="3848" w:type="dxa"/>
          </w:tcPr>
          <w:p w:rsidR="000072F0" w:rsidRPr="00EB7BB6" w:rsidRDefault="000072F0" w:rsidP="008446E2">
            <w:pPr>
              <w:pStyle w:val="SCCAppellantInfoAppellantInfo"/>
              <w:rPr>
                <w:sz w:val="20"/>
                <w:szCs w:val="20"/>
              </w:rPr>
            </w:pPr>
            <w:r w:rsidRPr="00EB7BB6">
              <w:rPr>
                <w:sz w:val="20"/>
                <w:szCs w:val="20"/>
              </w:rPr>
              <w:t>Douglas Babstock, et al.</w:t>
            </w:r>
          </w:p>
        </w:tc>
      </w:tr>
      <w:tr w:rsidR="000072F0" w:rsidRPr="00EB7BB6" w:rsidTr="008446E2">
        <w:trPr>
          <w:cantSplit/>
        </w:trPr>
        <w:tc>
          <w:tcPr>
            <w:tcW w:w="508" w:type="dxa"/>
          </w:tcPr>
          <w:p w:rsidR="000072F0" w:rsidRPr="00EB7BB6" w:rsidRDefault="000072F0" w:rsidP="008446E2">
            <w:pPr>
              <w:rPr>
                <w:sz w:val="20"/>
                <w:szCs w:val="20"/>
              </w:rPr>
            </w:pPr>
            <w:r w:rsidRPr="00EB7BB6">
              <w:rPr>
                <w:sz w:val="20"/>
                <w:szCs w:val="20"/>
              </w:rPr>
              <w:t>11.</w:t>
            </w:r>
          </w:p>
        </w:tc>
        <w:tc>
          <w:tcPr>
            <w:tcW w:w="810" w:type="dxa"/>
          </w:tcPr>
          <w:p w:rsidR="000072F0" w:rsidRPr="00EB7BB6" w:rsidRDefault="000072F0" w:rsidP="008446E2">
            <w:pPr>
              <w:rPr>
                <w:sz w:val="20"/>
                <w:szCs w:val="20"/>
              </w:rPr>
            </w:pPr>
            <w:r w:rsidRPr="00EB7BB6">
              <w:rPr>
                <w:sz w:val="20"/>
                <w:szCs w:val="20"/>
              </w:rPr>
              <w:t>38503</w:t>
            </w:r>
          </w:p>
        </w:tc>
        <w:tc>
          <w:tcPr>
            <w:tcW w:w="4050" w:type="dxa"/>
          </w:tcPr>
          <w:p w:rsidR="000072F0" w:rsidRPr="00EB7BB6" w:rsidRDefault="000072F0" w:rsidP="008446E2">
            <w:pPr>
              <w:pStyle w:val="SCCAppellantInfoAppellantInfo"/>
              <w:rPr>
                <w:sz w:val="20"/>
                <w:szCs w:val="20"/>
              </w:rPr>
            </w:pPr>
            <w:r w:rsidRPr="00EB7BB6">
              <w:rPr>
                <w:sz w:val="20"/>
                <w:szCs w:val="20"/>
              </w:rPr>
              <w:t>Steven Kerzner</w:t>
            </w:r>
          </w:p>
          <w:p w:rsidR="000072F0" w:rsidRPr="00EB7BB6" w:rsidRDefault="000072F0" w:rsidP="008446E2">
            <w:pPr>
              <w:pStyle w:val="SCCAppellantInfoAppellantInfo"/>
              <w:rPr>
                <w:sz w:val="20"/>
                <w:szCs w:val="20"/>
              </w:rPr>
            </w:pPr>
            <w:r w:rsidRPr="00EB7BB6">
              <w:rPr>
                <w:sz w:val="20"/>
                <w:szCs w:val="20"/>
              </w:rPr>
              <w:t>(Ont.) (Civil) (By Leave)</w:t>
            </w:r>
          </w:p>
        </w:tc>
        <w:tc>
          <w:tcPr>
            <w:tcW w:w="360" w:type="dxa"/>
          </w:tcPr>
          <w:p w:rsidR="000072F0" w:rsidRPr="00EB7BB6" w:rsidRDefault="000072F0" w:rsidP="008446E2">
            <w:pPr>
              <w:rPr>
                <w:sz w:val="20"/>
                <w:szCs w:val="20"/>
              </w:rPr>
            </w:pPr>
            <w:r w:rsidRPr="00EB7BB6">
              <w:rPr>
                <w:sz w:val="20"/>
                <w:szCs w:val="20"/>
              </w:rPr>
              <w:t>v.</w:t>
            </w:r>
          </w:p>
        </w:tc>
        <w:tc>
          <w:tcPr>
            <w:tcW w:w="3848" w:type="dxa"/>
          </w:tcPr>
          <w:p w:rsidR="000072F0" w:rsidRPr="00EB7BB6" w:rsidRDefault="000072F0" w:rsidP="008446E2">
            <w:pPr>
              <w:pStyle w:val="SCCAppellantInfoAppellantInfo"/>
              <w:rPr>
                <w:sz w:val="20"/>
                <w:szCs w:val="20"/>
              </w:rPr>
            </w:pPr>
            <w:r w:rsidRPr="00EB7BB6">
              <w:rPr>
                <w:sz w:val="20"/>
                <w:szCs w:val="20"/>
              </w:rPr>
              <w:t>American Iron &amp; Metal Company Inc.</w:t>
            </w:r>
          </w:p>
        </w:tc>
      </w:tr>
      <w:tr w:rsidR="000072F0" w:rsidRPr="00EB7BB6" w:rsidTr="00E93A39">
        <w:trPr>
          <w:cantSplit/>
          <w:trHeight w:val="637"/>
        </w:trPr>
        <w:tc>
          <w:tcPr>
            <w:tcW w:w="508" w:type="dxa"/>
          </w:tcPr>
          <w:p w:rsidR="000072F0" w:rsidRPr="00EB7BB6" w:rsidRDefault="000072F0" w:rsidP="008446E2">
            <w:pPr>
              <w:rPr>
                <w:sz w:val="20"/>
                <w:szCs w:val="20"/>
              </w:rPr>
            </w:pPr>
            <w:r w:rsidRPr="00EB7BB6">
              <w:rPr>
                <w:sz w:val="20"/>
                <w:szCs w:val="20"/>
              </w:rPr>
              <w:t>12.</w:t>
            </w:r>
          </w:p>
        </w:tc>
        <w:tc>
          <w:tcPr>
            <w:tcW w:w="810" w:type="dxa"/>
          </w:tcPr>
          <w:p w:rsidR="000072F0" w:rsidRPr="00EB7BB6" w:rsidRDefault="000072F0" w:rsidP="008446E2">
            <w:pPr>
              <w:rPr>
                <w:sz w:val="20"/>
                <w:szCs w:val="20"/>
              </w:rPr>
            </w:pPr>
            <w:r w:rsidRPr="00EB7BB6">
              <w:rPr>
                <w:sz w:val="20"/>
                <w:szCs w:val="20"/>
              </w:rPr>
              <w:t>38517</w:t>
            </w:r>
          </w:p>
        </w:tc>
        <w:tc>
          <w:tcPr>
            <w:tcW w:w="4050" w:type="dxa"/>
          </w:tcPr>
          <w:p w:rsidR="000072F0" w:rsidRPr="00EB7BB6" w:rsidRDefault="000072F0" w:rsidP="008446E2">
            <w:pPr>
              <w:pStyle w:val="SCCAppellantInfoAppellantInfo"/>
              <w:rPr>
                <w:sz w:val="20"/>
                <w:szCs w:val="20"/>
              </w:rPr>
            </w:pPr>
            <w:r w:rsidRPr="00EB7BB6">
              <w:rPr>
                <w:sz w:val="20"/>
                <w:szCs w:val="20"/>
              </w:rPr>
              <w:t>2099232 Ontario Inc.</w:t>
            </w:r>
          </w:p>
          <w:p w:rsidR="000072F0" w:rsidRPr="00EB7BB6" w:rsidRDefault="000072F0" w:rsidP="008446E2">
            <w:pPr>
              <w:pStyle w:val="SCCAppellantInfoAppellantInfo"/>
              <w:rPr>
                <w:sz w:val="20"/>
                <w:szCs w:val="20"/>
              </w:rPr>
            </w:pPr>
            <w:r w:rsidRPr="00EB7BB6">
              <w:rPr>
                <w:sz w:val="20"/>
                <w:szCs w:val="20"/>
              </w:rPr>
              <w:t>(Ont.) (Civil) (By Leave)</w:t>
            </w:r>
          </w:p>
        </w:tc>
        <w:tc>
          <w:tcPr>
            <w:tcW w:w="360" w:type="dxa"/>
          </w:tcPr>
          <w:p w:rsidR="000072F0" w:rsidRPr="00EB7BB6" w:rsidRDefault="000072F0" w:rsidP="008446E2">
            <w:pPr>
              <w:rPr>
                <w:sz w:val="20"/>
                <w:szCs w:val="20"/>
              </w:rPr>
            </w:pPr>
            <w:r w:rsidRPr="00EB7BB6">
              <w:rPr>
                <w:sz w:val="20"/>
                <w:szCs w:val="20"/>
              </w:rPr>
              <w:t>v.</w:t>
            </w:r>
          </w:p>
        </w:tc>
        <w:tc>
          <w:tcPr>
            <w:tcW w:w="3848" w:type="dxa"/>
          </w:tcPr>
          <w:p w:rsidR="000072F0" w:rsidRPr="00EB7BB6" w:rsidRDefault="000072F0" w:rsidP="008446E2">
            <w:pPr>
              <w:pStyle w:val="SCCAppellantInfoAppellantInfo"/>
              <w:rPr>
                <w:sz w:val="20"/>
                <w:szCs w:val="20"/>
              </w:rPr>
            </w:pPr>
            <w:r w:rsidRPr="00EB7BB6">
              <w:rPr>
                <w:sz w:val="20"/>
                <w:szCs w:val="20"/>
              </w:rPr>
              <w:t>Giuseppe Di Millo</w:t>
            </w:r>
          </w:p>
        </w:tc>
      </w:tr>
    </w:tbl>
    <w:p w:rsidR="00414F50" w:rsidRPr="00EB7BB6" w:rsidRDefault="00EB7BB6" w:rsidP="002E2327">
      <w:pPr>
        <w:widowControl w:val="0"/>
        <w:rPr>
          <w:sz w:val="20"/>
          <w:szCs w:val="20"/>
        </w:rPr>
      </w:pPr>
      <w:r w:rsidRPr="00EB7BB6">
        <w:rPr>
          <w:sz w:val="20"/>
          <w:szCs w:val="20"/>
        </w:rPr>
        <w:pict>
          <v:rect id="_x0000_i1049" style="width:2in;height:1pt" o:hrpct="0" o:hralign="center" o:hrstd="t" o:hrnoshade="t" o:hr="t" fillcolor="black [3213]" stroked="f"/>
        </w:pict>
      </w:r>
    </w:p>
    <w:p w:rsidR="0044776A" w:rsidRPr="00EB7BB6" w:rsidRDefault="0044776A" w:rsidP="002E2327">
      <w:pPr>
        <w:widowControl w:val="0"/>
        <w:spacing w:line="0" w:lineRule="atLeast"/>
        <w:rPr>
          <w:sz w:val="20"/>
          <w:szCs w:val="20"/>
        </w:rPr>
        <w:sectPr w:rsidR="0044776A" w:rsidRPr="00EB7BB6"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EB7BB6" w:rsidRDefault="00DD0BDC" w:rsidP="00567602">
      <w:pPr>
        <w:pStyle w:val="Header1StyleE"/>
        <w:pBdr>
          <w:bottom w:val="single" w:sz="12" w:space="1" w:color="auto"/>
        </w:pBdr>
        <w:rPr>
          <w:lang w:val="fr-CA"/>
        </w:rPr>
      </w:pPr>
      <w:bookmarkStart w:id="2" w:name="QuickMark_1"/>
      <w:bookmarkStart w:id="3" w:name="_Toc6468302"/>
      <w:bookmarkEnd w:id="2"/>
      <w:r w:rsidRPr="00EB7BB6">
        <w:rPr>
          <w:lang w:val="fr-CA"/>
        </w:rPr>
        <w:lastRenderedPageBreak/>
        <w:t>Judgments on applications</w:t>
      </w:r>
      <w:r w:rsidR="000C1D9D" w:rsidRPr="00EB7BB6">
        <w:rPr>
          <w:lang w:val="fr-CA"/>
        </w:rPr>
        <w:t xml:space="preserve"> </w:t>
      </w:r>
      <w:r w:rsidRPr="00EB7BB6">
        <w:rPr>
          <w:lang w:val="fr-CA"/>
        </w:rPr>
        <w:t>for leave</w:t>
      </w:r>
      <w:r w:rsidR="00693C38" w:rsidRPr="00EB7BB6">
        <w:rPr>
          <w:noProof/>
          <w:sz w:val="20"/>
          <w:lang w:val="fr-CA"/>
        </w:rPr>
        <w:t xml:space="preserve"> </w:t>
      </w:r>
      <w:r w:rsidR="00271E1E" w:rsidRPr="00EB7BB6">
        <w:rPr>
          <w:noProof/>
          <w:sz w:val="20"/>
          <w:lang w:val="fr-CA"/>
        </w:rPr>
        <w:t xml:space="preserve">/ </w:t>
      </w:r>
      <w:r w:rsidR="00693C38" w:rsidRPr="00EB7BB6">
        <w:rPr>
          <w:noProof/>
          <w:sz w:val="20"/>
          <w:lang w:val="fr-CA"/>
        </w:rPr>
        <w:br/>
      </w:r>
      <w:r w:rsidRPr="00EB7BB6">
        <w:rPr>
          <w:lang w:val="fr-CA"/>
        </w:rPr>
        <w:t>Jugements rendus sur les demandes d’autorisation</w:t>
      </w:r>
      <w:bookmarkEnd w:id="3"/>
    </w:p>
    <w:p w:rsidR="00FB1DB6" w:rsidRPr="00EB7BB6" w:rsidRDefault="00FB1DB6" w:rsidP="00693C38">
      <w:pPr>
        <w:rPr>
          <w:sz w:val="20"/>
          <w:szCs w:val="20"/>
          <w:lang w:val="fr-CA"/>
        </w:rPr>
      </w:pPr>
    </w:p>
    <w:p w:rsidR="00F16063" w:rsidRPr="00EB7BB6" w:rsidRDefault="00414F50" w:rsidP="00F16063">
      <w:pPr>
        <w:rPr>
          <w:b/>
          <w:sz w:val="20"/>
          <w:szCs w:val="20"/>
        </w:rPr>
      </w:pPr>
      <w:r w:rsidRPr="00EB7BB6">
        <w:rPr>
          <w:b/>
          <w:sz w:val="20"/>
          <w:szCs w:val="20"/>
          <w:lang w:val="fr-CA"/>
        </w:rPr>
        <w:t>APRIL</w:t>
      </w:r>
      <w:r w:rsidR="00F16063" w:rsidRPr="00EB7BB6">
        <w:rPr>
          <w:b/>
          <w:sz w:val="20"/>
          <w:szCs w:val="20"/>
        </w:rPr>
        <w:t xml:space="preserve"> 1</w:t>
      </w:r>
      <w:r w:rsidRPr="00EB7BB6">
        <w:rPr>
          <w:b/>
          <w:sz w:val="20"/>
          <w:szCs w:val="20"/>
        </w:rPr>
        <w:t>8</w:t>
      </w:r>
      <w:r w:rsidR="00F16063" w:rsidRPr="00EB7BB6">
        <w:rPr>
          <w:b/>
          <w:sz w:val="20"/>
          <w:szCs w:val="20"/>
        </w:rPr>
        <w:t xml:space="preserve">, </w:t>
      </w:r>
      <w:r w:rsidR="0034657E" w:rsidRPr="00EB7BB6">
        <w:rPr>
          <w:b/>
          <w:sz w:val="20"/>
          <w:szCs w:val="20"/>
        </w:rPr>
        <w:t>2019</w:t>
      </w:r>
      <w:r w:rsidR="00F16063" w:rsidRPr="00EB7BB6">
        <w:rPr>
          <w:b/>
          <w:sz w:val="20"/>
          <w:szCs w:val="20"/>
        </w:rPr>
        <w:t xml:space="preserve"> / LE 1</w:t>
      </w:r>
      <w:r w:rsidRPr="00EB7BB6">
        <w:rPr>
          <w:b/>
          <w:sz w:val="20"/>
          <w:szCs w:val="20"/>
        </w:rPr>
        <w:t>8</w:t>
      </w:r>
      <w:r w:rsidR="00F16063" w:rsidRPr="00EB7BB6">
        <w:rPr>
          <w:b/>
          <w:sz w:val="20"/>
          <w:szCs w:val="20"/>
        </w:rPr>
        <w:t xml:space="preserve"> AVR</w:t>
      </w:r>
      <w:r w:rsidRPr="00EB7BB6">
        <w:rPr>
          <w:b/>
          <w:sz w:val="20"/>
          <w:szCs w:val="20"/>
        </w:rPr>
        <w:t>IL</w:t>
      </w:r>
      <w:r w:rsidR="00F16063" w:rsidRPr="00EB7BB6">
        <w:rPr>
          <w:b/>
          <w:sz w:val="20"/>
          <w:szCs w:val="20"/>
        </w:rPr>
        <w:t xml:space="preserve"> </w:t>
      </w:r>
      <w:r w:rsidR="0034657E" w:rsidRPr="00EB7BB6">
        <w:rPr>
          <w:b/>
          <w:sz w:val="20"/>
          <w:szCs w:val="20"/>
        </w:rPr>
        <w:t>2019</w:t>
      </w:r>
    </w:p>
    <w:p w:rsidR="00F16063" w:rsidRPr="00EB7BB6"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38449</w:t>
            </w:r>
          </w:p>
        </w:tc>
        <w:tc>
          <w:tcPr>
            <w:tcW w:w="4457" w:type="pct"/>
            <w:gridSpan w:val="3"/>
          </w:tcPr>
          <w:p w:rsidR="001D0DD7" w:rsidRPr="00EB7BB6" w:rsidRDefault="001D0DD7" w:rsidP="00B14FDF">
            <w:pPr>
              <w:pStyle w:val="SCCLsocParty"/>
              <w:jc w:val="both"/>
              <w:rPr>
                <w:b/>
                <w:sz w:val="20"/>
                <w:szCs w:val="20"/>
                <w:lang w:val="en-US"/>
              </w:rPr>
            </w:pPr>
            <w:r w:rsidRPr="00EB7BB6">
              <w:rPr>
                <w:b/>
                <w:sz w:val="20"/>
                <w:szCs w:val="20"/>
                <w:lang w:val="en-US"/>
              </w:rPr>
              <w:t>Errol Massiah v. Justices of the Peace Review Council, Lieutenant Governor by and with the advice and concurrence of the Executive Council of the Legislative Assembly for the Province of Ontario and Attorney General for Ontario</w:t>
            </w:r>
          </w:p>
          <w:p w:rsidR="001D0DD7" w:rsidRPr="00EB7BB6" w:rsidRDefault="001D0DD7" w:rsidP="00B14FDF">
            <w:pPr>
              <w:pStyle w:val="SCCLsocOtherPartySeparator"/>
              <w:rPr>
                <w:sz w:val="20"/>
                <w:szCs w:val="20"/>
              </w:rPr>
            </w:pPr>
            <w:r w:rsidRPr="00EB7BB6">
              <w:rPr>
                <w:sz w:val="20"/>
                <w:szCs w:val="20"/>
              </w:rPr>
              <w:t>— and —</w:t>
            </w:r>
          </w:p>
          <w:p w:rsidR="001D0DD7" w:rsidRPr="00EB7BB6" w:rsidRDefault="001D0DD7" w:rsidP="00B14FDF">
            <w:pPr>
              <w:pStyle w:val="SCCLsocParty"/>
              <w:jc w:val="both"/>
              <w:rPr>
                <w:b/>
                <w:sz w:val="20"/>
                <w:szCs w:val="20"/>
                <w:lang w:val="en-US"/>
              </w:rPr>
            </w:pPr>
            <w:r w:rsidRPr="00EB7BB6">
              <w:rPr>
                <w:b/>
                <w:sz w:val="20"/>
                <w:szCs w:val="20"/>
                <w:lang w:val="en-US"/>
              </w:rPr>
              <w:t>Raj Anand and Weir Foulds LLP</w:t>
            </w:r>
          </w:p>
          <w:p w:rsidR="001D0DD7" w:rsidRPr="00EB7BB6" w:rsidRDefault="001D0DD7" w:rsidP="00B14FDF">
            <w:pPr>
              <w:jc w:val="both"/>
              <w:rPr>
                <w:sz w:val="20"/>
              </w:rPr>
            </w:pPr>
            <w:r w:rsidRPr="00EB7BB6">
              <w:rPr>
                <w:sz w:val="20"/>
              </w:rPr>
              <w:t>(Ont.) (Civil) (By Leave)</w:t>
            </w:r>
          </w:p>
        </w:tc>
      </w:tr>
      <w:tr w:rsidR="001F2366" w:rsidRPr="00EB7BB6" w:rsidTr="00B14FDF">
        <w:tc>
          <w:tcPr>
            <w:tcW w:w="5000" w:type="pct"/>
            <w:gridSpan w:val="4"/>
          </w:tcPr>
          <w:p w:rsidR="008C7852" w:rsidRPr="00EB7BB6" w:rsidRDefault="008C7852" w:rsidP="008C7852">
            <w:pPr>
              <w:jc w:val="both"/>
              <w:rPr>
                <w:sz w:val="20"/>
                <w:szCs w:val="20"/>
              </w:rPr>
            </w:pPr>
            <w:r w:rsidRPr="00EB7BB6">
              <w:rPr>
                <w:sz w:val="20"/>
                <w:szCs w:val="20"/>
              </w:rPr>
              <w:t>The application for leave to appeal from the judgment of the</w:t>
            </w:r>
            <w:bookmarkStart w:id="4" w:name="BM_1_"/>
            <w:bookmarkEnd w:id="4"/>
            <w:r w:rsidRPr="00EB7BB6">
              <w:rPr>
                <w:sz w:val="20"/>
                <w:szCs w:val="20"/>
              </w:rPr>
              <w:t xml:space="preserve"> Court of Appeal for Ontario, Number M49113, dated October 19, 2018, is dismissed with costs.</w:t>
            </w:r>
          </w:p>
          <w:p w:rsidR="001F2366" w:rsidRPr="00EB7BB6" w:rsidRDefault="001F2366"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 xml:space="preserve">Civil procedure — Abuse of process — Representation by counsel — Does the Ontario Court of Appeal’s refusal to grant leave raise a question of public importance? — </w:t>
            </w:r>
            <w:r w:rsidRPr="00EB7BB6">
              <w:rPr>
                <w:i/>
                <w:sz w:val="20"/>
              </w:rPr>
              <w:t>Rules of Civil Procedure</w:t>
            </w:r>
            <w:r w:rsidRPr="00EB7BB6">
              <w:rPr>
                <w:sz w:val="20"/>
              </w:rPr>
              <w:t>, RRO 1990, Reg 194, Rule 59.06</w:t>
            </w:r>
          </w:p>
          <w:p w:rsidR="001D0DD7" w:rsidRPr="00EB7BB6" w:rsidRDefault="001D0DD7"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 xml:space="preserve">Erroll Massiah is a former justice of the peace. In 2011 and 2012 he faced two separate hearings before the Justices of the Peace Review Council for misconduct towards multiple women at two courthouses. The first hearing resulted in mandated training plus a ten day suspension without pay. The second hearing resulted in a recommendation that Mr. Massiah be removed from office. By way of an Order in Council, he was removed from office on April 29, 2015. Mr. Massiah applied to the Ontario Superior Court of Justice for judicial review of his removal which was partially allowed on the issue of compensation for litigation costs. In June 2017, the Court of Appeal of Ontario denied leave to appeal the judicial review decision. Mr. Massiah then moved to reopen the judicial review at the Ontario Superior Court of Justice on the basis of Rule 59.06 of the </w:t>
            </w:r>
            <w:r w:rsidRPr="00EB7BB6">
              <w:rPr>
                <w:i/>
                <w:sz w:val="20"/>
              </w:rPr>
              <w:t>Rules of Civil Procedure</w:t>
            </w:r>
            <w:r w:rsidRPr="00EB7BB6">
              <w:rPr>
                <w:sz w:val="20"/>
              </w:rPr>
              <w:t>, RRO 1990, Reg 194. His motion was dismissed as an abuse of process. Leave for appeal was then dismissed by the Court of Appeal for Ontario.</w:t>
            </w:r>
          </w:p>
        </w:tc>
      </w:tr>
      <w:tr w:rsidR="001D0DD7" w:rsidRPr="00EB7BB6" w:rsidTr="00B14FDF">
        <w:tc>
          <w:tcPr>
            <w:tcW w:w="5000" w:type="pct"/>
            <w:gridSpan w:val="4"/>
          </w:tcPr>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April 9, 2018</w:t>
            </w:r>
          </w:p>
          <w:p w:rsidR="001D0DD7" w:rsidRPr="00EB7BB6" w:rsidRDefault="001D0DD7" w:rsidP="00B14FDF">
            <w:pPr>
              <w:jc w:val="both"/>
              <w:rPr>
                <w:sz w:val="20"/>
              </w:rPr>
            </w:pPr>
            <w:r w:rsidRPr="00EB7BB6">
              <w:rPr>
                <w:sz w:val="20"/>
              </w:rPr>
              <w:t>Ontario Superior Court of Justice</w:t>
            </w:r>
          </w:p>
          <w:p w:rsidR="001D0DD7" w:rsidRPr="00EB7BB6" w:rsidRDefault="001D0DD7" w:rsidP="00B14FDF">
            <w:pPr>
              <w:jc w:val="both"/>
              <w:rPr>
                <w:sz w:val="20"/>
              </w:rPr>
            </w:pPr>
            <w:r w:rsidRPr="00EB7BB6">
              <w:rPr>
                <w:sz w:val="20"/>
              </w:rPr>
              <w:t>(Conway, McKelvey, and Myers JJ.)</w:t>
            </w:r>
          </w:p>
          <w:p w:rsidR="001D0DD7" w:rsidRPr="00EB7BB6" w:rsidRDefault="00EB7BB6" w:rsidP="00B14FDF">
            <w:pPr>
              <w:jc w:val="both"/>
              <w:rPr>
                <w:sz w:val="20"/>
              </w:rPr>
            </w:pPr>
            <w:hyperlink r:id="rId19" w:history="1">
              <w:r w:rsidR="001D0DD7" w:rsidRPr="00EB7BB6">
                <w:rPr>
                  <w:rStyle w:val="Hyperlink"/>
                  <w:sz w:val="20"/>
                </w:rPr>
                <w:t>2018 ONSC 2179</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Motion to reopen dismissed.</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t>July 24, 2018</w:t>
            </w:r>
          </w:p>
          <w:p w:rsidR="001D0DD7" w:rsidRPr="00EB7BB6" w:rsidRDefault="001D0DD7" w:rsidP="00B14FDF">
            <w:pPr>
              <w:jc w:val="both"/>
              <w:rPr>
                <w:sz w:val="20"/>
              </w:rPr>
            </w:pPr>
            <w:r w:rsidRPr="00EB7BB6">
              <w:rPr>
                <w:sz w:val="20"/>
              </w:rPr>
              <w:t>Court of Appeal for Ontario</w:t>
            </w:r>
          </w:p>
          <w:p w:rsidR="001D0DD7" w:rsidRPr="00EB7BB6" w:rsidRDefault="001D0DD7" w:rsidP="00B14FDF">
            <w:pPr>
              <w:jc w:val="both"/>
              <w:rPr>
                <w:sz w:val="20"/>
              </w:rPr>
            </w:pPr>
            <w:r w:rsidRPr="00EB7BB6">
              <w:rPr>
                <w:sz w:val="20"/>
              </w:rPr>
              <w:t>(MacFarland J.A.)</w:t>
            </w:r>
          </w:p>
          <w:p w:rsidR="001D0DD7" w:rsidRPr="00EB7BB6" w:rsidRDefault="001D0DD7" w:rsidP="00B14FDF">
            <w:pPr>
              <w:jc w:val="both"/>
              <w:rPr>
                <w:sz w:val="20"/>
              </w:rPr>
            </w:pPr>
            <w:r w:rsidRPr="00EB7BB6">
              <w:rPr>
                <w:sz w:val="20"/>
              </w:rPr>
              <w:t>M49430 (Unreported)</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Motion for an extension of time to perfect application granted.</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t>October 19, 2018</w:t>
            </w:r>
          </w:p>
          <w:p w:rsidR="001D0DD7" w:rsidRPr="00EB7BB6" w:rsidRDefault="001D0DD7" w:rsidP="00B14FDF">
            <w:pPr>
              <w:jc w:val="both"/>
              <w:rPr>
                <w:sz w:val="20"/>
              </w:rPr>
            </w:pPr>
            <w:r w:rsidRPr="00EB7BB6">
              <w:rPr>
                <w:sz w:val="20"/>
              </w:rPr>
              <w:t>Court of Appeal for Ontario</w:t>
            </w:r>
          </w:p>
          <w:p w:rsidR="001D0DD7" w:rsidRPr="00EB7BB6" w:rsidRDefault="001D0DD7" w:rsidP="00B14FDF">
            <w:pPr>
              <w:jc w:val="both"/>
              <w:rPr>
                <w:sz w:val="20"/>
              </w:rPr>
            </w:pPr>
            <w:r w:rsidRPr="00EB7BB6">
              <w:rPr>
                <w:sz w:val="20"/>
              </w:rPr>
              <w:t>(Feldman, Pepall, and Pardu JJ.A.)</w:t>
            </w:r>
          </w:p>
          <w:p w:rsidR="001D0DD7" w:rsidRPr="00EB7BB6" w:rsidRDefault="001D0DD7" w:rsidP="00B14FDF">
            <w:pPr>
              <w:jc w:val="both"/>
              <w:rPr>
                <w:sz w:val="20"/>
              </w:rPr>
            </w:pPr>
            <w:r w:rsidRPr="00EB7BB6">
              <w:rPr>
                <w:sz w:val="20"/>
              </w:rPr>
              <w:t>M49113 (Unreported)</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dismissed.</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t>December 18,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jc w:val="both"/>
        <w:rPr>
          <w:sz w:val="20"/>
        </w:rPr>
      </w:pPr>
    </w:p>
    <w:p w:rsidR="009118B6" w:rsidRPr="00EB7BB6" w:rsidRDefault="00EB7BB6" w:rsidP="001D0DD7">
      <w:pPr>
        <w:jc w:val="both"/>
        <w:rPr>
          <w:sz w:val="20"/>
        </w:rPr>
      </w:pPr>
      <w:r w:rsidRPr="00EB7BB6">
        <w:rPr>
          <w:sz w:val="20"/>
          <w:szCs w:val="20"/>
        </w:rPr>
        <w:pict>
          <v:rect id="_x0000_i1052" style="width:2in;height:1pt" o:hrpct="0" o:hralign="center" o:hrstd="t" o:hrnoshade="t" o:hr="t" fillcolor="black" stroked="f"/>
        </w:pict>
      </w:r>
    </w:p>
    <w:p w:rsidR="001D0DD7" w:rsidRPr="00EB7BB6" w:rsidRDefault="001D0DD7" w:rsidP="001D0D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lang w:val="fr-CA"/>
              </w:rPr>
            </w:pPr>
            <w:r w:rsidRPr="00EB7BB6">
              <w:rPr>
                <w:rStyle w:val="SCCFileNumberChar"/>
                <w:sz w:val="20"/>
                <w:szCs w:val="20"/>
                <w:lang w:val="fr-CA"/>
              </w:rPr>
              <w:t>38449</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Errol Massiah c. Conseil d’évaluation des juges de paix, Lieutenant-gouverneur sur l’avis et avec le consentement du Conseil des ministres de l’Assemblée législative de la Province de l’Ontario et Procureur général de l’Ontario</w:t>
            </w:r>
          </w:p>
          <w:p w:rsidR="001D0DD7" w:rsidRPr="00EB7BB6" w:rsidRDefault="001D0DD7" w:rsidP="00B14FDF">
            <w:pPr>
              <w:pStyle w:val="SCCLsocOtherPartySeparator"/>
              <w:rPr>
                <w:sz w:val="20"/>
                <w:szCs w:val="20"/>
                <w:lang w:val="fr-CA"/>
              </w:rPr>
            </w:pPr>
            <w:r w:rsidRPr="00EB7BB6">
              <w:rPr>
                <w:sz w:val="20"/>
                <w:szCs w:val="20"/>
                <w:lang w:val="fr-CA"/>
              </w:rPr>
              <w:t>— et —</w:t>
            </w:r>
          </w:p>
          <w:p w:rsidR="001D0DD7" w:rsidRPr="00EB7BB6" w:rsidRDefault="001D0DD7" w:rsidP="00B14FDF">
            <w:pPr>
              <w:pStyle w:val="SCCLsocParty"/>
              <w:jc w:val="both"/>
              <w:rPr>
                <w:b/>
                <w:sz w:val="20"/>
                <w:szCs w:val="20"/>
              </w:rPr>
            </w:pPr>
            <w:r w:rsidRPr="00EB7BB6">
              <w:rPr>
                <w:b/>
                <w:sz w:val="20"/>
                <w:szCs w:val="20"/>
              </w:rPr>
              <w:t>Raj Anand et Weir Foulds LLP</w:t>
            </w:r>
          </w:p>
          <w:p w:rsidR="001D0DD7" w:rsidRPr="00EB7BB6" w:rsidRDefault="001D0DD7" w:rsidP="00B14FDF">
            <w:pPr>
              <w:jc w:val="both"/>
              <w:rPr>
                <w:sz w:val="20"/>
                <w:lang w:val="fr-CA"/>
              </w:rPr>
            </w:pPr>
            <w:r w:rsidRPr="00EB7BB6">
              <w:rPr>
                <w:sz w:val="20"/>
                <w:lang w:val="fr-CA"/>
              </w:rPr>
              <w:t>(Ont.) (Civile) (Autorisation)</w:t>
            </w:r>
          </w:p>
        </w:tc>
      </w:tr>
      <w:tr w:rsidR="009118B6" w:rsidRPr="00EB7BB6" w:rsidTr="00B14FDF">
        <w:tc>
          <w:tcPr>
            <w:tcW w:w="5000" w:type="pct"/>
            <w:gridSpan w:val="4"/>
          </w:tcPr>
          <w:p w:rsidR="009118B6" w:rsidRPr="00EB7BB6" w:rsidRDefault="008C7852" w:rsidP="00B14FDF">
            <w:pPr>
              <w:jc w:val="both"/>
              <w:rPr>
                <w:sz w:val="20"/>
                <w:szCs w:val="20"/>
                <w:lang w:val="fr-CA"/>
              </w:rPr>
            </w:pPr>
            <w:r w:rsidRPr="00EB7BB6">
              <w:rPr>
                <w:sz w:val="20"/>
                <w:szCs w:val="20"/>
                <w:lang w:val="fr-CA"/>
              </w:rPr>
              <w:lastRenderedPageBreak/>
              <w:t>La demande d’autorisation d’appel de l’arrêt de la Cour d’appel de l’Ontario, numéro M49113, daté du 19 octobre 2018, est rejet</w:t>
            </w:r>
            <w:r w:rsidRPr="00EB7BB6">
              <w:rPr>
                <w:rFonts w:cs="Times New Roman"/>
                <w:sz w:val="20"/>
                <w:szCs w:val="20"/>
                <w:lang w:val="fr-CA"/>
              </w:rPr>
              <w:t>é</w:t>
            </w:r>
            <w:r w:rsidRPr="00EB7BB6">
              <w:rPr>
                <w:sz w:val="20"/>
                <w:szCs w:val="20"/>
                <w:lang w:val="fr-CA"/>
              </w:rPr>
              <w:t>e avec d</w:t>
            </w:r>
            <w:r w:rsidRPr="00EB7BB6">
              <w:rPr>
                <w:rFonts w:cs="Times New Roman"/>
                <w:sz w:val="20"/>
                <w:szCs w:val="20"/>
                <w:lang w:val="fr-CA"/>
              </w:rPr>
              <w:t>é</w:t>
            </w:r>
            <w:r w:rsidRPr="00EB7BB6">
              <w:rPr>
                <w:sz w:val="20"/>
                <w:szCs w:val="20"/>
                <w:lang w:val="fr-CA"/>
              </w:rPr>
              <w:t>pens.</w:t>
            </w:r>
          </w:p>
          <w:p w:rsidR="008C7852" w:rsidRPr="00EB7BB6" w:rsidRDefault="008C7852"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Procédure civile — Abus de procédures — Représentation par avocat — Le refus de la Cour d’appel de l’Ontario d’accorder l’autorisation soulève</w:t>
            </w:r>
            <w:r w:rsidRPr="00EB7BB6">
              <w:rPr>
                <w:sz w:val="20"/>
                <w:lang w:val="fr-CA"/>
              </w:rPr>
              <w:noBreakHyphen/>
              <w:t>t</w:t>
            </w:r>
            <w:r w:rsidRPr="00EB7BB6">
              <w:rPr>
                <w:sz w:val="20"/>
                <w:lang w:val="fr-CA"/>
              </w:rPr>
              <w:noBreakHyphen/>
              <w:t xml:space="preserve">il une question d’importance pour le public? — </w:t>
            </w:r>
            <w:r w:rsidRPr="00EB7BB6">
              <w:rPr>
                <w:i/>
                <w:sz w:val="20"/>
                <w:lang w:val="fr-CA"/>
              </w:rPr>
              <w:t>Règles de procédure civile</w:t>
            </w:r>
            <w:r w:rsidRPr="00EB7BB6">
              <w:rPr>
                <w:sz w:val="20"/>
                <w:lang w:val="fr-CA"/>
              </w:rPr>
              <w:t>, RRO 1990, Règl. 194, règle 59.06</w:t>
            </w:r>
          </w:p>
          <w:p w:rsidR="001D0DD7" w:rsidRPr="00EB7BB6" w:rsidRDefault="001D0DD7"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 xml:space="preserve">Erroll Massiah est un ancien juge de paix. En 2011 et 2012, il a été convoqué à deux audiences devant le Conseil d’évaluation des juges de paix pour répondre à des allégations d’inconduite à l’égard de plusieurs femmes à deux palais de justice. La première audience a donné lieu à l’obligation de suivre une formation et à une suspension sans solde de dix jours. La deuxième audience a donné lieu à une recommandation de destitution de M. Massiah. Par voie de décret, il a été destitué le 29 avril 2015. Monsieur Massiah a présenté à la Cour supérieure de justice de l’Ontario une demande de contrôle judiciaire de sa destitution, une demande qui a été partiellement accueillie sur la question de l’indemnisation des frais du litige. En juin 2017, la Cour d’appel de l’Ontario a refusé l’autorisation d’en appeler de la décision en contrôle judiciaire. Monsieur Massiah a alors demandé par motion de rouvrir le contrôle judiciaire en Cour supérieure de justice de l’Ontario, s’appuyant sur la règle 59.06 des </w:t>
            </w:r>
            <w:r w:rsidRPr="00EB7BB6">
              <w:rPr>
                <w:i/>
                <w:sz w:val="20"/>
                <w:lang w:val="fr-CA"/>
              </w:rPr>
              <w:t>Règles de procédure civile</w:t>
            </w:r>
            <w:r w:rsidRPr="00EB7BB6">
              <w:rPr>
                <w:sz w:val="20"/>
                <w:lang w:val="fr-CA"/>
              </w:rPr>
              <w:t>, RRO 1990, Règl. 194. Sa motion a été rejetée comme abus de procédures. La Cour d’appel de l’Ontario a ensuite rejeté la requête en autorisation d’interjeter appel.</w:t>
            </w:r>
          </w:p>
        </w:tc>
      </w:tr>
      <w:tr w:rsidR="001D0DD7" w:rsidRPr="00EB7BB6" w:rsidTr="00B14FDF">
        <w:tc>
          <w:tcPr>
            <w:tcW w:w="5000" w:type="pct"/>
            <w:gridSpan w:val="4"/>
          </w:tcPr>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9 avril 2018</w:t>
            </w:r>
          </w:p>
          <w:p w:rsidR="001D0DD7" w:rsidRPr="00EB7BB6" w:rsidRDefault="001D0DD7" w:rsidP="00B14FDF">
            <w:pPr>
              <w:jc w:val="both"/>
              <w:rPr>
                <w:sz w:val="20"/>
                <w:lang w:val="fr-CA"/>
              </w:rPr>
            </w:pPr>
            <w:r w:rsidRPr="00EB7BB6">
              <w:rPr>
                <w:sz w:val="20"/>
                <w:lang w:val="fr-CA"/>
              </w:rPr>
              <w:t>Cour supérieure de justice de l’Ontario</w:t>
            </w:r>
          </w:p>
          <w:p w:rsidR="001D0DD7" w:rsidRPr="00EB7BB6" w:rsidRDefault="001D0DD7" w:rsidP="00B14FDF">
            <w:pPr>
              <w:jc w:val="both"/>
              <w:rPr>
                <w:sz w:val="20"/>
                <w:lang w:val="fr-CA"/>
              </w:rPr>
            </w:pPr>
            <w:r w:rsidRPr="00EB7BB6">
              <w:rPr>
                <w:sz w:val="20"/>
                <w:lang w:val="fr-CA"/>
              </w:rPr>
              <w:t>(Juges Conway, McKelvey et Myers)</w:t>
            </w:r>
          </w:p>
          <w:p w:rsidR="001D0DD7" w:rsidRPr="00EB7BB6" w:rsidRDefault="00EB7BB6" w:rsidP="00B14FDF">
            <w:pPr>
              <w:jc w:val="both"/>
              <w:rPr>
                <w:sz w:val="20"/>
                <w:lang w:val="fr-CA"/>
              </w:rPr>
            </w:pPr>
            <w:hyperlink r:id="rId20" w:history="1">
              <w:r w:rsidR="001D0DD7" w:rsidRPr="00EB7BB6">
                <w:rPr>
                  <w:rStyle w:val="Hyperlink"/>
                  <w:sz w:val="20"/>
                  <w:lang w:val="fr-CA"/>
                </w:rPr>
                <w:t>2018 ONSC 2179</w:t>
              </w:r>
            </w:hyperlink>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Rejet de la motion en réouverture.</w:t>
            </w: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24 juillet 2018</w:t>
            </w:r>
          </w:p>
          <w:p w:rsidR="001D0DD7" w:rsidRPr="00EB7BB6" w:rsidRDefault="001D0DD7" w:rsidP="00B14FDF">
            <w:pPr>
              <w:jc w:val="both"/>
              <w:rPr>
                <w:sz w:val="20"/>
                <w:lang w:val="fr-CA"/>
              </w:rPr>
            </w:pPr>
            <w:r w:rsidRPr="00EB7BB6">
              <w:rPr>
                <w:sz w:val="20"/>
                <w:lang w:val="fr-CA"/>
              </w:rPr>
              <w:t>Cour d’appel de l’Ontario</w:t>
            </w:r>
          </w:p>
          <w:p w:rsidR="001D0DD7" w:rsidRPr="00EB7BB6" w:rsidRDefault="001D0DD7" w:rsidP="00B14FDF">
            <w:pPr>
              <w:jc w:val="both"/>
              <w:rPr>
                <w:sz w:val="20"/>
                <w:lang w:val="fr-CA"/>
              </w:rPr>
            </w:pPr>
            <w:r w:rsidRPr="00EB7BB6">
              <w:rPr>
                <w:sz w:val="20"/>
                <w:lang w:val="fr-CA"/>
              </w:rPr>
              <w:t>(Juge MacFarland)</w:t>
            </w:r>
          </w:p>
          <w:p w:rsidR="001D0DD7" w:rsidRPr="00EB7BB6" w:rsidRDefault="001D0DD7" w:rsidP="00B14FDF">
            <w:pPr>
              <w:jc w:val="both"/>
              <w:rPr>
                <w:sz w:val="20"/>
                <w:lang w:val="fr-CA"/>
              </w:rPr>
            </w:pPr>
            <w:r w:rsidRPr="00EB7BB6">
              <w:rPr>
                <w:sz w:val="20"/>
                <w:lang w:val="fr-CA"/>
              </w:rPr>
              <w:t>M49430 (Non publié)</w:t>
            </w:r>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Arrêt accueillant la motion en prorogation du délai pour mettre en état la demande.</w:t>
            </w: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19 octobre 2018</w:t>
            </w:r>
          </w:p>
          <w:p w:rsidR="001D0DD7" w:rsidRPr="00EB7BB6" w:rsidRDefault="001D0DD7" w:rsidP="00B14FDF">
            <w:pPr>
              <w:jc w:val="both"/>
              <w:rPr>
                <w:sz w:val="20"/>
                <w:lang w:val="fr-CA"/>
              </w:rPr>
            </w:pPr>
            <w:r w:rsidRPr="00EB7BB6">
              <w:rPr>
                <w:sz w:val="20"/>
                <w:lang w:val="fr-CA"/>
              </w:rPr>
              <w:t>Cour d’appel de l’Ontario</w:t>
            </w:r>
          </w:p>
          <w:p w:rsidR="001D0DD7" w:rsidRPr="00EB7BB6" w:rsidRDefault="001D0DD7" w:rsidP="00B14FDF">
            <w:pPr>
              <w:jc w:val="both"/>
              <w:rPr>
                <w:sz w:val="20"/>
                <w:lang w:val="fr-CA"/>
              </w:rPr>
            </w:pPr>
            <w:r w:rsidRPr="00EB7BB6">
              <w:rPr>
                <w:sz w:val="20"/>
                <w:lang w:val="fr-CA"/>
              </w:rPr>
              <w:t>(Juges Feldman, Pepall et Pardu)</w:t>
            </w:r>
          </w:p>
          <w:p w:rsidR="001D0DD7" w:rsidRPr="00EB7BB6" w:rsidRDefault="001D0DD7" w:rsidP="00B14FDF">
            <w:pPr>
              <w:jc w:val="both"/>
              <w:rPr>
                <w:sz w:val="20"/>
                <w:lang w:val="fr-CA"/>
              </w:rPr>
            </w:pPr>
            <w:r w:rsidRPr="00EB7BB6">
              <w:rPr>
                <w:sz w:val="20"/>
                <w:lang w:val="fr-CA"/>
              </w:rPr>
              <w:t>M49113 (Non publié)</w:t>
            </w:r>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Rejet de la requête en autorisation d’interjeter appel.</w:t>
            </w: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18 décembre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Dépôt de la requête en autorisation d’appel</w:t>
            </w:r>
          </w:p>
          <w:p w:rsidR="001D0DD7" w:rsidRPr="00EB7BB6" w:rsidRDefault="001D0DD7" w:rsidP="00B14FDF">
            <w:pPr>
              <w:jc w:val="both"/>
              <w:rPr>
                <w:sz w:val="20"/>
                <w:lang w:val="fr-CA"/>
              </w:rPr>
            </w:pPr>
          </w:p>
        </w:tc>
      </w:tr>
    </w:tbl>
    <w:p w:rsidR="001D0DD7" w:rsidRPr="00EB7BB6" w:rsidRDefault="001D0DD7" w:rsidP="001D0DD7">
      <w:pPr>
        <w:jc w:val="both"/>
        <w:rPr>
          <w:sz w:val="20"/>
          <w:lang w:val="fr-CA"/>
        </w:rPr>
      </w:pPr>
    </w:p>
    <w:p w:rsidR="001D0DD7" w:rsidRPr="00EB7BB6" w:rsidRDefault="00EB7BB6" w:rsidP="001D0DD7">
      <w:pPr>
        <w:ind w:left="142" w:hanging="142"/>
        <w:jc w:val="both"/>
        <w:rPr>
          <w:sz w:val="20"/>
          <w:lang w:val="fr-CA"/>
        </w:rPr>
      </w:pPr>
      <w:r w:rsidRPr="00EB7BB6">
        <w:rPr>
          <w:sz w:val="20"/>
          <w:szCs w:val="20"/>
        </w:rPr>
        <w:pict>
          <v:rect id="_x0000_i1053" style="width:2in;height:1pt" o:hrpct="0" o:hralign="center" o:hrstd="t" o:hrnoshade="t" o:hr="t" fillcolor="black" stroked="f"/>
        </w:pict>
      </w:r>
    </w:p>
    <w:p w:rsidR="0094170F" w:rsidRPr="00EB7BB6" w:rsidRDefault="0094170F" w:rsidP="001D0DD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38268</w:t>
            </w:r>
          </w:p>
        </w:tc>
        <w:tc>
          <w:tcPr>
            <w:tcW w:w="4457" w:type="pct"/>
            <w:gridSpan w:val="3"/>
          </w:tcPr>
          <w:p w:rsidR="001D0DD7" w:rsidRPr="00EB7BB6" w:rsidRDefault="001D0DD7" w:rsidP="00B14FDF">
            <w:pPr>
              <w:pStyle w:val="SCCLsocParty"/>
              <w:jc w:val="both"/>
              <w:rPr>
                <w:b/>
                <w:sz w:val="20"/>
                <w:szCs w:val="20"/>
                <w:lang w:val="en-CA"/>
              </w:rPr>
            </w:pPr>
            <w:r w:rsidRPr="00EB7BB6">
              <w:rPr>
                <w:b/>
                <w:sz w:val="20"/>
                <w:szCs w:val="20"/>
                <w:lang w:val="en-CA"/>
              </w:rPr>
              <w:t>Industrielle Alliance, Insurance and Financial Services Inc. v. Pascale Forest</w:t>
            </w:r>
          </w:p>
          <w:p w:rsidR="001D0DD7" w:rsidRPr="00EB7BB6" w:rsidRDefault="001D0DD7" w:rsidP="00B14FDF">
            <w:pPr>
              <w:jc w:val="both"/>
              <w:rPr>
                <w:sz w:val="20"/>
              </w:rPr>
            </w:pPr>
            <w:r w:rsidRPr="00EB7BB6">
              <w:rPr>
                <w:sz w:val="20"/>
              </w:rPr>
              <w:t>(Que.) (Civil) (By Leave)</w:t>
            </w:r>
          </w:p>
        </w:tc>
      </w:tr>
      <w:tr w:rsidR="0094170F" w:rsidRPr="00EB7BB6" w:rsidTr="00B14FDF">
        <w:tc>
          <w:tcPr>
            <w:tcW w:w="5000" w:type="pct"/>
            <w:gridSpan w:val="4"/>
          </w:tcPr>
          <w:p w:rsidR="0056772A" w:rsidRPr="00EB7BB6" w:rsidRDefault="0056772A" w:rsidP="0056772A">
            <w:pPr>
              <w:jc w:val="both"/>
              <w:rPr>
                <w:sz w:val="20"/>
                <w:szCs w:val="20"/>
              </w:rPr>
            </w:pPr>
            <w:r w:rsidRPr="00EB7BB6">
              <w:rPr>
                <w:sz w:val="20"/>
                <w:szCs w:val="20"/>
              </w:rPr>
              <w:t xml:space="preserve">The application for leave to appeal from the judgment of the </w:t>
            </w:r>
            <w:r w:rsidRPr="00EB7BB6">
              <w:rPr>
                <w:sz w:val="20"/>
                <w:szCs w:val="20"/>
                <w:lang w:val="en-US"/>
              </w:rPr>
              <w:t>Court of Appeal of Quebec (Québec)</w:t>
            </w:r>
            <w:r w:rsidRPr="00EB7BB6">
              <w:rPr>
                <w:sz w:val="20"/>
                <w:szCs w:val="20"/>
              </w:rPr>
              <w:t xml:space="preserve">, Number </w:t>
            </w:r>
            <w:r w:rsidRPr="00EB7BB6">
              <w:rPr>
                <w:sz w:val="20"/>
                <w:szCs w:val="20"/>
                <w:lang w:val="en-US"/>
              </w:rPr>
              <w:t>200-09-009221-166, 2018 QCCA 875</w:t>
            </w:r>
            <w:r w:rsidRPr="00EB7BB6">
              <w:rPr>
                <w:sz w:val="20"/>
                <w:szCs w:val="20"/>
              </w:rPr>
              <w:t xml:space="preserve">, dated </w:t>
            </w:r>
            <w:r w:rsidRPr="00EB7BB6">
              <w:rPr>
                <w:sz w:val="20"/>
                <w:szCs w:val="20"/>
                <w:lang w:val="en-US"/>
              </w:rPr>
              <w:t>May 31, 2018,</w:t>
            </w:r>
            <w:r w:rsidRPr="00EB7BB6">
              <w:rPr>
                <w:sz w:val="20"/>
                <w:szCs w:val="20"/>
              </w:rPr>
              <w:t xml:space="preserve"> is dismissed.</w:t>
            </w:r>
          </w:p>
          <w:p w:rsidR="0094170F" w:rsidRPr="00EB7BB6" w:rsidRDefault="0094170F" w:rsidP="0056772A">
            <w:pPr>
              <w:tabs>
                <w:tab w:val="left" w:pos="1466"/>
              </w:tabs>
              <w:jc w:val="both"/>
              <w:rPr>
                <w:iCs/>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iCs/>
                <w:sz w:val="20"/>
              </w:rPr>
              <w:t xml:space="preserve">Insurance — Disability insurance — Insured who has subjective type illness </w:t>
            </w:r>
            <w:r w:rsidRPr="00EB7BB6">
              <w:rPr>
                <w:sz w:val="20"/>
              </w:rPr>
              <w:t>— Burden of proof — Whether, for application of group disability insurance contract in case of dispute relating to obligation to pay disability benefits to insured with subjective type illness, burden of proof on parties requires establishment of preponderance of objective and scientific evidence — Extent to which insurer’s obligation to pay disability benefits to insured with subjective type illness depends on credibility of insured.</w:t>
            </w:r>
          </w:p>
          <w:p w:rsidR="001D0DD7" w:rsidRPr="00EB7BB6" w:rsidRDefault="001D0DD7"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lastRenderedPageBreak/>
              <w:t>Ms. Forest, the respondent, stopped working in November 2007 after a diagnosis of chronic fatigue syndrome. She availed herself of the group disability insurance plan guaranteed by the applicant, Industrielle Alliance (“insurer”), first by receiving short-term disability benefits. She then received benefits under the long-term plan, but in 2011 the insurer stopped paying benefits on the basis that Ms. Forest no longer met the eligibility criteria. Ms. Forest instituted an action for restoration of the disability benefits and for damages against the insurer, but was unsuccessful. The Court of Appeal allowed her appeal in part.</w:t>
            </w:r>
          </w:p>
        </w:tc>
      </w:tr>
      <w:tr w:rsidR="001D0DD7" w:rsidRPr="00EB7BB6" w:rsidTr="00B14FDF">
        <w:tc>
          <w:tcPr>
            <w:tcW w:w="5000" w:type="pct"/>
            <w:gridSpan w:val="4"/>
          </w:tcPr>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January 25, 2016</w:t>
            </w:r>
          </w:p>
          <w:p w:rsidR="001D0DD7" w:rsidRPr="00EB7BB6" w:rsidRDefault="001D0DD7" w:rsidP="00B14FDF">
            <w:pPr>
              <w:jc w:val="both"/>
              <w:rPr>
                <w:sz w:val="20"/>
              </w:rPr>
            </w:pPr>
            <w:r w:rsidRPr="00EB7BB6">
              <w:rPr>
                <w:sz w:val="20"/>
              </w:rPr>
              <w:t>Quebec Superior Court</w:t>
            </w:r>
          </w:p>
          <w:p w:rsidR="001D0DD7" w:rsidRPr="00EB7BB6" w:rsidRDefault="001D0DD7" w:rsidP="00B14FDF">
            <w:pPr>
              <w:jc w:val="both"/>
              <w:rPr>
                <w:sz w:val="20"/>
              </w:rPr>
            </w:pPr>
            <w:r w:rsidRPr="00EB7BB6">
              <w:rPr>
                <w:sz w:val="20"/>
              </w:rPr>
              <w:t>(April J.)</w:t>
            </w:r>
          </w:p>
          <w:p w:rsidR="001D0DD7" w:rsidRPr="00EB7BB6" w:rsidRDefault="00EB7BB6" w:rsidP="00B14FDF">
            <w:pPr>
              <w:jc w:val="both"/>
              <w:rPr>
                <w:sz w:val="20"/>
              </w:rPr>
            </w:pPr>
            <w:hyperlink r:id="rId21" w:history="1">
              <w:r w:rsidR="001D0DD7" w:rsidRPr="00EB7BB6">
                <w:rPr>
                  <w:rStyle w:val="Hyperlink"/>
                  <w:sz w:val="20"/>
                </w:rPr>
                <w:t>2016 QCCS 497</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Action for restoration of disability benefits and for damages dismissed</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t>May 31, 2018</w:t>
            </w:r>
          </w:p>
          <w:p w:rsidR="001D0DD7" w:rsidRPr="00EB7BB6" w:rsidRDefault="001D0DD7" w:rsidP="00B14FDF">
            <w:pPr>
              <w:jc w:val="both"/>
              <w:rPr>
                <w:sz w:val="20"/>
              </w:rPr>
            </w:pPr>
            <w:r w:rsidRPr="00EB7BB6">
              <w:rPr>
                <w:sz w:val="20"/>
              </w:rPr>
              <w:t>Quebec Court of Appeal (Québec)</w:t>
            </w:r>
          </w:p>
          <w:p w:rsidR="001D0DD7" w:rsidRPr="00EB7BB6" w:rsidRDefault="001D0DD7" w:rsidP="00B14FDF">
            <w:pPr>
              <w:jc w:val="both"/>
              <w:rPr>
                <w:sz w:val="20"/>
                <w:lang w:val="fr-CA"/>
              </w:rPr>
            </w:pPr>
            <w:r w:rsidRPr="00EB7BB6">
              <w:rPr>
                <w:sz w:val="20"/>
                <w:lang w:val="fr-CA"/>
              </w:rPr>
              <w:t>(Morissette, Gagnon and Gagné JJ.A.)</w:t>
            </w:r>
          </w:p>
          <w:p w:rsidR="001D0DD7" w:rsidRPr="00EB7BB6" w:rsidRDefault="00EB7BB6" w:rsidP="00B14FDF">
            <w:pPr>
              <w:jc w:val="both"/>
              <w:rPr>
                <w:sz w:val="20"/>
              </w:rPr>
            </w:pPr>
            <w:hyperlink r:id="rId22" w:history="1">
              <w:r w:rsidR="001D0DD7" w:rsidRPr="00EB7BB6">
                <w:rPr>
                  <w:rStyle w:val="Hyperlink"/>
                  <w:sz w:val="20"/>
                </w:rPr>
                <w:t>2018 QCCA 875</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 xml:space="preserve">Appeal allowed in part </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t>August 30,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jc w:val="both"/>
        <w:rPr>
          <w:sz w:val="20"/>
        </w:rPr>
      </w:pPr>
    </w:p>
    <w:p w:rsidR="0094170F" w:rsidRPr="00EB7BB6" w:rsidRDefault="00EB7BB6" w:rsidP="001D0DD7">
      <w:pPr>
        <w:jc w:val="both"/>
        <w:rPr>
          <w:sz w:val="20"/>
        </w:rPr>
      </w:pPr>
      <w:r w:rsidRPr="00EB7BB6">
        <w:rPr>
          <w:sz w:val="20"/>
          <w:szCs w:val="20"/>
        </w:rPr>
        <w:pict>
          <v:rect id="_x0000_i1054" style="width:2in;height:1pt" o:hrpct="0" o:hralign="center" o:hrstd="t" o:hrnoshade="t" o:hr="t" fillcolor="black" stroked="f"/>
        </w:pict>
      </w:r>
    </w:p>
    <w:p w:rsidR="001D0DD7" w:rsidRPr="00EB7BB6" w:rsidRDefault="001D0DD7" w:rsidP="001D0D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38268</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Industrielle Alliance, Assurance et services financiers inc. c. Pascale Forest</w:t>
            </w:r>
          </w:p>
          <w:p w:rsidR="001D0DD7" w:rsidRPr="00EB7BB6" w:rsidRDefault="001D0DD7" w:rsidP="00B14FDF">
            <w:pPr>
              <w:jc w:val="both"/>
              <w:rPr>
                <w:sz w:val="20"/>
              </w:rPr>
            </w:pPr>
            <w:r w:rsidRPr="00EB7BB6">
              <w:rPr>
                <w:sz w:val="20"/>
              </w:rPr>
              <w:t>(Qc) (Civile) (Autorisation)</w:t>
            </w:r>
          </w:p>
        </w:tc>
      </w:tr>
      <w:tr w:rsidR="0094170F" w:rsidRPr="00EB7BB6" w:rsidTr="00B14FDF">
        <w:tc>
          <w:tcPr>
            <w:tcW w:w="5000" w:type="pct"/>
            <w:gridSpan w:val="4"/>
          </w:tcPr>
          <w:p w:rsidR="00EE0FD4" w:rsidRPr="00EB7BB6" w:rsidRDefault="00EE0FD4" w:rsidP="00EE0FD4">
            <w:pPr>
              <w:jc w:val="both"/>
              <w:rPr>
                <w:sz w:val="20"/>
                <w:szCs w:val="20"/>
                <w:lang w:val="fr-CA"/>
              </w:rPr>
            </w:pPr>
            <w:r w:rsidRPr="00EB7BB6">
              <w:rPr>
                <w:sz w:val="20"/>
                <w:szCs w:val="20"/>
                <w:lang w:val="fr-CA"/>
              </w:rPr>
              <w:t>La demande d’autorisation d’appel de l’arrêt de la Cour d’appel du Québec (Québec), numéro 200-09-009221-166, 2018 QCCA 875, daté du 31 mai 2018, est rejet</w:t>
            </w:r>
            <w:r w:rsidRPr="00EB7BB6">
              <w:rPr>
                <w:rFonts w:cs="Times New Roman"/>
                <w:sz w:val="20"/>
                <w:szCs w:val="20"/>
                <w:lang w:val="fr-CA"/>
              </w:rPr>
              <w:t>é</w:t>
            </w:r>
            <w:r w:rsidRPr="00EB7BB6">
              <w:rPr>
                <w:sz w:val="20"/>
                <w:szCs w:val="20"/>
                <w:lang w:val="fr-CA"/>
              </w:rPr>
              <w:t>e.</w:t>
            </w:r>
          </w:p>
          <w:p w:rsidR="0094170F" w:rsidRPr="00EB7BB6" w:rsidRDefault="0094170F" w:rsidP="00B14FDF">
            <w:pPr>
              <w:jc w:val="both"/>
              <w:rPr>
                <w:iCs/>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iCs/>
                <w:sz w:val="20"/>
                <w:lang w:val="fr-CA"/>
              </w:rPr>
              <w:t>Assurances — Assurance</w:t>
            </w:r>
            <w:r w:rsidRPr="00EB7BB6">
              <w:rPr>
                <w:iCs/>
                <w:sz w:val="20"/>
                <w:lang w:val="fr-CA"/>
              </w:rPr>
              <w:noBreakHyphen/>
              <w:t xml:space="preserve">invalidité — </w:t>
            </w:r>
            <w:r w:rsidRPr="00EB7BB6">
              <w:rPr>
                <w:sz w:val="20"/>
                <w:lang w:val="fr-CA"/>
              </w:rPr>
              <w:t>Personne assurée atteinte d’un syndrome établi à partir de symptômes subjectifs (« SESS ») — Fardeau de la preuve — Pour l’application d’un contrat d’assurance invalidité collective, en cas de litige portant sur l’obligation de verser des prestations d’invalidité à une personne assurée atteinte d’un syndrome établi à partir de symptômes subjectifs, le fardeau de la preuve qui incombe aux parties exige-t-il une démonstration de prépondérance d’éléments objectifs et scientifiques? — Dans quelle mesure l’obligation de l’assureur de verser des prestations d’invalidité à une personne assurée atteinte d’un SESS est-elle tributaire de la crédibilité de la personne assurée?</w:t>
            </w:r>
          </w:p>
          <w:p w:rsidR="001D0DD7" w:rsidRPr="00EB7BB6" w:rsidRDefault="001D0DD7"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lang w:val="fr-CA"/>
              </w:rPr>
              <w:t xml:space="preserve">Madame Forest, intimée, a cessé de travailler en novembre 2007, en raison d’un diagnostic de syndrome de fatigue chronique. Elle s’est prévalue du régime collectif d’assurance invalidité garanti par la demanderesse, Industrielle Alliance (« assureur »), touchant d’abord des prestations d’invalidité de courte durée. Elle a ensuite bénéficié du régime de longue durée, mais en 2011 l’assureur a cessé de verser des prestations au motif que Mme Forest ne répondait plus aux critères d’admissibilité. Madame Forest a intenté sans succès une action en rétablissement des prestations d’assurance invalidité et en dommages-intérêts contre l’assureur. </w:t>
            </w:r>
            <w:r w:rsidRPr="00EB7BB6">
              <w:rPr>
                <w:sz w:val="20"/>
              </w:rPr>
              <w:t xml:space="preserve">La Cour d’appel a accueilli l’appel en partie. </w:t>
            </w:r>
          </w:p>
        </w:tc>
      </w:tr>
      <w:tr w:rsidR="001D0DD7" w:rsidRPr="00EB7BB6" w:rsidTr="00B14FDF">
        <w:tc>
          <w:tcPr>
            <w:tcW w:w="5000" w:type="pct"/>
            <w:gridSpan w:val="4"/>
          </w:tcPr>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25 janvier 2016</w:t>
            </w:r>
          </w:p>
          <w:p w:rsidR="001D0DD7" w:rsidRPr="00EB7BB6" w:rsidRDefault="001D0DD7" w:rsidP="00B14FDF">
            <w:pPr>
              <w:jc w:val="both"/>
              <w:rPr>
                <w:sz w:val="20"/>
                <w:lang w:val="fr-CA"/>
              </w:rPr>
            </w:pPr>
            <w:r w:rsidRPr="00EB7BB6">
              <w:rPr>
                <w:sz w:val="20"/>
                <w:lang w:val="fr-CA"/>
              </w:rPr>
              <w:t>Cour supérieure du Québec</w:t>
            </w:r>
          </w:p>
          <w:p w:rsidR="001D0DD7" w:rsidRPr="00EB7BB6" w:rsidRDefault="001D0DD7" w:rsidP="00B14FDF">
            <w:pPr>
              <w:jc w:val="both"/>
              <w:rPr>
                <w:sz w:val="20"/>
              </w:rPr>
            </w:pPr>
            <w:r w:rsidRPr="00EB7BB6">
              <w:rPr>
                <w:sz w:val="20"/>
              </w:rPr>
              <w:t>(La juge April)</w:t>
            </w:r>
          </w:p>
          <w:p w:rsidR="001D0DD7" w:rsidRPr="00EB7BB6" w:rsidRDefault="00EB7BB6" w:rsidP="00B14FDF">
            <w:pPr>
              <w:jc w:val="both"/>
              <w:rPr>
                <w:sz w:val="20"/>
              </w:rPr>
            </w:pPr>
            <w:hyperlink r:id="rId23" w:history="1">
              <w:r w:rsidR="001D0DD7" w:rsidRPr="00EB7BB6">
                <w:rPr>
                  <w:rStyle w:val="Hyperlink"/>
                  <w:sz w:val="20"/>
                </w:rPr>
                <w:t>2016 QCCS 497</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lang w:val="fr-CA"/>
              </w:rPr>
            </w:pPr>
            <w:r w:rsidRPr="00EB7BB6">
              <w:rPr>
                <w:sz w:val="20"/>
                <w:lang w:val="fr-CA"/>
              </w:rPr>
              <w:t xml:space="preserve">Action en rétablissement de prestations d’assurance invalidité et dommages rejetée </w:t>
            </w:r>
          </w:p>
        </w:tc>
      </w:tr>
    </w:tbl>
    <w:p w:rsidR="00702148" w:rsidRPr="00EB7BB6" w:rsidRDefault="00702148">
      <w:pPr>
        <w:rPr>
          <w:lang w:val="fr-CA"/>
        </w:rPr>
      </w:pPr>
      <w:r w:rsidRPr="00EB7B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0DD7" w:rsidRPr="00EB7BB6" w:rsidTr="00B14FDF">
        <w:tc>
          <w:tcPr>
            <w:tcW w:w="2427" w:type="pct"/>
          </w:tcPr>
          <w:p w:rsidR="001D0DD7" w:rsidRPr="00EB7BB6" w:rsidRDefault="001D0DD7" w:rsidP="00B14FDF">
            <w:pPr>
              <w:jc w:val="both"/>
              <w:rPr>
                <w:sz w:val="20"/>
                <w:lang w:val="fr-CA"/>
              </w:rPr>
            </w:pPr>
            <w:r w:rsidRPr="00EB7BB6">
              <w:rPr>
                <w:sz w:val="20"/>
                <w:lang w:val="fr-CA"/>
              </w:rPr>
              <w:lastRenderedPageBreak/>
              <w:t>Le 31 mai 2018</w:t>
            </w:r>
          </w:p>
          <w:p w:rsidR="001D0DD7" w:rsidRPr="00EB7BB6" w:rsidRDefault="001D0DD7" w:rsidP="00B14FDF">
            <w:pPr>
              <w:jc w:val="both"/>
              <w:rPr>
                <w:sz w:val="20"/>
                <w:lang w:val="fr-CA"/>
              </w:rPr>
            </w:pPr>
            <w:r w:rsidRPr="00EB7BB6">
              <w:rPr>
                <w:sz w:val="20"/>
                <w:lang w:val="fr-CA"/>
              </w:rPr>
              <w:t>Cour d’appel du Québec (Québec)</w:t>
            </w:r>
          </w:p>
          <w:p w:rsidR="001D0DD7" w:rsidRPr="00EB7BB6" w:rsidRDefault="001D0DD7" w:rsidP="00B14FDF">
            <w:pPr>
              <w:jc w:val="both"/>
              <w:rPr>
                <w:sz w:val="20"/>
                <w:lang w:val="fr-CA"/>
              </w:rPr>
            </w:pPr>
            <w:r w:rsidRPr="00EB7BB6">
              <w:rPr>
                <w:sz w:val="20"/>
                <w:lang w:val="fr-CA"/>
              </w:rPr>
              <w:t>(Les juges Morissette, Gagnon et Gagné)</w:t>
            </w:r>
          </w:p>
          <w:p w:rsidR="001D0DD7" w:rsidRPr="00EB7BB6" w:rsidRDefault="00EB7BB6" w:rsidP="00B14FDF">
            <w:pPr>
              <w:jc w:val="both"/>
              <w:rPr>
                <w:sz w:val="20"/>
              </w:rPr>
            </w:pPr>
            <w:hyperlink r:id="rId24" w:history="1">
              <w:r w:rsidR="001D0DD7" w:rsidRPr="00EB7BB6">
                <w:rPr>
                  <w:rStyle w:val="Hyperlink"/>
                  <w:sz w:val="20"/>
                </w:rPr>
                <w:t>2018 QCCA 875</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 xml:space="preserve">Appel accueilli en partie </w:t>
            </w:r>
          </w:p>
        </w:tc>
      </w:tr>
      <w:tr w:rsidR="001D0DD7" w:rsidRPr="00EB7BB6" w:rsidTr="00B14FDF">
        <w:tc>
          <w:tcPr>
            <w:tcW w:w="2427" w:type="pct"/>
          </w:tcPr>
          <w:p w:rsidR="001D0DD7" w:rsidRPr="00EB7BB6" w:rsidRDefault="001D0DD7" w:rsidP="00B14FDF">
            <w:pPr>
              <w:jc w:val="both"/>
              <w:rPr>
                <w:sz w:val="20"/>
                <w:lang w:val="fr-CA"/>
              </w:rPr>
            </w:pPr>
            <w:r w:rsidRPr="00EB7BB6">
              <w:rPr>
                <w:sz w:val="20"/>
                <w:lang w:val="fr-CA"/>
              </w:rPr>
              <w:t>Le 30 août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rPr>
            </w:pPr>
            <w:r w:rsidRPr="00EB7BB6">
              <w:rPr>
                <w:sz w:val="20"/>
              </w:rPr>
              <w:t>Demande d’autorisation d’appel déposée</w:t>
            </w:r>
          </w:p>
          <w:p w:rsidR="001D0DD7" w:rsidRPr="00EB7BB6" w:rsidRDefault="001D0DD7" w:rsidP="00B14FDF">
            <w:pPr>
              <w:jc w:val="both"/>
              <w:rPr>
                <w:sz w:val="20"/>
              </w:rPr>
            </w:pPr>
          </w:p>
        </w:tc>
      </w:tr>
    </w:tbl>
    <w:p w:rsidR="001D0DD7" w:rsidRPr="00EB7BB6" w:rsidRDefault="001D0DD7" w:rsidP="001D0DD7">
      <w:pPr>
        <w:jc w:val="both"/>
        <w:rPr>
          <w:sz w:val="20"/>
        </w:rPr>
      </w:pPr>
    </w:p>
    <w:p w:rsidR="008C752E" w:rsidRPr="00EB7BB6" w:rsidRDefault="00EB7BB6" w:rsidP="001D0DD7">
      <w:pPr>
        <w:jc w:val="both"/>
        <w:rPr>
          <w:sz w:val="20"/>
        </w:rPr>
      </w:pPr>
      <w:r w:rsidRPr="00EB7BB6">
        <w:rPr>
          <w:sz w:val="20"/>
          <w:szCs w:val="20"/>
        </w:rPr>
        <w:pict>
          <v:rect id="_x0000_i1055" style="width:2in;height:1pt" o:hrpct="0" o:hralign="center" o:hrstd="t" o:hrnoshade="t" o:hr="t" fillcolor="black" stroked="f"/>
        </w:pict>
      </w:r>
    </w:p>
    <w:p w:rsidR="001D0DD7" w:rsidRPr="00EB7BB6" w:rsidRDefault="001D0DD7" w:rsidP="001D0DD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38311</w:t>
            </w:r>
          </w:p>
        </w:tc>
        <w:tc>
          <w:tcPr>
            <w:tcW w:w="4457" w:type="pct"/>
            <w:gridSpan w:val="3"/>
          </w:tcPr>
          <w:p w:rsidR="001D0DD7" w:rsidRPr="00EB7BB6" w:rsidRDefault="001D0DD7" w:rsidP="00B14FDF">
            <w:pPr>
              <w:pStyle w:val="SCCLsocParty"/>
              <w:jc w:val="both"/>
              <w:rPr>
                <w:b/>
                <w:sz w:val="20"/>
                <w:szCs w:val="20"/>
                <w:lang w:val="en-CA"/>
              </w:rPr>
            </w:pPr>
            <w:r w:rsidRPr="00EB7BB6">
              <w:rPr>
                <w:b/>
                <w:sz w:val="20"/>
                <w:szCs w:val="20"/>
                <w:lang w:val="en-CA"/>
              </w:rPr>
              <w:t>Hitesh Tailor v. Prisca Chiassi</w:t>
            </w:r>
          </w:p>
          <w:p w:rsidR="001D0DD7" w:rsidRPr="00EB7BB6" w:rsidRDefault="001D0DD7" w:rsidP="00B14FDF">
            <w:pPr>
              <w:jc w:val="both"/>
              <w:rPr>
                <w:sz w:val="20"/>
              </w:rPr>
            </w:pPr>
            <w:r w:rsidRPr="00EB7BB6">
              <w:rPr>
                <w:sz w:val="20"/>
              </w:rPr>
              <w:t>(Que.) (Civil) (By Leave)</w:t>
            </w:r>
          </w:p>
        </w:tc>
      </w:tr>
      <w:tr w:rsidR="008C752E" w:rsidRPr="00EB7BB6" w:rsidTr="00B14FDF">
        <w:tc>
          <w:tcPr>
            <w:tcW w:w="5000" w:type="pct"/>
            <w:gridSpan w:val="4"/>
          </w:tcPr>
          <w:p w:rsidR="008C752E" w:rsidRPr="00EB7BB6" w:rsidRDefault="00A6799E" w:rsidP="00B14FDF">
            <w:pPr>
              <w:jc w:val="both"/>
              <w:rPr>
                <w:sz w:val="20"/>
                <w:szCs w:val="20"/>
              </w:rPr>
            </w:pPr>
            <w:r w:rsidRPr="00EB7BB6">
              <w:rPr>
                <w:sz w:val="20"/>
                <w:szCs w:val="20"/>
              </w:rPr>
              <w:t xml:space="preserve">The application for leave to appeal from the judgment of the </w:t>
            </w:r>
            <w:r w:rsidRPr="00EB7BB6">
              <w:rPr>
                <w:sz w:val="20"/>
                <w:szCs w:val="20"/>
                <w:lang w:val="en-US"/>
              </w:rPr>
              <w:t>Court of Appeal of Quebec (Montréal)</w:t>
            </w:r>
            <w:r w:rsidRPr="00EB7BB6">
              <w:rPr>
                <w:sz w:val="20"/>
                <w:szCs w:val="20"/>
              </w:rPr>
              <w:t xml:space="preserve">, Number </w:t>
            </w:r>
            <w:r w:rsidRPr="00EB7BB6">
              <w:rPr>
                <w:sz w:val="20"/>
                <w:szCs w:val="20"/>
                <w:lang w:val="en-US"/>
              </w:rPr>
              <w:t>500-09-026295-162</w:t>
            </w:r>
            <w:r w:rsidRPr="00EB7BB6">
              <w:rPr>
                <w:sz w:val="20"/>
                <w:szCs w:val="20"/>
              </w:rPr>
              <w:t xml:space="preserve">, </w:t>
            </w:r>
            <w:r w:rsidRPr="00EB7BB6">
              <w:rPr>
                <w:sz w:val="20"/>
                <w:szCs w:val="20"/>
                <w:lang w:val="en-US"/>
              </w:rPr>
              <w:t xml:space="preserve">2018 QCCA 1067, </w:t>
            </w:r>
            <w:r w:rsidRPr="00EB7BB6">
              <w:rPr>
                <w:sz w:val="20"/>
                <w:szCs w:val="20"/>
              </w:rPr>
              <w:t xml:space="preserve">dated </w:t>
            </w:r>
            <w:r w:rsidRPr="00EB7BB6">
              <w:rPr>
                <w:sz w:val="20"/>
                <w:szCs w:val="20"/>
                <w:lang w:val="en-US"/>
              </w:rPr>
              <w:t>June 26, 2018,</w:t>
            </w:r>
            <w:r w:rsidRPr="00EB7BB6">
              <w:rPr>
                <w:sz w:val="20"/>
                <w:szCs w:val="20"/>
              </w:rPr>
              <w:t xml:space="preserve"> is dismissed with costs.</w:t>
            </w:r>
          </w:p>
          <w:p w:rsidR="00A6799E" w:rsidRPr="00EB7BB6" w:rsidRDefault="00A6799E" w:rsidP="00B14FDF">
            <w:pPr>
              <w:jc w:val="both"/>
              <w:rPr>
                <w:sz w:val="20"/>
                <w:szCs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 xml:space="preserve">Private international law — Jurisdiction of Quebec court — </w:t>
            </w:r>
            <w:r w:rsidRPr="00EB7BB6">
              <w:rPr>
                <w:i/>
                <w:sz w:val="20"/>
              </w:rPr>
              <w:t>Forum non conveniens</w:t>
            </w:r>
            <w:r w:rsidRPr="00EB7BB6">
              <w:rPr>
                <w:sz w:val="20"/>
              </w:rPr>
              <w:t xml:space="preserve"> — Succession — Domicile of deceased — Proper interpretation of art. 78 of </w:t>
            </w:r>
            <w:r w:rsidRPr="00EB7BB6">
              <w:rPr>
                <w:i/>
                <w:sz w:val="20"/>
              </w:rPr>
              <w:t>Civil Code of Québec</w:t>
            </w:r>
            <w:r w:rsidRPr="00EB7BB6">
              <w:rPr>
                <w:sz w:val="20"/>
              </w:rPr>
              <w:t xml:space="preserve"> — Whether courts below erred in finding that deceased had been domiciled in Italy — Whether courts below erred in declining jurisdiction — </w:t>
            </w:r>
            <w:r w:rsidRPr="00EB7BB6">
              <w:rPr>
                <w:i/>
                <w:sz w:val="20"/>
              </w:rPr>
              <w:t>Civil Code of Québec</w:t>
            </w:r>
            <w:r w:rsidRPr="00EB7BB6">
              <w:rPr>
                <w:sz w:val="20"/>
              </w:rPr>
              <w:t xml:space="preserve">, art. 78. </w:t>
            </w:r>
          </w:p>
        </w:tc>
      </w:tr>
      <w:tr w:rsidR="001D0DD7" w:rsidRPr="00EB7BB6" w:rsidTr="00B14FDF">
        <w:tc>
          <w:tcPr>
            <w:tcW w:w="5000" w:type="pct"/>
            <w:gridSpan w:val="4"/>
          </w:tcPr>
          <w:p w:rsidR="001D0DD7" w:rsidRPr="00EB7BB6" w:rsidRDefault="001D0DD7"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 xml:space="preserve">The applicant, Mr. Tailor, resides in London. He was a very close friend of the deceased, Duc Roberto Ferretti (“Mr. Ferretti”), who died in Italy in 2005. During various periods of time, they cohabited as a couple. The respondent, Ms. Chiassi, is the sister of Mr. Ferretti’s late wife. Mr. Ferretti emigrated to Canada in 1975 without his wife. He purchased a number of immovable properties in Canada and eventually became a Canadian citizen, but he still spent a great deal of time abroad over the years. In his will, he declared that he resided in London but that he was domiciled in Castelfidardo, Italy. In the same will, he left his nephew, Marco Ferretti, his furniture in Canada (the value and quantity of which were unknown). The will stated that it had been drawn up in England, but it had been in the possession of a notary in Italy since 2005. Mr. Tailor filed a motion for the issuance of letters of verification for Mr. Ferretti’s will in Quebec. Ms. Chiassi, who was challenging the will in Italy, sought a declaration that the Quebec Superior Court had no jurisdiction to hear Mr. Tailor’s motion because there was no connection with the Quebec forum. In the alternative, she argued that even if there was some connection with Quebec, the Quebec court should refer the matter to Italy pursuant to the </w:t>
            </w:r>
            <w:r w:rsidRPr="00EB7BB6">
              <w:rPr>
                <w:i/>
                <w:sz w:val="20"/>
              </w:rPr>
              <w:t>forum non conveniens</w:t>
            </w:r>
            <w:r w:rsidRPr="00EB7BB6">
              <w:rPr>
                <w:sz w:val="20"/>
              </w:rPr>
              <w:t xml:space="preserve"> principle codified in art. 3135 of the </w:t>
            </w:r>
            <w:r w:rsidRPr="00EB7BB6">
              <w:rPr>
                <w:i/>
                <w:sz w:val="20"/>
              </w:rPr>
              <w:t xml:space="preserve">Civil Code of Québec </w:t>
            </w:r>
            <w:r w:rsidRPr="00EB7BB6">
              <w:rPr>
                <w:sz w:val="20"/>
              </w:rPr>
              <w:t>(“</w:t>
            </w:r>
            <w:r w:rsidRPr="00EB7BB6">
              <w:rPr>
                <w:i/>
                <w:sz w:val="20"/>
              </w:rPr>
              <w:t>C.C.Q.</w:t>
            </w:r>
            <w:r w:rsidRPr="00EB7BB6">
              <w:rPr>
                <w:sz w:val="20"/>
              </w:rPr>
              <w:t xml:space="preserve">”). The Quebec Superior Court allowed Ms. Chiassi’s application and declined jurisdiction in favour of the Italian forum. The Court of Appeal dismissed Mr. Tailor’s appeal and allowed Ms. Chiassi’s incidental appeal, finding that the Superior Court had erred in assuming jurisdiction under the second paragraph of art. 3153 </w:t>
            </w:r>
            <w:r w:rsidRPr="00EB7BB6">
              <w:rPr>
                <w:i/>
                <w:sz w:val="20"/>
              </w:rPr>
              <w:t>C.C.Q.</w:t>
            </w:r>
            <w:r w:rsidRPr="00EB7BB6">
              <w:rPr>
                <w:sz w:val="20"/>
              </w:rPr>
              <w:t xml:space="preserve"> because there was no evidence of “</w:t>
            </w:r>
            <w:r w:rsidRPr="00EB7BB6">
              <w:rPr>
                <w:sz w:val="20"/>
                <w:lang w:val="en"/>
              </w:rPr>
              <w:t>property . . . situated in Québec</w:t>
            </w:r>
            <w:r w:rsidRPr="00EB7BB6">
              <w:rPr>
                <w:sz w:val="20"/>
              </w:rPr>
              <w:t xml:space="preserve">” for the purposes of applying that provision.  </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July 19, 2016</w:t>
            </w:r>
          </w:p>
          <w:p w:rsidR="001D0DD7" w:rsidRPr="00EB7BB6" w:rsidRDefault="001D0DD7" w:rsidP="00B14FDF">
            <w:pPr>
              <w:jc w:val="both"/>
              <w:rPr>
                <w:sz w:val="20"/>
              </w:rPr>
            </w:pPr>
            <w:r w:rsidRPr="00EB7BB6">
              <w:rPr>
                <w:sz w:val="20"/>
              </w:rPr>
              <w:t>Quebec Superior Court</w:t>
            </w:r>
          </w:p>
          <w:p w:rsidR="001D0DD7" w:rsidRPr="00EB7BB6" w:rsidRDefault="001D0DD7" w:rsidP="00B14FDF">
            <w:pPr>
              <w:jc w:val="both"/>
              <w:rPr>
                <w:sz w:val="20"/>
              </w:rPr>
            </w:pPr>
            <w:r w:rsidRPr="00EB7BB6">
              <w:rPr>
                <w:sz w:val="20"/>
              </w:rPr>
              <w:t>(Blanchard J.)</w:t>
            </w:r>
          </w:p>
          <w:p w:rsidR="001D0DD7" w:rsidRPr="00EB7BB6" w:rsidRDefault="00EB7BB6" w:rsidP="00B14FDF">
            <w:pPr>
              <w:jc w:val="both"/>
              <w:rPr>
                <w:sz w:val="20"/>
              </w:rPr>
            </w:pPr>
            <w:hyperlink r:id="rId25" w:history="1">
              <w:r w:rsidR="001D0DD7" w:rsidRPr="00EB7BB6">
                <w:rPr>
                  <w:rStyle w:val="Hyperlink"/>
                  <w:sz w:val="20"/>
                </w:rPr>
                <w:t>2016 QCCS 3470</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Motion for declinatory exception allowed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June 26, 2018</w:t>
            </w:r>
          </w:p>
          <w:p w:rsidR="001D0DD7" w:rsidRPr="00EB7BB6" w:rsidRDefault="001D0DD7" w:rsidP="00B14FDF">
            <w:pPr>
              <w:jc w:val="both"/>
              <w:rPr>
                <w:sz w:val="20"/>
              </w:rPr>
            </w:pPr>
            <w:r w:rsidRPr="00EB7BB6">
              <w:rPr>
                <w:sz w:val="20"/>
              </w:rPr>
              <w:t>Quebec Court of Appeal (Montréal)</w:t>
            </w:r>
          </w:p>
          <w:p w:rsidR="001D0DD7" w:rsidRPr="00EB7BB6" w:rsidRDefault="001D0DD7" w:rsidP="00B14FDF">
            <w:pPr>
              <w:jc w:val="both"/>
              <w:rPr>
                <w:sz w:val="20"/>
              </w:rPr>
            </w:pPr>
            <w:r w:rsidRPr="00EB7BB6">
              <w:rPr>
                <w:sz w:val="20"/>
              </w:rPr>
              <w:t>(Hilton, Vauclair and Marcotte JJ.A.)</w:t>
            </w:r>
          </w:p>
          <w:p w:rsidR="001D0DD7" w:rsidRPr="00EB7BB6" w:rsidRDefault="001D0DD7" w:rsidP="00B14FDF">
            <w:pPr>
              <w:jc w:val="both"/>
              <w:rPr>
                <w:sz w:val="20"/>
              </w:rPr>
            </w:pPr>
            <w:r w:rsidRPr="00EB7BB6">
              <w:rPr>
                <w:sz w:val="20"/>
              </w:rPr>
              <w:t xml:space="preserve">File No. </w:t>
            </w:r>
            <w:r w:rsidRPr="00EB7BB6">
              <w:rPr>
                <w:rStyle w:val="nowrap"/>
                <w:sz w:val="20"/>
              </w:rPr>
              <w:t>500-09-026295-162</w:t>
            </w:r>
          </w:p>
          <w:p w:rsidR="001D0DD7" w:rsidRPr="00EB7BB6" w:rsidRDefault="00EB7BB6" w:rsidP="00B14FDF">
            <w:pPr>
              <w:jc w:val="both"/>
              <w:rPr>
                <w:sz w:val="20"/>
              </w:rPr>
            </w:pPr>
            <w:hyperlink r:id="rId26" w:history="1">
              <w:r w:rsidR="001D0DD7" w:rsidRPr="00EB7BB6">
                <w:rPr>
                  <w:rStyle w:val="Hyperlink"/>
                  <w:sz w:val="20"/>
                </w:rPr>
                <w:t>2018 QCCA 1067</w:t>
              </w:r>
            </w:hyperlink>
            <w:r w:rsidR="001D0DD7" w:rsidRPr="00EB7BB6">
              <w:rPr>
                <w:sz w:val="20"/>
              </w:rPr>
              <w:t xml:space="preserve"> </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Appeal dismissed; incidental appeal allowed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September 25,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jc w:val="both"/>
        <w:rPr>
          <w:sz w:val="20"/>
        </w:rPr>
      </w:pPr>
    </w:p>
    <w:p w:rsidR="001D0DD7" w:rsidRPr="00EB7BB6" w:rsidRDefault="00EB7BB6" w:rsidP="001D0DD7">
      <w:pPr>
        <w:jc w:val="both"/>
        <w:rPr>
          <w:sz w:val="20"/>
        </w:rPr>
      </w:pPr>
      <w:r w:rsidRPr="00EB7BB6">
        <w:rPr>
          <w:sz w:val="20"/>
          <w:szCs w:val="20"/>
        </w:rPr>
        <w:pict>
          <v:rect id="_x0000_i1056" style="width:2in;height:1pt" o:hrpct="0" o:hralign="center" o:hrstd="t" o:hrnoshade="t" o:hr="t" fillcolor="black" stroked="f"/>
        </w:pict>
      </w:r>
    </w:p>
    <w:p w:rsidR="00E40DEC" w:rsidRPr="00EB7BB6" w:rsidRDefault="00E40DEC" w:rsidP="001D0D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38311</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Hitesh Tailor c. Prisca Chiassi</w:t>
            </w:r>
          </w:p>
          <w:p w:rsidR="001D0DD7" w:rsidRPr="00EB7BB6" w:rsidRDefault="001D0DD7" w:rsidP="00B14FDF">
            <w:pPr>
              <w:jc w:val="both"/>
              <w:rPr>
                <w:sz w:val="20"/>
              </w:rPr>
            </w:pPr>
            <w:r w:rsidRPr="00EB7BB6">
              <w:rPr>
                <w:sz w:val="20"/>
              </w:rPr>
              <w:t>(Qc) (Civile) (Autorisation)</w:t>
            </w:r>
          </w:p>
        </w:tc>
      </w:tr>
      <w:tr w:rsidR="00E40DEC" w:rsidRPr="00EB7BB6" w:rsidTr="00B14FDF">
        <w:tc>
          <w:tcPr>
            <w:tcW w:w="5000" w:type="pct"/>
            <w:gridSpan w:val="4"/>
          </w:tcPr>
          <w:p w:rsidR="002C2338" w:rsidRPr="00EB7BB6" w:rsidRDefault="002C2338" w:rsidP="002C2338">
            <w:pPr>
              <w:jc w:val="both"/>
              <w:rPr>
                <w:sz w:val="20"/>
                <w:szCs w:val="20"/>
                <w:lang w:val="fr-CA"/>
              </w:rPr>
            </w:pPr>
            <w:r w:rsidRPr="00EB7BB6">
              <w:rPr>
                <w:sz w:val="20"/>
                <w:szCs w:val="20"/>
                <w:lang w:val="fr-CA"/>
              </w:rPr>
              <w:t>La demande d’autorisation d’appel de l’arrêt de la Cour d’appel du Québec (Montréal), numéro 500-09-026295-162, 2018 QCCA 1067, daté du 26 juin 2018, est rejet</w:t>
            </w:r>
            <w:r w:rsidRPr="00EB7BB6">
              <w:rPr>
                <w:rFonts w:cs="Times New Roman"/>
                <w:sz w:val="20"/>
                <w:szCs w:val="20"/>
                <w:lang w:val="fr-CA"/>
              </w:rPr>
              <w:t>é</w:t>
            </w:r>
            <w:r w:rsidRPr="00EB7BB6">
              <w:rPr>
                <w:sz w:val="20"/>
                <w:szCs w:val="20"/>
                <w:lang w:val="fr-CA"/>
              </w:rPr>
              <w:t>e avec d</w:t>
            </w:r>
            <w:r w:rsidRPr="00EB7BB6">
              <w:rPr>
                <w:rFonts w:cs="Times New Roman"/>
                <w:sz w:val="20"/>
                <w:szCs w:val="20"/>
                <w:lang w:val="fr-CA"/>
              </w:rPr>
              <w:t>é</w:t>
            </w:r>
            <w:r w:rsidRPr="00EB7BB6">
              <w:rPr>
                <w:sz w:val="20"/>
                <w:szCs w:val="20"/>
                <w:lang w:val="fr-CA"/>
              </w:rPr>
              <w:t>pens.</w:t>
            </w:r>
          </w:p>
          <w:p w:rsidR="00E40DEC" w:rsidRPr="00EB7BB6" w:rsidRDefault="00E40DEC"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 xml:space="preserve">Droit international privé — Compétence du tribunal québécois — </w:t>
            </w:r>
            <w:r w:rsidRPr="00EB7BB6">
              <w:rPr>
                <w:i/>
                <w:sz w:val="20"/>
                <w:lang w:val="fr-CA"/>
              </w:rPr>
              <w:t>Forum non conveniens</w:t>
            </w:r>
            <w:r w:rsidRPr="00EB7BB6">
              <w:rPr>
                <w:sz w:val="20"/>
                <w:lang w:val="fr-CA"/>
              </w:rPr>
              <w:t xml:space="preserve"> —Succession — Domicile du défunt — Quelle interprétation doit être donnée à l’article 78 du </w:t>
            </w:r>
            <w:r w:rsidRPr="00EB7BB6">
              <w:rPr>
                <w:i/>
                <w:sz w:val="20"/>
                <w:lang w:val="fr-CA"/>
              </w:rPr>
              <w:t>Code civil du Québec</w:t>
            </w:r>
            <w:r w:rsidRPr="00EB7BB6">
              <w:rPr>
                <w:sz w:val="20"/>
                <w:lang w:val="fr-CA"/>
              </w:rPr>
              <w:t xml:space="preserve">? — Les instances inférieures ont-elles erré en concluant que le défunt était domicilié en Italie? — Les juridictions inférieures ont-elles erré en déclinant compétence? — </w:t>
            </w:r>
            <w:r w:rsidRPr="00EB7BB6">
              <w:rPr>
                <w:i/>
                <w:sz w:val="20"/>
                <w:lang w:val="fr-CA"/>
              </w:rPr>
              <w:t>Code civil du Québec</w:t>
            </w:r>
            <w:r w:rsidRPr="00EB7BB6">
              <w:rPr>
                <w:sz w:val="20"/>
                <w:lang w:val="fr-CA"/>
              </w:rPr>
              <w:t>, art. 78</w:t>
            </w:r>
          </w:p>
        </w:tc>
      </w:tr>
      <w:tr w:rsidR="001D0DD7" w:rsidRPr="00EB7BB6" w:rsidTr="00B14FDF">
        <w:tc>
          <w:tcPr>
            <w:tcW w:w="5000" w:type="pct"/>
            <w:gridSpan w:val="4"/>
          </w:tcPr>
          <w:p w:rsidR="001D0DD7" w:rsidRPr="00EB7BB6" w:rsidRDefault="001D0DD7"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FR"/>
              </w:rPr>
              <w:t xml:space="preserve">Le demandeur, M. Tailor, est un résident de Londres. Il était un ami très proche du défunt Duc Roberto Ferretti (« M. Ferretti »), décédé en Italie en 2005, et à diverses périodes de temps, ils ont cohabité ensemble en tant que couple. L’intimée, Mme Chiassi, est la sœur de la défunte épouse de M. Ferretti. M. Ferretti a émigré au Canada sans son épouse en 1975. Il a acquis un nombre d’immeubles au Canada et éventuellement la citoyenneté canadienne, mais a quand même passé, à travers les années, beaucoup de temps à l’étranger. Dans son testament, M. Ferretti déclare résider à Londres, mais être domicilié à Castelfidardo en Italie.  Dans ce même testament, M. Ferretti cède à son neveu, Marco Ferretti, ses meubles qui se trouvent au Canada (mais dont on ne sait rien quant à leur valeur ou quantité). Le testament porte la mention de sa rédaction en Angleterre, mais est en la possession d’un notaire en Italie depuis 2005. </w:t>
            </w:r>
            <w:r w:rsidRPr="00EB7BB6">
              <w:rPr>
                <w:sz w:val="20"/>
                <w:lang w:val="fr-CA"/>
              </w:rPr>
              <w:t xml:space="preserve">M. Tailor a déposé une requête </w:t>
            </w:r>
            <w:r w:rsidRPr="00EB7BB6">
              <w:rPr>
                <w:sz w:val="20"/>
                <w:lang w:val="fr-FR"/>
              </w:rPr>
              <w:t xml:space="preserve">pour l’émission de lettres de vérification du testament de M. Ferretti </w:t>
            </w:r>
            <w:r w:rsidRPr="00EB7BB6">
              <w:rPr>
                <w:sz w:val="20"/>
                <w:lang w:val="fr-CA"/>
              </w:rPr>
              <w:t xml:space="preserve">au Québec. </w:t>
            </w:r>
            <w:r w:rsidRPr="00EB7BB6">
              <w:rPr>
                <w:sz w:val="20"/>
                <w:lang w:val="fr-FR"/>
              </w:rPr>
              <w:t xml:space="preserve">Mme Chiassi, qui conteste le testament en Italie, a cherché à faire déclarer la Cour supérieure du Québec incompétente pour entendre la requête de M. Tailor au motif qu’il n’existerait aucun élément de rattachement avec la juridiction québécoise. Subsidiairement, Mme Chiassi invoque que même s’il existe certains éléments de rattachement avec le Québec, le tribunal québécois devrait néanmoins renvoyer l’affaire en Italie en application du principe du </w:t>
            </w:r>
            <w:r w:rsidRPr="00EB7BB6">
              <w:rPr>
                <w:i/>
                <w:sz w:val="20"/>
                <w:lang w:val="fr-FR"/>
              </w:rPr>
              <w:t>forum non conveniens</w:t>
            </w:r>
            <w:r w:rsidRPr="00EB7BB6">
              <w:rPr>
                <w:sz w:val="20"/>
                <w:lang w:val="fr-FR"/>
              </w:rPr>
              <w:t xml:space="preserve"> codifié à l’article 3135 du </w:t>
            </w:r>
            <w:r w:rsidRPr="00EB7BB6">
              <w:rPr>
                <w:i/>
                <w:sz w:val="20"/>
                <w:lang w:val="fr-FR"/>
              </w:rPr>
              <w:t>Code civil du Québec</w:t>
            </w:r>
            <w:r w:rsidRPr="00EB7BB6">
              <w:rPr>
                <w:sz w:val="20"/>
                <w:lang w:val="fr-FR"/>
              </w:rPr>
              <w:t xml:space="preserve"> (« </w:t>
            </w:r>
            <w:r w:rsidRPr="00EB7BB6">
              <w:rPr>
                <w:i/>
                <w:sz w:val="20"/>
                <w:lang w:val="fr-FR"/>
              </w:rPr>
              <w:t>C.c.Q.</w:t>
            </w:r>
            <w:r w:rsidRPr="00EB7BB6">
              <w:rPr>
                <w:sz w:val="20"/>
                <w:lang w:val="fr-FR"/>
              </w:rPr>
              <w:t> »). La Cour supérieure du Québec a donné droit à la demande</w:t>
            </w:r>
            <w:r w:rsidRPr="00EB7BB6">
              <w:rPr>
                <w:sz w:val="20"/>
                <w:lang w:val="fr-CA"/>
              </w:rPr>
              <w:t xml:space="preserve"> de Mme Chiassi et a décliné compétence en faveur du for italien. La Cour d’appel a rejeté l’appel de M. Tailor et a accueilli l’appel incident de Mme Chiassi. Pour la Cour d’appel, la Cour supérieure avait erré en se déclarant compétente </w:t>
            </w:r>
            <w:r w:rsidRPr="00EB7BB6">
              <w:rPr>
                <w:sz w:val="20"/>
                <w:lang w:val="fr-FR"/>
              </w:rPr>
              <w:t xml:space="preserve">en vertu de l’article 3153 al. 2 </w:t>
            </w:r>
            <w:r w:rsidRPr="00EB7BB6">
              <w:rPr>
                <w:i/>
                <w:sz w:val="20"/>
                <w:lang w:val="fr-FR"/>
              </w:rPr>
              <w:t>C.c.Q.</w:t>
            </w:r>
            <w:r w:rsidRPr="00EB7BB6">
              <w:rPr>
                <w:sz w:val="20"/>
                <w:lang w:val="fr-FR"/>
              </w:rPr>
              <w:t>, comme il n’y avait aucune preuve de</w:t>
            </w:r>
            <w:r w:rsidRPr="00EB7BB6">
              <w:rPr>
                <w:i/>
                <w:sz w:val="20"/>
                <w:lang w:val="fr-FR"/>
              </w:rPr>
              <w:t xml:space="preserve"> </w:t>
            </w:r>
            <w:r w:rsidRPr="00EB7BB6">
              <w:rPr>
                <w:sz w:val="20"/>
                <w:lang w:val="fr-FR"/>
              </w:rPr>
              <w:t xml:space="preserve">« biens situés au Québec » pour les fins d’application de cette disposition. </w:t>
            </w:r>
            <w:r w:rsidRPr="00EB7BB6">
              <w:rPr>
                <w:sz w:val="20"/>
                <w:lang w:val="fr-CA"/>
              </w:rPr>
              <w:t xml:space="preserve"> </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19 juillet 2016</w:t>
            </w:r>
          </w:p>
          <w:p w:rsidR="001D0DD7" w:rsidRPr="00EB7BB6" w:rsidRDefault="001D0DD7" w:rsidP="00B14FDF">
            <w:pPr>
              <w:jc w:val="both"/>
              <w:rPr>
                <w:sz w:val="20"/>
                <w:lang w:val="fr-CA"/>
              </w:rPr>
            </w:pPr>
            <w:r w:rsidRPr="00EB7BB6">
              <w:rPr>
                <w:sz w:val="20"/>
                <w:lang w:val="fr-CA"/>
              </w:rPr>
              <w:t>Cour supérieure du Québec</w:t>
            </w:r>
          </w:p>
          <w:p w:rsidR="001D0DD7" w:rsidRPr="00EB7BB6" w:rsidRDefault="001D0DD7" w:rsidP="00B14FDF">
            <w:pPr>
              <w:jc w:val="both"/>
              <w:rPr>
                <w:sz w:val="20"/>
              </w:rPr>
            </w:pPr>
            <w:r w:rsidRPr="00EB7BB6">
              <w:rPr>
                <w:sz w:val="20"/>
              </w:rPr>
              <w:t>(le juge Blanchard)</w:t>
            </w:r>
          </w:p>
          <w:p w:rsidR="001D0DD7" w:rsidRPr="00EB7BB6" w:rsidRDefault="00EB7BB6" w:rsidP="00B14FDF">
            <w:pPr>
              <w:jc w:val="both"/>
              <w:rPr>
                <w:sz w:val="20"/>
              </w:rPr>
            </w:pPr>
            <w:hyperlink r:id="rId27" w:history="1">
              <w:r w:rsidR="001D0DD7" w:rsidRPr="00EB7BB6">
                <w:rPr>
                  <w:rStyle w:val="Hyperlink"/>
                  <w:sz w:val="20"/>
                </w:rPr>
                <w:t>2016 QCCS 3470</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Requête en exception déclinatoire accueillie</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26 juin 2018</w:t>
            </w:r>
          </w:p>
          <w:p w:rsidR="001D0DD7" w:rsidRPr="00EB7BB6" w:rsidRDefault="001D0DD7" w:rsidP="00B14FDF">
            <w:pPr>
              <w:jc w:val="both"/>
              <w:rPr>
                <w:sz w:val="20"/>
                <w:lang w:val="fr-CA"/>
              </w:rPr>
            </w:pPr>
            <w:r w:rsidRPr="00EB7BB6">
              <w:rPr>
                <w:sz w:val="20"/>
                <w:lang w:val="fr-CA"/>
              </w:rPr>
              <w:t>Cour d’appel du Québec (Montréal)</w:t>
            </w:r>
          </w:p>
          <w:p w:rsidR="001D0DD7" w:rsidRPr="00EB7BB6" w:rsidRDefault="001D0DD7" w:rsidP="00B14FDF">
            <w:pPr>
              <w:jc w:val="both"/>
              <w:rPr>
                <w:sz w:val="20"/>
                <w:lang w:val="fr-CA"/>
              </w:rPr>
            </w:pPr>
            <w:r w:rsidRPr="00EB7BB6">
              <w:rPr>
                <w:sz w:val="20"/>
                <w:lang w:val="fr-CA"/>
              </w:rPr>
              <w:t>(les juges Hilton, Vauclair et Marcotte)</w:t>
            </w:r>
          </w:p>
          <w:p w:rsidR="001D0DD7" w:rsidRPr="00EB7BB6" w:rsidRDefault="001D0DD7" w:rsidP="00B14FDF">
            <w:pPr>
              <w:jc w:val="both"/>
              <w:rPr>
                <w:sz w:val="20"/>
              </w:rPr>
            </w:pPr>
            <w:r w:rsidRPr="00EB7BB6">
              <w:rPr>
                <w:sz w:val="20"/>
              </w:rPr>
              <w:t xml:space="preserve">No. dossier </w:t>
            </w:r>
            <w:r w:rsidRPr="00EB7BB6">
              <w:rPr>
                <w:rStyle w:val="nowrap"/>
                <w:sz w:val="20"/>
              </w:rPr>
              <w:t>500-09-026295-162</w:t>
            </w:r>
          </w:p>
          <w:p w:rsidR="001D0DD7" w:rsidRPr="00EB7BB6" w:rsidRDefault="00EB7BB6" w:rsidP="00B14FDF">
            <w:pPr>
              <w:jc w:val="both"/>
              <w:rPr>
                <w:sz w:val="20"/>
              </w:rPr>
            </w:pPr>
            <w:hyperlink r:id="rId28" w:history="1">
              <w:r w:rsidR="001D0DD7" w:rsidRPr="00EB7BB6">
                <w:rPr>
                  <w:rStyle w:val="Hyperlink"/>
                  <w:sz w:val="20"/>
                </w:rPr>
                <w:t>2018 QCCA 1067</w:t>
              </w:r>
            </w:hyperlink>
            <w:r w:rsidR="001D0DD7" w:rsidRPr="00EB7BB6">
              <w:rPr>
                <w:sz w:val="20"/>
              </w:rPr>
              <w:t xml:space="preserve"> </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Appel rejeté; appel incident accueilli</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25 septembre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rPr>
            </w:pPr>
            <w:r w:rsidRPr="00EB7BB6">
              <w:rPr>
                <w:sz w:val="20"/>
              </w:rPr>
              <w:t>Demande d’autorisation d’appel déposée</w:t>
            </w:r>
          </w:p>
          <w:p w:rsidR="001D0DD7" w:rsidRPr="00EB7BB6" w:rsidRDefault="001D0DD7" w:rsidP="00B14FDF">
            <w:pPr>
              <w:jc w:val="both"/>
              <w:rPr>
                <w:sz w:val="20"/>
              </w:rPr>
            </w:pPr>
          </w:p>
        </w:tc>
      </w:tr>
    </w:tbl>
    <w:p w:rsidR="001D0DD7" w:rsidRPr="00EB7BB6" w:rsidRDefault="001D0DD7" w:rsidP="001D0DD7">
      <w:pPr>
        <w:jc w:val="both"/>
        <w:rPr>
          <w:sz w:val="20"/>
        </w:rPr>
      </w:pPr>
    </w:p>
    <w:p w:rsidR="00B70AC4" w:rsidRPr="00EB7BB6" w:rsidRDefault="00EB7BB6" w:rsidP="001D0DD7">
      <w:pPr>
        <w:jc w:val="both"/>
        <w:rPr>
          <w:sz w:val="20"/>
        </w:rPr>
      </w:pPr>
      <w:r w:rsidRPr="00EB7BB6">
        <w:rPr>
          <w:sz w:val="20"/>
          <w:szCs w:val="20"/>
        </w:rPr>
        <w:pict>
          <v:rect id="_x0000_i1057" style="width:2in;height:1pt" o:hrpct="0" o:hralign="center" o:hrstd="t" o:hrnoshade="t" o:hr="t" fillcolor="black" stroked="f"/>
        </w:pict>
      </w:r>
    </w:p>
    <w:p w:rsidR="001D0DD7" w:rsidRPr="00EB7BB6" w:rsidRDefault="001D0DD7" w:rsidP="001D0DD7">
      <w:pPr>
        <w:ind w:left="142" w:hanging="142"/>
        <w:jc w:val="both"/>
        <w:rPr>
          <w:sz w:val="20"/>
          <w:lang w:val="fr-CA"/>
        </w:rPr>
      </w:pPr>
    </w:p>
    <w:p w:rsidR="005D658B" w:rsidRPr="00EB7BB6" w:rsidRDefault="005D658B">
      <w:r w:rsidRPr="00EB7BB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lastRenderedPageBreak/>
              <w:t>38430</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9179-0717 Québec inc. and LEGD inc. v. Ville de Saint</w:t>
            </w:r>
            <w:r w:rsidRPr="00EB7BB6">
              <w:rPr>
                <w:b/>
                <w:sz w:val="20"/>
                <w:szCs w:val="20"/>
              </w:rPr>
              <w:noBreakHyphen/>
              <w:t>Colomban</w:t>
            </w:r>
          </w:p>
          <w:p w:rsidR="001D0DD7" w:rsidRPr="00EB7BB6" w:rsidRDefault="001D0DD7" w:rsidP="00B14FDF">
            <w:pPr>
              <w:jc w:val="both"/>
              <w:rPr>
                <w:sz w:val="20"/>
              </w:rPr>
            </w:pPr>
            <w:r w:rsidRPr="00EB7BB6">
              <w:rPr>
                <w:sz w:val="20"/>
              </w:rPr>
              <w:t>(Que.) (Civil) (By Leave)</w:t>
            </w:r>
          </w:p>
        </w:tc>
      </w:tr>
      <w:tr w:rsidR="00B70AC4" w:rsidRPr="00EB7BB6" w:rsidTr="00B70AC4">
        <w:trPr>
          <w:trHeight w:val="245"/>
        </w:trPr>
        <w:tc>
          <w:tcPr>
            <w:tcW w:w="5000" w:type="pct"/>
            <w:gridSpan w:val="4"/>
          </w:tcPr>
          <w:p w:rsidR="000038F7" w:rsidRPr="00EB7BB6" w:rsidRDefault="000038F7" w:rsidP="000038F7">
            <w:pPr>
              <w:jc w:val="both"/>
              <w:rPr>
                <w:sz w:val="20"/>
                <w:szCs w:val="20"/>
              </w:rPr>
            </w:pPr>
            <w:r w:rsidRPr="00EB7BB6">
              <w:rPr>
                <w:sz w:val="20"/>
                <w:szCs w:val="20"/>
              </w:rPr>
              <w:t xml:space="preserve">The application for leave to appeal from the judgment of the </w:t>
            </w:r>
            <w:r w:rsidRPr="00EB7BB6">
              <w:rPr>
                <w:sz w:val="20"/>
                <w:szCs w:val="20"/>
                <w:lang w:val="en-US"/>
              </w:rPr>
              <w:t>Court of Appeal of Quebec (Montréal)</w:t>
            </w:r>
            <w:r w:rsidRPr="00EB7BB6">
              <w:rPr>
                <w:sz w:val="20"/>
                <w:szCs w:val="20"/>
              </w:rPr>
              <w:t xml:space="preserve">, Number </w:t>
            </w:r>
            <w:r w:rsidRPr="00EB7BB6">
              <w:rPr>
                <w:sz w:val="20"/>
                <w:szCs w:val="20"/>
                <w:lang w:val="en-US"/>
              </w:rPr>
              <w:t>500-09-026907-170</w:t>
            </w:r>
            <w:r w:rsidRPr="00EB7BB6">
              <w:rPr>
                <w:sz w:val="20"/>
                <w:szCs w:val="20"/>
              </w:rPr>
              <w:t xml:space="preserve">, </w:t>
            </w:r>
            <w:r w:rsidRPr="00EB7BB6">
              <w:rPr>
                <w:sz w:val="20"/>
                <w:szCs w:val="20"/>
                <w:lang w:val="en-US"/>
              </w:rPr>
              <w:t xml:space="preserve">2018 QCCA 1828, </w:t>
            </w:r>
            <w:r w:rsidRPr="00EB7BB6">
              <w:rPr>
                <w:sz w:val="20"/>
                <w:szCs w:val="20"/>
              </w:rPr>
              <w:t xml:space="preserve">dated </w:t>
            </w:r>
            <w:r w:rsidRPr="00EB7BB6">
              <w:rPr>
                <w:sz w:val="20"/>
                <w:szCs w:val="20"/>
                <w:lang w:val="en-US"/>
              </w:rPr>
              <w:t>October 4, 2018,</w:t>
            </w:r>
            <w:r w:rsidRPr="00EB7BB6">
              <w:rPr>
                <w:sz w:val="20"/>
                <w:szCs w:val="20"/>
              </w:rPr>
              <w:t xml:space="preserve"> is dismissed with no order as to costs.</w:t>
            </w:r>
          </w:p>
          <w:p w:rsidR="00B70AC4" w:rsidRPr="00EB7BB6" w:rsidRDefault="00B70AC4" w:rsidP="00B14FDF">
            <w:pPr>
              <w:jc w:val="both"/>
              <w:rPr>
                <w:sz w:val="20"/>
              </w:rPr>
            </w:pPr>
          </w:p>
        </w:tc>
      </w:tr>
      <w:tr w:rsidR="001D0DD7" w:rsidRPr="00EB7BB6" w:rsidTr="00B14FDF">
        <w:trPr>
          <w:trHeight w:val="1843"/>
        </w:trPr>
        <w:tc>
          <w:tcPr>
            <w:tcW w:w="5000" w:type="pct"/>
            <w:gridSpan w:val="4"/>
          </w:tcPr>
          <w:p w:rsidR="001D0DD7" w:rsidRPr="00EB7BB6" w:rsidRDefault="001D0DD7" w:rsidP="00B14FDF">
            <w:pPr>
              <w:jc w:val="both"/>
              <w:rPr>
                <w:sz w:val="20"/>
              </w:rPr>
            </w:pPr>
            <w:r w:rsidRPr="00EB7BB6">
              <w:rPr>
                <w:sz w:val="20"/>
              </w:rPr>
              <w:t>Municipal law — By-laws — Validity — Zoning — Subdivision — Public works — Development project approved by City — Memorandum of agreement not signed — Amendment to municipal subdivision by</w:t>
            </w:r>
            <w:r w:rsidRPr="00EB7BB6">
              <w:rPr>
                <w:sz w:val="20"/>
              </w:rPr>
              <w:noBreakHyphen/>
              <w:t xml:space="preserve">law preventing project from being carried out because minimum area standard not met — Proper interpretation of s. 115 of </w:t>
            </w:r>
            <w:r w:rsidRPr="00EB7BB6">
              <w:rPr>
                <w:i/>
                <w:sz w:val="20"/>
              </w:rPr>
              <w:t>Act respecting land use planning and development</w:t>
            </w:r>
            <w:r w:rsidRPr="00EB7BB6">
              <w:rPr>
                <w:sz w:val="20"/>
              </w:rPr>
              <w:t xml:space="preserve"> — Whether term “public works” in s. 115 of </w:t>
            </w:r>
            <w:r w:rsidRPr="00EB7BB6">
              <w:rPr>
                <w:i/>
                <w:sz w:val="20"/>
              </w:rPr>
              <w:t>Act</w:t>
            </w:r>
            <w:r w:rsidRPr="00EB7BB6">
              <w:rPr>
                <w:sz w:val="20"/>
              </w:rPr>
              <w:t xml:space="preserve"> includes street — Whether rule that subdivision standards must be uniform within same zone exists under s. 115 of </w:t>
            </w:r>
            <w:r w:rsidRPr="00EB7BB6">
              <w:rPr>
                <w:i/>
                <w:sz w:val="20"/>
              </w:rPr>
              <w:t>Act</w:t>
            </w:r>
            <w:r w:rsidRPr="00EB7BB6">
              <w:rPr>
                <w:sz w:val="20"/>
              </w:rPr>
              <w:t xml:space="preserve"> — Whether it is error of law to say that municipality can adopt unlawful subdivision standard under s. 115 of </w:t>
            </w:r>
            <w:r w:rsidRPr="00EB7BB6">
              <w:rPr>
                <w:i/>
                <w:sz w:val="20"/>
              </w:rPr>
              <w:t>Act</w:t>
            </w:r>
            <w:r w:rsidRPr="00EB7BB6">
              <w:rPr>
                <w:sz w:val="20"/>
              </w:rPr>
              <w:t xml:space="preserve"> if its purpose in doing so is to ensure that particular by</w:t>
            </w:r>
            <w:r w:rsidRPr="00EB7BB6">
              <w:rPr>
                <w:sz w:val="20"/>
              </w:rPr>
              <w:noBreakHyphen/>
              <w:t xml:space="preserve">law is consistent with land use and development plan of regional county municipality — </w:t>
            </w:r>
            <w:r w:rsidRPr="00EB7BB6">
              <w:rPr>
                <w:i/>
                <w:sz w:val="20"/>
              </w:rPr>
              <w:t>Act respecting land use planning and development</w:t>
            </w:r>
            <w:r w:rsidRPr="00EB7BB6">
              <w:rPr>
                <w:sz w:val="20"/>
              </w:rPr>
              <w:t>, CQLR, c. A</w:t>
            </w:r>
            <w:r w:rsidRPr="00EB7BB6">
              <w:rPr>
                <w:sz w:val="20"/>
              </w:rPr>
              <w:noBreakHyphen/>
              <w:t>19.1, s. 115.</w:t>
            </w:r>
          </w:p>
          <w:p w:rsidR="001D0DD7" w:rsidRPr="00EB7BB6" w:rsidRDefault="001D0DD7" w:rsidP="00B14FDF">
            <w:pPr>
              <w:jc w:val="both"/>
              <w:rPr>
                <w:sz w:val="20"/>
              </w:rPr>
            </w:pPr>
          </w:p>
        </w:tc>
      </w:tr>
      <w:tr w:rsidR="001D0DD7" w:rsidRPr="00EB7BB6" w:rsidTr="00B14FDF">
        <w:trPr>
          <w:trHeight w:val="142"/>
        </w:trPr>
        <w:tc>
          <w:tcPr>
            <w:tcW w:w="5000" w:type="pct"/>
            <w:gridSpan w:val="4"/>
          </w:tcPr>
          <w:p w:rsidR="001D0DD7" w:rsidRPr="00EB7BB6" w:rsidRDefault="001D0DD7" w:rsidP="00B14FDF">
            <w:pPr>
              <w:jc w:val="both"/>
              <w:rPr>
                <w:sz w:val="20"/>
              </w:rPr>
            </w:pPr>
            <w:r w:rsidRPr="00EB7BB6">
              <w:rPr>
                <w:sz w:val="20"/>
              </w:rPr>
              <w:t>The respondent, Ville de Saint</w:t>
            </w:r>
            <w:r w:rsidRPr="00EB7BB6">
              <w:rPr>
                <w:sz w:val="20"/>
              </w:rPr>
              <w:noBreakHyphen/>
              <w:t>Colomban (“City”), approved a project on land belonging to one of the applicants. The project required public works, which were to be performed by the other applicant; the City therefore authorized the mayor to sign a memorandum of agreement with the first applicant, which had to provide amounts to guarantee the performance of the works. However, the memorandum of agreement was never signed. Following an amendment to the municipal subdivision by</w:t>
            </w:r>
            <w:r w:rsidRPr="00EB7BB6">
              <w:rPr>
                <w:sz w:val="20"/>
              </w:rPr>
              <w:noBreakHyphen/>
              <w:t>law, the City indicated that it would be impossible to carry out the project because the lots concerned did not have the minimum area required. The applicants commenced legal proceedings, including an application for mandamus to force the City to sign the memorandum of agreement and an application to have the amendment to the subdivision by</w:t>
            </w:r>
            <w:r w:rsidRPr="00EB7BB6">
              <w:rPr>
                <w:sz w:val="20"/>
              </w:rPr>
              <w:noBreakHyphen/>
              <w:t>law declared null on the ground that it was unlawful because it distinguished between lots on a discriminatory basis, namely proximity to an existing street.</w:t>
            </w:r>
          </w:p>
          <w:p w:rsidR="001D0DD7" w:rsidRPr="00EB7BB6" w:rsidRDefault="001D0DD7" w:rsidP="00B14FDF">
            <w:pPr>
              <w:jc w:val="both"/>
              <w:rPr>
                <w:sz w:val="20"/>
              </w:rPr>
            </w:pPr>
          </w:p>
          <w:p w:rsidR="001D0DD7" w:rsidRPr="00EB7BB6" w:rsidRDefault="001D0DD7" w:rsidP="00B14FDF">
            <w:pPr>
              <w:jc w:val="both"/>
              <w:rPr>
                <w:sz w:val="20"/>
              </w:rPr>
            </w:pPr>
            <w:r w:rsidRPr="00EB7BB6">
              <w:rPr>
                <w:sz w:val="20"/>
              </w:rPr>
              <w:t>The trial judge ruled in the City’s favour and dismissed the application for mandamus.</w:t>
            </w:r>
            <w:r w:rsidRPr="00EB7BB6">
              <w:rPr>
                <w:i/>
                <w:sz w:val="20"/>
              </w:rPr>
              <w:t xml:space="preserve"> </w:t>
            </w:r>
            <w:r w:rsidRPr="00EB7BB6">
              <w:rPr>
                <w:sz w:val="20"/>
              </w:rPr>
              <w:t>On the application for a declaration of nullity, the judge found that a municipality can adopt a subdivision by</w:t>
            </w:r>
            <w:r w:rsidRPr="00EB7BB6">
              <w:rPr>
                <w:sz w:val="20"/>
              </w:rPr>
              <w:noBreakHyphen/>
              <w:t>law providing for minimum area standards that vary based on the proximity of the land to “public works”, including a street. The City was also required to adopt standards corresponding to the minimum standards set by the regional county municipality. The Court of Appeal dismissed the applicants’ appeal, finding that the trial judge had not made any error. It also stated that the rule cited by the applicants, to the effect that uses must be uniform within the same zone, applied to the zoning by</w:t>
            </w:r>
            <w:r w:rsidRPr="00EB7BB6">
              <w:rPr>
                <w:sz w:val="20"/>
              </w:rPr>
              <w:noBreakHyphen/>
              <w:t>law, not the subdivision by</w:t>
            </w:r>
            <w:r w:rsidRPr="00EB7BB6">
              <w:rPr>
                <w:sz w:val="20"/>
              </w:rPr>
              <w:noBreakHyphen/>
              <w:t>law. The distinctions drawn were expressly authorized by the legislature.</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June 7, 2017</w:t>
            </w:r>
          </w:p>
          <w:p w:rsidR="001D0DD7" w:rsidRPr="00EB7BB6" w:rsidRDefault="001D0DD7" w:rsidP="00B14FDF">
            <w:pPr>
              <w:jc w:val="both"/>
              <w:rPr>
                <w:sz w:val="20"/>
              </w:rPr>
            </w:pPr>
            <w:r w:rsidRPr="00EB7BB6">
              <w:rPr>
                <w:sz w:val="20"/>
              </w:rPr>
              <w:t>Quebec Superior Court</w:t>
            </w:r>
          </w:p>
          <w:p w:rsidR="001D0DD7" w:rsidRPr="00EB7BB6" w:rsidRDefault="001D0DD7" w:rsidP="00B14FDF">
            <w:pPr>
              <w:jc w:val="both"/>
              <w:rPr>
                <w:sz w:val="20"/>
              </w:rPr>
            </w:pPr>
            <w:r w:rsidRPr="00EB7BB6">
              <w:rPr>
                <w:sz w:val="20"/>
              </w:rPr>
              <w:t>(Gaudet J.)</w:t>
            </w:r>
          </w:p>
          <w:p w:rsidR="001D0DD7" w:rsidRPr="00EB7BB6" w:rsidRDefault="00EB7BB6" w:rsidP="00B14FDF">
            <w:pPr>
              <w:jc w:val="both"/>
              <w:rPr>
                <w:sz w:val="20"/>
              </w:rPr>
            </w:pPr>
            <w:hyperlink r:id="rId29" w:history="1">
              <w:r w:rsidR="001D0DD7" w:rsidRPr="00EB7BB6">
                <w:rPr>
                  <w:rStyle w:val="Hyperlink"/>
                  <w:sz w:val="20"/>
                </w:rPr>
                <w:t>2017 QCCS 2528</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mandamus and for declaration of nullity dismissed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October 4, 2018</w:t>
            </w:r>
          </w:p>
          <w:p w:rsidR="001D0DD7" w:rsidRPr="00EB7BB6" w:rsidRDefault="001D0DD7" w:rsidP="00B14FDF">
            <w:pPr>
              <w:jc w:val="both"/>
              <w:rPr>
                <w:sz w:val="20"/>
              </w:rPr>
            </w:pPr>
            <w:r w:rsidRPr="00EB7BB6">
              <w:rPr>
                <w:sz w:val="20"/>
              </w:rPr>
              <w:t>Quebec Court of Appeal (Montréal)</w:t>
            </w:r>
          </w:p>
          <w:p w:rsidR="001D0DD7" w:rsidRPr="00EB7BB6" w:rsidRDefault="001D0DD7" w:rsidP="00B14FDF">
            <w:pPr>
              <w:jc w:val="both"/>
              <w:rPr>
                <w:sz w:val="20"/>
              </w:rPr>
            </w:pPr>
            <w:r w:rsidRPr="00EB7BB6">
              <w:rPr>
                <w:sz w:val="20"/>
              </w:rPr>
              <w:t>(Vauclair, Roy and Gagné JJ.A.)</w:t>
            </w:r>
          </w:p>
          <w:p w:rsidR="001D0DD7" w:rsidRPr="00EB7BB6" w:rsidRDefault="00EB7BB6" w:rsidP="00B14FDF">
            <w:pPr>
              <w:jc w:val="both"/>
              <w:rPr>
                <w:rStyle w:val="Hyperlink"/>
                <w:sz w:val="20"/>
              </w:rPr>
            </w:pPr>
            <w:hyperlink r:id="rId30" w:history="1">
              <w:r w:rsidR="001D0DD7" w:rsidRPr="00EB7BB6">
                <w:rPr>
                  <w:rStyle w:val="Hyperlink"/>
                  <w:sz w:val="20"/>
                </w:rPr>
                <w:t>2018 QCCA 1828</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Appeal dismissed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December 3,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 xml:space="preserve">Application for leave to appeal filed </w:t>
            </w:r>
          </w:p>
        </w:tc>
      </w:tr>
    </w:tbl>
    <w:p w:rsidR="001D0DD7" w:rsidRPr="00EB7BB6" w:rsidRDefault="001D0DD7" w:rsidP="001D0DD7">
      <w:pPr>
        <w:autoSpaceDE w:val="0"/>
        <w:autoSpaceDN w:val="0"/>
        <w:adjustRightInd w:val="0"/>
        <w:jc w:val="both"/>
        <w:rPr>
          <w:sz w:val="20"/>
        </w:rPr>
      </w:pPr>
    </w:p>
    <w:p w:rsidR="0009740F" w:rsidRPr="00EB7BB6" w:rsidRDefault="00EB7BB6" w:rsidP="001D0DD7">
      <w:pPr>
        <w:autoSpaceDE w:val="0"/>
        <w:autoSpaceDN w:val="0"/>
        <w:adjustRightInd w:val="0"/>
        <w:jc w:val="both"/>
        <w:rPr>
          <w:sz w:val="20"/>
        </w:rPr>
      </w:pPr>
      <w:r w:rsidRPr="00EB7BB6">
        <w:rPr>
          <w:sz w:val="20"/>
          <w:szCs w:val="20"/>
        </w:rPr>
        <w:pict>
          <v:rect id="_x0000_i1058" style="width:2in;height:1pt" o:hrpct="0" o:hralign="center" o:hrstd="t" o:hrnoshade="t" o:hr="t" fillcolor="black" stroked="f"/>
        </w:pict>
      </w:r>
    </w:p>
    <w:p w:rsidR="001D0DD7" w:rsidRPr="00EB7BB6" w:rsidRDefault="001D0DD7" w:rsidP="001D0DD7">
      <w:pPr>
        <w:autoSpaceDE w:val="0"/>
        <w:autoSpaceDN w:val="0"/>
        <w:adjustRightInd w:val="0"/>
        <w:jc w:val="both"/>
        <w:rPr>
          <w:sz w:val="20"/>
        </w:rPr>
      </w:pPr>
    </w:p>
    <w:p w:rsidR="00137865" w:rsidRPr="00EB7BB6" w:rsidRDefault="00137865">
      <w:r w:rsidRPr="00EB7BB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lastRenderedPageBreak/>
              <w:t>38430</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9179-0717 Québec inc. et LEGD inc. c. Ville de Saint</w:t>
            </w:r>
            <w:r w:rsidRPr="00EB7BB6">
              <w:rPr>
                <w:b/>
                <w:sz w:val="20"/>
                <w:szCs w:val="20"/>
              </w:rPr>
              <w:noBreakHyphen/>
              <w:t>Colomban</w:t>
            </w:r>
          </w:p>
          <w:p w:rsidR="001D0DD7" w:rsidRPr="00EB7BB6" w:rsidRDefault="001D0DD7" w:rsidP="00B14FDF">
            <w:pPr>
              <w:jc w:val="both"/>
              <w:rPr>
                <w:sz w:val="20"/>
                <w:lang w:val="fr-CA"/>
              </w:rPr>
            </w:pPr>
            <w:r w:rsidRPr="00EB7BB6">
              <w:rPr>
                <w:sz w:val="20"/>
                <w:lang w:val="fr-CA"/>
              </w:rPr>
              <w:t>(Qc) (Civile) (Autorisation)</w:t>
            </w:r>
          </w:p>
        </w:tc>
      </w:tr>
      <w:tr w:rsidR="0009740F" w:rsidRPr="00EB7BB6" w:rsidTr="0009740F">
        <w:trPr>
          <w:trHeight w:val="165"/>
        </w:trPr>
        <w:tc>
          <w:tcPr>
            <w:tcW w:w="5000" w:type="pct"/>
            <w:gridSpan w:val="4"/>
          </w:tcPr>
          <w:p w:rsidR="00856A43" w:rsidRPr="00EB7BB6" w:rsidRDefault="00856A43" w:rsidP="00856A43">
            <w:pPr>
              <w:jc w:val="both"/>
              <w:rPr>
                <w:sz w:val="20"/>
                <w:szCs w:val="20"/>
                <w:lang w:val="fr-CA"/>
              </w:rPr>
            </w:pPr>
            <w:r w:rsidRPr="00EB7BB6">
              <w:rPr>
                <w:sz w:val="20"/>
                <w:szCs w:val="20"/>
                <w:lang w:val="fr-CA"/>
              </w:rPr>
              <w:t>La demande d’autorisation d’appel de l’arrêt de la Cour d’appel du Québec (Montréal), numéro 500-09-026907-170, 2018 QCCA 1828, daté du 4 octobre 2018, est rejet</w:t>
            </w:r>
            <w:r w:rsidRPr="00EB7BB6">
              <w:rPr>
                <w:rFonts w:cs="Times New Roman"/>
                <w:sz w:val="20"/>
                <w:szCs w:val="20"/>
                <w:lang w:val="fr-CA"/>
              </w:rPr>
              <w:t>é</w:t>
            </w:r>
            <w:r w:rsidRPr="00EB7BB6">
              <w:rPr>
                <w:sz w:val="20"/>
                <w:szCs w:val="20"/>
                <w:lang w:val="fr-CA"/>
              </w:rPr>
              <w:t>e sans ordonnance quant aux d</w:t>
            </w:r>
            <w:r w:rsidRPr="00EB7BB6">
              <w:rPr>
                <w:rFonts w:cs="Times New Roman"/>
                <w:sz w:val="20"/>
                <w:szCs w:val="20"/>
                <w:lang w:val="fr-CA"/>
              </w:rPr>
              <w:t>é</w:t>
            </w:r>
            <w:r w:rsidRPr="00EB7BB6">
              <w:rPr>
                <w:sz w:val="20"/>
                <w:szCs w:val="20"/>
                <w:lang w:val="fr-CA"/>
              </w:rPr>
              <w:t>pens.</w:t>
            </w:r>
          </w:p>
          <w:p w:rsidR="0009740F" w:rsidRPr="00EB7BB6" w:rsidRDefault="0009740F" w:rsidP="00B14FDF">
            <w:pPr>
              <w:jc w:val="both"/>
              <w:rPr>
                <w:sz w:val="20"/>
                <w:lang w:val="fr-CA"/>
              </w:rPr>
            </w:pPr>
          </w:p>
        </w:tc>
      </w:tr>
      <w:tr w:rsidR="001D0DD7" w:rsidRPr="00EB7BB6" w:rsidTr="00B14FDF">
        <w:trPr>
          <w:trHeight w:val="2118"/>
        </w:trPr>
        <w:tc>
          <w:tcPr>
            <w:tcW w:w="5000" w:type="pct"/>
            <w:gridSpan w:val="4"/>
          </w:tcPr>
          <w:p w:rsidR="001D0DD7" w:rsidRPr="00EB7BB6" w:rsidRDefault="001D0DD7" w:rsidP="00B14FDF">
            <w:pPr>
              <w:jc w:val="both"/>
              <w:rPr>
                <w:sz w:val="20"/>
                <w:lang w:val="fr-CA"/>
              </w:rPr>
            </w:pPr>
            <w:r w:rsidRPr="00EB7BB6">
              <w:rPr>
                <w:sz w:val="20"/>
                <w:lang w:val="fr-CA"/>
              </w:rPr>
              <w:t xml:space="preserve">Droit municipal — Règlements —Validité — Zonage — Lotissement —Ouvrages publics — Projet de développement approuvé par la Ville — Protocole d’entente non signé — Modification au règlement de lotissement municipal, empêchant la réalisation du projet en raison d’un manquement à la norme de superficie minimale — Comment l’art. 115 de la </w:t>
            </w:r>
            <w:r w:rsidRPr="00EB7BB6">
              <w:rPr>
                <w:i/>
                <w:sz w:val="20"/>
                <w:lang w:val="fr-CA"/>
              </w:rPr>
              <w:t>Loi sur l’aménagement et l’urbanisme</w:t>
            </w:r>
            <w:r w:rsidRPr="00EB7BB6">
              <w:rPr>
                <w:sz w:val="20"/>
                <w:lang w:val="fr-CA"/>
              </w:rPr>
              <w:t xml:space="preserve"> doit-il être interprété ? — L’expression « ouvrage public » à l’art. 115 de la </w:t>
            </w:r>
            <w:r w:rsidRPr="00EB7BB6">
              <w:rPr>
                <w:i/>
                <w:sz w:val="20"/>
                <w:lang w:val="fr-CA"/>
              </w:rPr>
              <w:t>Loi</w:t>
            </w:r>
            <w:r w:rsidRPr="00EB7BB6">
              <w:rPr>
                <w:sz w:val="20"/>
                <w:lang w:val="fr-CA"/>
              </w:rPr>
              <w:t xml:space="preserve"> inclut-elle une rue ? — La règle de l’uniformité des normes de lotissement à l’intérieur d’une même zone existe-t-elle en vertu de l’art. 115 de la </w:t>
            </w:r>
            <w:r w:rsidRPr="00EB7BB6">
              <w:rPr>
                <w:i/>
                <w:sz w:val="20"/>
                <w:lang w:val="fr-CA"/>
              </w:rPr>
              <w:t>Loi</w:t>
            </w:r>
            <w:r w:rsidRPr="00EB7BB6">
              <w:rPr>
                <w:sz w:val="20"/>
                <w:lang w:val="fr-CA"/>
              </w:rPr>
              <w:t xml:space="preserve"> ? — Est-ce une erreur de droit d’affirmer qu’une municipalité peut adopter une norme de lotissement illégale en vertu de l’art. 115 de la </w:t>
            </w:r>
            <w:r w:rsidRPr="00EB7BB6">
              <w:rPr>
                <w:i/>
                <w:sz w:val="20"/>
                <w:lang w:val="fr-CA"/>
              </w:rPr>
              <w:t>Loi</w:t>
            </w:r>
            <w:r w:rsidRPr="00EB7BB6">
              <w:rPr>
                <w:sz w:val="20"/>
                <w:lang w:val="fr-CA"/>
              </w:rPr>
              <w:t>,</w:t>
            </w:r>
            <w:r w:rsidRPr="00EB7BB6">
              <w:rPr>
                <w:i/>
                <w:sz w:val="20"/>
                <w:lang w:val="fr-CA"/>
              </w:rPr>
              <w:t xml:space="preserve"> </w:t>
            </w:r>
            <w:r w:rsidRPr="00EB7BB6">
              <w:rPr>
                <w:sz w:val="20"/>
                <w:lang w:val="fr-CA"/>
              </w:rPr>
              <w:t xml:space="preserve">si elle le fait pour qu’un tel règlement soit conforme à un schéma d’aménagement et de développement d’une municipalité régionale de comté ? — </w:t>
            </w:r>
            <w:r w:rsidRPr="00EB7BB6">
              <w:rPr>
                <w:i/>
                <w:sz w:val="20"/>
                <w:lang w:val="fr-CA"/>
              </w:rPr>
              <w:t>Loi sur l’aménagement et l’urbanisme</w:t>
            </w:r>
            <w:r w:rsidRPr="00EB7BB6">
              <w:rPr>
                <w:sz w:val="20"/>
                <w:lang w:val="fr-CA"/>
              </w:rPr>
              <w:t>, RLRQ, c. A</w:t>
            </w:r>
            <w:r w:rsidRPr="00EB7BB6">
              <w:rPr>
                <w:sz w:val="20"/>
                <w:lang w:val="fr-CA"/>
              </w:rPr>
              <w:noBreakHyphen/>
              <w:t>19.1, art. 115.</w:t>
            </w:r>
          </w:p>
          <w:p w:rsidR="001D0DD7" w:rsidRPr="00EB7BB6" w:rsidRDefault="001D0DD7" w:rsidP="00B14FDF">
            <w:pPr>
              <w:jc w:val="both"/>
              <w:rPr>
                <w:sz w:val="20"/>
                <w:lang w:val="fr-CA"/>
              </w:rPr>
            </w:pPr>
          </w:p>
        </w:tc>
      </w:tr>
      <w:tr w:rsidR="001D0DD7" w:rsidRPr="00EB7BB6" w:rsidTr="00B14FDF">
        <w:trPr>
          <w:trHeight w:val="4395"/>
        </w:trPr>
        <w:tc>
          <w:tcPr>
            <w:tcW w:w="5000" w:type="pct"/>
            <w:gridSpan w:val="4"/>
          </w:tcPr>
          <w:p w:rsidR="001D0DD7" w:rsidRPr="00EB7BB6" w:rsidRDefault="001D0DD7" w:rsidP="00B14FDF">
            <w:pPr>
              <w:jc w:val="both"/>
              <w:rPr>
                <w:sz w:val="20"/>
                <w:lang w:val="fr-CA"/>
              </w:rPr>
            </w:pPr>
            <w:r w:rsidRPr="00EB7BB6">
              <w:rPr>
                <w:sz w:val="20"/>
                <w:lang w:val="fr-CA"/>
              </w:rPr>
              <w:t xml:space="preserve">L’intimée, la Ville de Saint-Colomban (« la Ville »), approuve un projet sur des terrains apparentant à une des demanderesses. Le projet nécessite des travaux publics, qui seront effectués par l’autre demanderesse; la Ville autorise donc le maire à signer un protocole d’entente avec la première demanderesse, qui doit fournir des sommes pour garantir la réalisation de ces travaux. Par contre, le protocole d’entente n’est jamais signé. Suite à une modification au règlement de lotissement municipal, la Ville indique qu’il sera impossible de réaliser le projet, puisque les terrains visés n’ont pas la superficie minimale requise. Les demanderesses intentent des procédures judiciaires, y compris une demande en </w:t>
            </w:r>
            <w:r w:rsidRPr="00EB7BB6">
              <w:rPr>
                <w:i/>
                <w:sz w:val="20"/>
                <w:lang w:val="fr-CA"/>
              </w:rPr>
              <w:t>mandamus</w:t>
            </w:r>
            <w:r w:rsidRPr="00EB7BB6">
              <w:rPr>
                <w:sz w:val="20"/>
                <w:lang w:val="fr-CA"/>
              </w:rPr>
              <w:t xml:space="preserve"> pour obliger la Ville à signer le protocole d’entente, ainsi qu’une demande visant à faire déclarer nulle la modification au règlement de lotissement, au motif que cette dernière est illégale parce qu’elle distingue entre différents terrains sur une base discriminatoire — c.</w:t>
            </w:r>
            <w:r w:rsidRPr="00EB7BB6">
              <w:rPr>
                <w:sz w:val="20"/>
                <w:lang w:val="fr-CA"/>
              </w:rPr>
              <w:noBreakHyphen/>
              <w:t>à</w:t>
            </w:r>
            <w:r w:rsidRPr="00EB7BB6">
              <w:rPr>
                <w:sz w:val="20"/>
                <w:lang w:val="fr-CA"/>
              </w:rPr>
              <w:noBreakHyphen/>
              <w:t>d., s’il y a une rue existante à proximité.</w:t>
            </w:r>
          </w:p>
          <w:p w:rsidR="001D0DD7" w:rsidRPr="00EB7BB6" w:rsidRDefault="001D0DD7" w:rsidP="00B14FDF">
            <w:pPr>
              <w:jc w:val="both"/>
              <w:rPr>
                <w:sz w:val="20"/>
                <w:lang w:val="fr-CA"/>
              </w:rPr>
            </w:pPr>
          </w:p>
          <w:p w:rsidR="001D0DD7" w:rsidRPr="00EB7BB6" w:rsidRDefault="001D0DD7" w:rsidP="00B14FDF">
            <w:pPr>
              <w:jc w:val="both"/>
              <w:rPr>
                <w:sz w:val="20"/>
              </w:rPr>
            </w:pPr>
            <w:r w:rsidRPr="00EB7BB6">
              <w:rPr>
                <w:sz w:val="20"/>
                <w:lang w:val="fr-CA"/>
              </w:rPr>
              <w:t xml:space="preserve">Le juge de première instance tranche l’affaire en faveur de la Ville, et rejette la demande en </w:t>
            </w:r>
            <w:r w:rsidRPr="00EB7BB6">
              <w:rPr>
                <w:i/>
                <w:sz w:val="20"/>
                <w:lang w:val="fr-CA"/>
              </w:rPr>
              <w:t>mandamus</w:t>
            </w:r>
            <w:r w:rsidRPr="00EB7BB6">
              <w:rPr>
                <w:sz w:val="20"/>
                <w:lang w:val="fr-CA"/>
              </w:rPr>
              <w:t xml:space="preserve">. Quant à la demande en déclaration de nullité, le juge conclut qu’une municipalité peut adopter un règlement de lotissement dont les normes de superficie minimales peuvent varier selon la proximité du terrain à un « ouvrage public », y compris une rue. De plus, la Ville était obligée d’adopter des normes correspondant aux normes minimales fixées par la municipalité régionale du comté. La Cour d’appel rejette le pourvoi des demanderesses; le juge de première instance n’a commis aucune erreur. De plus, la règle d’uniformité d’usages à l’intérieur d’une même zone, citée par les demanderesses, s’applique au règlement de zonage et non pas au règlement de lotissement. </w:t>
            </w:r>
            <w:r w:rsidRPr="00EB7BB6">
              <w:rPr>
                <w:sz w:val="20"/>
              </w:rPr>
              <w:t>Les distinctions prévues sont expressément autorisées par le législateur.</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7 juin 2017</w:t>
            </w:r>
          </w:p>
          <w:p w:rsidR="001D0DD7" w:rsidRPr="00EB7BB6" w:rsidRDefault="001D0DD7" w:rsidP="00B14FDF">
            <w:pPr>
              <w:jc w:val="both"/>
              <w:rPr>
                <w:sz w:val="20"/>
                <w:lang w:val="fr-CA"/>
              </w:rPr>
            </w:pPr>
            <w:r w:rsidRPr="00EB7BB6">
              <w:rPr>
                <w:sz w:val="20"/>
                <w:lang w:val="fr-CA"/>
              </w:rPr>
              <w:t>Cour supérieure du Québec</w:t>
            </w:r>
          </w:p>
          <w:p w:rsidR="001D0DD7" w:rsidRPr="00EB7BB6" w:rsidRDefault="001D0DD7" w:rsidP="00B14FDF">
            <w:pPr>
              <w:jc w:val="both"/>
              <w:rPr>
                <w:sz w:val="20"/>
              </w:rPr>
            </w:pPr>
            <w:r w:rsidRPr="00EB7BB6">
              <w:rPr>
                <w:sz w:val="20"/>
              </w:rPr>
              <w:t>(Le juge Gaudet)</w:t>
            </w:r>
          </w:p>
          <w:p w:rsidR="001D0DD7" w:rsidRPr="00EB7BB6" w:rsidRDefault="00EB7BB6" w:rsidP="00B14FDF">
            <w:pPr>
              <w:jc w:val="both"/>
              <w:rPr>
                <w:sz w:val="20"/>
              </w:rPr>
            </w:pPr>
            <w:hyperlink r:id="rId31" w:history="1">
              <w:r w:rsidR="001D0DD7" w:rsidRPr="00EB7BB6">
                <w:rPr>
                  <w:rStyle w:val="Hyperlink"/>
                  <w:sz w:val="20"/>
                </w:rPr>
                <w:t>2017 QCCS 2528</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lang w:val="fr-CA"/>
              </w:rPr>
            </w:pPr>
            <w:r w:rsidRPr="00EB7BB6">
              <w:rPr>
                <w:sz w:val="20"/>
                <w:lang w:val="fr-CA"/>
              </w:rPr>
              <w:t xml:space="preserve">Demande en </w:t>
            </w:r>
            <w:r w:rsidRPr="00EB7BB6">
              <w:rPr>
                <w:i/>
                <w:sz w:val="20"/>
                <w:lang w:val="fr-CA"/>
              </w:rPr>
              <w:t>mandamus</w:t>
            </w:r>
            <w:r w:rsidRPr="00EB7BB6">
              <w:rPr>
                <w:sz w:val="20"/>
                <w:lang w:val="fr-CA"/>
              </w:rPr>
              <w:t xml:space="preserve"> et en déclaration de nullité — rejetée</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4 octobre 2018</w:t>
            </w:r>
          </w:p>
          <w:p w:rsidR="001D0DD7" w:rsidRPr="00EB7BB6" w:rsidRDefault="001D0DD7" w:rsidP="00B14FDF">
            <w:pPr>
              <w:jc w:val="both"/>
              <w:rPr>
                <w:sz w:val="20"/>
                <w:lang w:val="fr-CA"/>
              </w:rPr>
            </w:pPr>
            <w:r w:rsidRPr="00EB7BB6">
              <w:rPr>
                <w:sz w:val="20"/>
                <w:lang w:val="fr-CA"/>
              </w:rPr>
              <w:t>Cour d’appel du Québec (Montréal)</w:t>
            </w:r>
          </w:p>
          <w:p w:rsidR="001D0DD7" w:rsidRPr="00EB7BB6" w:rsidRDefault="001D0DD7" w:rsidP="00B14FDF">
            <w:pPr>
              <w:jc w:val="both"/>
              <w:rPr>
                <w:sz w:val="20"/>
                <w:lang w:val="fr-CA"/>
              </w:rPr>
            </w:pPr>
            <w:r w:rsidRPr="00EB7BB6">
              <w:rPr>
                <w:sz w:val="20"/>
                <w:lang w:val="fr-CA"/>
              </w:rPr>
              <w:t>(Les juges Vauclair, Roy et Gagné)</w:t>
            </w:r>
          </w:p>
          <w:p w:rsidR="001D0DD7" w:rsidRPr="00EB7BB6" w:rsidRDefault="00EB7BB6" w:rsidP="00B14FDF">
            <w:pPr>
              <w:jc w:val="both"/>
              <w:rPr>
                <w:rStyle w:val="Hyperlink"/>
                <w:sz w:val="20"/>
              </w:rPr>
            </w:pPr>
            <w:hyperlink r:id="rId32" w:history="1">
              <w:r w:rsidR="001D0DD7" w:rsidRPr="00EB7BB6">
                <w:rPr>
                  <w:rStyle w:val="Hyperlink"/>
                  <w:sz w:val="20"/>
                </w:rPr>
                <w:t>2018 QCCA 1828</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Appel — rejeté</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3 décembre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rPr>
            </w:pPr>
            <w:r w:rsidRPr="00EB7BB6">
              <w:rPr>
                <w:sz w:val="20"/>
              </w:rPr>
              <w:t xml:space="preserve">Demande d’autorisation d’appel déposée </w:t>
            </w:r>
          </w:p>
        </w:tc>
      </w:tr>
    </w:tbl>
    <w:p w:rsidR="001D0DD7" w:rsidRPr="00EB7BB6" w:rsidRDefault="001D0DD7" w:rsidP="001D0DD7">
      <w:pPr>
        <w:ind w:left="142" w:hanging="142"/>
        <w:jc w:val="both"/>
        <w:rPr>
          <w:sz w:val="20"/>
          <w:lang w:val="fr-CA"/>
        </w:rPr>
      </w:pPr>
    </w:p>
    <w:p w:rsidR="0009740F" w:rsidRPr="00EB7BB6" w:rsidRDefault="00EB7BB6" w:rsidP="001D0DD7">
      <w:pPr>
        <w:ind w:left="142" w:hanging="142"/>
        <w:jc w:val="both"/>
        <w:rPr>
          <w:sz w:val="20"/>
          <w:lang w:val="fr-CA"/>
        </w:rPr>
      </w:pPr>
      <w:r w:rsidRPr="00EB7BB6">
        <w:rPr>
          <w:sz w:val="20"/>
          <w:szCs w:val="20"/>
        </w:rPr>
        <w:pict>
          <v:rect id="_x0000_i1059" style="width:2in;height:1pt" o:hrpct="0" o:hralign="center" o:hrstd="t" o:hrnoshade="t" o:hr="t" fillcolor="black" stroked="f"/>
        </w:pict>
      </w:r>
    </w:p>
    <w:p w:rsidR="001D0DD7" w:rsidRPr="00EB7BB6" w:rsidRDefault="001D0DD7" w:rsidP="001D0DD7">
      <w:pPr>
        <w:ind w:left="142" w:hanging="142"/>
        <w:jc w:val="both"/>
        <w:rPr>
          <w:sz w:val="20"/>
          <w:lang w:val="fr-CA"/>
        </w:rPr>
      </w:pPr>
    </w:p>
    <w:p w:rsidR="002C50F7" w:rsidRPr="00EB7BB6" w:rsidRDefault="002C50F7">
      <w:r w:rsidRPr="00EB7BB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lastRenderedPageBreak/>
              <w:t>38477</w:t>
            </w:r>
          </w:p>
        </w:tc>
        <w:tc>
          <w:tcPr>
            <w:tcW w:w="4457" w:type="pct"/>
            <w:gridSpan w:val="3"/>
          </w:tcPr>
          <w:p w:rsidR="001D0DD7" w:rsidRPr="00EB7BB6" w:rsidRDefault="001D0DD7" w:rsidP="00B14FDF">
            <w:pPr>
              <w:pStyle w:val="SCCLsocParty"/>
              <w:jc w:val="both"/>
              <w:rPr>
                <w:b/>
                <w:sz w:val="20"/>
                <w:szCs w:val="20"/>
                <w:lang w:val="en-US"/>
              </w:rPr>
            </w:pPr>
            <w:r w:rsidRPr="00EB7BB6">
              <w:rPr>
                <w:b/>
                <w:sz w:val="20"/>
                <w:szCs w:val="20"/>
                <w:lang w:val="en-US"/>
              </w:rPr>
              <w:t>Mariam Adam v. Canadian Imperial Bank of Commerce</w:t>
            </w:r>
          </w:p>
          <w:p w:rsidR="001D0DD7" w:rsidRPr="00EB7BB6" w:rsidRDefault="001D0DD7" w:rsidP="00B14FDF">
            <w:pPr>
              <w:jc w:val="both"/>
              <w:rPr>
                <w:sz w:val="20"/>
              </w:rPr>
            </w:pPr>
            <w:r w:rsidRPr="00EB7BB6">
              <w:rPr>
                <w:sz w:val="20"/>
              </w:rPr>
              <w:t>(Man.) (Civil) (By Leave)</w:t>
            </w:r>
          </w:p>
        </w:tc>
      </w:tr>
      <w:tr w:rsidR="0009740F" w:rsidRPr="00EB7BB6" w:rsidTr="00B14FDF">
        <w:tc>
          <w:tcPr>
            <w:tcW w:w="5000" w:type="pct"/>
            <w:gridSpan w:val="4"/>
          </w:tcPr>
          <w:p w:rsidR="00317B28" w:rsidRPr="00EB7BB6" w:rsidRDefault="00317B28" w:rsidP="00317B28">
            <w:pPr>
              <w:jc w:val="both"/>
              <w:rPr>
                <w:sz w:val="20"/>
                <w:szCs w:val="20"/>
              </w:rPr>
            </w:pPr>
            <w:r w:rsidRPr="00EB7BB6">
              <w:rPr>
                <w:sz w:val="20"/>
                <w:szCs w:val="20"/>
              </w:rPr>
              <w:t>The application for leave to appeal from the judgment of the Court of Appeal of Manitoba, Number AI17-30-08828, 2018 MBCA 38, dated April 9, 2018, is dismissed with costs.</w:t>
            </w:r>
          </w:p>
          <w:p w:rsidR="0009740F" w:rsidRPr="00EB7BB6" w:rsidRDefault="0009740F"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Civil procedure — Summary judgment — Limitations — When does a limitation period start to run in the context of credit card debt.</w:t>
            </w:r>
          </w:p>
          <w:p w:rsidR="001D0DD7" w:rsidRPr="00EB7BB6" w:rsidRDefault="001D0DD7"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 xml:space="preserve">The applicant, Mariam Adam, had two credit cards with CIBC, and was sued by the bank when the accounts went into arrears. She defended on the basis that the </w:t>
            </w:r>
            <w:r w:rsidRPr="00EB7BB6">
              <w:rPr>
                <w:i/>
                <w:sz w:val="20"/>
              </w:rPr>
              <w:t>Limitations Act</w:t>
            </w:r>
            <w:r w:rsidRPr="00EB7BB6">
              <w:rPr>
                <w:sz w:val="20"/>
              </w:rPr>
              <w:t xml:space="preserve"> was applicable to debt incurred more than six years prior to the action and that the interest rates were too high.</w:t>
            </w:r>
          </w:p>
          <w:p w:rsidR="001D0DD7" w:rsidRPr="00EB7BB6" w:rsidRDefault="001D0DD7" w:rsidP="00B14FDF">
            <w:pPr>
              <w:jc w:val="both"/>
              <w:rPr>
                <w:sz w:val="20"/>
              </w:rPr>
            </w:pPr>
          </w:p>
          <w:p w:rsidR="001D0DD7" w:rsidRPr="00EB7BB6" w:rsidRDefault="001D0DD7" w:rsidP="00B14FDF">
            <w:pPr>
              <w:jc w:val="both"/>
              <w:rPr>
                <w:sz w:val="20"/>
              </w:rPr>
            </w:pPr>
            <w:r w:rsidRPr="00EB7BB6">
              <w:rPr>
                <w:sz w:val="20"/>
              </w:rPr>
              <w:t>A motion for summary judgment was granted, and judgment was granted in favour of CIBC. An appeal to the Court of Appeal was dismissed.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February 21, 2017</w:t>
            </w:r>
          </w:p>
          <w:p w:rsidR="001D0DD7" w:rsidRPr="00EB7BB6" w:rsidRDefault="001D0DD7" w:rsidP="00B14FDF">
            <w:pPr>
              <w:jc w:val="both"/>
              <w:rPr>
                <w:sz w:val="20"/>
              </w:rPr>
            </w:pPr>
            <w:r w:rsidRPr="00EB7BB6">
              <w:rPr>
                <w:sz w:val="20"/>
              </w:rPr>
              <w:t>Court of Queen’s Bench of Manitoba</w:t>
            </w:r>
          </w:p>
          <w:p w:rsidR="001D0DD7" w:rsidRPr="00EB7BB6" w:rsidRDefault="001D0DD7" w:rsidP="00B14FDF">
            <w:pPr>
              <w:jc w:val="both"/>
              <w:rPr>
                <w:sz w:val="20"/>
              </w:rPr>
            </w:pPr>
            <w:r w:rsidRPr="00EB7BB6">
              <w:rPr>
                <w:sz w:val="20"/>
              </w:rPr>
              <w:t>(Abra J.)</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 xml:space="preserve">Summary judgment in favour of respondent granted </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t>April 9, 2018</w:t>
            </w:r>
          </w:p>
          <w:p w:rsidR="001D0DD7" w:rsidRPr="00EB7BB6" w:rsidRDefault="001D0DD7" w:rsidP="00B14FDF">
            <w:pPr>
              <w:jc w:val="both"/>
              <w:rPr>
                <w:sz w:val="20"/>
              </w:rPr>
            </w:pPr>
            <w:r w:rsidRPr="00EB7BB6">
              <w:rPr>
                <w:sz w:val="20"/>
              </w:rPr>
              <w:t>Court of Appeal of Manitoba</w:t>
            </w:r>
          </w:p>
          <w:p w:rsidR="001D0DD7" w:rsidRPr="00EB7BB6" w:rsidRDefault="001D0DD7" w:rsidP="00B14FDF">
            <w:pPr>
              <w:jc w:val="both"/>
              <w:rPr>
                <w:sz w:val="20"/>
              </w:rPr>
            </w:pPr>
            <w:r w:rsidRPr="00EB7BB6">
              <w:rPr>
                <w:sz w:val="20"/>
              </w:rPr>
              <w:t>(Chartier, Steel, and Burnett JJ.A.)</w:t>
            </w:r>
          </w:p>
          <w:p w:rsidR="001D0DD7" w:rsidRPr="00EB7BB6" w:rsidRDefault="00EB7BB6" w:rsidP="00B14FDF">
            <w:pPr>
              <w:jc w:val="both"/>
              <w:rPr>
                <w:sz w:val="20"/>
              </w:rPr>
            </w:pPr>
            <w:hyperlink r:id="rId33" w:history="1">
              <w:r w:rsidR="001D0DD7" w:rsidRPr="00EB7BB6">
                <w:rPr>
                  <w:rStyle w:val="Hyperlink"/>
                  <w:sz w:val="20"/>
                </w:rPr>
                <w:t>2018 MBCA 38</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Appeal dismissed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November 28, 2018</w:t>
            </w:r>
          </w:p>
          <w:p w:rsidR="001D0DD7" w:rsidRPr="00EB7BB6" w:rsidRDefault="001D0DD7" w:rsidP="00B14FDF">
            <w:pPr>
              <w:jc w:val="both"/>
              <w:rPr>
                <w:sz w:val="20"/>
              </w:rPr>
            </w:pPr>
            <w:r w:rsidRPr="00EB7BB6">
              <w:rPr>
                <w:sz w:val="20"/>
              </w:rPr>
              <w:t>Supreme Court of Canada</w:t>
            </w:r>
          </w:p>
          <w:p w:rsidR="001D0DD7" w:rsidRPr="00EB7BB6" w:rsidRDefault="001D0DD7" w:rsidP="00B14FDF">
            <w:pPr>
              <w:jc w:val="both"/>
              <w:rPr>
                <w:sz w:val="20"/>
              </w:rPr>
            </w:pPr>
            <w:r w:rsidRPr="00EB7BB6">
              <w:rPr>
                <w:sz w:val="20"/>
              </w:rPr>
              <w:t>(Brown J.)</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Order in file 38345 dismissing a request to file one application for three decisions of the Court of Appeal of Manitoba, including the decision under appeal in this file, and extending the time to serve and file a complete and compliant application for leave to appeal to 15 days from the date of the order.</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December 10,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ind w:left="142" w:hanging="142"/>
        <w:jc w:val="both"/>
        <w:rPr>
          <w:sz w:val="20"/>
        </w:rPr>
      </w:pPr>
    </w:p>
    <w:p w:rsidR="0009740F" w:rsidRPr="00EB7BB6" w:rsidRDefault="00EB7BB6" w:rsidP="001D0DD7">
      <w:pPr>
        <w:ind w:left="142" w:hanging="142"/>
        <w:jc w:val="both"/>
        <w:rPr>
          <w:sz w:val="20"/>
        </w:rPr>
      </w:pPr>
      <w:r w:rsidRPr="00EB7BB6">
        <w:rPr>
          <w:sz w:val="20"/>
          <w:szCs w:val="20"/>
        </w:rPr>
        <w:pict>
          <v:rect id="_x0000_i1060" style="width:2in;height:1pt" o:hrpct="0" o:hralign="center" o:hrstd="t" o:hrnoshade="t" o:hr="t" fillcolor="black" stroked="f"/>
        </w:pict>
      </w:r>
    </w:p>
    <w:p w:rsidR="001D0DD7" w:rsidRPr="00EB7BB6" w:rsidRDefault="001D0DD7" w:rsidP="001D0DD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D0DD7" w:rsidRPr="00EB7BB6" w:rsidTr="00B14FDF">
        <w:tc>
          <w:tcPr>
            <w:tcW w:w="543" w:type="pct"/>
          </w:tcPr>
          <w:p w:rsidR="001D0DD7" w:rsidRPr="00EB7BB6" w:rsidRDefault="001D0DD7" w:rsidP="00B14FDF">
            <w:pPr>
              <w:jc w:val="both"/>
              <w:rPr>
                <w:sz w:val="20"/>
                <w:lang w:val="fr-CA"/>
              </w:rPr>
            </w:pPr>
            <w:r w:rsidRPr="00EB7BB6">
              <w:rPr>
                <w:rStyle w:val="SCCFileNumberChar"/>
                <w:sz w:val="20"/>
                <w:szCs w:val="20"/>
                <w:lang w:val="fr-CA"/>
              </w:rPr>
              <w:t>38477</w:t>
            </w:r>
          </w:p>
        </w:tc>
        <w:tc>
          <w:tcPr>
            <w:tcW w:w="4457" w:type="pct"/>
          </w:tcPr>
          <w:p w:rsidR="001D0DD7" w:rsidRPr="00EB7BB6" w:rsidRDefault="001D0DD7" w:rsidP="00B14FDF">
            <w:pPr>
              <w:pStyle w:val="SCCLsocParty"/>
              <w:jc w:val="both"/>
              <w:rPr>
                <w:b/>
                <w:sz w:val="20"/>
                <w:szCs w:val="20"/>
              </w:rPr>
            </w:pPr>
            <w:r w:rsidRPr="00EB7BB6">
              <w:rPr>
                <w:b/>
                <w:sz w:val="20"/>
                <w:szCs w:val="20"/>
              </w:rPr>
              <w:t>Mariam Adam c. Banque Canadienne Impériale de Commerce</w:t>
            </w:r>
          </w:p>
          <w:p w:rsidR="001D0DD7" w:rsidRPr="00EB7BB6" w:rsidRDefault="001D0DD7" w:rsidP="00B14FDF">
            <w:pPr>
              <w:jc w:val="both"/>
              <w:rPr>
                <w:sz w:val="20"/>
                <w:lang w:val="fr-CA"/>
              </w:rPr>
            </w:pPr>
            <w:r w:rsidRPr="00EB7BB6">
              <w:rPr>
                <w:sz w:val="20"/>
                <w:lang w:val="fr-CA"/>
              </w:rPr>
              <w:t>(Man.) (Civile) (Autorisation)</w:t>
            </w:r>
          </w:p>
        </w:tc>
      </w:tr>
      <w:tr w:rsidR="0009740F" w:rsidRPr="00EB7BB6" w:rsidTr="00B14FDF">
        <w:tc>
          <w:tcPr>
            <w:tcW w:w="5000" w:type="pct"/>
            <w:gridSpan w:val="2"/>
          </w:tcPr>
          <w:p w:rsidR="0009740F" w:rsidRPr="00EB7BB6" w:rsidRDefault="007456D0" w:rsidP="00B14FDF">
            <w:pPr>
              <w:jc w:val="both"/>
              <w:rPr>
                <w:sz w:val="20"/>
                <w:szCs w:val="20"/>
                <w:lang w:val="fr-CA"/>
              </w:rPr>
            </w:pPr>
            <w:r w:rsidRPr="00EB7BB6">
              <w:rPr>
                <w:sz w:val="20"/>
                <w:szCs w:val="20"/>
                <w:lang w:val="fr-CA"/>
              </w:rPr>
              <w:t>La demande d’autorisation d’appel de l’arrêt de la Cour d’appel du Manitoba, numéro AI17-30-08828, 2018 MBCA 38, daté du 9 avril 2018, est rejet</w:t>
            </w:r>
            <w:r w:rsidRPr="00EB7BB6">
              <w:rPr>
                <w:rFonts w:cs="Times New Roman"/>
                <w:sz w:val="20"/>
                <w:szCs w:val="20"/>
                <w:lang w:val="fr-CA"/>
              </w:rPr>
              <w:t>é</w:t>
            </w:r>
            <w:r w:rsidRPr="00EB7BB6">
              <w:rPr>
                <w:sz w:val="20"/>
                <w:szCs w:val="20"/>
                <w:lang w:val="fr-CA"/>
              </w:rPr>
              <w:t>e avec d</w:t>
            </w:r>
            <w:r w:rsidRPr="00EB7BB6">
              <w:rPr>
                <w:rFonts w:cs="Times New Roman"/>
                <w:sz w:val="20"/>
                <w:szCs w:val="20"/>
                <w:lang w:val="fr-CA"/>
              </w:rPr>
              <w:t>é</w:t>
            </w:r>
            <w:r w:rsidRPr="00EB7BB6">
              <w:rPr>
                <w:sz w:val="20"/>
                <w:szCs w:val="20"/>
                <w:lang w:val="fr-CA"/>
              </w:rPr>
              <w:t>pens.</w:t>
            </w:r>
          </w:p>
          <w:p w:rsidR="007456D0" w:rsidRPr="00EB7BB6" w:rsidRDefault="007456D0" w:rsidP="00B14FDF">
            <w:pPr>
              <w:jc w:val="both"/>
              <w:rPr>
                <w:sz w:val="20"/>
                <w:lang w:val="fr-CA"/>
              </w:rPr>
            </w:pPr>
          </w:p>
        </w:tc>
      </w:tr>
      <w:tr w:rsidR="001D0DD7" w:rsidRPr="00EB7BB6" w:rsidTr="00B14FDF">
        <w:tc>
          <w:tcPr>
            <w:tcW w:w="5000" w:type="pct"/>
            <w:gridSpan w:val="2"/>
          </w:tcPr>
          <w:p w:rsidR="001D0DD7" w:rsidRPr="00EB7BB6" w:rsidRDefault="001D0DD7" w:rsidP="00B14FDF">
            <w:pPr>
              <w:jc w:val="both"/>
              <w:rPr>
                <w:sz w:val="20"/>
                <w:lang w:val="fr-CA"/>
              </w:rPr>
            </w:pPr>
            <w:r w:rsidRPr="00EB7BB6">
              <w:rPr>
                <w:sz w:val="20"/>
                <w:lang w:val="fr-CA"/>
              </w:rPr>
              <w:t>Procédure civile — Jugement sommaire — Prescription — Quand commence à courir un délai de prescription dans le contexte d’une dette de carte de crédit?</w:t>
            </w:r>
          </w:p>
          <w:p w:rsidR="001D0DD7" w:rsidRPr="00EB7BB6" w:rsidRDefault="001D0DD7" w:rsidP="00B14FDF">
            <w:pPr>
              <w:jc w:val="both"/>
              <w:rPr>
                <w:sz w:val="20"/>
                <w:lang w:val="fr-CA"/>
              </w:rPr>
            </w:pPr>
          </w:p>
        </w:tc>
      </w:tr>
    </w:tbl>
    <w:p w:rsidR="00306B33" w:rsidRPr="00EB7BB6" w:rsidRDefault="00306B33">
      <w:pPr>
        <w:rPr>
          <w:lang w:val="fr-CA"/>
        </w:rPr>
      </w:pPr>
      <w:r w:rsidRPr="00EB7B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0DD7" w:rsidRPr="00EB7BB6" w:rsidTr="00B14FDF">
        <w:tc>
          <w:tcPr>
            <w:tcW w:w="5000" w:type="pct"/>
            <w:gridSpan w:val="3"/>
          </w:tcPr>
          <w:p w:rsidR="001D0DD7" w:rsidRPr="00EB7BB6" w:rsidRDefault="001D0DD7" w:rsidP="00B14FDF">
            <w:pPr>
              <w:jc w:val="both"/>
              <w:rPr>
                <w:sz w:val="20"/>
                <w:lang w:val="fr-CA"/>
              </w:rPr>
            </w:pPr>
            <w:r w:rsidRPr="00EB7BB6">
              <w:rPr>
                <w:sz w:val="20"/>
                <w:lang w:val="fr-CA"/>
              </w:rPr>
              <w:lastRenderedPageBreak/>
              <w:t xml:space="preserve">La demanderesse, Mariam Adam, avait deux cartes de crédit à la CIBC, et elle a été poursuivie par la banque lorsque les comptes sont demeurés impayés. Elle a présenté une défense, plaidant que la </w:t>
            </w:r>
            <w:r w:rsidRPr="00EB7BB6">
              <w:rPr>
                <w:i/>
                <w:sz w:val="20"/>
                <w:lang w:val="fr-CA"/>
              </w:rPr>
              <w:t>Loi sur la prescription</w:t>
            </w:r>
            <w:r w:rsidRPr="00EB7BB6">
              <w:rPr>
                <w:sz w:val="20"/>
                <w:lang w:val="fr-CA"/>
              </w:rPr>
              <w:t xml:space="preserve"> s’appliquait à la dette engagée plus de six ans avant l’action et que les taux d’intérêt étaient trop élevés.</w:t>
            </w:r>
          </w:p>
          <w:p w:rsidR="001D0DD7" w:rsidRPr="00EB7BB6" w:rsidRDefault="001D0DD7" w:rsidP="00B14FDF">
            <w:pPr>
              <w:jc w:val="both"/>
              <w:rPr>
                <w:sz w:val="20"/>
                <w:lang w:val="fr-CA"/>
              </w:rPr>
            </w:pPr>
          </w:p>
          <w:p w:rsidR="001D0DD7" w:rsidRPr="00EB7BB6" w:rsidRDefault="001D0DD7" w:rsidP="00B14FDF">
            <w:pPr>
              <w:jc w:val="both"/>
              <w:rPr>
                <w:sz w:val="20"/>
                <w:lang w:val="fr-CA"/>
              </w:rPr>
            </w:pPr>
            <w:r w:rsidRPr="00EB7BB6">
              <w:rPr>
                <w:sz w:val="20"/>
                <w:lang w:val="fr-CA"/>
              </w:rPr>
              <w:t>Une motion en jugement sommaire a été accueillie, et un jugement a été rendu en faveur de la CIBC. Un appel à la Cour d’appel a été rejeté.</w:t>
            </w:r>
          </w:p>
          <w:p w:rsidR="001D0DD7" w:rsidRPr="00EB7BB6" w:rsidRDefault="001D0DD7" w:rsidP="00B14FDF">
            <w:pPr>
              <w:jc w:val="both"/>
              <w:rPr>
                <w:sz w:val="20"/>
                <w:lang w:val="fr-CA"/>
              </w:rPr>
            </w:pPr>
          </w:p>
        </w:tc>
      </w:tr>
      <w:tr w:rsidR="001D0DD7" w:rsidRPr="00EB7BB6" w:rsidTr="00B14FDF">
        <w:tc>
          <w:tcPr>
            <w:tcW w:w="2427" w:type="pct"/>
          </w:tcPr>
          <w:p w:rsidR="001D0DD7" w:rsidRPr="00EB7BB6" w:rsidRDefault="001D0DD7" w:rsidP="00B14FDF">
            <w:pPr>
              <w:jc w:val="both"/>
              <w:rPr>
                <w:sz w:val="20"/>
                <w:lang w:val="fr-CA"/>
              </w:rPr>
            </w:pPr>
            <w:r w:rsidRPr="00EB7BB6">
              <w:rPr>
                <w:sz w:val="20"/>
                <w:lang w:val="fr-CA"/>
              </w:rPr>
              <w:t>21 février 2017</w:t>
            </w:r>
          </w:p>
          <w:p w:rsidR="001D0DD7" w:rsidRPr="00EB7BB6" w:rsidRDefault="001D0DD7" w:rsidP="00B14FDF">
            <w:pPr>
              <w:jc w:val="both"/>
              <w:rPr>
                <w:sz w:val="20"/>
                <w:lang w:val="fr-CA"/>
              </w:rPr>
            </w:pPr>
            <w:r w:rsidRPr="00EB7BB6">
              <w:rPr>
                <w:sz w:val="20"/>
                <w:lang w:val="fr-CA"/>
              </w:rPr>
              <w:t>Cour du Banc de la Reine du Manitoba</w:t>
            </w:r>
          </w:p>
          <w:p w:rsidR="001D0DD7" w:rsidRPr="00EB7BB6" w:rsidRDefault="001D0DD7" w:rsidP="00B14FDF">
            <w:pPr>
              <w:jc w:val="both"/>
              <w:rPr>
                <w:sz w:val="20"/>
                <w:lang w:val="fr-CA"/>
              </w:rPr>
            </w:pPr>
            <w:r w:rsidRPr="00EB7BB6">
              <w:rPr>
                <w:sz w:val="20"/>
                <w:lang w:val="fr-CA"/>
              </w:rPr>
              <w:t>(Juge Abra)</w:t>
            </w:r>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 xml:space="preserve">Jugement sommaire en faveur de l’intimée </w:t>
            </w:r>
          </w:p>
        </w:tc>
      </w:tr>
      <w:tr w:rsidR="001D0DD7" w:rsidRPr="00EB7BB6" w:rsidTr="00B14FDF">
        <w:tc>
          <w:tcPr>
            <w:tcW w:w="2427" w:type="pct"/>
          </w:tcPr>
          <w:p w:rsidR="001D0DD7" w:rsidRPr="00EB7BB6" w:rsidRDefault="001D0DD7" w:rsidP="00B14FDF">
            <w:pPr>
              <w:jc w:val="both"/>
              <w:rPr>
                <w:sz w:val="20"/>
                <w:lang w:val="fr-CA"/>
              </w:rPr>
            </w:pPr>
            <w:r w:rsidRPr="00EB7BB6">
              <w:rPr>
                <w:sz w:val="20"/>
                <w:lang w:val="fr-CA"/>
              </w:rPr>
              <w:t>9 avril 2018</w:t>
            </w:r>
          </w:p>
          <w:p w:rsidR="001D0DD7" w:rsidRPr="00EB7BB6" w:rsidRDefault="001D0DD7" w:rsidP="00B14FDF">
            <w:pPr>
              <w:jc w:val="both"/>
              <w:rPr>
                <w:sz w:val="20"/>
                <w:lang w:val="fr-CA"/>
              </w:rPr>
            </w:pPr>
            <w:r w:rsidRPr="00EB7BB6">
              <w:rPr>
                <w:sz w:val="20"/>
                <w:lang w:val="fr-CA"/>
              </w:rPr>
              <w:t>Cour d’appel du Manitoba</w:t>
            </w:r>
          </w:p>
          <w:p w:rsidR="001D0DD7" w:rsidRPr="00EB7BB6" w:rsidRDefault="001D0DD7" w:rsidP="00B14FDF">
            <w:pPr>
              <w:jc w:val="both"/>
              <w:rPr>
                <w:sz w:val="20"/>
                <w:lang w:val="fr-CA"/>
              </w:rPr>
            </w:pPr>
            <w:r w:rsidRPr="00EB7BB6">
              <w:rPr>
                <w:sz w:val="20"/>
                <w:lang w:val="fr-CA"/>
              </w:rPr>
              <w:t>(Juges Chartier, Steel et Burnett)</w:t>
            </w:r>
          </w:p>
          <w:p w:rsidR="001D0DD7" w:rsidRPr="00EB7BB6" w:rsidRDefault="00EB7BB6" w:rsidP="00B14FDF">
            <w:pPr>
              <w:jc w:val="both"/>
              <w:rPr>
                <w:sz w:val="20"/>
                <w:lang w:val="fr-CA"/>
              </w:rPr>
            </w:pPr>
            <w:hyperlink r:id="rId34" w:history="1">
              <w:r w:rsidR="001D0DD7" w:rsidRPr="00EB7BB6">
                <w:rPr>
                  <w:rStyle w:val="Hyperlink"/>
                  <w:sz w:val="20"/>
                  <w:lang w:val="fr-CA"/>
                </w:rPr>
                <w:t>2018 MBCA 38</w:t>
              </w:r>
            </w:hyperlink>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Rejet de l’appel</w:t>
            </w:r>
          </w:p>
          <w:p w:rsidR="001D0DD7" w:rsidRPr="00EB7BB6" w:rsidRDefault="001D0DD7" w:rsidP="00B14FDF">
            <w:pPr>
              <w:jc w:val="both"/>
              <w:rPr>
                <w:sz w:val="20"/>
                <w:lang w:val="fr-CA"/>
              </w:rPr>
            </w:pPr>
          </w:p>
        </w:tc>
      </w:tr>
      <w:tr w:rsidR="001D0DD7" w:rsidRPr="00EB7BB6" w:rsidTr="00B14FDF">
        <w:tc>
          <w:tcPr>
            <w:tcW w:w="2427" w:type="pct"/>
          </w:tcPr>
          <w:p w:rsidR="001D0DD7" w:rsidRPr="00EB7BB6" w:rsidRDefault="001D0DD7" w:rsidP="00B14FDF">
            <w:pPr>
              <w:jc w:val="both"/>
              <w:rPr>
                <w:sz w:val="20"/>
                <w:lang w:val="fr-CA"/>
              </w:rPr>
            </w:pPr>
            <w:r w:rsidRPr="00EB7BB6">
              <w:rPr>
                <w:sz w:val="20"/>
                <w:lang w:val="fr-CA"/>
              </w:rPr>
              <w:t>28 novembre 2018</w:t>
            </w:r>
          </w:p>
          <w:p w:rsidR="001D0DD7" w:rsidRPr="00EB7BB6" w:rsidRDefault="001D0DD7" w:rsidP="00B14FDF">
            <w:pPr>
              <w:jc w:val="both"/>
              <w:rPr>
                <w:sz w:val="20"/>
                <w:lang w:val="fr-CA"/>
              </w:rPr>
            </w:pPr>
            <w:r w:rsidRPr="00EB7BB6">
              <w:rPr>
                <w:sz w:val="20"/>
                <w:lang w:val="fr-CA"/>
              </w:rPr>
              <w:t>Cour suprême du Canada</w:t>
            </w:r>
          </w:p>
          <w:p w:rsidR="001D0DD7" w:rsidRPr="00EB7BB6" w:rsidRDefault="001D0DD7" w:rsidP="00B14FDF">
            <w:pPr>
              <w:jc w:val="both"/>
              <w:rPr>
                <w:sz w:val="20"/>
                <w:lang w:val="fr-CA"/>
              </w:rPr>
            </w:pPr>
            <w:r w:rsidRPr="00EB7BB6">
              <w:rPr>
                <w:sz w:val="20"/>
                <w:lang w:val="fr-CA"/>
              </w:rPr>
              <w:t>(Juge Brown)</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Ordonnance dans le dossier 38345 rejetant une demande de déposer une demande pour trois décisions de la Cour d’appel du  Manitoba, y compris la décision entreprise dans le présent dossier, et prorogeant le délai de signification et de dépôt d’une demande complète et conforme en autorisation d’appel de quinze jours de la date de l’ordonnance.</w:t>
            </w:r>
          </w:p>
          <w:p w:rsidR="001D0DD7" w:rsidRPr="00EB7BB6" w:rsidRDefault="001D0DD7" w:rsidP="00B14FDF">
            <w:pPr>
              <w:jc w:val="both"/>
              <w:rPr>
                <w:sz w:val="20"/>
                <w:lang w:val="fr-CA"/>
              </w:rPr>
            </w:pPr>
          </w:p>
        </w:tc>
      </w:tr>
      <w:tr w:rsidR="001D0DD7" w:rsidRPr="00EB7BB6" w:rsidTr="00B14FDF">
        <w:tc>
          <w:tcPr>
            <w:tcW w:w="2427" w:type="pct"/>
          </w:tcPr>
          <w:p w:rsidR="001D0DD7" w:rsidRPr="00EB7BB6" w:rsidRDefault="001D0DD7" w:rsidP="00B14FDF">
            <w:pPr>
              <w:jc w:val="both"/>
              <w:rPr>
                <w:sz w:val="20"/>
                <w:lang w:val="fr-CA"/>
              </w:rPr>
            </w:pPr>
            <w:r w:rsidRPr="00EB7BB6">
              <w:rPr>
                <w:sz w:val="20"/>
                <w:lang w:val="fr-CA"/>
              </w:rPr>
              <w:t>10 décembre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Dépôt de la demande d’autorisation d’appel</w:t>
            </w:r>
          </w:p>
          <w:p w:rsidR="001D0DD7" w:rsidRPr="00EB7BB6" w:rsidRDefault="001D0DD7" w:rsidP="00B14FDF">
            <w:pPr>
              <w:jc w:val="both"/>
              <w:rPr>
                <w:sz w:val="20"/>
                <w:lang w:val="fr-CA"/>
              </w:rPr>
            </w:pPr>
          </w:p>
        </w:tc>
      </w:tr>
    </w:tbl>
    <w:p w:rsidR="001D0DD7" w:rsidRPr="00EB7BB6" w:rsidRDefault="001D0DD7" w:rsidP="001D0DD7">
      <w:pPr>
        <w:ind w:left="142" w:hanging="142"/>
        <w:jc w:val="both"/>
        <w:rPr>
          <w:sz w:val="20"/>
          <w:lang w:val="fr-CA"/>
        </w:rPr>
      </w:pPr>
    </w:p>
    <w:p w:rsidR="001D0DD7" w:rsidRPr="00EB7BB6" w:rsidRDefault="00EB7BB6" w:rsidP="001D0DD7">
      <w:pPr>
        <w:jc w:val="both"/>
        <w:rPr>
          <w:sz w:val="20"/>
          <w:lang w:val="fr-CA"/>
        </w:rPr>
      </w:pPr>
      <w:r w:rsidRPr="00EB7BB6">
        <w:rPr>
          <w:sz w:val="20"/>
          <w:szCs w:val="20"/>
        </w:rPr>
        <w:pict>
          <v:rect id="_x0000_i1061" style="width:2in;height:1pt" o:hrpct="0" o:hralign="center" o:hrstd="t" o:hrnoshade="t" o:hr="t" fillcolor="black" stroked="f"/>
        </w:pict>
      </w:r>
    </w:p>
    <w:p w:rsidR="0009740F" w:rsidRPr="00EB7BB6" w:rsidRDefault="0009740F" w:rsidP="001D0DD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21"/>
        <w:gridCol w:w="3603"/>
        <w:gridCol w:w="463"/>
        <w:gridCol w:w="4440"/>
      </w:tblGrid>
      <w:tr w:rsidR="001D0DD7" w:rsidRPr="00EB7BB6" w:rsidTr="00B14FDF">
        <w:tc>
          <w:tcPr>
            <w:tcW w:w="536" w:type="pct"/>
          </w:tcPr>
          <w:p w:rsidR="001D0DD7" w:rsidRPr="00EB7BB6" w:rsidRDefault="001D0DD7" w:rsidP="00B14FDF">
            <w:pPr>
              <w:jc w:val="both"/>
              <w:rPr>
                <w:sz w:val="20"/>
              </w:rPr>
            </w:pPr>
            <w:r w:rsidRPr="00EB7BB6">
              <w:rPr>
                <w:rStyle w:val="SCCFileNumberChar"/>
                <w:sz w:val="20"/>
                <w:szCs w:val="20"/>
              </w:rPr>
              <w:t>38460</w:t>
            </w:r>
          </w:p>
        </w:tc>
        <w:tc>
          <w:tcPr>
            <w:tcW w:w="4464" w:type="pct"/>
            <w:gridSpan w:val="3"/>
          </w:tcPr>
          <w:p w:rsidR="001D0DD7" w:rsidRPr="00EB7BB6" w:rsidRDefault="001D0DD7" w:rsidP="00B14FDF">
            <w:pPr>
              <w:pStyle w:val="SCCLsocParty"/>
              <w:jc w:val="both"/>
              <w:rPr>
                <w:b/>
                <w:sz w:val="20"/>
                <w:szCs w:val="20"/>
                <w:lang w:val="en-US"/>
              </w:rPr>
            </w:pPr>
            <w:r w:rsidRPr="00EB7BB6">
              <w:rPr>
                <w:b/>
                <w:sz w:val="20"/>
                <w:szCs w:val="20"/>
                <w:lang w:val="en-US"/>
              </w:rPr>
              <w:t>Mariam Adam v. Manufacturers Life Insurance Company (Manulife)</w:t>
            </w:r>
          </w:p>
          <w:p w:rsidR="001D0DD7" w:rsidRPr="00EB7BB6" w:rsidRDefault="001D0DD7" w:rsidP="00B14FDF">
            <w:pPr>
              <w:jc w:val="both"/>
              <w:rPr>
                <w:sz w:val="20"/>
              </w:rPr>
            </w:pPr>
            <w:r w:rsidRPr="00EB7BB6">
              <w:rPr>
                <w:sz w:val="20"/>
              </w:rPr>
              <w:t>(Man.) (Civil) (By Leave)</w:t>
            </w:r>
          </w:p>
        </w:tc>
      </w:tr>
      <w:tr w:rsidR="0009740F" w:rsidRPr="00EB7BB6" w:rsidTr="00B14FDF">
        <w:tc>
          <w:tcPr>
            <w:tcW w:w="5000" w:type="pct"/>
            <w:gridSpan w:val="4"/>
          </w:tcPr>
          <w:p w:rsidR="0009740F" w:rsidRPr="00EB7BB6" w:rsidRDefault="003E2B10" w:rsidP="00B14FDF">
            <w:pPr>
              <w:jc w:val="both"/>
              <w:rPr>
                <w:sz w:val="20"/>
                <w:szCs w:val="20"/>
              </w:rPr>
            </w:pPr>
            <w:r w:rsidRPr="00EB7BB6">
              <w:rPr>
                <w:sz w:val="20"/>
                <w:szCs w:val="20"/>
              </w:rPr>
              <w:t>The application for leave to appeal from the judgment of the Court of Appeal of Manitoba, Number AI17-30-08742, 2018 MBCA 37, dated April 9, 2018, is dismissed with no order as to costs.</w:t>
            </w:r>
          </w:p>
          <w:p w:rsidR="003E2B10" w:rsidRPr="00EB7BB6" w:rsidRDefault="003E2B10"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Civil procedure — Summary judgment — Limitations — When does a limitation period starts to run in the context of a creditor’s group insurance policy.</w:t>
            </w:r>
          </w:p>
          <w:p w:rsidR="001D0DD7" w:rsidRPr="00EB7BB6" w:rsidRDefault="001D0DD7"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The Bank of Montreal sued the applicant, Mariam Adam, on a credit card debt. She brought the respondent, Manulife into the action as a third party. Manulife defended on the basis that the applicant had not filed a claim, nor had she taken steps to put Manulife on notice of her claim.  A motion for summary judgment was granted in favour of the Bank of Montreal and Manulife.  An appeal to the Court of Appeal was dismissed.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November 29, 2016</w:t>
            </w:r>
          </w:p>
          <w:p w:rsidR="001D0DD7" w:rsidRPr="00EB7BB6" w:rsidRDefault="001D0DD7" w:rsidP="00B14FDF">
            <w:pPr>
              <w:jc w:val="both"/>
              <w:rPr>
                <w:sz w:val="20"/>
              </w:rPr>
            </w:pPr>
            <w:r w:rsidRPr="00EB7BB6">
              <w:rPr>
                <w:sz w:val="20"/>
              </w:rPr>
              <w:t>Court of Queen’s Bench</w:t>
            </w:r>
          </w:p>
          <w:p w:rsidR="001D0DD7" w:rsidRPr="00EB7BB6" w:rsidRDefault="001D0DD7" w:rsidP="00B14FDF">
            <w:pPr>
              <w:jc w:val="both"/>
              <w:rPr>
                <w:sz w:val="20"/>
              </w:rPr>
            </w:pPr>
            <w:r w:rsidRPr="00EB7BB6">
              <w:rPr>
                <w:sz w:val="20"/>
              </w:rPr>
              <w:t>(Abra J.)</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 xml:space="preserve">Summary judgment in favour of respondent granted </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t>April 9, 2018</w:t>
            </w:r>
          </w:p>
          <w:p w:rsidR="001D0DD7" w:rsidRPr="00EB7BB6" w:rsidRDefault="001D0DD7" w:rsidP="00B14FDF">
            <w:pPr>
              <w:jc w:val="both"/>
              <w:rPr>
                <w:sz w:val="20"/>
              </w:rPr>
            </w:pPr>
            <w:r w:rsidRPr="00EB7BB6">
              <w:rPr>
                <w:sz w:val="20"/>
              </w:rPr>
              <w:t>Court of Appeal of Manitoba</w:t>
            </w:r>
          </w:p>
          <w:p w:rsidR="001D0DD7" w:rsidRPr="00EB7BB6" w:rsidRDefault="001D0DD7" w:rsidP="00B14FDF">
            <w:pPr>
              <w:jc w:val="both"/>
              <w:rPr>
                <w:sz w:val="20"/>
              </w:rPr>
            </w:pPr>
            <w:r w:rsidRPr="00EB7BB6">
              <w:rPr>
                <w:sz w:val="20"/>
              </w:rPr>
              <w:t>(Chartier, Steel and Burnett JJ.A.)</w:t>
            </w:r>
          </w:p>
          <w:p w:rsidR="001D0DD7" w:rsidRPr="00EB7BB6" w:rsidRDefault="00EB7BB6" w:rsidP="00B14FDF">
            <w:pPr>
              <w:jc w:val="both"/>
              <w:rPr>
                <w:sz w:val="20"/>
              </w:rPr>
            </w:pPr>
            <w:hyperlink r:id="rId35" w:history="1">
              <w:r w:rsidR="001D0DD7" w:rsidRPr="00EB7BB6">
                <w:rPr>
                  <w:rStyle w:val="Hyperlink"/>
                  <w:sz w:val="20"/>
                </w:rPr>
                <w:t>2018 MBCA 37</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Appeal dismissed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November 28, 2018</w:t>
            </w:r>
          </w:p>
          <w:p w:rsidR="001D0DD7" w:rsidRPr="00EB7BB6" w:rsidRDefault="001D0DD7" w:rsidP="00B14FDF">
            <w:pPr>
              <w:jc w:val="both"/>
              <w:rPr>
                <w:sz w:val="20"/>
              </w:rPr>
            </w:pPr>
            <w:r w:rsidRPr="00EB7BB6">
              <w:rPr>
                <w:sz w:val="20"/>
              </w:rPr>
              <w:t>Supreme Court of Canada</w:t>
            </w:r>
          </w:p>
          <w:p w:rsidR="001D0DD7" w:rsidRPr="00EB7BB6" w:rsidRDefault="001D0DD7" w:rsidP="00B14FDF">
            <w:pPr>
              <w:jc w:val="both"/>
              <w:rPr>
                <w:sz w:val="20"/>
              </w:rPr>
            </w:pPr>
            <w:r w:rsidRPr="00EB7BB6">
              <w:rPr>
                <w:sz w:val="20"/>
              </w:rPr>
              <w:t>(Brown J.)</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Order in file 38345 dismissing a request to file one application for three decisions of the Court of Appeal of Manitoba, including the decision under appeal in this file, and extending the time to serve and file a complete and compliant application for leave to appeal to 15 days from the date of the order.</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December 10,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jc w:val="both"/>
        <w:rPr>
          <w:sz w:val="20"/>
        </w:rPr>
      </w:pPr>
    </w:p>
    <w:p w:rsidR="001D0DD7" w:rsidRPr="00EB7BB6" w:rsidRDefault="00EB7BB6" w:rsidP="001D0DD7">
      <w:pPr>
        <w:ind w:left="142" w:hanging="142"/>
        <w:jc w:val="both"/>
        <w:rPr>
          <w:sz w:val="20"/>
        </w:rPr>
      </w:pPr>
      <w:r w:rsidRPr="00EB7BB6">
        <w:rPr>
          <w:sz w:val="20"/>
          <w:szCs w:val="20"/>
        </w:rPr>
        <w:pict>
          <v:rect id="_x0000_i1062" style="width:2in;height:1pt" o:hrpct="0" o:hralign="center" o:hrstd="t" o:hrnoshade="t" o:hr="t" fillcolor="black" stroked="f"/>
        </w:pict>
      </w:r>
    </w:p>
    <w:p w:rsidR="0009740F" w:rsidRPr="00EB7BB6" w:rsidRDefault="0009740F" w:rsidP="001D0DD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2"/>
        <w:gridCol w:w="3592"/>
        <w:gridCol w:w="463"/>
        <w:gridCol w:w="4440"/>
      </w:tblGrid>
      <w:tr w:rsidR="001D0DD7" w:rsidRPr="00EB7BB6" w:rsidTr="00B14FDF">
        <w:tc>
          <w:tcPr>
            <w:tcW w:w="542" w:type="pct"/>
          </w:tcPr>
          <w:p w:rsidR="001D0DD7" w:rsidRPr="00EB7BB6" w:rsidRDefault="001D0DD7" w:rsidP="00B14FDF">
            <w:pPr>
              <w:jc w:val="both"/>
              <w:rPr>
                <w:sz w:val="20"/>
                <w:lang w:val="fr-CA"/>
              </w:rPr>
            </w:pPr>
            <w:r w:rsidRPr="00EB7BB6">
              <w:rPr>
                <w:rStyle w:val="SCCFileNumberChar"/>
                <w:sz w:val="20"/>
                <w:szCs w:val="20"/>
                <w:lang w:val="fr-CA"/>
              </w:rPr>
              <w:t>38460</w:t>
            </w:r>
          </w:p>
        </w:tc>
        <w:tc>
          <w:tcPr>
            <w:tcW w:w="4458" w:type="pct"/>
            <w:gridSpan w:val="3"/>
          </w:tcPr>
          <w:p w:rsidR="001D0DD7" w:rsidRPr="00EB7BB6" w:rsidRDefault="001D0DD7" w:rsidP="00B14FDF">
            <w:pPr>
              <w:pStyle w:val="SCCLsocParty"/>
              <w:jc w:val="both"/>
              <w:rPr>
                <w:b/>
                <w:sz w:val="20"/>
                <w:szCs w:val="20"/>
              </w:rPr>
            </w:pPr>
            <w:r w:rsidRPr="00EB7BB6">
              <w:rPr>
                <w:b/>
                <w:sz w:val="20"/>
                <w:szCs w:val="20"/>
              </w:rPr>
              <w:t>Mariam Adam c. Compagnie d’Assurance-Vie Manufacturers (Manuvie)</w:t>
            </w:r>
          </w:p>
          <w:p w:rsidR="001D0DD7" w:rsidRPr="00EB7BB6" w:rsidRDefault="001D0DD7" w:rsidP="00B14FDF">
            <w:pPr>
              <w:jc w:val="both"/>
              <w:rPr>
                <w:sz w:val="20"/>
                <w:lang w:val="fr-CA"/>
              </w:rPr>
            </w:pPr>
            <w:r w:rsidRPr="00EB7BB6">
              <w:rPr>
                <w:sz w:val="20"/>
                <w:lang w:val="fr-CA"/>
              </w:rPr>
              <w:t>(Man.) (Civile) (Autorisation)</w:t>
            </w:r>
          </w:p>
        </w:tc>
      </w:tr>
      <w:tr w:rsidR="0009740F" w:rsidRPr="00EB7BB6" w:rsidTr="00B14FDF">
        <w:tc>
          <w:tcPr>
            <w:tcW w:w="5000" w:type="pct"/>
            <w:gridSpan w:val="4"/>
          </w:tcPr>
          <w:p w:rsidR="0009740F" w:rsidRPr="00EB7BB6" w:rsidRDefault="007A1945" w:rsidP="00B14FDF">
            <w:pPr>
              <w:jc w:val="both"/>
              <w:rPr>
                <w:sz w:val="20"/>
                <w:szCs w:val="20"/>
                <w:lang w:val="fr-CA"/>
              </w:rPr>
            </w:pPr>
            <w:r w:rsidRPr="00EB7BB6">
              <w:rPr>
                <w:sz w:val="20"/>
                <w:szCs w:val="20"/>
                <w:lang w:val="fr-CA"/>
              </w:rPr>
              <w:t>La demande d’autorisation d’appel de l’arrêt de la Cour d’appel du Manitoba, numéro AI17-30-08742, 2018 MBCA 37, daté du 9 avril 2018, est rejet</w:t>
            </w:r>
            <w:r w:rsidRPr="00EB7BB6">
              <w:rPr>
                <w:rFonts w:cs="Times New Roman"/>
                <w:sz w:val="20"/>
                <w:szCs w:val="20"/>
                <w:lang w:val="fr-CA"/>
              </w:rPr>
              <w:t>é</w:t>
            </w:r>
            <w:r w:rsidRPr="00EB7BB6">
              <w:rPr>
                <w:sz w:val="20"/>
                <w:szCs w:val="20"/>
                <w:lang w:val="fr-CA"/>
              </w:rPr>
              <w:t>e sans ordonnance quant aux d</w:t>
            </w:r>
            <w:r w:rsidRPr="00EB7BB6">
              <w:rPr>
                <w:rFonts w:cs="Times New Roman"/>
                <w:sz w:val="20"/>
                <w:szCs w:val="20"/>
                <w:lang w:val="fr-CA"/>
              </w:rPr>
              <w:t>é</w:t>
            </w:r>
            <w:r w:rsidRPr="00EB7BB6">
              <w:rPr>
                <w:sz w:val="20"/>
                <w:szCs w:val="20"/>
                <w:lang w:val="fr-CA"/>
              </w:rPr>
              <w:t>pens.</w:t>
            </w:r>
          </w:p>
          <w:p w:rsidR="007A1945" w:rsidRPr="00EB7BB6" w:rsidRDefault="007A1945"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Procédure civile — Jugement sommaire — Prescription — Quand commence à courir un délai de prescription dans le contexte d’une police d’assurance collective d’un créancier?</w:t>
            </w:r>
          </w:p>
          <w:p w:rsidR="001D0DD7" w:rsidRPr="00EB7BB6" w:rsidRDefault="001D0DD7"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La Banque de Montréal a poursuivi la demanderesse, Mariam Adam, relativement à une dette de carte de crédit. La demanderesse a mis en cause l’intimée, Manuvie. En guise de défense, Manuvie a plaidé que la demanderesse n’avait pas déposé de demande et qu’elle n’avait pas pris de mesures pour aviser Manuvie de sa demande. Une motion en jugement sommaire a été accueillie en faveur de la Banque de Montréal et de Manuvie. Un appel à la Cour d’appel a été rejeté.</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29 novembre 2016</w:t>
            </w:r>
          </w:p>
          <w:p w:rsidR="001D0DD7" w:rsidRPr="00EB7BB6" w:rsidRDefault="001D0DD7" w:rsidP="00B14FDF">
            <w:pPr>
              <w:jc w:val="both"/>
              <w:rPr>
                <w:sz w:val="20"/>
                <w:lang w:val="fr-CA"/>
              </w:rPr>
            </w:pPr>
            <w:r w:rsidRPr="00EB7BB6">
              <w:rPr>
                <w:sz w:val="20"/>
                <w:lang w:val="fr-CA"/>
              </w:rPr>
              <w:t>Cour du Banc de la Reine</w:t>
            </w:r>
          </w:p>
          <w:p w:rsidR="001D0DD7" w:rsidRPr="00EB7BB6" w:rsidRDefault="001D0DD7" w:rsidP="00B14FDF">
            <w:pPr>
              <w:jc w:val="both"/>
              <w:rPr>
                <w:sz w:val="20"/>
                <w:lang w:val="fr-CA"/>
              </w:rPr>
            </w:pPr>
            <w:r w:rsidRPr="00EB7BB6">
              <w:rPr>
                <w:sz w:val="20"/>
                <w:lang w:val="fr-CA"/>
              </w:rPr>
              <w:t>(Juge Abra)</w:t>
            </w:r>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 xml:space="preserve">Jugement sommaire en faveur de l’intimée </w:t>
            </w: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9 avril 2018</w:t>
            </w:r>
          </w:p>
          <w:p w:rsidR="001D0DD7" w:rsidRPr="00EB7BB6" w:rsidRDefault="001D0DD7" w:rsidP="00B14FDF">
            <w:pPr>
              <w:jc w:val="both"/>
              <w:rPr>
                <w:sz w:val="20"/>
                <w:lang w:val="fr-CA"/>
              </w:rPr>
            </w:pPr>
            <w:r w:rsidRPr="00EB7BB6">
              <w:rPr>
                <w:sz w:val="20"/>
                <w:lang w:val="fr-CA"/>
              </w:rPr>
              <w:t>Cour d’appel du Manitoba</w:t>
            </w:r>
          </w:p>
          <w:p w:rsidR="001D0DD7" w:rsidRPr="00EB7BB6" w:rsidRDefault="001D0DD7" w:rsidP="00B14FDF">
            <w:pPr>
              <w:jc w:val="both"/>
              <w:rPr>
                <w:sz w:val="20"/>
                <w:lang w:val="fr-CA"/>
              </w:rPr>
            </w:pPr>
            <w:r w:rsidRPr="00EB7BB6">
              <w:rPr>
                <w:sz w:val="20"/>
                <w:lang w:val="fr-CA"/>
              </w:rPr>
              <w:t>(Juges Chartier, Steel et Burnett)</w:t>
            </w:r>
          </w:p>
          <w:p w:rsidR="001D0DD7" w:rsidRPr="00EB7BB6" w:rsidRDefault="00EB7BB6" w:rsidP="00B14FDF">
            <w:pPr>
              <w:jc w:val="both"/>
              <w:rPr>
                <w:sz w:val="20"/>
                <w:lang w:val="fr-CA"/>
              </w:rPr>
            </w:pPr>
            <w:hyperlink r:id="rId36" w:history="1">
              <w:r w:rsidR="001D0DD7" w:rsidRPr="00EB7BB6">
                <w:rPr>
                  <w:rStyle w:val="Hyperlink"/>
                  <w:sz w:val="20"/>
                  <w:lang w:val="fr-CA"/>
                </w:rPr>
                <w:t>2018 MBCA 37</w:t>
              </w:r>
            </w:hyperlink>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Rejet de l’appel</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28 novembre 2018</w:t>
            </w:r>
          </w:p>
          <w:p w:rsidR="001D0DD7" w:rsidRPr="00EB7BB6" w:rsidRDefault="001D0DD7" w:rsidP="00B14FDF">
            <w:pPr>
              <w:jc w:val="both"/>
              <w:rPr>
                <w:sz w:val="20"/>
                <w:lang w:val="fr-CA"/>
              </w:rPr>
            </w:pPr>
            <w:r w:rsidRPr="00EB7BB6">
              <w:rPr>
                <w:sz w:val="20"/>
                <w:lang w:val="fr-CA"/>
              </w:rPr>
              <w:t>Cour suprême du Canada</w:t>
            </w:r>
          </w:p>
          <w:p w:rsidR="001D0DD7" w:rsidRPr="00EB7BB6" w:rsidRDefault="001D0DD7" w:rsidP="00B14FDF">
            <w:pPr>
              <w:jc w:val="both"/>
              <w:rPr>
                <w:sz w:val="20"/>
                <w:lang w:val="fr-CA"/>
              </w:rPr>
            </w:pPr>
            <w:r w:rsidRPr="00EB7BB6">
              <w:rPr>
                <w:sz w:val="20"/>
                <w:lang w:val="fr-CA"/>
              </w:rPr>
              <w:t>(Juge Brown)</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Ordonnance dans le dossier 38345 rejetant une demande de déposer une demande pour trois décisions de la Cour d’appel du  Manitoba, y compris la décision entreprise dans le présent dossier, et prorogeant le délai de signification et de dépôt d’une demande complète et conforme en autorisation d’appel de quinze jours de la date de l’ordonnance.</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10 décembre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Dépôt de la demande d’autorisation d’appel</w:t>
            </w:r>
          </w:p>
          <w:p w:rsidR="001D0DD7" w:rsidRPr="00EB7BB6" w:rsidRDefault="001D0DD7" w:rsidP="00B14FDF">
            <w:pPr>
              <w:jc w:val="both"/>
              <w:rPr>
                <w:sz w:val="20"/>
                <w:lang w:val="fr-CA"/>
              </w:rPr>
            </w:pPr>
          </w:p>
        </w:tc>
      </w:tr>
    </w:tbl>
    <w:p w:rsidR="001D0DD7" w:rsidRPr="00EB7BB6" w:rsidRDefault="001D0DD7" w:rsidP="001D0DD7">
      <w:pPr>
        <w:ind w:left="142" w:hanging="142"/>
        <w:jc w:val="both"/>
        <w:rPr>
          <w:sz w:val="20"/>
          <w:lang w:val="fr-CA"/>
        </w:rPr>
      </w:pPr>
    </w:p>
    <w:p w:rsidR="001D0DD7" w:rsidRPr="00EB7BB6" w:rsidRDefault="00EB7BB6" w:rsidP="001D0DD7">
      <w:pPr>
        <w:ind w:left="142" w:hanging="142"/>
        <w:jc w:val="both"/>
        <w:rPr>
          <w:sz w:val="20"/>
          <w:lang w:val="fr-CA"/>
        </w:rPr>
      </w:pPr>
      <w:r w:rsidRPr="00EB7BB6">
        <w:rPr>
          <w:sz w:val="20"/>
          <w:szCs w:val="20"/>
        </w:rPr>
        <w:pict>
          <v:rect id="_x0000_i1063" style="width:2in;height:1pt" o:hrpct="0" o:hralign="center" o:hrstd="t" o:hrnoshade="t" o:hr="t" fillcolor="black" stroked="f"/>
        </w:pict>
      </w:r>
    </w:p>
    <w:p w:rsidR="0014166A" w:rsidRPr="00EB7BB6" w:rsidRDefault="0014166A" w:rsidP="001D0DD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476"/>
        <w:gridCol w:w="4426"/>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lastRenderedPageBreak/>
              <w:t>38330</w:t>
            </w:r>
          </w:p>
        </w:tc>
        <w:tc>
          <w:tcPr>
            <w:tcW w:w="4457" w:type="pct"/>
            <w:gridSpan w:val="3"/>
          </w:tcPr>
          <w:p w:rsidR="001D0DD7" w:rsidRPr="00EB7BB6" w:rsidRDefault="001D0DD7" w:rsidP="00B14FDF">
            <w:pPr>
              <w:pStyle w:val="SCCLsocParty"/>
              <w:jc w:val="both"/>
              <w:rPr>
                <w:b/>
                <w:sz w:val="20"/>
                <w:szCs w:val="20"/>
                <w:lang w:val="en-CA"/>
              </w:rPr>
            </w:pPr>
            <w:r w:rsidRPr="00EB7BB6">
              <w:rPr>
                <w:b/>
                <w:sz w:val="20"/>
                <w:szCs w:val="20"/>
                <w:lang w:val="en-CA"/>
              </w:rPr>
              <w:t xml:space="preserve">Wilfrid Nguesso v. </w:t>
            </w:r>
            <w:r w:rsidRPr="00EB7BB6">
              <w:rPr>
                <w:b/>
                <w:bCs/>
                <w:sz w:val="20"/>
                <w:szCs w:val="20"/>
                <w:lang w:val="en-CA"/>
              </w:rPr>
              <w:t>Minister of Citizenship and Immigration</w:t>
            </w:r>
          </w:p>
          <w:p w:rsidR="001D0DD7" w:rsidRPr="00EB7BB6" w:rsidRDefault="001D0DD7" w:rsidP="00B14FDF">
            <w:pPr>
              <w:jc w:val="both"/>
              <w:rPr>
                <w:sz w:val="20"/>
              </w:rPr>
            </w:pPr>
            <w:r w:rsidRPr="00EB7BB6">
              <w:rPr>
                <w:sz w:val="20"/>
              </w:rPr>
              <w:t>(F.C.) (Civil) (By Leave)</w:t>
            </w:r>
          </w:p>
        </w:tc>
      </w:tr>
      <w:tr w:rsidR="0014166A" w:rsidRPr="00EB7BB6" w:rsidTr="00B14FDF">
        <w:tc>
          <w:tcPr>
            <w:tcW w:w="5000" w:type="pct"/>
            <w:gridSpan w:val="4"/>
          </w:tcPr>
          <w:p w:rsidR="000337B5" w:rsidRPr="00EB7BB6" w:rsidRDefault="000337B5" w:rsidP="000337B5">
            <w:pPr>
              <w:jc w:val="both"/>
              <w:rPr>
                <w:sz w:val="20"/>
                <w:szCs w:val="20"/>
              </w:rPr>
            </w:pPr>
            <w:r w:rsidRPr="00EB7BB6">
              <w:rPr>
                <w:sz w:val="20"/>
                <w:szCs w:val="20"/>
              </w:rPr>
              <w:t xml:space="preserve">The application for leave to appeal from the judgment of the </w:t>
            </w:r>
            <w:r w:rsidRPr="00EB7BB6">
              <w:rPr>
                <w:sz w:val="20"/>
                <w:szCs w:val="20"/>
                <w:lang w:val="en-US"/>
              </w:rPr>
              <w:t>Federal Court of Appeal</w:t>
            </w:r>
            <w:r w:rsidRPr="00EB7BB6">
              <w:rPr>
                <w:sz w:val="20"/>
                <w:szCs w:val="20"/>
              </w:rPr>
              <w:t xml:space="preserve">, Number </w:t>
            </w:r>
            <w:r w:rsidRPr="00EB7BB6">
              <w:rPr>
                <w:sz w:val="20"/>
                <w:szCs w:val="20"/>
                <w:lang w:val="en-US"/>
              </w:rPr>
              <w:t>A-466-16, 2018 CAF 145</w:t>
            </w:r>
            <w:r w:rsidRPr="00EB7BB6">
              <w:rPr>
                <w:sz w:val="20"/>
                <w:szCs w:val="20"/>
              </w:rPr>
              <w:t xml:space="preserve">, dated </w:t>
            </w:r>
            <w:r w:rsidRPr="00EB7BB6">
              <w:rPr>
                <w:sz w:val="20"/>
                <w:szCs w:val="20"/>
                <w:lang w:val="en-US"/>
              </w:rPr>
              <w:t>August 1, 2018,</w:t>
            </w:r>
            <w:r w:rsidRPr="00EB7BB6">
              <w:rPr>
                <w:sz w:val="20"/>
                <w:szCs w:val="20"/>
              </w:rPr>
              <w:t xml:space="preserve"> is dismissed with costs.</w:t>
            </w:r>
          </w:p>
          <w:p w:rsidR="0014166A" w:rsidRPr="00EB7BB6" w:rsidRDefault="0014166A"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 xml:space="preserve">Immigration — Inadmissibility and removal — Serious criminality — Jurisdiction of Federal Court of Appeal — Certified questions — Whether certification of question for appeal can be quashed retroactively, thereby causing appellant to lose right of appeal on other issues — Whether decision set aside by Federal Court of Appeal on specific issue that is remitted to application judge continues to be </w:t>
            </w:r>
            <w:r w:rsidRPr="00EB7BB6">
              <w:rPr>
                <w:i/>
                <w:sz w:val="20"/>
              </w:rPr>
              <w:t>res judicata</w:t>
            </w:r>
            <w:r w:rsidRPr="00EB7BB6">
              <w:rPr>
                <w:sz w:val="20"/>
              </w:rPr>
              <w:t xml:space="preserve"> for all other issues — Whether act that is not considered to be offence in country where it was committed can be cause for inadmissibility to Canada on basis of serious criminality under s. 37 of </w:t>
            </w:r>
            <w:r w:rsidRPr="00EB7BB6">
              <w:rPr>
                <w:bCs/>
                <w:i/>
                <w:sz w:val="20"/>
                <w:lang w:val="en"/>
              </w:rPr>
              <w:t>Immigration and Refugee Protection Act</w:t>
            </w:r>
            <w:r w:rsidRPr="00EB7BB6">
              <w:rPr>
                <w:sz w:val="20"/>
              </w:rPr>
              <w:t>, S.C. 2001, c. 27.</w:t>
            </w:r>
          </w:p>
        </w:tc>
      </w:tr>
      <w:tr w:rsidR="001D0DD7" w:rsidRPr="00EB7BB6" w:rsidTr="00B14FDF">
        <w:tc>
          <w:tcPr>
            <w:tcW w:w="5000" w:type="pct"/>
            <w:gridSpan w:val="4"/>
          </w:tcPr>
          <w:p w:rsidR="001D0DD7" w:rsidRPr="00EB7BB6" w:rsidRDefault="001D0DD7"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 xml:space="preserve">The applicant, Mr. Nguesso, is the son of the President of the Republic of the Congo. In 2013, his application for permanent residence in the family class was refused on the basis that he was inadmissible to Canada because he was a member of a criminal organization (s. 37(1)(a) of the </w:t>
            </w:r>
            <w:r w:rsidRPr="00EB7BB6">
              <w:rPr>
                <w:bCs/>
                <w:i/>
                <w:sz w:val="20"/>
                <w:lang w:val="en"/>
              </w:rPr>
              <w:t>Immigration and Refugee Protection Act</w:t>
            </w:r>
            <w:r w:rsidRPr="00EB7BB6">
              <w:rPr>
                <w:sz w:val="20"/>
              </w:rPr>
              <w:t xml:space="preserve">, S.C. 2001, c. 27). The immigration officer had reasonable grounds to believe that Mr. Nguesso was a member of a criminal group through his family connections and that he had been involved in organized criminal activities (embezzlement, </w:t>
            </w:r>
            <w:r w:rsidRPr="00EB7BB6">
              <w:rPr>
                <w:sz w:val="20"/>
                <w:lang w:val="en"/>
              </w:rPr>
              <w:t xml:space="preserve">misappropriation of company property </w:t>
            </w:r>
            <w:r w:rsidRPr="00EB7BB6">
              <w:rPr>
                <w:sz w:val="20"/>
              </w:rPr>
              <w:t>and money laundering) in the Congo. Mr. Nguesso’s application for judicial review and his appeal were dismissed.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November 24, 2016</w:t>
            </w:r>
          </w:p>
          <w:p w:rsidR="001D0DD7" w:rsidRPr="00EB7BB6" w:rsidRDefault="001D0DD7" w:rsidP="00B14FDF">
            <w:pPr>
              <w:jc w:val="both"/>
              <w:rPr>
                <w:sz w:val="20"/>
              </w:rPr>
            </w:pPr>
            <w:r w:rsidRPr="00EB7BB6">
              <w:rPr>
                <w:sz w:val="20"/>
              </w:rPr>
              <w:t>Federal Court</w:t>
            </w:r>
          </w:p>
          <w:p w:rsidR="001D0DD7" w:rsidRPr="00EB7BB6" w:rsidRDefault="001D0DD7" w:rsidP="00B14FDF">
            <w:pPr>
              <w:jc w:val="both"/>
              <w:rPr>
                <w:sz w:val="20"/>
              </w:rPr>
            </w:pPr>
            <w:r w:rsidRPr="00EB7BB6">
              <w:rPr>
                <w:sz w:val="20"/>
              </w:rPr>
              <w:t>(Gagné J.)</w:t>
            </w:r>
          </w:p>
          <w:p w:rsidR="001D0DD7" w:rsidRPr="00EB7BB6" w:rsidRDefault="00EB7BB6" w:rsidP="00B14FDF">
            <w:pPr>
              <w:jc w:val="both"/>
              <w:rPr>
                <w:rStyle w:val="Hyperlink"/>
                <w:sz w:val="20"/>
              </w:rPr>
            </w:pPr>
            <w:hyperlink r:id="rId37" w:history="1">
              <w:r w:rsidR="001D0DD7" w:rsidRPr="00EB7BB6">
                <w:rPr>
                  <w:rStyle w:val="Hyperlink"/>
                  <w:sz w:val="20"/>
                </w:rPr>
                <w:t>2016 FC 1295</w:t>
              </w:r>
            </w:hyperlink>
          </w:p>
          <w:p w:rsidR="001D0DD7" w:rsidRPr="00EB7BB6" w:rsidRDefault="001D0DD7" w:rsidP="00B14FDF">
            <w:pPr>
              <w:jc w:val="both"/>
              <w:rPr>
                <w:sz w:val="20"/>
              </w:rPr>
            </w:pPr>
          </w:p>
        </w:tc>
        <w:tc>
          <w:tcPr>
            <w:tcW w:w="250" w:type="pct"/>
          </w:tcPr>
          <w:p w:rsidR="001D0DD7" w:rsidRPr="00EB7BB6" w:rsidRDefault="001D0DD7" w:rsidP="00B14FDF">
            <w:pPr>
              <w:jc w:val="both"/>
              <w:rPr>
                <w:sz w:val="20"/>
              </w:rPr>
            </w:pPr>
          </w:p>
        </w:tc>
        <w:tc>
          <w:tcPr>
            <w:tcW w:w="2324" w:type="pct"/>
          </w:tcPr>
          <w:p w:rsidR="001D0DD7" w:rsidRPr="00EB7BB6" w:rsidRDefault="001D0DD7" w:rsidP="00B14FDF">
            <w:pPr>
              <w:jc w:val="both"/>
              <w:rPr>
                <w:sz w:val="20"/>
              </w:rPr>
            </w:pPr>
            <w:r w:rsidRPr="00EB7BB6">
              <w:rPr>
                <w:sz w:val="20"/>
              </w:rPr>
              <w:t>Application for judicial review dismissed; question certified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August 1, 2018</w:t>
            </w:r>
          </w:p>
          <w:p w:rsidR="001D0DD7" w:rsidRPr="00EB7BB6" w:rsidRDefault="001D0DD7" w:rsidP="00B14FDF">
            <w:pPr>
              <w:jc w:val="both"/>
              <w:rPr>
                <w:sz w:val="20"/>
              </w:rPr>
            </w:pPr>
            <w:r w:rsidRPr="00EB7BB6">
              <w:rPr>
                <w:sz w:val="20"/>
              </w:rPr>
              <w:t>Federal Court of Appeal</w:t>
            </w:r>
          </w:p>
          <w:p w:rsidR="001D0DD7" w:rsidRPr="00EB7BB6" w:rsidRDefault="001D0DD7" w:rsidP="00B14FDF">
            <w:pPr>
              <w:jc w:val="both"/>
              <w:rPr>
                <w:sz w:val="20"/>
              </w:rPr>
            </w:pPr>
            <w:r w:rsidRPr="00EB7BB6">
              <w:rPr>
                <w:sz w:val="20"/>
              </w:rPr>
              <w:t>(Pelletier, Gauthier and de Montigny JJ.A.)</w:t>
            </w:r>
          </w:p>
          <w:p w:rsidR="001D0DD7" w:rsidRPr="00EB7BB6" w:rsidRDefault="00EB7BB6" w:rsidP="00B14FDF">
            <w:pPr>
              <w:jc w:val="both"/>
              <w:rPr>
                <w:sz w:val="20"/>
              </w:rPr>
            </w:pPr>
            <w:hyperlink r:id="rId38" w:history="1">
              <w:r w:rsidR="001D0DD7" w:rsidRPr="00EB7BB6">
                <w:rPr>
                  <w:rStyle w:val="Hyperlink"/>
                  <w:sz w:val="20"/>
                </w:rPr>
                <w:t>2018 FCA 145</w:t>
              </w:r>
            </w:hyperlink>
          </w:p>
          <w:p w:rsidR="001D0DD7" w:rsidRPr="00EB7BB6" w:rsidRDefault="001D0DD7" w:rsidP="00B14FDF">
            <w:pPr>
              <w:jc w:val="both"/>
              <w:rPr>
                <w:sz w:val="20"/>
              </w:rPr>
            </w:pPr>
          </w:p>
        </w:tc>
        <w:tc>
          <w:tcPr>
            <w:tcW w:w="250" w:type="pct"/>
          </w:tcPr>
          <w:p w:rsidR="001D0DD7" w:rsidRPr="00EB7BB6" w:rsidRDefault="001D0DD7" w:rsidP="00B14FDF">
            <w:pPr>
              <w:jc w:val="both"/>
              <w:rPr>
                <w:sz w:val="20"/>
              </w:rPr>
            </w:pPr>
          </w:p>
        </w:tc>
        <w:tc>
          <w:tcPr>
            <w:tcW w:w="2324" w:type="pct"/>
          </w:tcPr>
          <w:p w:rsidR="001D0DD7" w:rsidRPr="00EB7BB6" w:rsidRDefault="001D0DD7" w:rsidP="00B14FDF">
            <w:pPr>
              <w:jc w:val="both"/>
              <w:rPr>
                <w:sz w:val="20"/>
              </w:rPr>
            </w:pPr>
            <w:r w:rsidRPr="00EB7BB6">
              <w:rPr>
                <w:sz w:val="20"/>
              </w:rPr>
              <w:t>Appeal dismissed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October 1, 2018</w:t>
            </w:r>
          </w:p>
          <w:p w:rsidR="001D0DD7" w:rsidRPr="00EB7BB6" w:rsidRDefault="001D0DD7" w:rsidP="00B14FDF">
            <w:pPr>
              <w:jc w:val="both"/>
              <w:rPr>
                <w:sz w:val="20"/>
              </w:rPr>
            </w:pPr>
            <w:r w:rsidRPr="00EB7BB6">
              <w:rPr>
                <w:sz w:val="20"/>
              </w:rPr>
              <w:t>Supreme Court of Canada</w:t>
            </w:r>
          </w:p>
        </w:tc>
        <w:tc>
          <w:tcPr>
            <w:tcW w:w="250" w:type="pct"/>
          </w:tcPr>
          <w:p w:rsidR="001D0DD7" w:rsidRPr="00EB7BB6" w:rsidRDefault="001D0DD7" w:rsidP="00B14FDF">
            <w:pPr>
              <w:jc w:val="both"/>
              <w:rPr>
                <w:sz w:val="20"/>
              </w:rPr>
            </w:pPr>
          </w:p>
        </w:tc>
        <w:tc>
          <w:tcPr>
            <w:tcW w:w="2324"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jc w:val="both"/>
        <w:rPr>
          <w:sz w:val="20"/>
        </w:rPr>
      </w:pPr>
    </w:p>
    <w:p w:rsidR="0014166A" w:rsidRPr="00EB7BB6" w:rsidRDefault="00EB7BB6" w:rsidP="001D0DD7">
      <w:pPr>
        <w:jc w:val="both"/>
        <w:rPr>
          <w:sz w:val="20"/>
        </w:rPr>
      </w:pPr>
      <w:r w:rsidRPr="00EB7BB6">
        <w:rPr>
          <w:sz w:val="20"/>
          <w:szCs w:val="20"/>
        </w:rPr>
        <w:pict>
          <v:rect id="_x0000_i1064" style="width:2in;height:1pt" o:hrpct="0" o:hralign="center" o:hrstd="t" o:hrnoshade="t" o:hr="t" fillcolor="black" stroked="f"/>
        </w:pict>
      </w:r>
    </w:p>
    <w:p w:rsidR="001D0DD7" w:rsidRPr="00EB7BB6" w:rsidRDefault="001D0DD7" w:rsidP="001D0D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38330</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Wilfrid Nguesso c. Ministre de la Citoyenneté et de l’Immigration</w:t>
            </w:r>
          </w:p>
          <w:p w:rsidR="001D0DD7" w:rsidRPr="00EB7BB6" w:rsidRDefault="001D0DD7" w:rsidP="00B14FDF">
            <w:pPr>
              <w:jc w:val="both"/>
              <w:rPr>
                <w:sz w:val="20"/>
                <w:lang w:val="fr-CA"/>
              </w:rPr>
            </w:pPr>
            <w:r w:rsidRPr="00EB7BB6">
              <w:rPr>
                <w:sz w:val="20"/>
                <w:lang w:val="fr-CA"/>
              </w:rPr>
              <w:t>(C.F.) (Civile) (Autorisation)</w:t>
            </w:r>
          </w:p>
        </w:tc>
      </w:tr>
      <w:tr w:rsidR="0014166A" w:rsidRPr="00EB7BB6" w:rsidTr="00B14FDF">
        <w:tc>
          <w:tcPr>
            <w:tcW w:w="5000" w:type="pct"/>
            <w:gridSpan w:val="4"/>
          </w:tcPr>
          <w:p w:rsidR="00304744" w:rsidRPr="00EB7BB6" w:rsidRDefault="00304744" w:rsidP="00304744">
            <w:pPr>
              <w:jc w:val="both"/>
              <w:rPr>
                <w:sz w:val="20"/>
                <w:szCs w:val="20"/>
                <w:lang w:val="fr-CA"/>
              </w:rPr>
            </w:pPr>
            <w:r w:rsidRPr="00EB7BB6">
              <w:rPr>
                <w:sz w:val="20"/>
                <w:szCs w:val="20"/>
                <w:lang w:val="fr-CA"/>
              </w:rPr>
              <w:t>La demande d’autorisation d’appel de l’arrêt de la Cour d’appel fédérale, numéro A-466-16, 2018 CAF 145, daté du 1</w:t>
            </w:r>
            <w:r w:rsidRPr="00EB7BB6">
              <w:rPr>
                <w:sz w:val="20"/>
                <w:szCs w:val="20"/>
                <w:vertAlign w:val="superscript"/>
                <w:lang w:val="fr-CA"/>
              </w:rPr>
              <w:t>er</w:t>
            </w:r>
            <w:r w:rsidRPr="00EB7BB6">
              <w:rPr>
                <w:sz w:val="20"/>
                <w:szCs w:val="20"/>
                <w:lang w:val="fr-CA"/>
              </w:rPr>
              <w:t> août 2018, est rejet</w:t>
            </w:r>
            <w:r w:rsidRPr="00EB7BB6">
              <w:rPr>
                <w:rFonts w:cs="Times New Roman"/>
                <w:sz w:val="20"/>
                <w:szCs w:val="20"/>
                <w:lang w:val="fr-CA"/>
              </w:rPr>
              <w:t>é</w:t>
            </w:r>
            <w:r w:rsidRPr="00EB7BB6">
              <w:rPr>
                <w:sz w:val="20"/>
                <w:szCs w:val="20"/>
                <w:lang w:val="fr-CA"/>
              </w:rPr>
              <w:t>e avec d</w:t>
            </w:r>
            <w:r w:rsidRPr="00EB7BB6">
              <w:rPr>
                <w:rFonts w:cs="Times New Roman"/>
                <w:sz w:val="20"/>
                <w:szCs w:val="20"/>
                <w:lang w:val="fr-CA"/>
              </w:rPr>
              <w:t>é</w:t>
            </w:r>
            <w:r w:rsidRPr="00EB7BB6">
              <w:rPr>
                <w:sz w:val="20"/>
                <w:szCs w:val="20"/>
                <w:lang w:val="fr-CA"/>
              </w:rPr>
              <w:t>pens.</w:t>
            </w:r>
          </w:p>
          <w:p w:rsidR="0014166A" w:rsidRPr="00EB7BB6" w:rsidRDefault="0014166A" w:rsidP="00304744">
            <w:pPr>
              <w:tabs>
                <w:tab w:val="left" w:pos="1649"/>
              </w:tabs>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 xml:space="preserve">Immigration — Interdiction de territoire et renvoi — Grande criminalité — Compétence de la Cour d’appel fédérale — Questions certifiées — Peut-on casser rétroactivement la certification d’une question en appel avec pour effet de faire perdre à un appelant son droit d’appel sur les autres questions en litige? — Est-ce qu’une décision annulée par la Cour d’appel fédérale sur une question précise et renvoyée en première instance continue à constituer chose jugée sur toutes les autres questions? — Est-ce qu’un acte qui n’est pas considéré comme une infraction dans le pays où il est commis peut constituer une cause d’inadmissibilité pour grande criminalité au Canada, selon l’art. 37 de la </w:t>
            </w:r>
            <w:r w:rsidRPr="00EB7BB6">
              <w:rPr>
                <w:i/>
                <w:sz w:val="20"/>
                <w:lang w:val="fr-CA"/>
              </w:rPr>
              <w:t>Loi sur l’immigration et la protection des réfugiés</w:t>
            </w:r>
            <w:r w:rsidRPr="00EB7BB6">
              <w:rPr>
                <w:sz w:val="20"/>
                <w:lang w:val="fr-CA"/>
              </w:rPr>
              <w:t>, L.C. 2001, c. 27?</w:t>
            </w:r>
          </w:p>
        </w:tc>
      </w:tr>
      <w:tr w:rsidR="001D0DD7" w:rsidRPr="00EB7BB6" w:rsidTr="00B14FDF">
        <w:tc>
          <w:tcPr>
            <w:tcW w:w="5000" w:type="pct"/>
            <w:gridSpan w:val="4"/>
          </w:tcPr>
          <w:p w:rsidR="001D0DD7" w:rsidRPr="00EB7BB6" w:rsidRDefault="001D0DD7"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lastRenderedPageBreak/>
              <w:t xml:space="preserve">Monsieur Nguesso, demandeur, est le fils du président de la République du Congo. En 2013, sa demande de résidence permanente dans la catégorie du regroupement familial a été refusée au motif qu’il était interdit de territoire au Canada en raison de son appartenance à une organisation criminelle (l’art. 37(1)a) de la </w:t>
            </w:r>
            <w:r w:rsidRPr="00EB7BB6">
              <w:rPr>
                <w:i/>
                <w:sz w:val="20"/>
                <w:lang w:val="fr-CA"/>
              </w:rPr>
              <w:t>Loi sur l’immigration et la protection des réfugiés</w:t>
            </w:r>
            <w:r w:rsidRPr="00EB7BB6">
              <w:rPr>
                <w:sz w:val="20"/>
                <w:lang w:val="fr-CA"/>
              </w:rPr>
              <w:t>, L.C. 2001, c 27). L’agente d’immigration avait des motifs raisonnables de croire que M. Nguesso était membre d’un groupe criminel par le biais de ses liens familiaux et qu’il avait été impliqué dans des activités de criminalité organisée (détournement de fonds, abus de biens sociaux et blanchiment d’argent) au Congo. La demande de contrôle judiciaire de M. Nguesso ainsi que son appel ont été rejetés.</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24 novembre 2016</w:t>
            </w:r>
          </w:p>
          <w:p w:rsidR="001D0DD7" w:rsidRPr="00EB7BB6" w:rsidRDefault="001D0DD7" w:rsidP="00B14FDF">
            <w:pPr>
              <w:jc w:val="both"/>
              <w:rPr>
                <w:sz w:val="20"/>
                <w:lang w:val="fr-CA"/>
              </w:rPr>
            </w:pPr>
            <w:r w:rsidRPr="00EB7BB6">
              <w:rPr>
                <w:sz w:val="20"/>
                <w:lang w:val="fr-CA"/>
              </w:rPr>
              <w:t>Cour fédérale</w:t>
            </w:r>
          </w:p>
          <w:p w:rsidR="001D0DD7" w:rsidRPr="00EB7BB6" w:rsidRDefault="001D0DD7" w:rsidP="00B14FDF">
            <w:pPr>
              <w:jc w:val="both"/>
              <w:rPr>
                <w:sz w:val="20"/>
                <w:lang w:val="fr-CA"/>
              </w:rPr>
            </w:pPr>
            <w:r w:rsidRPr="00EB7BB6">
              <w:rPr>
                <w:sz w:val="20"/>
                <w:lang w:val="fr-CA"/>
              </w:rPr>
              <w:t>(La juge Gagné)</w:t>
            </w:r>
          </w:p>
          <w:p w:rsidR="001D0DD7" w:rsidRPr="00EB7BB6" w:rsidRDefault="00EB7BB6" w:rsidP="00B14FDF">
            <w:pPr>
              <w:jc w:val="both"/>
              <w:rPr>
                <w:rStyle w:val="Hyperlink"/>
                <w:sz w:val="20"/>
              </w:rPr>
            </w:pPr>
            <w:hyperlink r:id="rId39" w:history="1">
              <w:r w:rsidR="001D0DD7" w:rsidRPr="00EB7BB6">
                <w:rPr>
                  <w:rStyle w:val="Hyperlink"/>
                  <w:sz w:val="20"/>
                </w:rPr>
                <w:t>2016 CF 1295</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lang w:val="fr-CA"/>
              </w:rPr>
            </w:pPr>
            <w:r w:rsidRPr="00EB7BB6">
              <w:rPr>
                <w:sz w:val="20"/>
                <w:lang w:val="fr-CA"/>
              </w:rPr>
              <w:t>Demande de contrôle judiciaire rejetée; question certifiée</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1 août 2018</w:t>
            </w:r>
          </w:p>
          <w:p w:rsidR="001D0DD7" w:rsidRPr="00EB7BB6" w:rsidRDefault="001D0DD7" w:rsidP="00B14FDF">
            <w:pPr>
              <w:jc w:val="both"/>
              <w:rPr>
                <w:sz w:val="20"/>
                <w:lang w:val="fr-CA"/>
              </w:rPr>
            </w:pPr>
            <w:r w:rsidRPr="00EB7BB6">
              <w:rPr>
                <w:sz w:val="20"/>
                <w:lang w:val="fr-CA"/>
              </w:rPr>
              <w:t>Cour d’appel fédérale</w:t>
            </w:r>
          </w:p>
          <w:p w:rsidR="001D0DD7" w:rsidRPr="00EB7BB6" w:rsidRDefault="001D0DD7" w:rsidP="00B14FDF">
            <w:pPr>
              <w:jc w:val="both"/>
              <w:rPr>
                <w:sz w:val="20"/>
                <w:lang w:val="fr-CA"/>
              </w:rPr>
            </w:pPr>
            <w:r w:rsidRPr="00EB7BB6">
              <w:rPr>
                <w:sz w:val="20"/>
                <w:lang w:val="fr-CA"/>
              </w:rPr>
              <w:t>(Les juges Pelletier, Gauthier et de Montigny)</w:t>
            </w:r>
          </w:p>
          <w:p w:rsidR="001D0DD7" w:rsidRPr="00EB7BB6" w:rsidRDefault="00EB7BB6" w:rsidP="00B14FDF">
            <w:pPr>
              <w:jc w:val="both"/>
              <w:rPr>
                <w:sz w:val="20"/>
              </w:rPr>
            </w:pPr>
            <w:hyperlink r:id="rId40" w:history="1">
              <w:r w:rsidR="001D0DD7" w:rsidRPr="00EB7BB6">
                <w:rPr>
                  <w:rStyle w:val="Hyperlink"/>
                  <w:sz w:val="20"/>
                </w:rPr>
                <w:t>2018 CAF 145</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Appel rejeté</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1 octobre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rPr>
            </w:pPr>
            <w:r w:rsidRPr="00EB7BB6">
              <w:rPr>
                <w:sz w:val="20"/>
              </w:rPr>
              <w:t>Demande d’autorisation d’appel déposée</w:t>
            </w:r>
          </w:p>
          <w:p w:rsidR="001D0DD7" w:rsidRPr="00EB7BB6" w:rsidRDefault="001D0DD7" w:rsidP="00B14FDF">
            <w:pPr>
              <w:jc w:val="both"/>
              <w:rPr>
                <w:sz w:val="20"/>
              </w:rPr>
            </w:pPr>
          </w:p>
        </w:tc>
      </w:tr>
    </w:tbl>
    <w:p w:rsidR="001D0DD7" w:rsidRPr="00EB7BB6" w:rsidRDefault="001D0DD7" w:rsidP="001D0DD7">
      <w:pPr>
        <w:jc w:val="both"/>
        <w:rPr>
          <w:sz w:val="20"/>
        </w:rPr>
      </w:pPr>
    </w:p>
    <w:p w:rsidR="001D0DD7" w:rsidRPr="00EB7BB6" w:rsidRDefault="00EB7BB6" w:rsidP="001D0DD7">
      <w:pPr>
        <w:jc w:val="both"/>
        <w:rPr>
          <w:sz w:val="20"/>
          <w:lang w:val="fr-CA"/>
        </w:rPr>
      </w:pPr>
      <w:r w:rsidRPr="00EB7BB6">
        <w:rPr>
          <w:sz w:val="20"/>
          <w:szCs w:val="20"/>
        </w:rPr>
        <w:pict>
          <v:rect id="_x0000_i1065" style="width:2in;height:1pt" o:hrpct="0" o:hralign="center" o:hrstd="t" o:hrnoshade="t" o:hr="t" fillcolor="black" stroked="f"/>
        </w:pict>
      </w:r>
    </w:p>
    <w:p w:rsidR="006D5A53" w:rsidRPr="00EB7BB6" w:rsidRDefault="006D5A53" w:rsidP="001D0DD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38404</w:t>
            </w:r>
          </w:p>
        </w:tc>
        <w:tc>
          <w:tcPr>
            <w:tcW w:w="4457" w:type="pct"/>
          </w:tcPr>
          <w:p w:rsidR="001D0DD7" w:rsidRPr="00EB7BB6" w:rsidRDefault="001D0DD7" w:rsidP="00B14FDF">
            <w:pPr>
              <w:pStyle w:val="SCCLsocParty"/>
              <w:jc w:val="both"/>
              <w:rPr>
                <w:b/>
                <w:sz w:val="20"/>
                <w:szCs w:val="20"/>
                <w:lang w:val="en-US"/>
              </w:rPr>
            </w:pPr>
            <w:r w:rsidRPr="00EB7BB6">
              <w:rPr>
                <w:b/>
                <w:sz w:val="20"/>
                <w:szCs w:val="20"/>
                <w:lang w:val="en-US"/>
              </w:rPr>
              <w:t>Claudette Wood, Bruce Cook and John Featherstone v. CTS of Canada Co. and CTS Corporation</w:t>
            </w:r>
          </w:p>
          <w:p w:rsidR="001D0DD7" w:rsidRPr="00EB7BB6" w:rsidRDefault="001D0DD7" w:rsidP="00B14FDF">
            <w:pPr>
              <w:jc w:val="both"/>
              <w:rPr>
                <w:sz w:val="20"/>
              </w:rPr>
            </w:pPr>
            <w:r w:rsidRPr="00EB7BB6">
              <w:rPr>
                <w:sz w:val="20"/>
              </w:rPr>
              <w:t>(Ont.) (Civil) (By Leave)</w:t>
            </w:r>
          </w:p>
        </w:tc>
      </w:tr>
      <w:tr w:rsidR="006D5A53" w:rsidRPr="00EB7BB6" w:rsidTr="00B14FDF">
        <w:tc>
          <w:tcPr>
            <w:tcW w:w="5000" w:type="pct"/>
            <w:gridSpan w:val="2"/>
          </w:tcPr>
          <w:p w:rsidR="002F56AF" w:rsidRPr="00EB7BB6" w:rsidRDefault="002F56AF" w:rsidP="002F56AF">
            <w:pPr>
              <w:jc w:val="both"/>
              <w:rPr>
                <w:sz w:val="20"/>
                <w:szCs w:val="20"/>
              </w:rPr>
            </w:pPr>
            <w:r w:rsidRPr="00EB7BB6">
              <w:rPr>
                <w:sz w:val="20"/>
                <w:szCs w:val="20"/>
              </w:rPr>
              <w:t>The application for leave to appeal from the judgment of the Court of Appeal for Ontario, Number C64519, 2018 ONCA 758, dated September 19, 2018, is dismissed with costs.</w:t>
            </w:r>
          </w:p>
          <w:p w:rsidR="006D5A53" w:rsidRPr="00EB7BB6" w:rsidRDefault="006D5A53" w:rsidP="00B14FDF">
            <w:pPr>
              <w:jc w:val="both"/>
              <w:rPr>
                <w:sz w:val="20"/>
              </w:rPr>
            </w:pPr>
          </w:p>
        </w:tc>
      </w:tr>
      <w:tr w:rsidR="001D0DD7" w:rsidRPr="00EB7BB6" w:rsidTr="00B14FDF">
        <w:tc>
          <w:tcPr>
            <w:tcW w:w="5000" w:type="pct"/>
            <w:gridSpan w:val="2"/>
          </w:tcPr>
          <w:p w:rsidR="001D0DD7" w:rsidRPr="00EB7BB6" w:rsidRDefault="001D0DD7" w:rsidP="00B14FDF">
            <w:pPr>
              <w:jc w:val="both"/>
              <w:rPr>
                <w:sz w:val="20"/>
              </w:rPr>
            </w:pPr>
            <w:r w:rsidRPr="00EB7BB6">
              <w:rPr>
                <w:sz w:val="20"/>
              </w:rPr>
              <w:t xml:space="preserve">Employment law — Notice — Mass termination — Summary judgment motion relating to requirement to give notice in case of mass termination, and adequacy of notice of termination given by employer — When an employer terminates employment of 50 or more employees, triggering mass notice provisions, must employer give notice to relevant government official at same time — If an employer provides notice of mass termination to employees but fails to give notice to relevant government official at  same time is that notice to employees effective — </w:t>
            </w:r>
            <w:r w:rsidRPr="00EB7BB6">
              <w:rPr>
                <w:i/>
                <w:sz w:val="20"/>
              </w:rPr>
              <w:t>Employment Standards Act, 2000</w:t>
            </w:r>
            <w:r w:rsidRPr="00EB7BB6">
              <w:rPr>
                <w:sz w:val="20"/>
              </w:rPr>
              <w:t>, S.O. 2000, c. 41, s. 58.</w:t>
            </w:r>
          </w:p>
        </w:tc>
      </w:tr>
      <w:tr w:rsidR="001D0DD7" w:rsidRPr="00EB7BB6" w:rsidTr="00B14FDF">
        <w:tc>
          <w:tcPr>
            <w:tcW w:w="5000" w:type="pct"/>
            <w:gridSpan w:val="2"/>
          </w:tcPr>
          <w:p w:rsidR="001D0DD7" w:rsidRPr="00EB7BB6" w:rsidRDefault="001D0DD7" w:rsidP="00B14FDF">
            <w:pPr>
              <w:jc w:val="both"/>
              <w:rPr>
                <w:sz w:val="20"/>
              </w:rPr>
            </w:pPr>
          </w:p>
        </w:tc>
      </w:tr>
    </w:tbl>
    <w:p w:rsidR="00CB5125" w:rsidRPr="00EB7BB6" w:rsidRDefault="00CB5125">
      <w:r w:rsidRPr="00EB7B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0DD7" w:rsidRPr="00EB7BB6" w:rsidTr="00B14FDF">
        <w:tc>
          <w:tcPr>
            <w:tcW w:w="5000" w:type="pct"/>
            <w:gridSpan w:val="3"/>
          </w:tcPr>
          <w:p w:rsidR="001D0DD7" w:rsidRPr="00EB7BB6" w:rsidRDefault="001D0DD7" w:rsidP="00B14FDF">
            <w:pPr>
              <w:jc w:val="both"/>
              <w:rPr>
                <w:sz w:val="20"/>
              </w:rPr>
            </w:pPr>
            <w:r w:rsidRPr="00EB7BB6">
              <w:rPr>
                <w:sz w:val="20"/>
              </w:rPr>
              <w:lastRenderedPageBreak/>
              <w:t xml:space="preserve">This appeal arises from the closure of the Streetsville, Ontario manufacturing plant operated by CTS of Canada Co. This resulted in a “mass termination” for purposes of the </w:t>
            </w:r>
            <w:r w:rsidRPr="00EB7BB6">
              <w:rPr>
                <w:i/>
                <w:sz w:val="20"/>
              </w:rPr>
              <w:t>Employment Standards Act, 2000, S.O. 2000</w:t>
            </w:r>
            <w:r w:rsidRPr="00EB7BB6">
              <w:rPr>
                <w:sz w:val="20"/>
              </w:rPr>
              <w:t>, c. 41 (the “ESA”).  A class action was brought on behalf of former employees against their common employers, CTS of Canada Co. and its parent corporation CTS Corp. (collectively “CTS”). The class consists of 74 former active employees who did not sign a release with CTS and who were not dismissed for cause. The parties agreed that the common issues could be resolved on a motion for summary judgment. The issues related to the requirement under the ESA to give notice to the ESA Director (Form 1 information) in the case of a mass termination, and the adequacy of the notice of termination given by CTS. CTS did not serve and post the Form 1 information until May 12, 2015, 12 days into the mandatory minimum eight-week notice period and more than a year after it gave notice to its employees. The motion judge concluded that s. 58(2) required CTS to serve and post the Form 1 information when it gave notice to employees on April 17, 2014 and not eight weeks before the date of termination, as CTS maintained and that, pursuant to s. 58(4) of the ESA, its notice was not effective until it did so on May 12, 2015. Therefore, the failure to file the Form 1 in a timely way had the effect of invalidating the 13 months of working notice CTS provided prior to filing and posting the Form 1 information on May 12, 2015. The Court of Appeal allowed the appeal in part.  It found that the motion judge erred in deciding the Form 1 issue. The Court of Appeal found CTS was only required to serve and post the Form 1 information at the beginning of May 2015. Since CTS was 12 days late in serving and posting the Form 1 notice, class members are entitled to a further 12 days’ pay in lieu of notice.</w:t>
            </w:r>
          </w:p>
          <w:p w:rsidR="001D0DD7" w:rsidRPr="00EB7BB6" w:rsidRDefault="001D0DD7" w:rsidP="00B14FDF">
            <w:pPr>
              <w:jc w:val="both"/>
              <w:rPr>
                <w:sz w:val="20"/>
              </w:rPr>
            </w:pPr>
          </w:p>
        </w:tc>
      </w:tr>
      <w:tr w:rsidR="001D0DD7" w:rsidRPr="00EB7BB6" w:rsidTr="00B14FDF">
        <w:tc>
          <w:tcPr>
            <w:tcW w:w="2427" w:type="pct"/>
          </w:tcPr>
          <w:p w:rsidR="001D0DD7" w:rsidRPr="00EB7BB6" w:rsidRDefault="001D0DD7" w:rsidP="00B14FDF">
            <w:pPr>
              <w:jc w:val="both"/>
              <w:rPr>
                <w:sz w:val="20"/>
              </w:rPr>
            </w:pPr>
            <w:r w:rsidRPr="00EB7BB6">
              <w:rPr>
                <w:sz w:val="20"/>
              </w:rPr>
              <w:t>September 26, 2017</w:t>
            </w:r>
          </w:p>
          <w:p w:rsidR="001D0DD7" w:rsidRPr="00EB7BB6" w:rsidRDefault="001D0DD7" w:rsidP="00B14FDF">
            <w:pPr>
              <w:jc w:val="both"/>
              <w:rPr>
                <w:sz w:val="20"/>
              </w:rPr>
            </w:pPr>
            <w:r w:rsidRPr="00EB7BB6">
              <w:rPr>
                <w:sz w:val="20"/>
              </w:rPr>
              <w:t>Ontario Superior Court of Justice</w:t>
            </w:r>
          </w:p>
          <w:p w:rsidR="001D0DD7" w:rsidRPr="00EB7BB6" w:rsidRDefault="001D0DD7" w:rsidP="00B14FDF">
            <w:pPr>
              <w:jc w:val="both"/>
              <w:rPr>
                <w:sz w:val="20"/>
              </w:rPr>
            </w:pPr>
            <w:r w:rsidRPr="00EB7BB6">
              <w:rPr>
                <w:sz w:val="20"/>
              </w:rPr>
              <w:t>(Sproat J.)</w:t>
            </w:r>
          </w:p>
          <w:p w:rsidR="001D0DD7" w:rsidRPr="00EB7BB6" w:rsidRDefault="00EB7BB6" w:rsidP="00B14FDF">
            <w:pPr>
              <w:jc w:val="both"/>
              <w:rPr>
                <w:sz w:val="20"/>
              </w:rPr>
            </w:pPr>
            <w:hyperlink r:id="rId41" w:history="1">
              <w:r w:rsidR="001D0DD7" w:rsidRPr="00EB7BB6">
                <w:rPr>
                  <w:rStyle w:val="Hyperlink"/>
                  <w:sz w:val="20"/>
                </w:rPr>
                <w:t>2017 ONSC 5695</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Summary judgment granted in favour of employees. Form 1 Notice was required on April 17, 2014 and employer is not entitled to credit for working notice provided to the Class members until May 12, 2015, the date employer gave Form 1 Notice.</w:t>
            </w:r>
          </w:p>
          <w:p w:rsidR="001D0DD7" w:rsidRPr="00EB7BB6" w:rsidRDefault="001D0DD7" w:rsidP="00B14FDF">
            <w:pPr>
              <w:jc w:val="both"/>
              <w:rPr>
                <w:sz w:val="20"/>
              </w:rPr>
            </w:pPr>
          </w:p>
        </w:tc>
      </w:tr>
      <w:tr w:rsidR="001D0DD7" w:rsidRPr="00EB7BB6" w:rsidTr="00B14FDF">
        <w:tc>
          <w:tcPr>
            <w:tcW w:w="2427" w:type="pct"/>
          </w:tcPr>
          <w:p w:rsidR="001D0DD7" w:rsidRPr="00EB7BB6" w:rsidRDefault="001D0DD7" w:rsidP="00B14FDF">
            <w:pPr>
              <w:jc w:val="both"/>
              <w:rPr>
                <w:sz w:val="20"/>
              </w:rPr>
            </w:pPr>
            <w:r w:rsidRPr="00EB7BB6">
              <w:rPr>
                <w:sz w:val="20"/>
              </w:rPr>
              <w:t>September 19, 2018</w:t>
            </w:r>
          </w:p>
          <w:p w:rsidR="001D0DD7" w:rsidRPr="00EB7BB6" w:rsidRDefault="001D0DD7" w:rsidP="00B14FDF">
            <w:pPr>
              <w:jc w:val="both"/>
              <w:rPr>
                <w:sz w:val="20"/>
              </w:rPr>
            </w:pPr>
            <w:r w:rsidRPr="00EB7BB6">
              <w:rPr>
                <w:sz w:val="20"/>
              </w:rPr>
              <w:t>Court of Appeal for Ontario</w:t>
            </w:r>
          </w:p>
          <w:p w:rsidR="001D0DD7" w:rsidRPr="00EB7BB6" w:rsidRDefault="001D0DD7" w:rsidP="00B14FDF">
            <w:pPr>
              <w:jc w:val="both"/>
              <w:rPr>
                <w:sz w:val="20"/>
              </w:rPr>
            </w:pPr>
            <w:r w:rsidRPr="00EB7BB6">
              <w:rPr>
                <w:sz w:val="20"/>
              </w:rPr>
              <w:t>(Hoy A.C.J.O and Brown and Trotter JJ.A.)</w:t>
            </w:r>
          </w:p>
          <w:p w:rsidR="001D0DD7" w:rsidRPr="00EB7BB6" w:rsidRDefault="00EB7BB6" w:rsidP="00B14FDF">
            <w:pPr>
              <w:jc w:val="both"/>
              <w:rPr>
                <w:sz w:val="20"/>
              </w:rPr>
            </w:pPr>
            <w:hyperlink r:id="rId42" w:history="1">
              <w:r w:rsidR="001D0DD7" w:rsidRPr="00EB7BB6">
                <w:rPr>
                  <w:rStyle w:val="Hyperlink"/>
                  <w:sz w:val="20"/>
                </w:rPr>
                <w:t>2018 ONCA 758</w:t>
              </w:r>
            </w:hyperlink>
          </w:p>
          <w:p w:rsidR="001D0DD7" w:rsidRPr="00EB7BB6" w:rsidRDefault="001D0DD7" w:rsidP="00B14FDF">
            <w:pPr>
              <w:jc w:val="both"/>
              <w:rPr>
                <w:sz w:val="20"/>
              </w:rPr>
            </w:pPr>
            <w:r w:rsidRPr="00EB7BB6">
              <w:rPr>
                <w:sz w:val="20"/>
              </w:rPr>
              <w:t>File No.: C64519</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Appeal allowed in part; motion judge erred in finding Form 1 notice had to be given on April 17, 2014. Form 1 was provided to Director 12 days later than the beginning of the statutory notice thus employees are each entitled to 12 days of pay.</w:t>
            </w:r>
          </w:p>
          <w:p w:rsidR="001D0DD7" w:rsidRPr="00EB7BB6" w:rsidRDefault="001D0DD7" w:rsidP="00B14FDF">
            <w:pPr>
              <w:jc w:val="both"/>
              <w:rPr>
                <w:sz w:val="20"/>
              </w:rPr>
            </w:pPr>
          </w:p>
        </w:tc>
      </w:tr>
      <w:tr w:rsidR="001D0DD7" w:rsidRPr="00EB7BB6" w:rsidTr="00B14FDF">
        <w:tc>
          <w:tcPr>
            <w:tcW w:w="2427" w:type="pct"/>
          </w:tcPr>
          <w:p w:rsidR="001D0DD7" w:rsidRPr="00EB7BB6" w:rsidRDefault="001D0DD7" w:rsidP="00B14FDF">
            <w:pPr>
              <w:jc w:val="both"/>
              <w:rPr>
                <w:sz w:val="20"/>
              </w:rPr>
            </w:pPr>
            <w:r w:rsidRPr="00EB7BB6">
              <w:rPr>
                <w:sz w:val="20"/>
              </w:rPr>
              <w:t>November 15,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ind w:left="142" w:hanging="142"/>
        <w:jc w:val="both"/>
        <w:rPr>
          <w:sz w:val="20"/>
        </w:rPr>
      </w:pPr>
    </w:p>
    <w:p w:rsidR="006D5A53" w:rsidRPr="00EB7BB6" w:rsidRDefault="00EB7BB6" w:rsidP="001D0DD7">
      <w:pPr>
        <w:ind w:left="142" w:hanging="142"/>
        <w:jc w:val="both"/>
        <w:rPr>
          <w:sz w:val="20"/>
        </w:rPr>
      </w:pPr>
      <w:r w:rsidRPr="00EB7BB6">
        <w:rPr>
          <w:sz w:val="20"/>
          <w:szCs w:val="20"/>
        </w:rPr>
        <w:pict>
          <v:rect id="_x0000_i1066" style="width:2in;height:1pt" o:hrpct="0" o:hralign="center" o:hrstd="t" o:hrnoshade="t" o:hr="t" fillcolor="black" stroked="f"/>
        </w:pict>
      </w:r>
    </w:p>
    <w:p w:rsidR="001D0DD7" w:rsidRPr="00EB7BB6" w:rsidRDefault="001D0DD7" w:rsidP="001D0DD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D0DD7" w:rsidRPr="00EB7BB6" w:rsidTr="00B14FDF">
        <w:tc>
          <w:tcPr>
            <w:tcW w:w="543" w:type="pct"/>
          </w:tcPr>
          <w:p w:rsidR="001D0DD7" w:rsidRPr="00EB7BB6" w:rsidRDefault="001D0DD7" w:rsidP="00B14FDF">
            <w:pPr>
              <w:jc w:val="both"/>
              <w:rPr>
                <w:sz w:val="20"/>
                <w:lang w:val="fr-CA"/>
              </w:rPr>
            </w:pPr>
            <w:r w:rsidRPr="00EB7BB6">
              <w:rPr>
                <w:rStyle w:val="SCCFileNumberChar"/>
                <w:sz w:val="20"/>
                <w:szCs w:val="20"/>
                <w:lang w:val="fr-CA"/>
              </w:rPr>
              <w:t>38404</w:t>
            </w:r>
          </w:p>
        </w:tc>
        <w:tc>
          <w:tcPr>
            <w:tcW w:w="4457" w:type="pct"/>
          </w:tcPr>
          <w:p w:rsidR="001D0DD7" w:rsidRPr="00EB7BB6" w:rsidRDefault="001D0DD7" w:rsidP="00B14FDF">
            <w:pPr>
              <w:pStyle w:val="SCCLsocParty"/>
              <w:jc w:val="both"/>
              <w:rPr>
                <w:b/>
                <w:sz w:val="20"/>
                <w:szCs w:val="20"/>
                <w:lang w:val="en-US"/>
              </w:rPr>
            </w:pPr>
            <w:r w:rsidRPr="00EB7BB6">
              <w:rPr>
                <w:b/>
                <w:sz w:val="20"/>
                <w:szCs w:val="20"/>
                <w:lang w:val="en-US"/>
              </w:rPr>
              <w:t>Claudette Wood, Bruce Cook et John Featherstone c. CTS of Canada Co. et CTS Corporation</w:t>
            </w:r>
          </w:p>
          <w:p w:rsidR="001D0DD7" w:rsidRPr="00EB7BB6" w:rsidRDefault="001D0DD7" w:rsidP="00B14FDF">
            <w:pPr>
              <w:jc w:val="both"/>
              <w:rPr>
                <w:sz w:val="20"/>
                <w:lang w:val="fr-CA"/>
              </w:rPr>
            </w:pPr>
            <w:r w:rsidRPr="00EB7BB6">
              <w:rPr>
                <w:sz w:val="20"/>
                <w:lang w:val="fr-CA"/>
              </w:rPr>
              <w:t>(Ont.) (Civile) (Autorisation)</w:t>
            </w:r>
          </w:p>
        </w:tc>
      </w:tr>
      <w:tr w:rsidR="006D5A53" w:rsidRPr="00EB7BB6" w:rsidTr="00B14FDF">
        <w:tc>
          <w:tcPr>
            <w:tcW w:w="5000" w:type="pct"/>
            <w:gridSpan w:val="2"/>
          </w:tcPr>
          <w:p w:rsidR="006D5A53" w:rsidRPr="00EB7BB6" w:rsidRDefault="003A27A8" w:rsidP="00B14FDF">
            <w:pPr>
              <w:jc w:val="both"/>
              <w:rPr>
                <w:sz w:val="20"/>
                <w:szCs w:val="20"/>
                <w:lang w:val="fr-CA"/>
              </w:rPr>
            </w:pPr>
            <w:r w:rsidRPr="00EB7BB6">
              <w:rPr>
                <w:sz w:val="20"/>
                <w:szCs w:val="20"/>
                <w:lang w:val="fr-CA"/>
              </w:rPr>
              <w:t>La demande d’autorisation d’appel de l’arrêt de la Cour d’appel de l’Ontario, numéro C64519, 2018 ONCA 758, daté du 19 septembre 2018, est rejet</w:t>
            </w:r>
            <w:r w:rsidRPr="00EB7BB6">
              <w:rPr>
                <w:rFonts w:cs="Times New Roman"/>
                <w:sz w:val="20"/>
                <w:szCs w:val="20"/>
                <w:lang w:val="fr-CA"/>
              </w:rPr>
              <w:t>é</w:t>
            </w:r>
            <w:r w:rsidRPr="00EB7BB6">
              <w:rPr>
                <w:sz w:val="20"/>
                <w:szCs w:val="20"/>
                <w:lang w:val="fr-CA"/>
              </w:rPr>
              <w:t>e avec d</w:t>
            </w:r>
            <w:r w:rsidRPr="00EB7BB6">
              <w:rPr>
                <w:rFonts w:cs="Times New Roman"/>
                <w:sz w:val="20"/>
                <w:szCs w:val="20"/>
                <w:lang w:val="fr-CA"/>
              </w:rPr>
              <w:t>é</w:t>
            </w:r>
            <w:r w:rsidRPr="00EB7BB6">
              <w:rPr>
                <w:sz w:val="20"/>
                <w:szCs w:val="20"/>
                <w:lang w:val="fr-CA"/>
              </w:rPr>
              <w:t>pens.</w:t>
            </w:r>
          </w:p>
          <w:p w:rsidR="003A27A8" w:rsidRPr="00EB7BB6" w:rsidRDefault="003A27A8" w:rsidP="00B14FDF">
            <w:pPr>
              <w:jc w:val="both"/>
              <w:rPr>
                <w:sz w:val="20"/>
                <w:lang w:val="fr-CA"/>
              </w:rPr>
            </w:pPr>
          </w:p>
        </w:tc>
      </w:tr>
      <w:tr w:rsidR="001D0DD7" w:rsidRPr="00EB7BB6" w:rsidTr="00B14FDF">
        <w:tc>
          <w:tcPr>
            <w:tcW w:w="5000" w:type="pct"/>
            <w:gridSpan w:val="2"/>
          </w:tcPr>
          <w:p w:rsidR="001D0DD7" w:rsidRPr="00EB7BB6" w:rsidRDefault="001D0DD7" w:rsidP="00B14FDF">
            <w:pPr>
              <w:jc w:val="both"/>
              <w:rPr>
                <w:sz w:val="20"/>
                <w:lang w:val="fr-CA"/>
              </w:rPr>
            </w:pPr>
            <w:r w:rsidRPr="00EB7BB6">
              <w:rPr>
                <w:sz w:val="20"/>
                <w:lang w:val="fr-CA"/>
              </w:rPr>
              <w:t xml:space="preserve">Droit de l’emploi — Préavis — Licenciement de masse — Motion en jugement sommaire portant sur l’exigence de donner un préavis en cas de licenciement de masse et suffisance du préavis donné par l’employeur — Lorsqu’un employeur licencie cinquante employés ou plus, entraînant l’application des dispositions sur le licenciement de masse, l’employeur doit-il donner en même temps un préavis à l’administrateur gouvernemental compétent? — Si l’employeur donne un préavis de licenciement de masse aux employés, mais omet de donner en même temps un préavis à l’administrateur gouvernemental compétent, ce préavis aux employés prend-il effet? — </w:t>
            </w:r>
            <w:r w:rsidRPr="00EB7BB6">
              <w:rPr>
                <w:i/>
                <w:sz w:val="20"/>
                <w:lang w:val="fr-CA"/>
              </w:rPr>
              <w:t>Loi de 2000 sur les normes d’emploi</w:t>
            </w:r>
            <w:r w:rsidRPr="00EB7BB6">
              <w:rPr>
                <w:sz w:val="20"/>
                <w:lang w:val="fr-CA"/>
              </w:rPr>
              <w:t>, L.O. 2000, ch. 41, art. 58.</w:t>
            </w:r>
          </w:p>
        </w:tc>
      </w:tr>
      <w:tr w:rsidR="001D0DD7" w:rsidRPr="00EB7BB6" w:rsidTr="00B14FDF">
        <w:tc>
          <w:tcPr>
            <w:tcW w:w="5000" w:type="pct"/>
            <w:gridSpan w:val="2"/>
          </w:tcPr>
          <w:p w:rsidR="001D0DD7" w:rsidRPr="00EB7BB6" w:rsidRDefault="001D0DD7" w:rsidP="00B14FDF">
            <w:pPr>
              <w:jc w:val="both"/>
              <w:rPr>
                <w:sz w:val="20"/>
                <w:lang w:val="fr-CA"/>
              </w:rPr>
            </w:pPr>
          </w:p>
        </w:tc>
      </w:tr>
    </w:tbl>
    <w:p w:rsidR="00CB5125" w:rsidRPr="00EB7BB6" w:rsidRDefault="00CB5125">
      <w:pPr>
        <w:rPr>
          <w:lang w:val="fr-CA"/>
        </w:rPr>
      </w:pPr>
      <w:r w:rsidRPr="00EB7B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0DD7" w:rsidRPr="00EB7BB6" w:rsidTr="00B14FDF">
        <w:tc>
          <w:tcPr>
            <w:tcW w:w="5000" w:type="pct"/>
            <w:gridSpan w:val="3"/>
          </w:tcPr>
          <w:p w:rsidR="001D0DD7" w:rsidRPr="00EB7BB6" w:rsidRDefault="001D0DD7" w:rsidP="00B14FDF">
            <w:pPr>
              <w:jc w:val="both"/>
              <w:rPr>
                <w:sz w:val="20"/>
                <w:lang w:val="fr-CA"/>
              </w:rPr>
            </w:pPr>
            <w:r w:rsidRPr="00EB7BB6">
              <w:rPr>
                <w:sz w:val="20"/>
                <w:lang w:val="fr-CA"/>
              </w:rPr>
              <w:lastRenderedPageBreak/>
              <w:t xml:space="preserve">Le présent appel découle de la fermeture de l’usine de fabrication de Streetsville (Ontario) exploitée par CTS of Canada Co. Cette fermeture a entraîné un « licenciement de masse » visé par la </w:t>
            </w:r>
            <w:r w:rsidRPr="00EB7BB6">
              <w:rPr>
                <w:i/>
                <w:sz w:val="20"/>
                <w:lang w:val="fr-CA"/>
              </w:rPr>
              <w:t>Loi de 2000 sur les normes d’emploi, L.O. 2000</w:t>
            </w:r>
            <w:r w:rsidRPr="00EB7BB6">
              <w:rPr>
                <w:sz w:val="20"/>
                <w:lang w:val="fr-CA"/>
              </w:rPr>
              <w:t>, ch. 41 (la « LNE »). Un recours collectif a été intenté au nom des anciens employés contre leurs employeurs communs CTS of Canada Co. et sa société mère CTS Corp. (collectivement « CTS »). Le groupe est constitué de 74 anciens employés actifs qui n’ont pas signé de décharge avec CTS et qui n’ont pas été l’objet d’un congédiement justifié. Les parties ont convenu que les questions communes pouvaient être réglées par une motion en jugement sommaire. Les questions avaient trait à l’exigence prévue dans la LNE de donner un préavis au directeur des normes d’emploi (les renseignements prescrits selon la formule 1) dans le cas de licenciement de masse et la suffisance du préavis de licenciement donné par CTS. Ce n’est que le 12 mai 2015 que CTS a signifié et affiché les renseignements prescrits selon la formule 1, soit douze jours après le commencement du délai de préavis minimal de huit semaines et plus d’un an après avoir donné le préavis à ses employés. Le juge saisi de la motion a conclu que le par. 58(2) obligeait CTS à signifier et à afficher les renseignements prescrits selon la formule 1 lorsqu’elle a donné un préavis aux employés le 17 avril 2014, et non huit semaines avant la date du licenciement, comme le soutenait CTS, et qu’en vertu du par. 58(4) de la LNE, son préavis ne prenait effet tant qu’elle ne l’avait pas fait le 12 mai 2015. En conséquence, l’omission de déposer et d’afficher en temps opportun les renseignements prescrits selon la formule 1 avait pour effet d’invalider le préavis de travail de treize mois que CTS avait donné avant de déposer et d’afficher les renseignements prescrits selon la formule 1 le 12 mai 2015. La Cour d’appel a accueilli l’appel en partie.  Elle a conclu que le juge saisi de la motion avait commis une erreur en statuant sur la question portant sur la formule 1. La Cour d’appel a conclu que CTS n’était tenue de signifier et d’afficher les renseignements prescrits selon la formule 1 qu’au début de mai 2015. Puisque CTS avait signifié et affiché les renseignements prescrits selon la formule 1 avec douze jours de retard, les membres du groupe ont droit à un délai de préavis supplémentaire de douze jours.</w:t>
            </w:r>
          </w:p>
          <w:p w:rsidR="001D0DD7" w:rsidRPr="00EB7BB6" w:rsidRDefault="001D0DD7" w:rsidP="00B14FDF">
            <w:pPr>
              <w:jc w:val="both"/>
              <w:rPr>
                <w:sz w:val="20"/>
                <w:lang w:val="fr-CA"/>
              </w:rPr>
            </w:pPr>
          </w:p>
        </w:tc>
      </w:tr>
      <w:tr w:rsidR="001D0DD7" w:rsidRPr="00EB7BB6" w:rsidTr="00B14FDF">
        <w:tc>
          <w:tcPr>
            <w:tcW w:w="2427" w:type="pct"/>
          </w:tcPr>
          <w:p w:rsidR="001D0DD7" w:rsidRPr="00EB7BB6" w:rsidRDefault="001D0DD7" w:rsidP="00B14FDF">
            <w:pPr>
              <w:jc w:val="both"/>
              <w:rPr>
                <w:sz w:val="20"/>
                <w:lang w:val="fr-CA"/>
              </w:rPr>
            </w:pPr>
            <w:r w:rsidRPr="00EB7BB6">
              <w:rPr>
                <w:sz w:val="20"/>
                <w:lang w:val="fr-CA"/>
              </w:rPr>
              <w:t>26 septembre 2017</w:t>
            </w:r>
          </w:p>
          <w:p w:rsidR="001D0DD7" w:rsidRPr="00EB7BB6" w:rsidRDefault="001D0DD7" w:rsidP="00B14FDF">
            <w:pPr>
              <w:jc w:val="both"/>
              <w:rPr>
                <w:sz w:val="20"/>
                <w:lang w:val="fr-CA"/>
              </w:rPr>
            </w:pPr>
            <w:r w:rsidRPr="00EB7BB6">
              <w:rPr>
                <w:sz w:val="20"/>
                <w:lang w:val="fr-CA"/>
              </w:rPr>
              <w:t>Cour supérieure de justice de l’Ontario</w:t>
            </w:r>
          </w:p>
          <w:p w:rsidR="001D0DD7" w:rsidRPr="00EB7BB6" w:rsidRDefault="001D0DD7" w:rsidP="00B14FDF">
            <w:pPr>
              <w:jc w:val="both"/>
              <w:rPr>
                <w:sz w:val="20"/>
                <w:lang w:val="fr-CA"/>
              </w:rPr>
            </w:pPr>
            <w:r w:rsidRPr="00EB7BB6">
              <w:rPr>
                <w:sz w:val="20"/>
                <w:lang w:val="fr-CA"/>
              </w:rPr>
              <w:t>(Juge Sproat)</w:t>
            </w:r>
          </w:p>
          <w:p w:rsidR="001D0DD7" w:rsidRPr="00EB7BB6" w:rsidRDefault="00EB7BB6" w:rsidP="00B14FDF">
            <w:pPr>
              <w:jc w:val="both"/>
              <w:rPr>
                <w:sz w:val="20"/>
                <w:lang w:val="fr-CA"/>
              </w:rPr>
            </w:pPr>
            <w:hyperlink r:id="rId43" w:history="1">
              <w:r w:rsidR="001D0DD7" w:rsidRPr="00EB7BB6">
                <w:rPr>
                  <w:rStyle w:val="Hyperlink"/>
                  <w:sz w:val="20"/>
                  <w:lang w:val="fr-CA"/>
                </w:rPr>
                <w:t>2017 ONSC 5695</w:t>
              </w:r>
            </w:hyperlink>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Jugement sommaire en faveur des employés, statuant que le préavis comprenant les renseignements prescrits selon la formule 1  devait être donné le 17 avril 2014 et que l’employeur n’avait pas droit à un crédit au titre du préavis de travail donné aux membres du groupe jusqu’au 12 mai 2015, la date à laquelle l’employeur a donné le préavis selon la formule 1.</w:t>
            </w:r>
          </w:p>
          <w:p w:rsidR="001D0DD7" w:rsidRPr="00EB7BB6" w:rsidRDefault="001D0DD7" w:rsidP="00B14FDF">
            <w:pPr>
              <w:jc w:val="both"/>
              <w:rPr>
                <w:sz w:val="20"/>
                <w:lang w:val="fr-CA"/>
              </w:rPr>
            </w:pPr>
          </w:p>
        </w:tc>
      </w:tr>
      <w:tr w:rsidR="001D0DD7" w:rsidRPr="00EB7BB6" w:rsidTr="00B14FDF">
        <w:tc>
          <w:tcPr>
            <w:tcW w:w="2427" w:type="pct"/>
          </w:tcPr>
          <w:p w:rsidR="001D0DD7" w:rsidRPr="00EB7BB6" w:rsidRDefault="001D0DD7" w:rsidP="00B14FDF">
            <w:pPr>
              <w:jc w:val="both"/>
              <w:rPr>
                <w:sz w:val="20"/>
                <w:lang w:val="fr-CA"/>
              </w:rPr>
            </w:pPr>
            <w:r w:rsidRPr="00EB7BB6">
              <w:rPr>
                <w:sz w:val="20"/>
                <w:lang w:val="fr-CA"/>
              </w:rPr>
              <w:t>19 septembre 2018</w:t>
            </w:r>
          </w:p>
          <w:p w:rsidR="001D0DD7" w:rsidRPr="00EB7BB6" w:rsidRDefault="001D0DD7" w:rsidP="00B14FDF">
            <w:pPr>
              <w:jc w:val="both"/>
              <w:rPr>
                <w:sz w:val="20"/>
                <w:lang w:val="fr-CA"/>
              </w:rPr>
            </w:pPr>
            <w:r w:rsidRPr="00EB7BB6">
              <w:rPr>
                <w:sz w:val="20"/>
                <w:lang w:val="fr-CA"/>
              </w:rPr>
              <w:t>Cour d’appel de l’Ontario</w:t>
            </w:r>
          </w:p>
          <w:p w:rsidR="001D0DD7" w:rsidRPr="00EB7BB6" w:rsidRDefault="001D0DD7" w:rsidP="00B14FDF">
            <w:pPr>
              <w:jc w:val="both"/>
              <w:rPr>
                <w:sz w:val="20"/>
                <w:lang w:val="fr-CA"/>
              </w:rPr>
            </w:pPr>
            <w:r w:rsidRPr="00EB7BB6">
              <w:rPr>
                <w:sz w:val="20"/>
                <w:lang w:val="fr-CA"/>
              </w:rPr>
              <w:t>(Juge en chef adjointe Hoy, juges Brown et Trotter)</w:t>
            </w:r>
          </w:p>
          <w:p w:rsidR="001D0DD7" w:rsidRPr="00EB7BB6" w:rsidRDefault="00EB7BB6" w:rsidP="00B14FDF">
            <w:pPr>
              <w:jc w:val="both"/>
              <w:rPr>
                <w:sz w:val="20"/>
                <w:lang w:val="fr-CA"/>
              </w:rPr>
            </w:pPr>
            <w:hyperlink r:id="rId44" w:history="1">
              <w:r w:rsidR="001D0DD7" w:rsidRPr="00EB7BB6">
                <w:rPr>
                  <w:rStyle w:val="Hyperlink"/>
                  <w:sz w:val="20"/>
                  <w:lang w:val="fr-CA"/>
                </w:rPr>
                <w:t>2018 ONCA 758</w:t>
              </w:r>
            </w:hyperlink>
          </w:p>
          <w:p w:rsidR="001D0DD7" w:rsidRPr="00EB7BB6" w:rsidRDefault="001D0DD7" w:rsidP="00B14FDF">
            <w:pPr>
              <w:jc w:val="both"/>
              <w:rPr>
                <w:sz w:val="20"/>
                <w:lang w:val="fr-CA"/>
              </w:rPr>
            </w:pPr>
            <w:r w:rsidRPr="00EB7BB6">
              <w:rPr>
                <w:sz w:val="20"/>
                <w:lang w:val="fr-CA"/>
              </w:rPr>
              <w:t>N</w:t>
            </w:r>
            <w:r w:rsidRPr="00EB7BB6">
              <w:rPr>
                <w:sz w:val="20"/>
                <w:vertAlign w:val="superscript"/>
                <w:lang w:val="fr-CA"/>
              </w:rPr>
              <w:t>o</w:t>
            </w:r>
            <w:r w:rsidRPr="00EB7BB6">
              <w:rPr>
                <w:sz w:val="20"/>
                <w:lang w:val="fr-CA"/>
              </w:rPr>
              <w:t xml:space="preserve"> de dossier : C64519</w:t>
            </w:r>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Arrêt accueillant l’appel en partie, statuant que le juge de première instance avait commis une erreur en concluant que le préavis selon la formule 1 devait être donné le 17 avril 2014, que la formule 1 avait été donnée au directeur douze jours plus tard que le début du délai de préavis prévu par la loi, si bien que les employés avaient chacun droit à une indemnité de préavis de douze jours.</w:t>
            </w:r>
          </w:p>
          <w:p w:rsidR="001D0DD7" w:rsidRPr="00EB7BB6" w:rsidRDefault="001D0DD7" w:rsidP="00B14FDF">
            <w:pPr>
              <w:jc w:val="both"/>
              <w:rPr>
                <w:sz w:val="20"/>
                <w:lang w:val="fr-CA"/>
              </w:rPr>
            </w:pPr>
          </w:p>
        </w:tc>
      </w:tr>
      <w:tr w:rsidR="001D0DD7" w:rsidRPr="00EB7BB6" w:rsidTr="00B14FDF">
        <w:tc>
          <w:tcPr>
            <w:tcW w:w="2427" w:type="pct"/>
          </w:tcPr>
          <w:p w:rsidR="001D0DD7" w:rsidRPr="00EB7BB6" w:rsidRDefault="001D0DD7" w:rsidP="00B14FDF">
            <w:pPr>
              <w:jc w:val="both"/>
              <w:rPr>
                <w:sz w:val="20"/>
                <w:lang w:val="fr-CA"/>
              </w:rPr>
            </w:pPr>
            <w:r w:rsidRPr="00EB7BB6">
              <w:rPr>
                <w:sz w:val="20"/>
                <w:lang w:val="fr-CA"/>
              </w:rPr>
              <w:t>15 novembre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Dépôt de la demande d’autorisation d’appel.</w:t>
            </w:r>
          </w:p>
          <w:p w:rsidR="001D0DD7" w:rsidRPr="00EB7BB6" w:rsidRDefault="001D0DD7" w:rsidP="00B14FDF">
            <w:pPr>
              <w:jc w:val="both"/>
              <w:rPr>
                <w:sz w:val="20"/>
                <w:lang w:val="fr-CA"/>
              </w:rPr>
            </w:pPr>
          </w:p>
        </w:tc>
      </w:tr>
    </w:tbl>
    <w:p w:rsidR="001D0DD7" w:rsidRPr="00EB7BB6" w:rsidRDefault="001D0DD7" w:rsidP="001D0DD7">
      <w:pPr>
        <w:jc w:val="both"/>
        <w:rPr>
          <w:sz w:val="20"/>
          <w:lang w:val="fr-CA"/>
        </w:rPr>
      </w:pPr>
    </w:p>
    <w:p w:rsidR="001D0DD7" w:rsidRPr="00EB7BB6" w:rsidRDefault="00EB7BB6" w:rsidP="001D0DD7">
      <w:pPr>
        <w:jc w:val="both"/>
        <w:rPr>
          <w:sz w:val="20"/>
          <w:lang w:val="fr-CA"/>
        </w:rPr>
      </w:pPr>
      <w:r w:rsidRPr="00EB7BB6">
        <w:rPr>
          <w:sz w:val="20"/>
          <w:szCs w:val="20"/>
        </w:rPr>
        <w:pict>
          <v:rect id="_x0000_i1067" style="width:2in;height:1pt" o:hrpct="0" o:hralign="center" o:hrstd="t" o:hrnoshade="t" o:hr="t" fillcolor="black" stroked="f"/>
        </w:pict>
      </w:r>
    </w:p>
    <w:p w:rsidR="006D5A53" w:rsidRPr="00EB7BB6" w:rsidRDefault="006D5A53" w:rsidP="001D0DD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38346</w:t>
            </w:r>
          </w:p>
        </w:tc>
        <w:tc>
          <w:tcPr>
            <w:tcW w:w="4457" w:type="pct"/>
          </w:tcPr>
          <w:p w:rsidR="001D0DD7" w:rsidRPr="00EB7BB6" w:rsidRDefault="001D0DD7" w:rsidP="00B14FDF">
            <w:pPr>
              <w:pStyle w:val="SCCLsocParty"/>
              <w:jc w:val="both"/>
              <w:rPr>
                <w:b/>
                <w:sz w:val="20"/>
                <w:szCs w:val="20"/>
                <w:lang w:val="en-US"/>
              </w:rPr>
            </w:pPr>
            <w:r w:rsidRPr="00EB7BB6">
              <w:rPr>
                <w:b/>
                <w:sz w:val="20"/>
                <w:szCs w:val="20"/>
                <w:lang w:val="en-US"/>
              </w:rPr>
              <w:t>Tim Wood, Litigation Representative of K.S., an Infant v. David Willox and Brian Muir</w:t>
            </w:r>
          </w:p>
          <w:p w:rsidR="001D0DD7" w:rsidRPr="00EB7BB6" w:rsidRDefault="001D0DD7" w:rsidP="00B14FDF">
            <w:pPr>
              <w:jc w:val="both"/>
              <w:rPr>
                <w:sz w:val="20"/>
              </w:rPr>
            </w:pPr>
            <w:r w:rsidRPr="00EB7BB6">
              <w:rPr>
                <w:sz w:val="20"/>
              </w:rPr>
              <w:t>(Alta.) (Civil) (By Leave)</w:t>
            </w:r>
          </w:p>
        </w:tc>
      </w:tr>
      <w:tr w:rsidR="006D5A53" w:rsidRPr="00EB7BB6" w:rsidTr="00B14FDF">
        <w:tc>
          <w:tcPr>
            <w:tcW w:w="5000" w:type="pct"/>
            <w:gridSpan w:val="2"/>
          </w:tcPr>
          <w:p w:rsidR="005501DD" w:rsidRPr="00EB7BB6" w:rsidRDefault="005501DD" w:rsidP="005501DD">
            <w:pPr>
              <w:jc w:val="both"/>
              <w:rPr>
                <w:sz w:val="20"/>
                <w:szCs w:val="20"/>
              </w:rPr>
            </w:pPr>
            <w:r w:rsidRPr="00EB7BB6">
              <w:rPr>
                <w:sz w:val="20"/>
                <w:szCs w:val="20"/>
              </w:rPr>
              <w:t>The application for leave to appeal from the judgment of the Court of Appeal of Alberta (Edmonton), Number 1603-0233-AC, 2018 ABCA 271, dated August 21, 2018, is dismissed with costs.</w:t>
            </w:r>
          </w:p>
          <w:p w:rsidR="006D5A53" w:rsidRPr="00EB7BB6" w:rsidRDefault="006D5A53" w:rsidP="00B14FDF">
            <w:pPr>
              <w:jc w:val="both"/>
              <w:rPr>
                <w:sz w:val="20"/>
              </w:rPr>
            </w:pPr>
          </w:p>
        </w:tc>
      </w:tr>
    </w:tbl>
    <w:p w:rsidR="00A57C53" w:rsidRPr="00EB7BB6" w:rsidRDefault="00A57C53">
      <w:r w:rsidRPr="00EB7B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0DD7" w:rsidRPr="00EB7BB6" w:rsidTr="00B14FDF">
        <w:tc>
          <w:tcPr>
            <w:tcW w:w="5000" w:type="pct"/>
            <w:gridSpan w:val="3"/>
          </w:tcPr>
          <w:p w:rsidR="001D0DD7" w:rsidRPr="00EB7BB6" w:rsidRDefault="001D0DD7" w:rsidP="00B14FDF">
            <w:pPr>
              <w:jc w:val="both"/>
              <w:rPr>
                <w:sz w:val="20"/>
              </w:rPr>
            </w:pPr>
            <w:r w:rsidRPr="00EB7BB6">
              <w:rPr>
                <w:sz w:val="20"/>
              </w:rPr>
              <w:lastRenderedPageBreak/>
              <w:t>Torts — Negligence — Standard of care — Applicant bringing action against two doctors after birth of premature child — Whether there is nation-wide standard for duty of care? — What is standard of disclosure and content of duty to inform, when educated patient makes multiple specific inquiries about treatment options? — What is proper approach in Canada to proving causation in cases involving series of negligent omissions? — Once liability is proven on balance of probabilities, are plaintiffs entitled to full compensation for losses without deduction for negative contingencies?</w:t>
            </w:r>
          </w:p>
        </w:tc>
      </w:tr>
      <w:tr w:rsidR="001D0DD7" w:rsidRPr="00EB7BB6" w:rsidTr="00B14FDF">
        <w:tc>
          <w:tcPr>
            <w:tcW w:w="5000" w:type="pct"/>
            <w:gridSpan w:val="3"/>
          </w:tcPr>
          <w:p w:rsidR="001D0DD7" w:rsidRPr="00EB7BB6" w:rsidRDefault="001D0DD7" w:rsidP="00B14FDF">
            <w:pPr>
              <w:jc w:val="both"/>
              <w:rPr>
                <w:sz w:val="20"/>
              </w:rPr>
            </w:pPr>
          </w:p>
        </w:tc>
      </w:tr>
      <w:tr w:rsidR="001D0DD7" w:rsidRPr="00EB7BB6" w:rsidTr="00B14FDF">
        <w:tc>
          <w:tcPr>
            <w:tcW w:w="5000" w:type="pct"/>
            <w:gridSpan w:val="3"/>
          </w:tcPr>
          <w:p w:rsidR="001D0DD7" w:rsidRPr="00EB7BB6" w:rsidRDefault="001D0DD7" w:rsidP="00B14FDF">
            <w:pPr>
              <w:pStyle w:val="felskynumbering121"/>
              <w:shd w:val="clear" w:color="auto" w:fill="FFFFFF"/>
              <w:spacing w:after="0"/>
              <w:rPr>
                <w:sz w:val="20"/>
                <w:szCs w:val="20"/>
                <w:lang w:val="en"/>
              </w:rPr>
            </w:pPr>
            <w:r w:rsidRPr="00EB7BB6">
              <w:rPr>
                <w:sz w:val="20"/>
                <w:szCs w:val="20"/>
                <w:lang w:val="en"/>
              </w:rPr>
              <w:t>J.S. gave birth to K.S. in October, 2000 at 23 weeks’ gestation. His severe prematurity left him with serious, continuing physical and cognitive impairments. The applicant claimed that J.S.’s general practitioner, Dr. Willox, and the obstetrician that Dr. Willox conferred with, Dr. Muir, breached their duties of care by not advising of the availability and advisability of a medical treatment, cerclage, to treat J.S.’s emerging condition. The applicant claimed that cerclage would have extended the gestation period and prevented K.S.’s injuries. The trial judge dismissed the action against the respondents. That decision was upheld on appeal.</w:t>
            </w:r>
          </w:p>
          <w:p w:rsidR="001D0DD7" w:rsidRPr="00EB7BB6" w:rsidRDefault="001D0DD7" w:rsidP="00B14FDF">
            <w:pPr>
              <w:pStyle w:val="felskynumbering121"/>
              <w:shd w:val="clear" w:color="auto" w:fill="FFFFFF"/>
              <w:spacing w:after="0"/>
              <w:rPr>
                <w:sz w:val="20"/>
                <w:szCs w:val="20"/>
                <w:lang w:val="en"/>
              </w:rPr>
            </w:pPr>
          </w:p>
        </w:tc>
      </w:tr>
      <w:tr w:rsidR="001D0DD7" w:rsidRPr="00EB7BB6" w:rsidTr="00B14FDF">
        <w:tc>
          <w:tcPr>
            <w:tcW w:w="2427" w:type="pct"/>
          </w:tcPr>
          <w:p w:rsidR="001D0DD7" w:rsidRPr="00EB7BB6" w:rsidRDefault="001D0DD7" w:rsidP="00B14FDF">
            <w:pPr>
              <w:jc w:val="both"/>
              <w:rPr>
                <w:sz w:val="20"/>
              </w:rPr>
            </w:pPr>
            <w:r w:rsidRPr="00EB7BB6">
              <w:rPr>
                <w:sz w:val="20"/>
              </w:rPr>
              <w:t>August 29, 2016</w:t>
            </w:r>
          </w:p>
          <w:p w:rsidR="001D0DD7" w:rsidRPr="00EB7BB6" w:rsidRDefault="001D0DD7" w:rsidP="00B14FDF">
            <w:pPr>
              <w:jc w:val="both"/>
              <w:rPr>
                <w:sz w:val="20"/>
              </w:rPr>
            </w:pPr>
            <w:r w:rsidRPr="00EB7BB6">
              <w:rPr>
                <w:sz w:val="20"/>
              </w:rPr>
              <w:t>Court of Queen’s Bench of Alberta</w:t>
            </w:r>
          </w:p>
          <w:p w:rsidR="001D0DD7" w:rsidRPr="00EB7BB6" w:rsidRDefault="001D0DD7" w:rsidP="00B14FDF">
            <w:pPr>
              <w:jc w:val="both"/>
              <w:rPr>
                <w:sz w:val="20"/>
              </w:rPr>
            </w:pPr>
            <w:r w:rsidRPr="00EB7BB6">
              <w:rPr>
                <w:sz w:val="20"/>
              </w:rPr>
              <w:t>(Moreau J.)</w:t>
            </w:r>
          </w:p>
          <w:p w:rsidR="001D0DD7" w:rsidRPr="00EB7BB6" w:rsidRDefault="00EB7BB6" w:rsidP="00B14FDF">
            <w:pPr>
              <w:jc w:val="both"/>
              <w:rPr>
                <w:rStyle w:val="Hyperlink"/>
                <w:sz w:val="20"/>
              </w:rPr>
            </w:pPr>
            <w:hyperlink r:id="rId45" w:history="1">
              <w:r w:rsidR="001D0DD7" w:rsidRPr="00EB7BB6">
                <w:rPr>
                  <w:rStyle w:val="Hyperlink"/>
                  <w:sz w:val="20"/>
                </w:rPr>
                <w:t>2016 ABQB 483</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 xml:space="preserve">Applicant’s claim in negligence against two doctors dismissed; Provisional damages assessment made </w:t>
            </w:r>
          </w:p>
        </w:tc>
      </w:tr>
      <w:tr w:rsidR="001D0DD7" w:rsidRPr="00EB7BB6" w:rsidTr="00B14FDF">
        <w:tc>
          <w:tcPr>
            <w:tcW w:w="2427" w:type="pct"/>
          </w:tcPr>
          <w:p w:rsidR="001D0DD7" w:rsidRPr="00EB7BB6" w:rsidRDefault="001D0DD7" w:rsidP="00B14FDF">
            <w:pPr>
              <w:jc w:val="both"/>
              <w:rPr>
                <w:sz w:val="20"/>
              </w:rPr>
            </w:pPr>
            <w:r w:rsidRPr="00EB7BB6">
              <w:rPr>
                <w:sz w:val="20"/>
              </w:rPr>
              <w:t>January 3, 2017</w:t>
            </w:r>
          </w:p>
          <w:p w:rsidR="001D0DD7" w:rsidRPr="00EB7BB6" w:rsidRDefault="001D0DD7" w:rsidP="00B14FDF">
            <w:pPr>
              <w:jc w:val="both"/>
              <w:rPr>
                <w:sz w:val="20"/>
              </w:rPr>
            </w:pPr>
            <w:r w:rsidRPr="00EB7BB6">
              <w:rPr>
                <w:sz w:val="20"/>
              </w:rPr>
              <w:t>Court of Queen’s Bench of Alberta</w:t>
            </w:r>
          </w:p>
          <w:p w:rsidR="001D0DD7" w:rsidRPr="00EB7BB6" w:rsidRDefault="001D0DD7" w:rsidP="00B14FDF">
            <w:pPr>
              <w:jc w:val="both"/>
              <w:rPr>
                <w:sz w:val="20"/>
              </w:rPr>
            </w:pPr>
            <w:r w:rsidRPr="00EB7BB6">
              <w:rPr>
                <w:sz w:val="20"/>
              </w:rPr>
              <w:t>(Moreau J.)</w:t>
            </w:r>
          </w:p>
          <w:p w:rsidR="001D0DD7" w:rsidRPr="00EB7BB6" w:rsidRDefault="00EB7BB6" w:rsidP="00B14FDF">
            <w:pPr>
              <w:jc w:val="both"/>
              <w:rPr>
                <w:sz w:val="20"/>
              </w:rPr>
            </w:pPr>
            <w:hyperlink r:id="rId46" w:history="1">
              <w:r w:rsidR="001D0DD7" w:rsidRPr="00EB7BB6">
                <w:rPr>
                  <w:rStyle w:val="Hyperlink"/>
                  <w:sz w:val="20"/>
                </w:rPr>
                <w:t>2017 ABQB 2</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Order that negative contingency factor of 15 per cent to be applied to provisionally assessed awards of non-pecuniary damages and for past and future cost of care</w:t>
            </w:r>
          </w:p>
          <w:p w:rsidR="001D0DD7" w:rsidRPr="00EB7BB6" w:rsidRDefault="001D0DD7" w:rsidP="00B14FDF">
            <w:pPr>
              <w:jc w:val="both"/>
              <w:rPr>
                <w:sz w:val="20"/>
              </w:rPr>
            </w:pPr>
          </w:p>
        </w:tc>
      </w:tr>
      <w:tr w:rsidR="001D0DD7" w:rsidRPr="00EB7BB6" w:rsidTr="00B14FDF">
        <w:tc>
          <w:tcPr>
            <w:tcW w:w="2427" w:type="pct"/>
          </w:tcPr>
          <w:p w:rsidR="001D0DD7" w:rsidRPr="00EB7BB6" w:rsidRDefault="001D0DD7" w:rsidP="00B14FDF">
            <w:pPr>
              <w:jc w:val="both"/>
              <w:rPr>
                <w:sz w:val="20"/>
              </w:rPr>
            </w:pPr>
            <w:r w:rsidRPr="00EB7BB6">
              <w:rPr>
                <w:sz w:val="20"/>
              </w:rPr>
              <w:t>August 21, 2018</w:t>
            </w:r>
          </w:p>
          <w:p w:rsidR="001D0DD7" w:rsidRPr="00EB7BB6" w:rsidRDefault="001D0DD7" w:rsidP="00B14FDF">
            <w:pPr>
              <w:jc w:val="both"/>
              <w:rPr>
                <w:sz w:val="20"/>
              </w:rPr>
            </w:pPr>
            <w:r w:rsidRPr="00EB7BB6">
              <w:rPr>
                <w:sz w:val="20"/>
              </w:rPr>
              <w:t>Court of Appeal of Alberta (Edmonton)</w:t>
            </w:r>
          </w:p>
          <w:p w:rsidR="001D0DD7" w:rsidRPr="00EB7BB6" w:rsidRDefault="001D0DD7" w:rsidP="00B14FDF">
            <w:pPr>
              <w:jc w:val="both"/>
              <w:rPr>
                <w:sz w:val="20"/>
              </w:rPr>
            </w:pPr>
            <w:r w:rsidRPr="00EB7BB6">
              <w:rPr>
                <w:sz w:val="20"/>
              </w:rPr>
              <w:t>(McDonald, O'Ferrall [dissenting] and Veldhuis JJ.A.)</w:t>
            </w:r>
          </w:p>
          <w:p w:rsidR="001D0DD7" w:rsidRPr="00EB7BB6" w:rsidRDefault="00EB7BB6" w:rsidP="00B14FDF">
            <w:pPr>
              <w:jc w:val="both"/>
              <w:rPr>
                <w:sz w:val="20"/>
              </w:rPr>
            </w:pPr>
            <w:hyperlink r:id="rId47" w:history="1">
              <w:r w:rsidR="001D0DD7" w:rsidRPr="00EB7BB6">
                <w:rPr>
                  <w:rStyle w:val="Hyperlink"/>
                  <w:sz w:val="20"/>
                </w:rPr>
                <w:t>2018 ABCA 271</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Applicant’s appeal dismissed</w:t>
            </w:r>
          </w:p>
          <w:p w:rsidR="001D0DD7" w:rsidRPr="00EB7BB6" w:rsidRDefault="001D0DD7" w:rsidP="00B14FDF">
            <w:pPr>
              <w:jc w:val="both"/>
              <w:rPr>
                <w:sz w:val="20"/>
              </w:rPr>
            </w:pPr>
          </w:p>
          <w:p w:rsidR="001D0DD7" w:rsidRPr="00EB7BB6" w:rsidRDefault="001D0DD7" w:rsidP="00B14FDF">
            <w:pPr>
              <w:jc w:val="both"/>
              <w:rPr>
                <w:sz w:val="20"/>
              </w:rPr>
            </w:pPr>
          </w:p>
        </w:tc>
      </w:tr>
      <w:tr w:rsidR="001D0DD7" w:rsidRPr="00EB7BB6" w:rsidTr="00B14FDF">
        <w:tc>
          <w:tcPr>
            <w:tcW w:w="2427" w:type="pct"/>
          </w:tcPr>
          <w:p w:rsidR="001D0DD7" w:rsidRPr="00EB7BB6" w:rsidRDefault="001D0DD7" w:rsidP="00B14FDF">
            <w:pPr>
              <w:jc w:val="both"/>
              <w:rPr>
                <w:sz w:val="20"/>
              </w:rPr>
            </w:pPr>
            <w:r w:rsidRPr="00EB7BB6">
              <w:rPr>
                <w:sz w:val="20"/>
              </w:rPr>
              <w:t>October 10, 2018</w:t>
            </w:r>
          </w:p>
          <w:p w:rsidR="001D0DD7" w:rsidRPr="00EB7BB6" w:rsidRDefault="001D0DD7" w:rsidP="0094292A">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jc w:val="both"/>
        <w:rPr>
          <w:sz w:val="20"/>
        </w:rPr>
      </w:pPr>
    </w:p>
    <w:p w:rsidR="006D5A53" w:rsidRPr="00EB7BB6" w:rsidRDefault="00EB7BB6" w:rsidP="001D0DD7">
      <w:pPr>
        <w:jc w:val="both"/>
        <w:rPr>
          <w:sz w:val="20"/>
        </w:rPr>
      </w:pPr>
      <w:r w:rsidRPr="00EB7BB6">
        <w:rPr>
          <w:sz w:val="20"/>
          <w:szCs w:val="20"/>
        </w:rPr>
        <w:pict>
          <v:rect id="_x0000_i1068" style="width:2in;height:1pt" o:hrpct="0" o:hralign="center" o:hrstd="t" o:hrnoshade="t" o:hr="t" fillcolor="black" stroked="f"/>
        </w:pict>
      </w:r>
    </w:p>
    <w:p w:rsidR="001D0DD7" w:rsidRPr="00EB7BB6" w:rsidRDefault="001D0DD7" w:rsidP="001D0DD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lang w:val="fr-CA"/>
              </w:rPr>
            </w:pPr>
            <w:r w:rsidRPr="00EB7BB6">
              <w:rPr>
                <w:rStyle w:val="SCCFileNumberChar"/>
                <w:sz w:val="20"/>
                <w:szCs w:val="20"/>
                <w:lang w:val="fr-CA"/>
              </w:rPr>
              <w:t>38346</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Tim Wood, représentant à l’instance de K.S., un mineur c. David Willox et Brian Muir</w:t>
            </w:r>
          </w:p>
          <w:p w:rsidR="001D0DD7" w:rsidRPr="00EB7BB6" w:rsidRDefault="001D0DD7" w:rsidP="00B14FDF">
            <w:pPr>
              <w:jc w:val="both"/>
              <w:rPr>
                <w:sz w:val="20"/>
                <w:lang w:val="fr-CA"/>
              </w:rPr>
            </w:pPr>
            <w:r w:rsidRPr="00EB7BB6">
              <w:rPr>
                <w:sz w:val="20"/>
                <w:lang w:val="fr-CA"/>
              </w:rPr>
              <w:t>(Alb.) (Civile) (Autorisation)</w:t>
            </w:r>
          </w:p>
        </w:tc>
      </w:tr>
      <w:tr w:rsidR="006D5A53" w:rsidRPr="00EB7BB6" w:rsidTr="00B14FDF">
        <w:tc>
          <w:tcPr>
            <w:tcW w:w="5000" w:type="pct"/>
            <w:gridSpan w:val="4"/>
          </w:tcPr>
          <w:p w:rsidR="006D5A53" w:rsidRPr="00EB7BB6" w:rsidRDefault="00774C3A" w:rsidP="00B14FDF">
            <w:pPr>
              <w:jc w:val="both"/>
              <w:rPr>
                <w:sz w:val="20"/>
                <w:szCs w:val="20"/>
                <w:lang w:val="fr-CA"/>
              </w:rPr>
            </w:pPr>
            <w:r w:rsidRPr="00EB7BB6">
              <w:rPr>
                <w:sz w:val="20"/>
                <w:szCs w:val="20"/>
                <w:lang w:val="fr-CA"/>
              </w:rPr>
              <w:t>La demande d’autorisation d’appel de l’arrêt de la Cour d’appel de l’Alberta (Edmonton), numéro 1603-0233-AC, 2018 ABCA 271, daté du 21 août 2018, est rejet</w:t>
            </w:r>
            <w:r w:rsidRPr="00EB7BB6">
              <w:rPr>
                <w:rFonts w:cs="Times New Roman"/>
                <w:sz w:val="20"/>
                <w:szCs w:val="20"/>
                <w:lang w:val="fr-CA"/>
              </w:rPr>
              <w:t>é</w:t>
            </w:r>
            <w:r w:rsidRPr="00EB7BB6">
              <w:rPr>
                <w:sz w:val="20"/>
                <w:szCs w:val="20"/>
                <w:lang w:val="fr-CA"/>
              </w:rPr>
              <w:t>e avec d</w:t>
            </w:r>
            <w:r w:rsidRPr="00EB7BB6">
              <w:rPr>
                <w:rFonts w:cs="Times New Roman"/>
                <w:sz w:val="20"/>
                <w:szCs w:val="20"/>
                <w:lang w:val="fr-CA"/>
              </w:rPr>
              <w:t>é</w:t>
            </w:r>
            <w:r w:rsidRPr="00EB7BB6">
              <w:rPr>
                <w:sz w:val="20"/>
                <w:szCs w:val="20"/>
                <w:lang w:val="fr-CA"/>
              </w:rPr>
              <w:t>pens.</w:t>
            </w:r>
          </w:p>
          <w:p w:rsidR="00774C3A" w:rsidRPr="00EB7BB6" w:rsidRDefault="00774C3A"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Responsabilité civile — Négligence — Norme de diligence — Le demandeur a intenté une action contre deux médecins après la naissance d’un enfant prématuré — L’obligation de diligence est-elle soumise à une norme nationale? — Quels sont la norme de divulgation et le contenu de l’obligation d’informer lorsqu’un patient instruit fait plusieurs demandes de renseignements particulières sur les choix de traitement? — Quelle est la bonne approche au Canada pour prouver le lien de causalité dans des affaires intéressant une série d’omissions négligentes? — Lorsque la responsabilité est prouvée selon la prépondérance des probabilités, les demandeurs ont-ils droit à la pleine indemnisation des pertes sans déduction pour les aléas négatifs?</w:t>
            </w:r>
          </w:p>
        </w:tc>
      </w:tr>
      <w:tr w:rsidR="001D0DD7" w:rsidRPr="00EB7BB6" w:rsidTr="00B14FDF">
        <w:tc>
          <w:tcPr>
            <w:tcW w:w="5000" w:type="pct"/>
            <w:gridSpan w:val="4"/>
          </w:tcPr>
          <w:p w:rsidR="001D0DD7" w:rsidRPr="00EB7BB6" w:rsidRDefault="001D0DD7" w:rsidP="00B14FDF">
            <w:pPr>
              <w:jc w:val="both"/>
              <w:rPr>
                <w:sz w:val="20"/>
                <w:lang w:val="fr-CA"/>
              </w:rPr>
            </w:pPr>
          </w:p>
        </w:tc>
      </w:tr>
      <w:tr w:rsidR="001D0DD7" w:rsidRPr="00EB7BB6" w:rsidTr="00B14FDF">
        <w:trPr>
          <w:trHeight w:val="1480"/>
        </w:trPr>
        <w:tc>
          <w:tcPr>
            <w:tcW w:w="5000" w:type="pct"/>
            <w:gridSpan w:val="4"/>
          </w:tcPr>
          <w:p w:rsidR="001D0DD7" w:rsidRPr="00EB7BB6" w:rsidRDefault="001D0DD7" w:rsidP="00B14FDF">
            <w:pPr>
              <w:pStyle w:val="felskynumbering121"/>
              <w:shd w:val="clear" w:color="auto" w:fill="FFFFFF"/>
              <w:spacing w:after="0"/>
              <w:rPr>
                <w:sz w:val="20"/>
                <w:szCs w:val="20"/>
                <w:lang w:val="fr-CA"/>
              </w:rPr>
            </w:pPr>
            <w:r w:rsidRPr="00EB7BB6">
              <w:rPr>
                <w:sz w:val="20"/>
                <w:szCs w:val="20"/>
                <w:lang w:val="fr-CA"/>
              </w:rPr>
              <w:lastRenderedPageBreak/>
              <w:t>J.S. a donné naissance à K.S. en octobre 2000 à la vingt-troisième semaine de grossesse. La grande prématurité de l’enfant l’a laissé avec de graves séquelles physiques et cognitives. Le demandeur allègue que le médecin généraliste de J.S., le Dr Willox, et l’obstétricien que le Dr Willox a consulté, le Dr Muir, ont manqué à leurs obligations de diligence en ne l’informant pas de la disponibilité et de l’opportunité d’un traitement médical, le cerclage, pour traiter la pathologie émergente de J.S. Le demandeur a allégué que le cerclage aurait prolongé la période de gestation et empêché les lésions subies par K.S. La juge de première instance a rejeté l’action contre les intimés. Cette décision a été confirmée en appel.</w:t>
            </w:r>
          </w:p>
          <w:p w:rsidR="001D0DD7" w:rsidRPr="00EB7BB6" w:rsidRDefault="001D0DD7" w:rsidP="00B14FDF">
            <w:pPr>
              <w:pStyle w:val="felskynumbering121"/>
              <w:shd w:val="clear" w:color="auto" w:fill="FFFFFF"/>
              <w:spacing w:after="0"/>
              <w:rPr>
                <w:sz w:val="20"/>
                <w:szCs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29 août 2016</w:t>
            </w:r>
          </w:p>
          <w:p w:rsidR="001D0DD7" w:rsidRPr="00EB7BB6" w:rsidRDefault="001D0DD7" w:rsidP="00B14FDF">
            <w:pPr>
              <w:jc w:val="both"/>
              <w:rPr>
                <w:sz w:val="20"/>
                <w:lang w:val="fr-CA"/>
              </w:rPr>
            </w:pPr>
            <w:r w:rsidRPr="00EB7BB6">
              <w:rPr>
                <w:sz w:val="20"/>
                <w:lang w:val="fr-CA"/>
              </w:rPr>
              <w:t>Cour du Banc de la Reine de l’Alberta</w:t>
            </w:r>
          </w:p>
          <w:p w:rsidR="001D0DD7" w:rsidRPr="00EB7BB6" w:rsidRDefault="001D0DD7" w:rsidP="00B14FDF">
            <w:pPr>
              <w:jc w:val="both"/>
              <w:rPr>
                <w:sz w:val="20"/>
                <w:lang w:val="fr-CA"/>
              </w:rPr>
            </w:pPr>
            <w:r w:rsidRPr="00EB7BB6">
              <w:rPr>
                <w:sz w:val="20"/>
                <w:lang w:val="fr-CA"/>
              </w:rPr>
              <w:t>(Juge Moreau)</w:t>
            </w:r>
          </w:p>
          <w:p w:rsidR="001D0DD7" w:rsidRPr="00EB7BB6" w:rsidRDefault="00EB7BB6" w:rsidP="00B14FDF">
            <w:pPr>
              <w:jc w:val="both"/>
              <w:rPr>
                <w:rStyle w:val="Hyperlink"/>
                <w:sz w:val="20"/>
                <w:lang w:val="fr-CA"/>
              </w:rPr>
            </w:pPr>
            <w:hyperlink r:id="rId48" w:history="1">
              <w:r w:rsidR="001D0DD7" w:rsidRPr="00EB7BB6">
                <w:rPr>
                  <w:rStyle w:val="Hyperlink"/>
                  <w:sz w:val="20"/>
                  <w:lang w:val="fr-CA"/>
                </w:rPr>
                <w:t>2016 ABQB 483</w:t>
              </w:r>
            </w:hyperlink>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Jugement rejetant l’action du demandeur en négligence contre deux médecins et établissant une évaluation provisoire des dommages</w:t>
            </w:r>
            <w:r w:rsidRPr="00EB7BB6">
              <w:rPr>
                <w:sz w:val="20"/>
                <w:lang w:val="fr-CA"/>
              </w:rPr>
              <w:noBreakHyphen/>
              <w:t xml:space="preserve">intérêts </w:t>
            </w:r>
          </w:p>
        </w:tc>
      </w:tr>
      <w:tr w:rsidR="001D0DD7" w:rsidRPr="00EB7BB6" w:rsidTr="000D1619">
        <w:trPr>
          <w:trHeight w:val="1043"/>
        </w:trPr>
        <w:tc>
          <w:tcPr>
            <w:tcW w:w="2427" w:type="pct"/>
            <w:gridSpan w:val="2"/>
          </w:tcPr>
          <w:p w:rsidR="001D0DD7" w:rsidRPr="00EB7BB6" w:rsidRDefault="001D0DD7" w:rsidP="00B14FDF">
            <w:pPr>
              <w:jc w:val="both"/>
              <w:rPr>
                <w:sz w:val="20"/>
                <w:lang w:val="fr-CA"/>
              </w:rPr>
            </w:pPr>
            <w:r w:rsidRPr="00EB7BB6">
              <w:rPr>
                <w:sz w:val="20"/>
                <w:lang w:val="fr-CA"/>
              </w:rPr>
              <w:t>3 janvier 2017</w:t>
            </w:r>
          </w:p>
          <w:p w:rsidR="001D0DD7" w:rsidRPr="00EB7BB6" w:rsidRDefault="001D0DD7" w:rsidP="00B14FDF">
            <w:pPr>
              <w:jc w:val="both"/>
              <w:rPr>
                <w:sz w:val="20"/>
                <w:lang w:val="fr-CA"/>
              </w:rPr>
            </w:pPr>
            <w:r w:rsidRPr="00EB7BB6">
              <w:rPr>
                <w:sz w:val="20"/>
                <w:lang w:val="fr-CA"/>
              </w:rPr>
              <w:t>Cour du Banc de la Reine de l’Alberta</w:t>
            </w:r>
          </w:p>
          <w:p w:rsidR="001D0DD7" w:rsidRPr="00EB7BB6" w:rsidRDefault="001D0DD7" w:rsidP="00B14FDF">
            <w:pPr>
              <w:jc w:val="both"/>
              <w:rPr>
                <w:sz w:val="20"/>
                <w:lang w:val="fr-CA"/>
              </w:rPr>
            </w:pPr>
            <w:r w:rsidRPr="00EB7BB6">
              <w:rPr>
                <w:sz w:val="20"/>
                <w:lang w:val="fr-CA"/>
              </w:rPr>
              <w:t>(Juge Moreau)</w:t>
            </w:r>
          </w:p>
          <w:p w:rsidR="001D0DD7" w:rsidRPr="00EB7BB6" w:rsidRDefault="00EB7BB6" w:rsidP="00B14FDF">
            <w:pPr>
              <w:jc w:val="both"/>
              <w:rPr>
                <w:sz w:val="20"/>
                <w:lang w:val="fr-CA"/>
              </w:rPr>
            </w:pPr>
            <w:hyperlink r:id="rId49" w:history="1">
              <w:r w:rsidR="001D0DD7" w:rsidRPr="00EB7BB6">
                <w:rPr>
                  <w:rStyle w:val="Hyperlink"/>
                  <w:sz w:val="20"/>
                  <w:lang w:val="fr-CA"/>
                </w:rPr>
                <w:t>2017 ABQB 2</w:t>
              </w:r>
            </w:hyperlink>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Ordonnance portant qu’un facteur d’aléa négatif de 15 pour cent est appliqué aux dommages</w:t>
            </w:r>
            <w:r w:rsidRPr="00EB7BB6">
              <w:rPr>
                <w:sz w:val="20"/>
                <w:lang w:val="fr-CA"/>
              </w:rPr>
              <w:noBreakHyphen/>
              <w:t>intérêts non pécuniaires évalués provisoirement pour les coûts des soins passés et futurs</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21 août 2018</w:t>
            </w:r>
          </w:p>
          <w:p w:rsidR="001D0DD7" w:rsidRPr="00EB7BB6" w:rsidRDefault="001D0DD7" w:rsidP="00B14FDF">
            <w:pPr>
              <w:jc w:val="both"/>
              <w:rPr>
                <w:sz w:val="20"/>
                <w:lang w:val="fr-CA"/>
              </w:rPr>
            </w:pPr>
            <w:r w:rsidRPr="00EB7BB6">
              <w:rPr>
                <w:sz w:val="20"/>
                <w:lang w:val="fr-CA"/>
              </w:rPr>
              <w:t>Cour d’appel de l’Alberta (Edmonton)</w:t>
            </w:r>
          </w:p>
          <w:p w:rsidR="001D0DD7" w:rsidRPr="00EB7BB6" w:rsidRDefault="001D0DD7" w:rsidP="00B14FDF">
            <w:pPr>
              <w:jc w:val="both"/>
              <w:rPr>
                <w:sz w:val="20"/>
                <w:lang w:val="fr-CA"/>
              </w:rPr>
            </w:pPr>
            <w:r w:rsidRPr="00EB7BB6">
              <w:rPr>
                <w:sz w:val="20"/>
                <w:lang w:val="fr-CA"/>
              </w:rPr>
              <w:t>(Juges McDonald, O'Ferrall [dissident] et Veldhuis)</w:t>
            </w:r>
          </w:p>
          <w:p w:rsidR="001D0DD7" w:rsidRPr="00EB7BB6" w:rsidRDefault="00EB7BB6" w:rsidP="00B14FDF">
            <w:pPr>
              <w:jc w:val="both"/>
              <w:rPr>
                <w:sz w:val="20"/>
                <w:lang w:val="fr-CA"/>
              </w:rPr>
            </w:pPr>
            <w:hyperlink r:id="rId50" w:history="1">
              <w:r w:rsidR="001D0DD7" w:rsidRPr="00EB7BB6">
                <w:rPr>
                  <w:rStyle w:val="Hyperlink"/>
                  <w:sz w:val="20"/>
                  <w:lang w:val="fr-CA"/>
                </w:rPr>
                <w:t>2018 ABCA 271</w:t>
              </w:r>
            </w:hyperlink>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Rejet de l’appel du demandeur</w:t>
            </w:r>
          </w:p>
          <w:p w:rsidR="001D0DD7" w:rsidRPr="00EB7BB6" w:rsidRDefault="001D0DD7" w:rsidP="00B14FDF">
            <w:pPr>
              <w:jc w:val="both"/>
              <w:rPr>
                <w:sz w:val="20"/>
                <w:lang w:val="fr-CA"/>
              </w:rPr>
            </w:pP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10 octobre 2018</w:t>
            </w:r>
          </w:p>
          <w:p w:rsidR="001D0DD7" w:rsidRPr="00EB7BB6" w:rsidRDefault="001D0DD7" w:rsidP="008271AD">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Dépôt de la demande d’autorisation d’appel</w:t>
            </w:r>
          </w:p>
          <w:p w:rsidR="001D0DD7" w:rsidRPr="00EB7BB6" w:rsidRDefault="001D0DD7" w:rsidP="00B14FDF">
            <w:pPr>
              <w:jc w:val="both"/>
              <w:rPr>
                <w:sz w:val="20"/>
                <w:lang w:val="fr-CA"/>
              </w:rPr>
            </w:pPr>
          </w:p>
        </w:tc>
      </w:tr>
    </w:tbl>
    <w:p w:rsidR="001D0DD7" w:rsidRPr="00EB7BB6" w:rsidRDefault="001D0DD7" w:rsidP="001D0DD7">
      <w:pPr>
        <w:jc w:val="both"/>
        <w:rPr>
          <w:sz w:val="20"/>
          <w:lang w:val="fr-CA"/>
        </w:rPr>
      </w:pPr>
    </w:p>
    <w:p w:rsidR="00C31209" w:rsidRPr="00EB7BB6" w:rsidRDefault="00EB7BB6" w:rsidP="001D0DD7">
      <w:pPr>
        <w:jc w:val="both"/>
        <w:rPr>
          <w:sz w:val="20"/>
          <w:lang w:val="fr-CA"/>
        </w:rPr>
      </w:pPr>
      <w:r w:rsidRPr="00EB7BB6">
        <w:rPr>
          <w:sz w:val="20"/>
          <w:szCs w:val="20"/>
        </w:rPr>
        <w:pict>
          <v:rect id="_x0000_i1069" style="width:2in;height:1pt" o:hrpct="0" o:hralign="center" o:hrstd="t" o:hrnoshade="t" o:hr="t" fillcolor="black" stroked="f"/>
        </w:pict>
      </w:r>
    </w:p>
    <w:p w:rsidR="001D0DD7" w:rsidRPr="00EB7BB6" w:rsidRDefault="001D0DD7" w:rsidP="001D0DD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38439</w:t>
            </w:r>
          </w:p>
        </w:tc>
        <w:tc>
          <w:tcPr>
            <w:tcW w:w="4457" w:type="pct"/>
          </w:tcPr>
          <w:p w:rsidR="001D0DD7" w:rsidRPr="00EB7BB6" w:rsidRDefault="001D0DD7" w:rsidP="00B14FDF">
            <w:pPr>
              <w:pStyle w:val="SCCLsocParty"/>
              <w:jc w:val="both"/>
              <w:rPr>
                <w:b/>
                <w:sz w:val="20"/>
                <w:szCs w:val="20"/>
                <w:lang w:val="en-US"/>
              </w:rPr>
            </w:pPr>
            <w:r w:rsidRPr="00EB7BB6">
              <w:rPr>
                <w:b/>
                <w:sz w:val="20"/>
                <w:szCs w:val="20"/>
                <w:lang w:val="en-US"/>
              </w:rPr>
              <w:t>Saju Begum v. Minister of Citizenship and Immigration</w:t>
            </w:r>
          </w:p>
          <w:p w:rsidR="001D0DD7" w:rsidRPr="00EB7BB6" w:rsidRDefault="001D0DD7" w:rsidP="00B14FDF">
            <w:pPr>
              <w:jc w:val="both"/>
              <w:rPr>
                <w:sz w:val="20"/>
              </w:rPr>
            </w:pPr>
            <w:r w:rsidRPr="00EB7BB6">
              <w:rPr>
                <w:sz w:val="20"/>
              </w:rPr>
              <w:t>(F.C.) (Civil) (By Leave)</w:t>
            </w:r>
          </w:p>
        </w:tc>
      </w:tr>
      <w:tr w:rsidR="00C31209" w:rsidRPr="00EB7BB6" w:rsidTr="00B14FDF">
        <w:tc>
          <w:tcPr>
            <w:tcW w:w="5000" w:type="pct"/>
            <w:gridSpan w:val="2"/>
          </w:tcPr>
          <w:p w:rsidR="00F74F17" w:rsidRPr="00EB7BB6" w:rsidRDefault="00F74F17" w:rsidP="00F74F17">
            <w:pPr>
              <w:jc w:val="both"/>
              <w:rPr>
                <w:sz w:val="20"/>
                <w:szCs w:val="20"/>
              </w:rPr>
            </w:pPr>
            <w:r w:rsidRPr="00EB7BB6">
              <w:rPr>
                <w:sz w:val="20"/>
                <w:szCs w:val="20"/>
              </w:rPr>
              <w:t>The application for leave to appeal from the judgment of the Federal Court of Appeal, Number A-169-17, 2018 FCA 181, dated October 10, 2018, is dismissed without costs.</w:t>
            </w:r>
          </w:p>
          <w:p w:rsidR="00C31209" w:rsidRPr="00EB7BB6" w:rsidRDefault="00C31209" w:rsidP="00B14FDF">
            <w:pPr>
              <w:jc w:val="both"/>
              <w:rPr>
                <w:sz w:val="20"/>
              </w:rPr>
            </w:pPr>
          </w:p>
        </w:tc>
      </w:tr>
      <w:tr w:rsidR="001D0DD7" w:rsidRPr="00EB7BB6" w:rsidTr="00B14FDF">
        <w:tc>
          <w:tcPr>
            <w:tcW w:w="5000" w:type="pct"/>
            <w:gridSpan w:val="2"/>
          </w:tcPr>
          <w:p w:rsidR="001D0DD7" w:rsidRPr="00EB7BB6" w:rsidRDefault="001D0DD7" w:rsidP="00B14FDF">
            <w:pPr>
              <w:jc w:val="both"/>
              <w:rPr>
                <w:sz w:val="20"/>
              </w:rPr>
            </w:pPr>
            <w:r w:rsidRPr="00EB7BB6">
              <w:rPr>
                <w:i/>
                <w:sz w:val="20"/>
              </w:rPr>
              <w:t>Charter of rights</w:t>
            </w:r>
            <w:r w:rsidRPr="00EB7BB6">
              <w:rPr>
                <w:sz w:val="20"/>
              </w:rPr>
              <w:t xml:space="preserve"> — Right to equality — Discrimination based on the intersection of race, sex and disability — Application to sponsor family members under the parent grandparent program refused on the basis that applicant did not meet the </w:t>
            </w:r>
            <w:r w:rsidRPr="00EB7BB6">
              <w:rPr>
                <w:sz w:val="20"/>
                <w:lang w:val="en"/>
              </w:rPr>
              <w:t xml:space="preserve">minimum necessary income requirement under the governing regulations —Applicant is a woman, she is of Bangladeshi descent, and she has been diagnosed with depression — Does the provision of the </w:t>
            </w:r>
            <w:r w:rsidRPr="00EB7BB6">
              <w:rPr>
                <w:i/>
                <w:sz w:val="20"/>
                <w:lang w:val="en"/>
              </w:rPr>
              <w:t>Immigration and Refugee Protection Regulations</w:t>
            </w:r>
            <w:r w:rsidRPr="00EB7BB6">
              <w:rPr>
                <w:sz w:val="20"/>
                <w:lang w:val="en"/>
              </w:rPr>
              <w:t xml:space="preserve"> that requires a minimum necessary income to sponsor a parent or grandparent as permanent residents violate section 15 of the </w:t>
            </w:r>
            <w:r w:rsidRPr="00EB7BB6">
              <w:rPr>
                <w:i/>
                <w:sz w:val="20"/>
                <w:lang w:val="en"/>
              </w:rPr>
              <w:t>Charter</w:t>
            </w:r>
            <w:r w:rsidRPr="00EB7BB6">
              <w:rPr>
                <w:sz w:val="20"/>
                <w:lang w:val="en"/>
              </w:rPr>
              <w:t xml:space="preserve">? —What is the evidentiary burden to be met in an adverse effects discrimination claim under subsection 15(1) of the </w:t>
            </w:r>
            <w:r w:rsidRPr="00EB7BB6">
              <w:rPr>
                <w:i/>
                <w:sz w:val="20"/>
                <w:lang w:val="en"/>
              </w:rPr>
              <w:t>Charter</w:t>
            </w:r>
            <w:r w:rsidRPr="00EB7BB6">
              <w:rPr>
                <w:sz w:val="20"/>
                <w:lang w:val="en"/>
              </w:rPr>
              <w:t xml:space="preserve">? — </w:t>
            </w:r>
            <w:r w:rsidRPr="00EB7BB6">
              <w:rPr>
                <w:i/>
                <w:sz w:val="20"/>
                <w:lang w:val="en"/>
              </w:rPr>
              <w:t>Immigration and Refugee Protection Regulations</w:t>
            </w:r>
            <w:r w:rsidRPr="00EB7BB6">
              <w:rPr>
                <w:sz w:val="20"/>
                <w:lang w:val="en"/>
              </w:rPr>
              <w:t>, SOR/2002-227, s. 133(1)(j)</w:t>
            </w:r>
          </w:p>
        </w:tc>
      </w:tr>
      <w:tr w:rsidR="001D0DD7" w:rsidRPr="00EB7BB6" w:rsidTr="00B14FDF">
        <w:tc>
          <w:tcPr>
            <w:tcW w:w="5000" w:type="pct"/>
            <w:gridSpan w:val="2"/>
          </w:tcPr>
          <w:p w:rsidR="001D0DD7" w:rsidRPr="00EB7BB6" w:rsidRDefault="001D0DD7" w:rsidP="00B14FDF">
            <w:pPr>
              <w:jc w:val="both"/>
              <w:rPr>
                <w:sz w:val="20"/>
              </w:rPr>
            </w:pPr>
          </w:p>
        </w:tc>
      </w:tr>
    </w:tbl>
    <w:p w:rsidR="006E2A18" w:rsidRPr="00EB7BB6" w:rsidRDefault="006E2A18">
      <w:r w:rsidRPr="00EB7BB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0DD7" w:rsidRPr="00EB7BB6" w:rsidTr="00B14FDF">
        <w:tc>
          <w:tcPr>
            <w:tcW w:w="5000" w:type="pct"/>
            <w:gridSpan w:val="3"/>
          </w:tcPr>
          <w:p w:rsidR="001D0DD7" w:rsidRPr="00EB7BB6" w:rsidRDefault="001D0DD7" w:rsidP="00B14FDF">
            <w:pPr>
              <w:jc w:val="both"/>
              <w:rPr>
                <w:sz w:val="20"/>
              </w:rPr>
            </w:pPr>
            <w:r w:rsidRPr="00EB7BB6">
              <w:rPr>
                <w:sz w:val="20"/>
                <w:lang w:val="en"/>
              </w:rPr>
              <w:lastRenderedPageBreak/>
              <w:t xml:space="preserve">Ms. Begum is a Canadian citizen who was born in Bangladesh and came to Canada in 1994 under the sponsorship of her husband. They have five children. In 2004, Ms. Begum visited her family in Bangladesh. After the visit, she was diagnosed with depression. In 2008, Ms. Begum applied to sponsor her father, mother and siblings for permanent residence in Canada under the parent grandparent program. Ms. Begum did not have the income to meet the minimum necessary income (MNI) requirement under the governing regulations. </w:t>
            </w:r>
            <w:r w:rsidRPr="00EB7BB6">
              <w:rPr>
                <w:sz w:val="20"/>
              </w:rPr>
              <w:t xml:space="preserve">A visa officer refused the application. She filed an appeal of the refusal to the Immigration Appeal Division of the Immigration and Refugee Board (IAD) and </w:t>
            </w:r>
            <w:r w:rsidRPr="00EB7BB6">
              <w:rPr>
                <w:sz w:val="20"/>
                <w:lang w:val="en"/>
              </w:rPr>
              <w:t>challenged the constitutionality of the MNI requirement, arguing that because women, racialized communities and people with disabilities experience economic, employment, and income disparities in Canadian society, she was adversely impacted by the MNI requirement, which creates a distinction based on the enumerated grounds of race, sex, and disability, and perpetuates the pre</w:t>
            </w:r>
            <w:r w:rsidRPr="00EB7BB6">
              <w:rPr>
                <w:sz w:val="20"/>
                <w:lang w:val="en"/>
              </w:rPr>
              <w:noBreakHyphen/>
              <w:t xml:space="preserve">existing disadvantages faced by these groups. </w:t>
            </w:r>
            <w:r w:rsidRPr="00EB7BB6">
              <w:rPr>
                <w:sz w:val="20"/>
              </w:rPr>
              <w:t>The IAD dismissed Ms. Begum’s appeal finding that the evidence did not demonstrate a causal connection that produced a disproportionate impact or an adverse effect. On judicial review and appeal, the Federal Court and the Federal Court of Appeal agreed with the IAD.</w:t>
            </w:r>
          </w:p>
          <w:p w:rsidR="001D0DD7" w:rsidRPr="00EB7BB6" w:rsidRDefault="001D0DD7" w:rsidP="00B14FDF">
            <w:pPr>
              <w:jc w:val="both"/>
              <w:rPr>
                <w:sz w:val="20"/>
              </w:rPr>
            </w:pPr>
          </w:p>
        </w:tc>
      </w:tr>
      <w:tr w:rsidR="001D0DD7" w:rsidRPr="00EB7BB6" w:rsidTr="00B14FDF">
        <w:tc>
          <w:tcPr>
            <w:tcW w:w="2427" w:type="pct"/>
          </w:tcPr>
          <w:p w:rsidR="001D0DD7" w:rsidRPr="00EB7BB6" w:rsidRDefault="001D0DD7" w:rsidP="00B14FDF">
            <w:pPr>
              <w:jc w:val="both"/>
              <w:rPr>
                <w:sz w:val="20"/>
              </w:rPr>
            </w:pPr>
            <w:r w:rsidRPr="00EB7BB6">
              <w:rPr>
                <w:sz w:val="20"/>
              </w:rPr>
              <w:t>July 7, 2016</w:t>
            </w:r>
          </w:p>
          <w:p w:rsidR="001D0DD7" w:rsidRPr="00EB7BB6" w:rsidRDefault="001D0DD7" w:rsidP="00B14FDF">
            <w:pPr>
              <w:jc w:val="both"/>
              <w:rPr>
                <w:sz w:val="20"/>
              </w:rPr>
            </w:pPr>
            <w:r w:rsidRPr="00EB7BB6">
              <w:rPr>
                <w:sz w:val="20"/>
              </w:rPr>
              <w:t>Immigration and Refugee Board of Canada</w:t>
            </w:r>
          </w:p>
          <w:p w:rsidR="001D0DD7" w:rsidRPr="00EB7BB6" w:rsidRDefault="001D0DD7" w:rsidP="00B14FDF">
            <w:pPr>
              <w:jc w:val="both"/>
              <w:rPr>
                <w:sz w:val="20"/>
              </w:rPr>
            </w:pPr>
            <w:r w:rsidRPr="00EB7BB6">
              <w:rPr>
                <w:sz w:val="20"/>
              </w:rPr>
              <w:t>Immigration Appeal Division</w:t>
            </w:r>
          </w:p>
          <w:p w:rsidR="001D0DD7" w:rsidRPr="00EB7BB6" w:rsidRDefault="001D0DD7" w:rsidP="00B14FDF">
            <w:pPr>
              <w:jc w:val="both"/>
              <w:rPr>
                <w:sz w:val="20"/>
              </w:rPr>
            </w:pPr>
            <w:r w:rsidRPr="00EB7BB6">
              <w:rPr>
                <w:sz w:val="20"/>
              </w:rPr>
              <w:t>(Macdougall, Donald V.)</w:t>
            </w:r>
          </w:p>
          <w:p w:rsidR="001D0DD7" w:rsidRPr="00EB7BB6" w:rsidRDefault="00EB7BB6" w:rsidP="00B14FDF">
            <w:pPr>
              <w:jc w:val="both"/>
              <w:rPr>
                <w:sz w:val="20"/>
              </w:rPr>
            </w:pPr>
            <w:hyperlink r:id="rId51" w:history="1">
              <w:r w:rsidR="001D0DD7" w:rsidRPr="00EB7BB6">
                <w:rPr>
                  <w:rStyle w:val="Hyperlink"/>
                  <w:sz w:val="20"/>
                </w:rPr>
                <w:t>2016 CanLII 73712</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 xml:space="preserve">Applicant’s appeal to sponsor her father, mother, and siblings for permanent residence dismissed </w:t>
            </w:r>
          </w:p>
        </w:tc>
      </w:tr>
      <w:tr w:rsidR="001D0DD7" w:rsidRPr="00EB7BB6" w:rsidTr="00B14FDF">
        <w:tc>
          <w:tcPr>
            <w:tcW w:w="2427" w:type="pct"/>
          </w:tcPr>
          <w:p w:rsidR="001D0DD7" w:rsidRPr="00EB7BB6" w:rsidRDefault="001D0DD7" w:rsidP="00B14FDF">
            <w:pPr>
              <w:jc w:val="both"/>
              <w:rPr>
                <w:sz w:val="20"/>
              </w:rPr>
            </w:pPr>
            <w:r w:rsidRPr="00EB7BB6">
              <w:rPr>
                <w:sz w:val="20"/>
              </w:rPr>
              <w:t>April 26, 2017</w:t>
            </w:r>
          </w:p>
          <w:p w:rsidR="001D0DD7" w:rsidRPr="00EB7BB6" w:rsidRDefault="001D0DD7" w:rsidP="00B14FDF">
            <w:pPr>
              <w:jc w:val="both"/>
              <w:rPr>
                <w:sz w:val="20"/>
              </w:rPr>
            </w:pPr>
            <w:r w:rsidRPr="00EB7BB6">
              <w:rPr>
                <w:sz w:val="20"/>
              </w:rPr>
              <w:t>Federal Court</w:t>
            </w:r>
          </w:p>
          <w:p w:rsidR="001D0DD7" w:rsidRPr="00EB7BB6" w:rsidRDefault="001D0DD7" w:rsidP="00B14FDF">
            <w:pPr>
              <w:jc w:val="both"/>
              <w:rPr>
                <w:sz w:val="20"/>
              </w:rPr>
            </w:pPr>
            <w:r w:rsidRPr="00EB7BB6">
              <w:rPr>
                <w:sz w:val="20"/>
              </w:rPr>
              <w:t>(Russell, J.)</w:t>
            </w:r>
          </w:p>
          <w:p w:rsidR="001D0DD7" w:rsidRPr="00EB7BB6" w:rsidRDefault="00EB7BB6" w:rsidP="00B14FDF">
            <w:pPr>
              <w:jc w:val="both"/>
              <w:rPr>
                <w:sz w:val="20"/>
              </w:rPr>
            </w:pPr>
            <w:hyperlink r:id="rId52" w:history="1">
              <w:r w:rsidR="001D0DD7" w:rsidRPr="00EB7BB6">
                <w:rPr>
                  <w:rStyle w:val="Hyperlink"/>
                  <w:sz w:val="20"/>
                </w:rPr>
                <w:t>2017 FC 409</w:t>
              </w:r>
            </w:hyperlink>
            <w:r w:rsidR="001D0DD7" w:rsidRPr="00EB7BB6">
              <w:rPr>
                <w:sz w:val="20"/>
              </w:rPr>
              <w:t xml:space="preserve"> </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Judicial review dismissed; serious questions of general importance certified for appeal</w:t>
            </w:r>
          </w:p>
        </w:tc>
      </w:tr>
      <w:tr w:rsidR="001D0DD7" w:rsidRPr="00EB7BB6" w:rsidTr="00B14FDF">
        <w:tc>
          <w:tcPr>
            <w:tcW w:w="2427" w:type="pct"/>
          </w:tcPr>
          <w:p w:rsidR="001D0DD7" w:rsidRPr="00EB7BB6" w:rsidRDefault="001D0DD7" w:rsidP="00B14FDF">
            <w:pPr>
              <w:jc w:val="both"/>
              <w:rPr>
                <w:sz w:val="20"/>
              </w:rPr>
            </w:pPr>
            <w:r w:rsidRPr="00EB7BB6">
              <w:rPr>
                <w:sz w:val="20"/>
              </w:rPr>
              <w:t>October 10, 2018</w:t>
            </w:r>
          </w:p>
          <w:p w:rsidR="001D0DD7" w:rsidRPr="00EB7BB6" w:rsidRDefault="001D0DD7" w:rsidP="00B14FDF">
            <w:pPr>
              <w:jc w:val="both"/>
              <w:rPr>
                <w:sz w:val="20"/>
              </w:rPr>
            </w:pPr>
            <w:r w:rsidRPr="00EB7BB6">
              <w:rPr>
                <w:sz w:val="20"/>
              </w:rPr>
              <w:t>Federal Court of Appeal</w:t>
            </w:r>
          </w:p>
          <w:p w:rsidR="001D0DD7" w:rsidRPr="00EB7BB6" w:rsidRDefault="001D0DD7" w:rsidP="00B14FDF">
            <w:pPr>
              <w:jc w:val="both"/>
              <w:rPr>
                <w:sz w:val="20"/>
              </w:rPr>
            </w:pPr>
            <w:r w:rsidRPr="00EB7BB6">
              <w:rPr>
                <w:sz w:val="20"/>
              </w:rPr>
              <w:t>(Pelletier, Gauthier, de Montigny JJ.A.)</w:t>
            </w:r>
          </w:p>
          <w:p w:rsidR="001D0DD7" w:rsidRPr="00EB7BB6" w:rsidRDefault="00EB7BB6" w:rsidP="00B14FDF">
            <w:pPr>
              <w:jc w:val="both"/>
              <w:rPr>
                <w:sz w:val="20"/>
              </w:rPr>
            </w:pPr>
            <w:hyperlink r:id="rId53" w:history="1">
              <w:r w:rsidR="001D0DD7" w:rsidRPr="00EB7BB6">
                <w:rPr>
                  <w:rStyle w:val="Hyperlink"/>
                  <w:sz w:val="20"/>
                </w:rPr>
                <w:t>2018 FCA 181</w:t>
              </w:r>
            </w:hyperlink>
            <w:r w:rsidR="001D0DD7" w:rsidRPr="00EB7BB6">
              <w:rPr>
                <w:sz w:val="20"/>
              </w:rPr>
              <w:t xml:space="preserve"> </w:t>
            </w:r>
          </w:p>
          <w:p w:rsidR="001D0DD7" w:rsidRPr="00EB7BB6" w:rsidRDefault="001D0DD7" w:rsidP="00B14FDF">
            <w:pPr>
              <w:jc w:val="both"/>
              <w:rPr>
                <w:sz w:val="20"/>
              </w:rPr>
            </w:pPr>
            <w:r w:rsidRPr="00EB7BB6">
              <w:rPr>
                <w:sz w:val="20"/>
              </w:rPr>
              <w:t>File No. A-169-17</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 xml:space="preserve">Appeal dismissed </w:t>
            </w:r>
          </w:p>
        </w:tc>
      </w:tr>
      <w:tr w:rsidR="001D0DD7" w:rsidRPr="00EB7BB6" w:rsidTr="00B14FDF">
        <w:tc>
          <w:tcPr>
            <w:tcW w:w="2427" w:type="pct"/>
          </w:tcPr>
          <w:p w:rsidR="001D0DD7" w:rsidRPr="00EB7BB6" w:rsidRDefault="001D0DD7" w:rsidP="00B14FDF">
            <w:pPr>
              <w:jc w:val="both"/>
              <w:rPr>
                <w:sz w:val="20"/>
              </w:rPr>
            </w:pPr>
            <w:r w:rsidRPr="00EB7BB6">
              <w:rPr>
                <w:sz w:val="20"/>
              </w:rPr>
              <w:t>December 10,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jc w:val="both"/>
        <w:rPr>
          <w:sz w:val="20"/>
        </w:rPr>
      </w:pPr>
    </w:p>
    <w:p w:rsidR="001D0DD7" w:rsidRPr="00EB7BB6" w:rsidRDefault="00EB7BB6" w:rsidP="001D0DD7">
      <w:pPr>
        <w:ind w:left="142" w:hanging="142"/>
        <w:jc w:val="both"/>
        <w:rPr>
          <w:sz w:val="20"/>
        </w:rPr>
      </w:pPr>
      <w:r w:rsidRPr="00EB7BB6">
        <w:rPr>
          <w:sz w:val="20"/>
          <w:szCs w:val="20"/>
        </w:rPr>
        <w:pict>
          <v:rect id="_x0000_i1070" style="width:2in;height:1pt" o:hrpct="0" o:hralign="center" o:hrstd="t" o:hrnoshade="t" o:hr="t" fillcolor="black" stroked="f"/>
        </w:pict>
      </w:r>
    </w:p>
    <w:p w:rsidR="00C31209" w:rsidRPr="00EB7BB6" w:rsidRDefault="00C31209" w:rsidP="001D0DD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lang w:val="fr-CA"/>
              </w:rPr>
            </w:pPr>
            <w:r w:rsidRPr="00EB7BB6">
              <w:rPr>
                <w:rStyle w:val="SCCFileNumberChar"/>
                <w:sz w:val="20"/>
                <w:szCs w:val="20"/>
                <w:lang w:val="fr-CA"/>
              </w:rPr>
              <w:t>38439</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Saju Begum c. Ministre de la Citoyenneté et de l’Immigration</w:t>
            </w:r>
          </w:p>
          <w:p w:rsidR="001D0DD7" w:rsidRPr="00EB7BB6" w:rsidRDefault="001D0DD7" w:rsidP="00B14FDF">
            <w:pPr>
              <w:jc w:val="both"/>
              <w:rPr>
                <w:sz w:val="20"/>
                <w:lang w:val="fr-CA"/>
              </w:rPr>
            </w:pPr>
            <w:r w:rsidRPr="00EB7BB6">
              <w:rPr>
                <w:sz w:val="20"/>
                <w:lang w:val="fr-CA"/>
              </w:rPr>
              <w:t>(C.F.) (Civile) (Autorisation)</w:t>
            </w:r>
          </w:p>
        </w:tc>
      </w:tr>
      <w:tr w:rsidR="00C31209" w:rsidRPr="00EB7BB6" w:rsidTr="00B14FDF">
        <w:tc>
          <w:tcPr>
            <w:tcW w:w="5000" w:type="pct"/>
            <w:gridSpan w:val="4"/>
          </w:tcPr>
          <w:p w:rsidR="00C31209" w:rsidRPr="00EB7BB6" w:rsidRDefault="003673F0" w:rsidP="00B14FDF">
            <w:pPr>
              <w:jc w:val="both"/>
              <w:rPr>
                <w:sz w:val="20"/>
                <w:szCs w:val="20"/>
                <w:lang w:val="fr-CA"/>
              </w:rPr>
            </w:pPr>
            <w:r w:rsidRPr="00EB7BB6">
              <w:rPr>
                <w:sz w:val="20"/>
                <w:szCs w:val="20"/>
                <w:lang w:val="fr-CA"/>
              </w:rPr>
              <w:t>La demande d’autorisation d’appel de l’arrêt de la Cour d’appel fédérale, numéro A-169-17, 2018 CAF 181, daté du 10 octobre 2018, est rejetée sans dépens.</w:t>
            </w:r>
          </w:p>
          <w:p w:rsidR="003673F0" w:rsidRPr="00EB7BB6" w:rsidRDefault="003673F0"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i/>
                <w:sz w:val="20"/>
                <w:lang w:val="fr-CA"/>
              </w:rPr>
              <w:t>Charte des droits</w:t>
            </w:r>
            <w:r w:rsidRPr="00EB7BB6">
              <w:rPr>
                <w:sz w:val="20"/>
                <w:lang w:val="fr-CA"/>
              </w:rPr>
              <w:t xml:space="preserve"> — Droit à l’égalité — Discrimination fondée sur l’intersectionnalité de la race, du sexe et de l’invalidité — Demande de parrainage de membres de la famille dans le cadre du programme des parents et des grands-parents rejetée parce que la demanderesse ne répondait pas à l’exigence relative au revenu vital minimum prévue dans le règlement applicable — La demanderesse est une femme, elle est d’origine bangladaise et elle a reçu un diagnostic de dépression — Les dispositions du </w:t>
            </w:r>
            <w:r w:rsidRPr="00EB7BB6">
              <w:rPr>
                <w:i/>
                <w:sz w:val="20"/>
                <w:lang w:val="fr-CA"/>
              </w:rPr>
              <w:t>Règlement sur l’immigration et la protection des réfugiés</w:t>
            </w:r>
            <w:r w:rsidRPr="00EB7BB6">
              <w:rPr>
                <w:sz w:val="20"/>
                <w:lang w:val="fr-CA"/>
              </w:rPr>
              <w:t xml:space="preserve"> qui exigent un revenu vital minimum pour parrainer la demande de résidence permanente d’un parent ou d’un grand</w:t>
            </w:r>
            <w:r w:rsidRPr="00EB7BB6">
              <w:rPr>
                <w:sz w:val="20"/>
                <w:lang w:val="fr-CA"/>
              </w:rPr>
              <w:noBreakHyphen/>
              <w:t>parent violent</w:t>
            </w:r>
            <w:r w:rsidRPr="00EB7BB6">
              <w:rPr>
                <w:sz w:val="20"/>
                <w:lang w:val="fr-CA"/>
              </w:rPr>
              <w:noBreakHyphen/>
              <w:t xml:space="preserve">elles l’art. 15 de la </w:t>
            </w:r>
            <w:r w:rsidRPr="00EB7BB6">
              <w:rPr>
                <w:i/>
                <w:sz w:val="20"/>
                <w:lang w:val="fr-CA"/>
              </w:rPr>
              <w:t>Charte</w:t>
            </w:r>
            <w:r w:rsidRPr="00EB7BB6">
              <w:rPr>
                <w:sz w:val="20"/>
                <w:lang w:val="fr-CA"/>
              </w:rPr>
              <w:t xml:space="preserve">? — Quel est le fardeau de la preuve dans le cas d’une demande portant sur l’effet préjudiciable discriminatoire fondée sur le par. 15(1) de la </w:t>
            </w:r>
            <w:r w:rsidRPr="00EB7BB6">
              <w:rPr>
                <w:i/>
                <w:sz w:val="20"/>
                <w:lang w:val="fr-CA"/>
              </w:rPr>
              <w:t>Charte</w:t>
            </w:r>
            <w:r w:rsidRPr="00EB7BB6">
              <w:rPr>
                <w:sz w:val="20"/>
                <w:lang w:val="fr-CA"/>
              </w:rPr>
              <w:t xml:space="preserve">? — </w:t>
            </w:r>
            <w:r w:rsidRPr="00EB7BB6">
              <w:rPr>
                <w:i/>
                <w:sz w:val="20"/>
                <w:lang w:val="fr-CA"/>
              </w:rPr>
              <w:t>Règlement sur l’immigration et la protection des réfugiés</w:t>
            </w:r>
            <w:r w:rsidRPr="00EB7BB6">
              <w:rPr>
                <w:sz w:val="20"/>
                <w:lang w:val="fr-CA"/>
              </w:rPr>
              <w:t>, DORS/2002</w:t>
            </w:r>
            <w:r w:rsidRPr="00EB7BB6">
              <w:rPr>
                <w:sz w:val="20"/>
                <w:lang w:val="fr-CA"/>
              </w:rPr>
              <w:noBreakHyphen/>
              <w:t>227, al. 133(1)j)</w:t>
            </w:r>
          </w:p>
        </w:tc>
      </w:tr>
      <w:tr w:rsidR="001D0DD7" w:rsidRPr="00EB7BB6" w:rsidTr="00B14FDF">
        <w:tc>
          <w:tcPr>
            <w:tcW w:w="5000" w:type="pct"/>
            <w:gridSpan w:val="4"/>
          </w:tcPr>
          <w:p w:rsidR="001D0DD7" w:rsidRPr="00EB7BB6" w:rsidRDefault="001D0DD7"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lastRenderedPageBreak/>
              <w:t>Madame Begum est une citoyenne canadienne qui est née au Bangladesh et qui est venue au Canada en 1994, parrainée par son mari. Le couple a cinq enfants. En 2004, Mme Begum a rendu visite à sa famille au Bangladesh. Après la visite, elle a reçu un diagnostic de dépression. En 2008, Mme Begum a présenté une demande de parrainage de son père, de sa mère et de ses frères et sœurs pour qu’ils deviennent résidents permanents du Canada dans le cadre du programme des parents et des grands</w:t>
            </w:r>
            <w:r w:rsidRPr="00EB7BB6">
              <w:rPr>
                <w:sz w:val="20"/>
                <w:lang w:val="fr-CA"/>
              </w:rPr>
              <w:noBreakHyphen/>
              <w:t>parents. Madame Begum ne disposait pas d’un revenu qui remplissait l’exigence relative au revenu vital minimum (RVM) prévue dans le règlement applicable. Un agent des visas a rejeté la demande. Elle a interjeté appel du rejet à la Section d’appel de l’immigration de la Commission de l’immigration et du statut de réfugié (CISR) et a contesté la constitutionnalité de l’exigence relative au RVM, plaidant que parce que les femmes, les communautés racialisées et les personnes handicapées sont l’objet de disparités économiques, notamment en matière d’emploi et de revenu dans la société canadienne, l’exigence relative au RVM, qui crée une distinction fondée sur les motifs énumérés de la race, du sexe et de l’invalidité, et qui perpétue les désavantages préexistants dont sont victimes ces groupes, lui causait un effet préjudiciable. La CISR a rejeté l’appel de Mme Begum, concluant que la preuve ne démontrait pas de lien de causalité qui produisait un effet disproportionné ou préjudiciable. Lors du contrôle judiciaire et en appel, la Cour fédérale et la Cour d’appel fédérale ont souscrit aux conclusions de la CISR.</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7 juillet 2016</w:t>
            </w:r>
          </w:p>
          <w:p w:rsidR="001D0DD7" w:rsidRPr="00EB7BB6" w:rsidRDefault="001D0DD7" w:rsidP="00B14FDF">
            <w:pPr>
              <w:jc w:val="both"/>
              <w:rPr>
                <w:sz w:val="20"/>
                <w:lang w:val="fr-CA"/>
              </w:rPr>
            </w:pPr>
            <w:r w:rsidRPr="00EB7BB6">
              <w:rPr>
                <w:sz w:val="20"/>
                <w:lang w:val="fr-CA"/>
              </w:rPr>
              <w:t>Section d’appel de l’immigration de la Commission de l’immigration et du statut de réfugié</w:t>
            </w:r>
          </w:p>
          <w:p w:rsidR="001D0DD7" w:rsidRPr="00EB7BB6" w:rsidRDefault="001D0DD7" w:rsidP="00B14FDF">
            <w:pPr>
              <w:jc w:val="both"/>
              <w:rPr>
                <w:sz w:val="20"/>
                <w:lang w:val="fr-CA"/>
              </w:rPr>
            </w:pPr>
            <w:r w:rsidRPr="00EB7BB6">
              <w:rPr>
                <w:sz w:val="20"/>
                <w:lang w:val="fr-CA"/>
              </w:rPr>
              <w:t>(Douglas V. Macdougall)</w:t>
            </w:r>
          </w:p>
          <w:p w:rsidR="001D0DD7" w:rsidRPr="00EB7BB6" w:rsidRDefault="00EB7BB6" w:rsidP="00B14FDF">
            <w:pPr>
              <w:jc w:val="both"/>
              <w:rPr>
                <w:sz w:val="20"/>
                <w:lang w:val="fr-CA"/>
              </w:rPr>
            </w:pPr>
            <w:hyperlink r:id="rId54" w:history="1">
              <w:r w:rsidR="001D0DD7" w:rsidRPr="00EB7BB6">
                <w:rPr>
                  <w:rStyle w:val="Hyperlink"/>
                  <w:sz w:val="20"/>
                  <w:lang w:val="fr-CA"/>
                </w:rPr>
                <w:t>2016 CanLII 73712</w:t>
              </w:r>
            </w:hyperlink>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 xml:space="preserve">Rejet de l’appel de la demanderesse pour parrainer son père, sa mère et ses frères et sœurs pour la résidence permanente </w:t>
            </w: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26 avril 2017</w:t>
            </w:r>
          </w:p>
          <w:p w:rsidR="001D0DD7" w:rsidRPr="00EB7BB6" w:rsidRDefault="001D0DD7" w:rsidP="00B14FDF">
            <w:pPr>
              <w:jc w:val="both"/>
              <w:rPr>
                <w:sz w:val="20"/>
                <w:lang w:val="fr-CA"/>
              </w:rPr>
            </w:pPr>
            <w:r w:rsidRPr="00EB7BB6">
              <w:rPr>
                <w:sz w:val="20"/>
                <w:lang w:val="fr-CA"/>
              </w:rPr>
              <w:t>Cour fédérale</w:t>
            </w:r>
          </w:p>
          <w:p w:rsidR="001D0DD7" w:rsidRPr="00EB7BB6" w:rsidRDefault="001D0DD7" w:rsidP="00B14FDF">
            <w:pPr>
              <w:jc w:val="both"/>
              <w:rPr>
                <w:sz w:val="20"/>
                <w:lang w:val="fr-CA"/>
              </w:rPr>
            </w:pPr>
            <w:r w:rsidRPr="00EB7BB6">
              <w:rPr>
                <w:sz w:val="20"/>
                <w:lang w:val="fr-CA"/>
              </w:rPr>
              <w:t>(Juge Russell)</w:t>
            </w:r>
          </w:p>
          <w:p w:rsidR="001D0DD7" w:rsidRPr="00EB7BB6" w:rsidRDefault="00EB7BB6" w:rsidP="00B14FDF">
            <w:pPr>
              <w:jc w:val="both"/>
              <w:rPr>
                <w:sz w:val="20"/>
                <w:lang w:val="fr-CA"/>
              </w:rPr>
            </w:pPr>
            <w:hyperlink r:id="rId55" w:history="1">
              <w:r w:rsidR="001D0DD7" w:rsidRPr="00EB7BB6">
                <w:rPr>
                  <w:rStyle w:val="Hyperlink"/>
                  <w:sz w:val="20"/>
                  <w:lang w:val="fr-CA"/>
                </w:rPr>
                <w:t>2017 CF 409</w:t>
              </w:r>
            </w:hyperlink>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Jugement rejetant la demande de contrôle judiciaire et certifiant</w:t>
            </w:r>
            <w:r w:rsidRPr="00EB7BB6">
              <w:rPr>
                <w:color w:val="000000"/>
                <w:sz w:val="20"/>
                <w:shd w:val="clear" w:color="auto" w:fill="FFFFFF"/>
                <w:lang w:val="fr-CA"/>
              </w:rPr>
              <w:t xml:space="preserve"> </w:t>
            </w:r>
            <w:r w:rsidRPr="00EB7BB6">
              <w:rPr>
                <w:sz w:val="20"/>
                <w:lang w:val="fr-CA"/>
              </w:rPr>
              <w:t>des questions graves de portée générale aux fins d’un appel</w:t>
            </w: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10 octobre 2018</w:t>
            </w:r>
          </w:p>
          <w:p w:rsidR="001D0DD7" w:rsidRPr="00EB7BB6" w:rsidRDefault="001D0DD7" w:rsidP="00B14FDF">
            <w:pPr>
              <w:jc w:val="both"/>
              <w:rPr>
                <w:sz w:val="20"/>
                <w:lang w:val="fr-CA"/>
              </w:rPr>
            </w:pPr>
            <w:r w:rsidRPr="00EB7BB6">
              <w:rPr>
                <w:sz w:val="20"/>
                <w:lang w:val="fr-CA"/>
              </w:rPr>
              <w:t>Cour d’appel fédérale</w:t>
            </w:r>
          </w:p>
          <w:p w:rsidR="001D0DD7" w:rsidRPr="00EB7BB6" w:rsidRDefault="001D0DD7" w:rsidP="00B14FDF">
            <w:pPr>
              <w:jc w:val="both"/>
              <w:rPr>
                <w:sz w:val="20"/>
                <w:lang w:val="fr-CA"/>
              </w:rPr>
            </w:pPr>
            <w:r w:rsidRPr="00EB7BB6">
              <w:rPr>
                <w:sz w:val="20"/>
                <w:lang w:val="fr-CA"/>
              </w:rPr>
              <w:t>(Juges Pelletier, Gauthier et de Montigny)</w:t>
            </w:r>
          </w:p>
          <w:p w:rsidR="001D0DD7" w:rsidRPr="00EB7BB6" w:rsidRDefault="00EB7BB6" w:rsidP="00B14FDF">
            <w:pPr>
              <w:jc w:val="both"/>
              <w:rPr>
                <w:sz w:val="20"/>
                <w:lang w:val="fr-CA"/>
              </w:rPr>
            </w:pPr>
            <w:hyperlink r:id="rId56" w:history="1">
              <w:r w:rsidR="001D0DD7" w:rsidRPr="00EB7BB6">
                <w:rPr>
                  <w:rStyle w:val="Hyperlink"/>
                  <w:sz w:val="20"/>
                  <w:lang w:val="fr-CA"/>
                </w:rPr>
                <w:t>2018 CAF 181</w:t>
              </w:r>
            </w:hyperlink>
            <w:r w:rsidR="001D0DD7" w:rsidRPr="00EB7BB6">
              <w:rPr>
                <w:sz w:val="20"/>
                <w:lang w:val="fr-CA"/>
              </w:rPr>
              <w:t xml:space="preserve"> </w:t>
            </w:r>
          </w:p>
          <w:p w:rsidR="001D0DD7" w:rsidRPr="00EB7BB6" w:rsidRDefault="001D0DD7" w:rsidP="00B14FDF">
            <w:pPr>
              <w:jc w:val="both"/>
              <w:rPr>
                <w:sz w:val="20"/>
                <w:lang w:val="fr-CA"/>
              </w:rPr>
            </w:pPr>
            <w:r w:rsidRPr="00EB7BB6">
              <w:rPr>
                <w:sz w:val="20"/>
                <w:lang w:val="fr-CA"/>
              </w:rPr>
              <w:t>N</w:t>
            </w:r>
            <w:r w:rsidRPr="00EB7BB6">
              <w:rPr>
                <w:sz w:val="20"/>
                <w:vertAlign w:val="superscript"/>
                <w:lang w:val="fr-CA"/>
              </w:rPr>
              <w:t>o</w:t>
            </w:r>
            <w:r w:rsidRPr="00EB7BB6">
              <w:rPr>
                <w:sz w:val="20"/>
                <w:lang w:val="fr-CA"/>
              </w:rPr>
              <w:t xml:space="preserve"> de dossier A</w:t>
            </w:r>
            <w:r w:rsidRPr="00EB7BB6">
              <w:rPr>
                <w:sz w:val="20"/>
                <w:lang w:val="fr-CA"/>
              </w:rPr>
              <w:noBreakHyphen/>
              <w:t>169</w:t>
            </w:r>
            <w:r w:rsidRPr="00EB7BB6">
              <w:rPr>
                <w:sz w:val="20"/>
                <w:lang w:val="fr-CA"/>
              </w:rPr>
              <w:noBreakHyphen/>
              <w:t>17</w:t>
            </w:r>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 xml:space="preserve">Rejet de l’appel </w:t>
            </w: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10 décembre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Dépôt de la demande d’autorisation d’appel</w:t>
            </w:r>
          </w:p>
          <w:p w:rsidR="001D0DD7" w:rsidRPr="00EB7BB6" w:rsidRDefault="001D0DD7" w:rsidP="00B14FDF">
            <w:pPr>
              <w:jc w:val="both"/>
              <w:rPr>
                <w:sz w:val="20"/>
                <w:lang w:val="fr-CA"/>
              </w:rPr>
            </w:pPr>
          </w:p>
        </w:tc>
      </w:tr>
    </w:tbl>
    <w:p w:rsidR="001D0DD7" w:rsidRPr="00EB7BB6" w:rsidRDefault="001D0DD7" w:rsidP="001D0DD7">
      <w:pPr>
        <w:jc w:val="both"/>
        <w:rPr>
          <w:sz w:val="20"/>
          <w:lang w:val="fr-CA"/>
        </w:rPr>
      </w:pPr>
    </w:p>
    <w:p w:rsidR="00C31209" w:rsidRPr="00EB7BB6" w:rsidRDefault="00EB7BB6" w:rsidP="001D0DD7">
      <w:pPr>
        <w:jc w:val="both"/>
        <w:rPr>
          <w:sz w:val="20"/>
          <w:lang w:val="fr-CA"/>
        </w:rPr>
      </w:pPr>
      <w:r w:rsidRPr="00EB7BB6">
        <w:rPr>
          <w:sz w:val="20"/>
          <w:szCs w:val="20"/>
        </w:rPr>
        <w:pict>
          <v:rect id="_x0000_i1071" style="width:2in;height:1pt" o:hrpct="0" o:hralign="center" o:hrstd="t" o:hrnoshade="t" o:hr="t" fillcolor="black" stroked="f"/>
        </w:pict>
      </w:r>
    </w:p>
    <w:p w:rsidR="001D0DD7" w:rsidRPr="00EB7BB6" w:rsidRDefault="001D0DD7" w:rsidP="001D0DD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38446</w:t>
            </w:r>
          </w:p>
        </w:tc>
        <w:tc>
          <w:tcPr>
            <w:tcW w:w="4457" w:type="pct"/>
            <w:gridSpan w:val="3"/>
          </w:tcPr>
          <w:p w:rsidR="001D0DD7" w:rsidRPr="00EB7BB6" w:rsidRDefault="001D0DD7" w:rsidP="00B14FDF">
            <w:pPr>
              <w:pStyle w:val="SCCLsocParty"/>
              <w:jc w:val="both"/>
              <w:rPr>
                <w:b/>
                <w:sz w:val="20"/>
                <w:szCs w:val="20"/>
                <w:lang w:val="en-US"/>
              </w:rPr>
            </w:pPr>
            <w:r w:rsidRPr="00EB7BB6">
              <w:rPr>
                <w:b/>
                <w:sz w:val="20"/>
                <w:szCs w:val="20"/>
                <w:lang w:val="en-US"/>
              </w:rPr>
              <w:t>Chief of Police of the Calgary Police Service v. Marc Strong</w:t>
            </w:r>
          </w:p>
          <w:p w:rsidR="001D0DD7" w:rsidRPr="00EB7BB6" w:rsidRDefault="001D0DD7" w:rsidP="00B14FDF">
            <w:pPr>
              <w:pStyle w:val="SCCLsocOtherPartySeparator"/>
              <w:rPr>
                <w:sz w:val="20"/>
                <w:szCs w:val="20"/>
              </w:rPr>
            </w:pPr>
            <w:r w:rsidRPr="00EB7BB6">
              <w:rPr>
                <w:sz w:val="20"/>
                <w:szCs w:val="20"/>
              </w:rPr>
              <w:t>— and —</w:t>
            </w:r>
          </w:p>
          <w:p w:rsidR="001D0DD7" w:rsidRPr="00EB7BB6" w:rsidRDefault="001D0DD7" w:rsidP="00B14FDF">
            <w:pPr>
              <w:pStyle w:val="SCCLsocParty"/>
              <w:jc w:val="both"/>
              <w:rPr>
                <w:b/>
                <w:sz w:val="20"/>
                <w:szCs w:val="20"/>
                <w:lang w:val="en-US"/>
              </w:rPr>
            </w:pPr>
            <w:r w:rsidRPr="00EB7BB6">
              <w:rPr>
                <w:b/>
                <w:sz w:val="20"/>
                <w:szCs w:val="20"/>
                <w:lang w:val="en-US"/>
              </w:rPr>
              <w:t>Alberta Law Enforcement Review Board</w:t>
            </w:r>
          </w:p>
          <w:p w:rsidR="001D0DD7" w:rsidRPr="00EB7BB6" w:rsidRDefault="001D0DD7" w:rsidP="00B14FDF">
            <w:pPr>
              <w:jc w:val="both"/>
              <w:rPr>
                <w:sz w:val="20"/>
              </w:rPr>
            </w:pPr>
            <w:r w:rsidRPr="00EB7BB6">
              <w:rPr>
                <w:sz w:val="20"/>
              </w:rPr>
              <w:t>(Alta.) (Civil) (By Leave)</w:t>
            </w:r>
          </w:p>
        </w:tc>
      </w:tr>
      <w:tr w:rsidR="00C31209" w:rsidRPr="00EB7BB6" w:rsidTr="00B14FDF">
        <w:tc>
          <w:tcPr>
            <w:tcW w:w="5000" w:type="pct"/>
            <w:gridSpan w:val="4"/>
          </w:tcPr>
          <w:p w:rsidR="001D7350" w:rsidRPr="00EB7BB6" w:rsidRDefault="001D7350" w:rsidP="001D7350">
            <w:pPr>
              <w:jc w:val="both"/>
              <w:rPr>
                <w:sz w:val="20"/>
                <w:szCs w:val="20"/>
              </w:rPr>
            </w:pPr>
            <w:r w:rsidRPr="00EB7BB6">
              <w:rPr>
                <w:sz w:val="20"/>
                <w:szCs w:val="20"/>
              </w:rPr>
              <w:t>The application for leave to appeal from the judgment of the Court of Appeal of Alberta (Calgary), Number 1701-0163-AC, 2018 ABCA 340, dated October 18, 2018, is dismissed without costs.</w:t>
            </w:r>
          </w:p>
          <w:p w:rsidR="00C31209" w:rsidRPr="00EB7BB6" w:rsidRDefault="00C31209" w:rsidP="00B14FDF">
            <w:pPr>
              <w:jc w:val="both"/>
              <w:rPr>
                <w:sz w:val="20"/>
              </w:rPr>
            </w:pPr>
          </w:p>
        </w:tc>
      </w:tr>
      <w:tr w:rsidR="001D0DD7" w:rsidRPr="00EB7BB6" w:rsidTr="00B14FDF">
        <w:tc>
          <w:tcPr>
            <w:tcW w:w="5000" w:type="pct"/>
            <w:gridSpan w:val="4"/>
          </w:tcPr>
          <w:p w:rsidR="001D0DD7" w:rsidRPr="00EB7BB6" w:rsidRDefault="001D0DD7" w:rsidP="00B14FDF">
            <w:pPr>
              <w:jc w:val="both"/>
              <w:rPr>
                <w:b/>
                <w:sz w:val="20"/>
              </w:rPr>
            </w:pPr>
            <w:r w:rsidRPr="00EB7BB6">
              <w:rPr>
                <w:sz w:val="20"/>
              </w:rPr>
              <w:t>Administrative law — Boards and tribunals — Jurisdiction — What is the proper test to find that an administrative tribunal has power or jurisdiction by the common law doctrine of “necessary implication” — Is evidence required to meet the</w:t>
            </w:r>
            <w:r w:rsidRPr="00EB7BB6">
              <w:rPr>
                <w:spacing w:val="-2"/>
                <w:sz w:val="20"/>
              </w:rPr>
              <w:t xml:space="preserve"> </w:t>
            </w:r>
            <w:r w:rsidRPr="00EB7BB6">
              <w:rPr>
                <w:sz w:val="20"/>
              </w:rPr>
              <w:t>test — How does the doctrine of jurisdiction by “necessary implication” relate to the “implied exclusion”</w:t>
            </w:r>
            <w:r w:rsidRPr="00EB7BB6">
              <w:rPr>
                <w:spacing w:val="-5"/>
                <w:sz w:val="20"/>
              </w:rPr>
              <w:t xml:space="preserve"> </w:t>
            </w:r>
            <w:r w:rsidRPr="00EB7BB6">
              <w:rPr>
                <w:sz w:val="20"/>
              </w:rPr>
              <w:t>maxim — What is the scope of powers that can be created by “necessary</w:t>
            </w:r>
            <w:r w:rsidRPr="00EB7BB6">
              <w:rPr>
                <w:spacing w:val="-6"/>
                <w:sz w:val="20"/>
              </w:rPr>
              <w:t xml:space="preserve"> </w:t>
            </w:r>
            <w:r w:rsidRPr="00EB7BB6">
              <w:rPr>
                <w:sz w:val="20"/>
              </w:rPr>
              <w:t>implication”?</w:t>
            </w:r>
          </w:p>
        </w:tc>
      </w:tr>
      <w:tr w:rsidR="001D0DD7" w:rsidRPr="00EB7BB6" w:rsidTr="00B14FDF">
        <w:tc>
          <w:tcPr>
            <w:tcW w:w="5000" w:type="pct"/>
            <w:gridSpan w:val="4"/>
          </w:tcPr>
          <w:p w:rsidR="001D0DD7" w:rsidRPr="00EB7BB6" w:rsidRDefault="001D0DD7"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lastRenderedPageBreak/>
              <w:t>Constable Strong filed a notice of appeal to the Law</w:t>
            </w:r>
            <w:r w:rsidRPr="00EB7BB6">
              <w:rPr>
                <w:spacing w:val="-10"/>
                <w:sz w:val="20"/>
              </w:rPr>
              <w:t xml:space="preserve"> </w:t>
            </w:r>
            <w:r w:rsidRPr="00EB7BB6">
              <w:rPr>
                <w:sz w:val="20"/>
              </w:rPr>
              <w:t>Enforcement</w:t>
            </w:r>
            <w:r w:rsidRPr="00EB7BB6">
              <w:rPr>
                <w:spacing w:val="-10"/>
                <w:sz w:val="20"/>
              </w:rPr>
              <w:t xml:space="preserve"> </w:t>
            </w:r>
            <w:r w:rsidRPr="00EB7BB6">
              <w:rPr>
                <w:sz w:val="20"/>
              </w:rPr>
              <w:t xml:space="preserve">Review Board from what he considers to be disguised discipline appealable to the Board under Part V of the </w:t>
            </w:r>
            <w:hyperlink r:id="rId57" w:history="1">
              <w:r w:rsidRPr="00EB7BB6">
                <w:rPr>
                  <w:i/>
                  <w:sz w:val="20"/>
                </w:rPr>
                <w:t>Police Act</w:t>
              </w:r>
              <w:r w:rsidRPr="00EB7BB6">
                <w:rPr>
                  <w:sz w:val="20"/>
                </w:rPr>
                <w:t>, RSA 2000, c P</w:t>
              </w:r>
              <w:r w:rsidRPr="00EB7BB6">
                <w:rPr>
                  <w:sz w:val="20"/>
                </w:rPr>
                <w:noBreakHyphen/>
                <w:t>17</w:t>
              </w:r>
            </w:hyperlink>
            <w:r w:rsidRPr="00EB7BB6">
              <w:rPr>
                <w:sz w:val="20"/>
              </w:rPr>
              <w:t>. Constable Strong sought to appeal a decision by the Chief of Police of the Calgary Police Service denying reimbursement upon his reinstatement to active duty for hypothetical pay (statutory holiday pay, shift differential, pay for court time) allegedly lost while on leave with pay pending a trial for an assault charge. The Board held that it does not have jurisdiction to hear the appeal. The Court of Appeal allowed an appeal.</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May 23, 2017</w:t>
            </w:r>
          </w:p>
          <w:p w:rsidR="001D0DD7" w:rsidRPr="00EB7BB6" w:rsidRDefault="001D0DD7" w:rsidP="00B14FDF">
            <w:pPr>
              <w:jc w:val="both"/>
              <w:rPr>
                <w:sz w:val="20"/>
              </w:rPr>
            </w:pPr>
            <w:r w:rsidRPr="00EB7BB6">
              <w:rPr>
                <w:sz w:val="20"/>
              </w:rPr>
              <w:t>Law Enforcement Review Board</w:t>
            </w:r>
          </w:p>
          <w:p w:rsidR="001D0DD7" w:rsidRPr="00EB7BB6" w:rsidRDefault="001D0DD7" w:rsidP="00B14FDF">
            <w:pPr>
              <w:jc w:val="both"/>
              <w:rPr>
                <w:sz w:val="20"/>
              </w:rPr>
            </w:pPr>
            <w:r w:rsidRPr="00EB7BB6">
              <w:rPr>
                <w:sz w:val="20"/>
              </w:rPr>
              <w:t>(D. Loukidelis, Chair; B. Gifford, Member)</w:t>
            </w:r>
          </w:p>
          <w:p w:rsidR="001D0DD7" w:rsidRPr="00EB7BB6" w:rsidRDefault="001D0DD7" w:rsidP="00B14FDF">
            <w:pPr>
              <w:jc w:val="both"/>
              <w:rPr>
                <w:sz w:val="20"/>
              </w:rPr>
            </w:pPr>
            <w:r w:rsidRPr="00EB7BB6">
              <w:rPr>
                <w:sz w:val="20"/>
              </w:rPr>
              <w:t>2017 ABLERB 12 (Unreported)</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Finding Board does not have jurisdiction to hear appeal filed by Cst. Strong</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t>October 18, 2018</w:t>
            </w:r>
          </w:p>
          <w:p w:rsidR="001D0DD7" w:rsidRPr="00EB7BB6" w:rsidRDefault="001D0DD7" w:rsidP="00B14FDF">
            <w:pPr>
              <w:jc w:val="both"/>
              <w:rPr>
                <w:sz w:val="20"/>
              </w:rPr>
            </w:pPr>
            <w:r w:rsidRPr="00EB7BB6">
              <w:rPr>
                <w:sz w:val="20"/>
              </w:rPr>
              <w:t>Court of Appeal of Alberta (Calgary)</w:t>
            </w:r>
          </w:p>
          <w:p w:rsidR="001D0DD7" w:rsidRPr="00EB7BB6" w:rsidRDefault="001D0DD7" w:rsidP="00B14FDF">
            <w:pPr>
              <w:jc w:val="both"/>
              <w:rPr>
                <w:sz w:val="20"/>
              </w:rPr>
            </w:pPr>
            <w:r w:rsidRPr="00EB7BB6">
              <w:rPr>
                <w:sz w:val="20"/>
              </w:rPr>
              <w:t>(O'Ferrall, Wakeling, Strekaf JJ.A.)</w:t>
            </w:r>
          </w:p>
          <w:p w:rsidR="001D0DD7" w:rsidRPr="00EB7BB6" w:rsidRDefault="001D0DD7" w:rsidP="00B14FDF">
            <w:pPr>
              <w:jc w:val="both"/>
              <w:rPr>
                <w:rStyle w:val="Hyperlink"/>
                <w:sz w:val="20"/>
              </w:rPr>
            </w:pPr>
            <w:r w:rsidRPr="00EB7BB6">
              <w:rPr>
                <w:sz w:val="20"/>
              </w:rPr>
              <w:t xml:space="preserve">1701-0163-AC; </w:t>
            </w:r>
            <w:hyperlink r:id="rId58" w:history="1">
              <w:r w:rsidRPr="00EB7BB6">
                <w:rPr>
                  <w:rStyle w:val="Hyperlink"/>
                  <w:sz w:val="20"/>
                </w:rPr>
                <w:t>2018 ABCA 340</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Appeal allowed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December 14,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jc w:val="both"/>
        <w:rPr>
          <w:sz w:val="20"/>
        </w:rPr>
      </w:pPr>
    </w:p>
    <w:p w:rsidR="00C31209" w:rsidRPr="00EB7BB6" w:rsidRDefault="00EB7BB6" w:rsidP="001D0DD7">
      <w:pPr>
        <w:jc w:val="both"/>
        <w:rPr>
          <w:sz w:val="20"/>
        </w:rPr>
      </w:pPr>
      <w:r w:rsidRPr="00EB7BB6">
        <w:rPr>
          <w:sz w:val="20"/>
          <w:szCs w:val="20"/>
        </w:rPr>
        <w:pict>
          <v:rect id="_x0000_i1072" style="width:2in;height:1pt" o:hrpct="0" o:hralign="center" o:hrstd="t" o:hrnoshade="t" o:hr="t" fillcolor="black" stroked="f"/>
        </w:pict>
      </w:r>
    </w:p>
    <w:p w:rsidR="001D0DD7" w:rsidRPr="00EB7BB6" w:rsidRDefault="001D0DD7" w:rsidP="001D0DD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lang w:val="fr-CA"/>
              </w:rPr>
            </w:pPr>
            <w:r w:rsidRPr="00EB7BB6">
              <w:rPr>
                <w:rStyle w:val="SCCFileNumberChar"/>
                <w:sz w:val="20"/>
                <w:szCs w:val="20"/>
                <w:lang w:val="fr-CA"/>
              </w:rPr>
              <w:t>38446</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Chef de police du service de police de Calgary c. Marc Strong</w:t>
            </w:r>
          </w:p>
          <w:p w:rsidR="001D0DD7" w:rsidRPr="00EB7BB6" w:rsidRDefault="001D0DD7" w:rsidP="00B14FDF">
            <w:pPr>
              <w:pStyle w:val="SCCLsocOtherPartySeparator"/>
              <w:rPr>
                <w:sz w:val="20"/>
                <w:szCs w:val="20"/>
              </w:rPr>
            </w:pPr>
            <w:r w:rsidRPr="00EB7BB6">
              <w:rPr>
                <w:sz w:val="20"/>
                <w:szCs w:val="20"/>
              </w:rPr>
              <w:t>— et —</w:t>
            </w:r>
          </w:p>
          <w:p w:rsidR="001D0DD7" w:rsidRPr="00EB7BB6" w:rsidRDefault="001D0DD7" w:rsidP="00B14FDF">
            <w:pPr>
              <w:pStyle w:val="SCCLsocParty"/>
              <w:jc w:val="both"/>
              <w:rPr>
                <w:b/>
                <w:sz w:val="20"/>
                <w:szCs w:val="20"/>
                <w:lang w:val="en-US"/>
              </w:rPr>
            </w:pPr>
            <w:r w:rsidRPr="00EB7BB6">
              <w:rPr>
                <w:b/>
                <w:sz w:val="20"/>
                <w:szCs w:val="20"/>
                <w:lang w:val="en-US"/>
              </w:rPr>
              <w:t>Alberta Law Enforcement Review Board</w:t>
            </w:r>
          </w:p>
          <w:p w:rsidR="001D0DD7" w:rsidRPr="00EB7BB6" w:rsidRDefault="001D0DD7" w:rsidP="00B14FDF">
            <w:pPr>
              <w:jc w:val="both"/>
              <w:rPr>
                <w:sz w:val="20"/>
                <w:lang w:val="fr-CA"/>
              </w:rPr>
            </w:pPr>
            <w:r w:rsidRPr="00EB7BB6">
              <w:rPr>
                <w:sz w:val="20"/>
                <w:lang w:val="fr-CA"/>
              </w:rPr>
              <w:t>(Alb.) (Civile) (Autorisation)</w:t>
            </w:r>
          </w:p>
        </w:tc>
      </w:tr>
      <w:tr w:rsidR="00C31209" w:rsidRPr="00EB7BB6" w:rsidTr="00B14FDF">
        <w:tc>
          <w:tcPr>
            <w:tcW w:w="5000" w:type="pct"/>
            <w:gridSpan w:val="4"/>
          </w:tcPr>
          <w:p w:rsidR="00C31209" w:rsidRPr="00EB7BB6" w:rsidRDefault="001D7350" w:rsidP="00B14FDF">
            <w:pPr>
              <w:jc w:val="both"/>
              <w:rPr>
                <w:sz w:val="20"/>
                <w:szCs w:val="20"/>
                <w:lang w:val="fr-CA"/>
              </w:rPr>
            </w:pPr>
            <w:r w:rsidRPr="00EB7BB6">
              <w:rPr>
                <w:sz w:val="20"/>
                <w:szCs w:val="20"/>
                <w:lang w:val="fr-CA"/>
              </w:rPr>
              <w:t>La demande d’autorisation d’appel de l’arrêt de la Cour d’appel de l’Alberta (Calgary), numéro 1701-0163-AC, 2018 ABCA 340, daté du 18 octobre 2018, est rejetée sans dépens.</w:t>
            </w:r>
          </w:p>
          <w:p w:rsidR="001D7350" w:rsidRPr="00EB7BB6" w:rsidRDefault="001D7350"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b/>
                <w:sz w:val="20"/>
                <w:lang w:val="fr-CA"/>
              </w:rPr>
            </w:pPr>
            <w:r w:rsidRPr="00EB7BB6">
              <w:rPr>
                <w:sz w:val="20"/>
                <w:lang w:val="fr-CA"/>
              </w:rPr>
              <w:t>Droit administratif — Organismes et tribunaux administratifs — Compétence — Quel est le critère approprié pour conclure qu’un tribunal administratif a un pouvoir ou une compétence par la théorie de common law de la « déduction nécessaire »? — Une preuve est</w:t>
            </w:r>
            <w:r w:rsidRPr="00EB7BB6">
              <w:rPr>
                <w:sz w:val="20"/>
                <w:lang w:val="fr-CA"/>
              </w:rPr>
              <w:noBreakHyphen/>
              <w:t>elle nécessaire pour satisfaire ce critère? — Comment la théorie de la compétence par « déduction nécessaire » a</w:t>
            </w:r>
            <w:r w:rsidRPr="00EB7BB6">
              <w:rPr>
                <w:sz w:val="20"/>
                <w:lang w:val="fr-CA"/>
              </w:rPr>
              <w:noBreakHyphen/>
              <w:t>t</w:t>
            </w:r>
            <w:r w:rsidRPr="00EB7BB6">
              <w:rPr>
                <w:sz w:val="20"/>
                <w:lang w:val="fr-CA"/>
              </w:rPr>
              <w:noBreakHyphen/>
              <w:t>elle trait à la maxime de l’« exclusion implicite »? — Quelle est la portée des pouvoirs qui peuvent être créés par « déduction nécessaire »?</w:t>
            </w:r>
          </w:p>
        </w:tc>
      </w:tr>
      <w:tr w:rsidR="001D0DD7" w:rsidRPr="00EB7BB6" w:rsidTr="00B14FDF">
        <w:tc>
          <w:tcPr>
            <w:tcW w:w="5000" w:type="pct"/>
            <w:gridSpan w:val="4"/>
          </w:tcPr>
          <w:p w:rsidR="001D0DD7" w:rsidRPr="00EB7BB6" w:rsidRDefault="001D0DD7"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L’agent Strong a déposé un avis d’appel au Law</w:t>
            </w:r>
            <w:r w:rsidRPr="00EB7BB6">
              <w:rPr>
                <w:spacing w:val="-10"/>
                <w:sz w:val="20"/>
                <w:lang w:val="fr-CA"/>
              </w:rPr>
              <w:t xml:space="preserve"> </w:t>
            </w:r>
            <w:r w:rsidRPr="00EB7BB6">
              <w:rPr>
                <w:sz w:val="20"/>
                <w:lang w:val="fr-CA"/>
              </w:rPr>
              <w:t>Enforcement</w:t>
            </w:r>
            <w:r w:rsidRPr="00EB7BB6">
              <w:rPr>
                <w:spacing w:val="-10"/>
                <w:sz w:val="20"/>
                <w:lang w:val="fr-CA"/>
              </w:rPr>
              <w:t xml:space="preserve"> </w:t>
            </w:r>
            <w:r w:rsidRPr="00EB7BB6">
              <w:rPr>
                <w:sz w:val="20"/>
                <w:lang w:val="fr-CA"/>
              </w:rPr>
              <w:t xml:space="preserve">Review Board (le « Bureau ») de ce qu’il considère être une mesure disciplinaire déguisée susceptible d’être portée en appel au Bureau en application de la Partie V de la </w:t>
            </w:r>
            <w:hyperlink r:id="rId59" w:history="1">
              <w:r w:rsidRPr="00EB7BB6">
                <w:rPr>
                  <w:i/>
                  <w:sz w:val="20"/>
                  <w:lang w:val="fr-CA"/>
                </w:rPr>
                <w:t>Police Act</w:t>
              </w:r>
              <w:r w:rsidRPr="00EB7BB6">
                <w:rPr>
                  <w:sz w:val="20"/>
                  <w:lang w:val="fr-CA"/>
                </w:rPr>
                <w:t>, RSA 2000, ch. P</w:t>
              </w:r>
              <w:r w:rsidRPr="00EB7BB6">
                <w:rPr>
                  <w:sz w:val="20"/>
                  <w:lang w:val="fr-CA"/>
                </w:rPr>
                <w:noBreakHyphen/>
                <w:t>17</w:t>
              </w:r>
            </w:hyperlink>
            <w:r w:rsidRPr="00EB7BB6">
              <w:rPr>
                <w:sz w:val="20"/>
                <w:lang w:val="fr-CA"/>
              </w:rPr>
              <w:t>. L’agent Strong voulait interjeter appel d’une décision du chef de police du service de police de Calgary qui lui avait refusé le remboursement, lors de sa réintégration au service actif, d’un traitement hypothétique (rémunération de jours fériés, prime de quart, rémunération pour temps à la cour) qu’il aurait censément perdu alors qu’il était en congé avec solde en attendant son procès pour voies de fait. Le Bureau s’est déclaré incompétent pour instruire l’appel. La Cour d’appel a accueilli l’appel.</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23 mai 2017</w:t>
            </w:r>
          </w:p>
          <w:p w:rsidR="001D0DD7" w:rsidRPr="00EB7BB6" w:rsidRDefault="001D0DD7" w:rsidP="00B14FDF">
            <w:pPr>
              <w:jc w:val="both"/>
              <w:rPr>
                <w:sz w:val="20"/>
                <w:lang w:val="fr-CA"/>
              </w:rPr>
            </w:pPr>
            <w:r w:rsidRPr="00EB7BB6">
              <w:rPr>
                <w:sz w:val="20"/>
                <w:lang w:val="fr-CA"/>
              </w:rPr>
              <w:t>Law Enforcement Review Board</w:t>
            </w:r>
          </w:p>
          <w:p w:rsidR="001D0DD7" w:rsidRPr="00EB7BB6" w:rsidRDefault="001D0DD7" w:rsidP="00B14FDF">
            <w:pPr>
              <w:jc w:val="both"/>
              <w:rPr>
                <w:sz w:val="20"/>
                <w:lang w:val="fr-CA"/>
              </w:rPr>
            </w:pPr>
            <w:r w:rsidRPr="00EB7BB6">
              <w:rPr>
                <w:sz w:val="20"/>
                <w:lang w:val="fr-CA"/>
              </w:rPr>
              <w:t>(Président D. Loukidelis; membre B. Gifford)</w:t>
            </w:r>
          </w:p>
          <w:p w:rsidR="001D0DD7" w:rsidRPr="00EB7BB6" w:rsidRDefault="001D0DD7" w:rsidP="00B14FDF">
            <w:pPr>
              <w:jc w:val="both"/>
              <w:rPr>
                <w:sz w:val="20"/>
                <w:lang w:val="fr-CA"/>
              </w:rPr>
            </w:pPr>
            <w:r w:rsidRPr="00EB7BB6">
              <w:rPr>
                <w:sz w:val="20"/>
                <w:lang w:val="fr-CA"/>
              </w:rPr>
              <w:t>2017 ABLERB 12 (non publié)</w:t>
            </w:r>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Conclusion selon laquelle le Bureau n’a pas compétence pour instruire l’appel déposé par l’agent Strong</w:t>
            </w:r>
          </w:p>
        </w:tc>
      </w:tr>
    </w:tbl>
    <w:p w:rsidR="00C256CF" w:rsidRPr="00EB7BB6" w:rsidRDefault="00C256CF">
      <w:pPr>
        <w:rPr>
          <w:lang w:val="fr-CA"/>
        </w:rPr>
      </w:pPr>
      <w:r w:rsidRPr="00EB7BB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0DD7" w:rsidRPr="00EB7BB6" w:rsidTr="00B14FDF">
        <w:tc>
          <w:tcPr>
            <w:tcW w:w="2427" w:type="pct"/>
          </w:tcPr>
          <w:p w:rsidR="001D0DD7" w:rsidRPr="00EB7BB6" w:rsidRDefault="001D0DD7" w:rsidP="00B14FDF">
            <w:pPr>
              <w:jc w:val="both"/>
              <w:rPr>
                <w:sz w:val="20"/>
                <w:lang w:val="fr-CA"/>
              </w:rPr>
            </w:pPr>
            <w:r w:rsidRPr="00EB7BB6">
              <w:rPr>
                <w:sz w:val="20"/>
                <w:lang w:val="fr-CA"/>
              </w:rPr>
              <w:lastRenderedPageBreak/>
              <w:t>18 octobre 2018</w:t>
            </w:r>
          </w:p>
          <w:p w:rsidR="001D0DD7" w:rsidRPr="00EB7BB6" w:rsidRDefault="001D0DD7" w:rsidP="00B14FDF">
            <w:pPr>
              <w:jc w:val="both"/>
              <w:rPr>
                <w:sz w:val="20"/>
                <w:lang w:val="fr-CA"/>
              </w:rPr>
            </w:pPr>
            <w:r w:rsidRPr="00EB7BB6">
              <w:rPr>
                <w:sz w:val="20"/>
                <w:lang w:val="fr-CA"/>
              </w:rPr>
              <w:t>Cour d’appel de l’Alberta (Calgary)</w:t>
            </w:r>
          </w:p>
          <w:p w:rsidR="001D0DD7" w:rsidRPr="00EB7BB6" w:rsidRDefault="001D0DD7" w:rsidP="00B14FDF">
            <w:pPr>
              <w:jc w:val="both"/>
              <w:rPr>
                <w:sz w:val="20"/>
              </w:rPr>
            </w:pPr>
            <w:r w:rsidRPr="00EB7BB6">
              <w:rPr>
                <w:sz w:val="20"/>
              </w:rPr>
              <w:t>(Juges O'Ferrall, Wakeling et Strekaf)</w:t>
            </w:r>
          </w:p>
          <w:p w:rsidR="001D0DD7" w:rsidRPr="00EB7BB6" w:rsidRDefault="001D0DD7" w:rsidP="00B14FDF">
            <w:pPr>
              <w:jc w:val="both"/>
              <w:rPr>
                <w:rStyle w:val="Hyperlink"/>
                <w:sz w:val="20"/>
              </w:rPr>
            </w:pPr>
            <w:r w:rsidRPr="00EB7BB6">
              <w:rPr>
                <w:sz w:val="20"/>
              </w:rPr>
              <w:t xml:space="preserve">1701-0163-AC; </w:t>
            </w:r>
            <w:hyperlink r:id="rId60" w:history="1">
              <w:r w:rsidRPr="00EB7BB6">
                <w:rPr>
                  <w:rStyle w:val="Hyperlink"/>
                  <w:sz w:val="20"/>
                </w:rPr>
                <w:t>2018 ABCA 340</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lang w:val="fr-CA"/>
              </w:rPr>
            </w:pPr>
            <w:r w:rsidRPr="00EB7BB6">
              <w:rPr>
                <w:sz w:val="20"/>
                <w:lang w:val="fr-CA"/>
              </w:rPr>
              <w:t>Arrêt accueillant l’appel</w:t>
            </w:r>
          </w:p>
          <w:p w:rsidR="001D0DD7" w:rsidRPr="00EB7BB6" w:rsidRDefault="001D0DD7" w:rsidP="00B14FDF">
            <w:pPr>
              <w:jc w:val="both"/>
              <w:rPr>
                <w:sz w:val="20"/>
                <w:lang w:val="fr-CA"/>
              </w:rPr>
            </w:pPr>
          </w:p>
        </w:tc>
      </w:tr>
      <w:tr w:rsidR="001D0DD7" w:rsidRPr="00EB7BB6" w:rsidTr="00B14FDF">
        <w:tc>
          <w:tcPr>
            <w:tcW w:w="2427" w:type="pct"/>
          </w:tcPr>
          <w:p w:rsidR="001D0DD7" w:rsidRPr="00EB7BB6" w:rsidRDefault="001D0DD7" w:rsidP="00B14FDF">
            <w:pPr>
              <w:jc w:val="both"/>
              <w:rPr>
                <w:sz w:val="20"/>
                <w:lang w:val="fr-CA"/>
              </w:rPr>
            </w:pPr>
            <w:r w:rsidRPr="00EB7BB6">
              <w:rPr>
                <w:sz w:val="20"/>
                <w:lang w:val="fr-CA"/>
              </w:rPr>
              <w:t>14 décembre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Dépôt de la demande d’autorisation d’appel</w:t>
            </w:r>
          </w:p>
          <w:p w:rsidR="001D0DD7" w:rsidRPr="00EB7BB6" w:rsidRDefault="001D0DD7" w:rsidP="00B14FDF">
            <w:pPr>
              <w:jc w:val="both"/>
              <w:rPr>
                <w:sz w:val="20"/>
                <w:lang w:val="fr-CA"/>
              </w:rPr>
            </w:pPr>
          </w:p>
        </w:tc>
      </w:tr>
    </w:tbl>
    <w:p w:rsidR="001D0DD7" w:rsidRPr="00EB7BB6" w:rsidRDefault="001D0DD7" w:rsidP="001D0DD7">
      <w:pPr>
        <w:jc w:val="both"/>
        <w:rPr>
          <w:sz w:val="20"/>
          <w:lang w:val="fr-CA"/>
        </w:rPr>
      </w:pPr>
    </w:p>
    <w:p w:rsidR="001D0DD7" w:rsidRPr="00EB7BB6" w:rsidRDefault="00EB7BB6" w:rsidP="001D0DD7">
      <w:pPr>
        <w:jc w:val="both"/>
        <w:rPr>
          <w:sz w:val="20"/>
          <w:lang w:val="fr-CA"/>
        </w:rPr>
      </w:pPr>
      <w:r w:rsidRPr="00EB7BB6">
        <w:rPr>
          <w:sz w:val="20"/>
          <w:szCs w:val="20"/>
        </w:rPr>
        <w:pict>
          <v:rect id="_x0000_i1073" style="width:2in;height:1pt" o:hrpct="0" o:hralign="center" o:hrstd="t" o:hrnoshade="t" o:hr="t" fillcolor="black" stroked="f"/>
        </w:pict>
      </w:r>
    </w:p>
    <w:p w:rsidR="00C5471F" w:rsidRPr="00EB7BB6" w:rsidRDefault="00C5471F" w:rsidP="001D0DD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38447</w:t>
            </w:r>
          </w:p>
        </w:tc>
        <w:tc>
          <w:tcPr>
            <w:tcW w:w="4457" w:type="pct"/>
            <w:gridSpan w:val="3"/>
          </w:tcPr>
          <w:p w:rsidR="001D0DD7" w:rsidRPr="00EB7BB6" w:rsidRDefault="001D0DD7" w:rsidP="00B14FDF">
            <w:pPr>
              <w:pStyle w:val="SCCLsocParty"/>
              <w:jc w:val="both"/>
              <w:rPr>
                <w:b/>
                <w:sz w:val="20"/>
                <w:szCs w:val="20"/>
                <w:lang w:val="en-US"/>
              </w:rPr>
            </w:pPr>
            <w:r w:rsidRPr="00EB7BB6">
              <w:rPr>
                <w:b/>
                <w:sz w:val="20"/>
                <w:szCs w:val="20"/>
                <w:lang w:val="en-US"/>
              </w:rPr>
              <w:t>Chief of Police of the Edmonton Police Service v. Cst. T. Deluca (No. 2393) and Cst. T. Paulino (No. 2300)</w:t>
            </w:r>
          </w:p>
          <w:p w:rsidR="001D0DD7" w:rsidRPr="00EB7BB6" w:rsidRDefault="001D0DD7" w:rsidP="00B14FDF">
            <w:pPr>
              <w:pStyle w:val="SCCLsocOtherPartySeparator"/>
              <w:rPr>
                <w:sz w:val="20"/>
                <w:szCs w:val="20"/>
              </w:rPr>
            </w:pPr>
            <w:r w:rsidRPr="00EB7BB6">
              <w:rPr>
                <w:sz w:val="20"/>
                <w:szCs w:val="20"/>
              </w:rPr>
              <w:t>— and —</w:t>
            </w:r>
          </w:p>
          <w:p w:rsidR="001D0DD7" w:rsidRPr="00EB7BB6" w:rsidRDefault="001D0DD7" w:rsidP="00B14FDF">
            <w:pPr>
              <w:pStyle w:val="SCCLsocParty"/>
              <w:jc w:val="both"/>
              <w:rPr>
                <w:b/>
                <w:sz w:val="20"/>
                <w:szCs w:val="20"/>
                <w:lang w:val="en-US"/>
              </w:rPr>
            </w:pPr>
            <w:r w:rsidRPr="00EB7BB6">
              <w:rPr>
                <w:b/>
                <w:sz w:val="20"/>
                <w:szCs w:val="20"/>
                <w:lang w:val="en-US"/>
              </w:rPr>
              <w:t>Alberta Law Enforcement Review Board</w:t>
            </w:r>
          </w:p>
          <w:p w:rsidR="001D0DD7" w:rsidRPr="00EB7BB6" w:rsidRDefault="001D0DD7" w:rsidP="00B14FDF">
            <w:pPr>
              <w:pStyle w:val="SCCLsocSubfileSeparator0"/>
              <w:rPr>
                <w:sz w:val="20"/>
                <w:szCs w:val="20"/>
              </w:rPr>
            </w:pPr>
            <w:r w:rsidRPr="00EB7BB6">
              <w:rPr>
                <w:sz w:val="20"/>
                <w:szCs w:val="20"/>
              </w:rPr>
              <w:t>— and between —</w:t>
            </w:r>
          </w:p>
          <w:p w:rsidR="001D0DD7" w:rsidRPr="00EB7BB6" w:rsidRDefault="001D0DD7" w:rsidP="00B14FDF">
            <w:pPr>
              <w:pStyle w:val="SCCLsocParty"/>
              <w:jc w:val="both"/>
              <w:rPr>
                <w:b/>
                <w:sz w:val="20"/>
                <w:szCs w:val="20"/>
                <w:lang w:val="en-US"/>
              </w:rPr>
            </w:pPr>
            <w:r w:rsidRPr="00EB7BB6">
              <w:rPr>
                <w:b/>
                <w:sz w:val="20"/>
                <w:szCs w:val="20"/>
                <w:lang w:val="en-US"/>
              </w:rPr>
              <w:t>Chief of Police of the Edmonton Police Service v. Cst. J. Coughlan (No. 2270)</w:t>
            </w:r>
          </w:p>
          <w:p w:rsidR="001D0DD7" w:rsidRPr="00EB7BB6" w:rsidRDefault="001D0DD7" w:rsidP="00B14FDF">
            <w:pPr>
              <w:pStyle w:val="SCCLsocOtherPartySeparator"/>
              <w:rPr>
                <w:sz w:val="20"/>
                <w:szCs w:val="20"/>
              </w:rPr>
            </w:pPr>
            <w:r w:rsidRPr="00EB7BB6">
              <w:rPr>
                <w:sz w:val="20"/>
                <w:szCs w:val="20"/>
              </w:rPr>
              <w:t>— and —</w:t>
            </w:r>
          </w:p>
          <w:p w:rsidR="001D0DD7" w:rsidRPr="00EB7BB6" w:rsidRDefault="001D0DD7" w:rsidP="00B14FDF">
            <w:pPr>
              <w:pStyle w:val="SCCLsocParty"/>
              <w:jc w:val="both"/>
              <w:rPr>
                <w:b/>
                <w:sz w:val="20"/>
                <w:szCs w:val="20"/>
                <w:lang w:val="en-US"/>
              </w:rPr>
            </w:pPr>
            <w:r w:rsidRPr="00EB7BB6">
              <w:rPr>
                <w:b/>
                <w:sz w:val="20"/>
                <w:szCs w:val="20"/>
                <w:lang w:val="en-US"/>
              </w:rPr>
              <w:t>Alberta Law Enforcement Review Board</w:t>
            </w:r>
          </w:p>
          <w:p w:rsidR="001D0DD7" w:rsidRPr="00EB7BB6" w:rsidRDefault="001D0DD7" w:rsidP="00B14FDF">
            <w:pPr>
              <w:jc w:val="both"/>
              <w:rPr>
                <w:sz w:val="20"/>
              </w:rPr>
            </w:pPr>
            <w:r w:rsidRPr="00EB7BB6">
              <w:rPr>
                <w:sz w:val="20"/>
              </w:rPr>
              <w:t>(Alta.) (Civil) (By Leave)</w:t>
            </w:r>
          </w:p>
        </w:tc>
      </w:tr>
      <w:tr w:rsidR="00C5471F" w:rsidRPr="00EB7BB6" w:rsidTr="00B14FDF">
        <w:tc>
          <w:tcPr>
            <w:tcW w:w="5000" w:type="pct"/>
            <w:gridSpan w:val="4"/>
          </w:tcPr>
          <w:p w:rsidR="0019165D" w:rsidRPr="00EB7BB6" w:rsidRDefault="0019165D" w:rsidP="0019165D">
            <w:pPr>
              <w:jc w:val="both"/>
              <w:rPr>
                <w:sz w:val="20"/>
                <w:szCs w:val="20"/>
              </w:rPr>
            </w:pPr>
            <w:r w:rsidRPr="00EB7BB6">
              <w:rPr>
                <w:sz w:val="20"/>
                <w:szCs w:val="20"/>
              </w:rPr>
              <w:t xml:space="preserve">The motion to </w:t>
            </w:r>
            <w:r w:rsidRPr="00EB7BB6">
              <w:rPr>
                <w:rStyle w:val="solexhl"/>
                <w:sz w:val="20"/>
                <w:szCs w:val="20"/>
              </w:rPr>
              <w:t>join</w:t>
            </w:r>
            <w:r w:rsidRPr="00EB7BB6">
              <w:rPr>
                <w:sz w:val="20"/>
                <w:szCs w:val="20"/>
              </w:rPr>
              <w:t xml:space="preserve"> two Alberta Court of Appeal files in a single application for leave to appeal is granted. The application for leave to appeal from the judgment of the Court of Appeal of Alberta (Edmonton), Numbers 1703-0060-AC and 1703-0092-AC, 2018 ABCA 340, dated October 18, 2018, is dismissed without costs.</w:t>
            </w:r>
          </w:p>
          <w:p w:rsidR="00C5471F" w:rsidRPr="00EB7BB6" w:rsidRDefault="00C5471F"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 xml:space="preserve">Administrative law — Boards and tribunals — Jurisdiction — What is the proper test to find that an administrative tribunal has power or jurisdiction by the common law doctrine of “necessary implication” — What is the proper application of the principle of </w:t>
            </w:r>
            <w:r w:rsidRPr="00EB7BB6">
              <w:rPr>
                <w:i/>
                <w:sz w:val="20"/>
              </w:rPr>
              <w:t>stare decisis</w:t>
            </w:r>
            <w:r w:rsidRPr="00EB7BB6">
              <w:rPr>
                <w:sz w:val="20"/>
              </w:rPr>
              <w:t xml:space="preserve"> to administrative tribunal decisions?</w:t>
            </w:r>
          </w:p>
        </w:tc>
      </w:tr>
      <w:tr w:rsidR="001D0DD7" w:rsidRPr="00EB7BB6" w:rsidTr="00B14FDF">
        <w:tc>
          <w:tcPr>
            <w:tcW w:w="5000" w:type="pct"/>
            <w:gridSpan w:val="4"/>
          </w:tcPr>
          <w:p w:rsidR="001D0DD7" w:rsidRPr="00EB7BB6" w:rsidRDefault="001D0DD7"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Three police officers filed notices of appeal to the Law</w:t>
            </w:r>
            <w:r w:rsidRPr="00EB7BB6">
              <w:rPr>
                <w:spacing w:val="-10"/>
                <w:sz w:val="20"/>
              </w:rPr>
              <w:t xml:space="preserve"> </w:t>
            </w:r>
            <w:r w:rsidRPr="00EB7BB6">
              <w:rPr>
                <w:sz w:val="20"/>
              </w:rPr>
              <w:t>Enforcement</w:t>
            </w:r>
            <w:r w:rsidRPr="00EB7BB6">
              <w:rPr>
                <w:spacing w:val="-10"/>
                <w:sz w:val="20"/>
              </w:rPr>
              <w:t xml:space="preserve"> </w:t>
            </w:r>
            <w:r w:rsidRPr="00EB7BB6">
              <w:rPr>
                <w:sz w:val="20"/>
              </w:rPr>
              <w:t xml:space="preserve">Review Board from what they consider to be disguised discipline appealable to the Board under Part V of the </w:t>
            </w:r>
            <w:hyperlink r:id="rId61" w:history="1">
              <w:r w:rsidRPr="00EB7BB6">
                <w:rPr>
                  <w:i/>
                  <w:sz w:val="20"/>
                </w:rPr>
                <w:t>Police Act</w:t>
              </w:r>
              <w:r w:rsidRPr="00EB7BB6">
                <w:rPr>
                  <w:sz w:val="20"/>
                </w:rPr>
                <w:t>, RSA 2000, c P</w:t>
              </w:r>
              <w:r w:rsidRPr="00EB7BB6">
                <w:rPr>
                  <w:sz w:val="20"/>
                </w:rPr>
                <w:noBreakHyphen/>
                <w:t>17</w:t>
              </w:r>
            </w:hyperlink>
            <w:r w:rsidRPr="00EB7BB6">
              <w:rPr>
                <w:sz w:val="20"/>
              </w:rPr>
              <w:t>. Constables Deluca and Paulino jointly sought to appeal involuntarily transfers from Edmonton Police Service’s recruit training unit. Constable Coughlan sought to appeal the Edmonton Police Service’s removal of her name from a list of eligible candidates for a school resource officer position. The Board held it does not have jurisdiction to hear the appeals. A majority of the Court of Appeal allowed an appeal.</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February 8, 2017</w:t>
            </w:r>
          </w:p>
          <w:p w:rsidR="001D0DD7" w:rsidRPr="00EB7BB6" w:rsidRDefault="001D0DD7" w:rsidP="00B14FDF">
            <w:pPr>
              <w:jc w:val="both"/>
              <w:rPr>
                <w:sz w:val="20"/>
              </w:rPr>
            </w:pPr>
            <w:r w:rsidRPr="00EB7BB6">
              <w:rPr>
                <w:sz w:val="20"/>
              </w:rPr>
              <w:t>Law Enforcement Review Board</w:t>
            </w:r>
          </w:p>
          <w:p w:rsidR="001D0DD7" w:rsidRPr="00EB7BB6" w:rsidRDefault="001D0DD7" w:rsidP="00B14FDF">
            <w:pPr>
              <w:jc w:val="both"/>
              <w:rPr>
                <w:sz w:val="20"/>
              </w:rPr>
            </w:pPr>
            <w:r w:rsidRPr="00EB7BB6">
              <w:rPr>
                <w:sz w:val="20"/>
              </w:rPr>
              <w:t>(D. Loukidelis, Chair; B. Gifford, Member)</w:t>
            </w:r>
          </w:p>
          <w:p w:rsidR="001D0DD7" w:rsidRPr="00EB7BB6" w:rsidRDefault="001D0DD7" w:rsidP="00B14FDF">
            <w:pPr>
              <w:jc w:val="both"/>
              <w:rPr>
                <w:sz w:val="20"/>
              </w:rPr>
            </w:pPr>
            <w:r w:rsidRPr="00EB7BB6">
              <w:rPr>
                <w:sz w:val="20"/>
              </w:rPr>
              <w:t>2017 ABLERB 003 (Unreported)</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 xml:space="preserve">Finding Board does not have jurisdiction to hear appeal filed by Csts. Deluca and Paulino  </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t>March 14, 2017</w:t>
            </w:r>
          </w:p>
          <w:p w:rsidR="001D0DD7" w:rsidRPr="00EB7BB6" w:rsidRDefault="001D0DD7" w:rsidP="00B14FDF">
            <w:pPr>
              <w:jc w:val="both"/>
              <w:rPr>
                <w:sz w:val="20"/>
              </w:rPr>
            </w:pPr>
            <w:r w:rsidRPr="00EB7BB6">
              <w:rPr>
                <w:sz w:val="20"/>
              </w:rPr>
              <w:t>Law Enforcement Review Board</w:t>
            </w:r>
          </w:p>
          <w:p w:rsidR="001D0DD7" w:rsidRPr="00EB7BB6" w:rsidRDefault="001D0DD7" w:rsidP="00B14FDF">
            <w:pPr>
              <w:jc w:val="both"/>
              <w:rPr>
                <w:sz w:val="20"/>
              </w:rPr>
            </w:pPr>
            <w:r w:rsidRPr="00EB7BB6">
              <w:rPr>
                <w:sz w:val="20"/>
              </w:rPr>
              <w:t>(D. Loukidelis, Chair; A. Arcand, Member)</w:t>
            </w:r>
          </w:p>
          <w:p w:rsidR="001D0DD7" w:rsidRPr="00EB7BB6" w:rsidRDefault="001D0DD7" w:rsidP="00B14FDF">
            <w:pPr>
              <w:jc w:val="both"/>
              <w:rPr>
                <w:sz w:val="20"/>
              </w:rPr>
            </w:pPr>
            <w:r w:rsidRPr="00EB7BB6">
              <w:rPr>
                <w:sz w:val="20"/>
              </w:rPr>
              <w:t>2017 ABLERB 006 (Unreported)</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Finding Board does not have jurisdiction to hear appeal filed by Cst. Coughlan</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October 18, 2018</w:t>
            </w:r>
          </w:p>
          <w:p w:rsidR="001D0DD7" w:rsidRPr="00EB7BB6" w:rsidRDefault="001D0DD7" w:rsidP="00B14FDF">
            <w:pPr>
              <w:jc w:val="both"/>
              <w:rPr>
                <w:sz w:val="20"/>
              </w:rPr>
            </w:pPr>
            <w:r w:rsidRPr="00EB7BB6">
              <w:rPr>
                <w:sz w:val="20"/>
              </w:rPr>
              <w:t>Court of Appeal of Alberta (Edmonton)</w:t>
            </w:r>
          </w:p>
          <w:p w:rsidR="001D0DD7" w:rsidRPr="00EB7BB6" w:rsidRDefault="001D0DD7" w:rsidP="00B14FDF">
            <w:pPr>
              <w:jc w:val="both"/>
              <w:rPr>
                <w:sz w:val="20"/>
              </w:rPr>
            </w:pPr>
            <w:r w:rsidRPr="00EB7BB6">
              <w:rPr>
                <w:sz w:val="20"/>
              </w:rPr>
              <w:t>(O'Ferrall, Wakeling, Strekaf JJ.A.)</w:t>
            </w:r>
          </w:p>
          <w:p w:rsidR="001D0DD7" w:rsidRPr="00EB7BB6" w:rsidRDefault="001D0DD7" w:rsidP="00B14FDF">
            <w:pPr>
              <w:jc w:val="both"/>
              <w:rPr>
                <w:sz w:val="20"/>
              </w:rPr>
            </w:pPr>
            <w:r w:rsidRPr="00EB7BB6">
              <w:rPr>
                <w:sz w:val="20"/>
              </w:rPr>
              <w:t>1703-0092-AC, 17003-0060-AC;</w:t>
            </w:r>
          </w:p>
          <w:p w:rsidR="001D0DD7" w:rsidRPr="00EB7BB6" w:rsidRDefault="00EB7BB6" w:rsidP="00B14FDF">
            <w:pPr>
              <w:jc w:val="both"/>
              <w:rPr>
                <w:sz w:val="20"/>
              </w:rPr>
            </w:pPr>
            <w:hyperlink r:id="rId62" w:history="1">
              <w:r w:rsidR="001D0DD7" w:rsidRPr="00EB7BB6">
                <w:rPr>
                  <w:rStyle w:val="Hyperlink"/>
                  <w:sz w:val="20"/>
                </w:rPr>
                <w:t>2018 ABCA 340</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Appeals allowed</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lastRenderedPageBreak/>
              <w:t>December 17, 2018</w:t>
            </w:r>
          </w:p>
          <w:p w:rsidR="001D0DD7" w:rsidRPr="00EB7BB6" w:rsidRDefault="001D0DD7" w:rsidP="00B14FDF">
            <w:pPr>
              <w:jc w:val="both"/>
              <w:rPr>
                <w:sz w:val="20"/>
              </w:rPr>
            </w:pPr>
            <w:r w:rsidRPr="00EB7BB6">
              <w:rPr>
                <w:sz w:val="20"/>
              </w:rPr>
              <w:t>Supreme Court of Canada</w:t>
            </w:r>
          </w:p>
          <w:p w:rsidR="001D0DD7" w:rsidRPr="00EB7BB6" w:rsidRDefault="001D0DD7" w:rsidP="00B14FDF">
            <w:pPr>
              <w:jc w:val="both"/>
              <w:rPr>
                <w:sz w:val="20"/>
              </w:rPr>
            </w:pPr>
            <w:r w:rsidRPr="00EB7BB6">
              <w:rPr>
                <w:sz w:val="20"/>
              </w:rPr>
              <w:t>(SCC No. 38447)</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 xml:space="preserve">Application for leave to appeal filed </w:t>
            </w:r>
          </w:p>
        </w:tc>
      </w:tr>
    </w:tbl>
    <w:p w:rsidR="001D0DD7" w:rsidRPr="00EB7BB6" w:rsidRDefault="001D0DD7" w:rsidP="001D0DD7">
      <w:pPr>
        <w:jc w:val="both"/>
        <w:rPr>
          <w:sz w:val="20"/>
        </w:rPr>
      </w:pPr>
    </w:p>
    <w:p w:rsidR="001D0DD7" w:rsidRPr="00EB7BB6" w:rsidRDefault="00EB7BB6" w:rsidP="001D0DD7">
      <w:pPr>
        <w:ind w:left="142" w:hanging="142"/>
        <w:jc w:val="both"/>
        <w:rPr>
          <w:sz w:val="20"/>
        </w:rPr>
      </w:pPr>
      <w:r w:rsidRPr="00EB7BB6">
        <w:rPr>
          <w:sz w:val="20"/>
          <w:szCs w:val="20"/>
        </w:rPr>
        <w:pict>
          <v:rect id="_x0000_i1074" style="width:2in;height:1pt" o:hrpct="0" o:hralign="center" o:hrstd="t" o:hrnoshade="t" o:hr="t" fillcolor="black" stroked="f"/>
        </w:pict>
      </w:r>
    </w:p>
    <w:p w:rsidR="00B14FDF" w:rsidRPr="00EB7BB6" w:rsidRDefault="00B14FDF" w:rsidP="001D0DD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lang w:val="fr-CA"/>
              </w:rPr>
            </w:pPr>
            <w:r w:rsidRPr="00EB7BB6">
              <w:rPr>
                <w:rStyle w:val="SCCFileNumberChar"/>
                <w:sz w:val="20"/>
                <w:szCs w:val="20"/>
                <w:lang w:val="fr-CA"/>
              </w:rPr>
              <w:t>38447</w:t>
            </w:r>
          </w:p>
        </w:tc>
        <w:tc>
          <w:tcPr>
            <w:tcW w:w="4457" w:type="pct"/>
            <w:gridSpan w:val="3"/>
          </w:tcPr>
          <w:p w:rsidR="001D0DD7" w:rsidRPr="00EB7BB6" w:rsidRDefault="001D0DD7" w:rsidP="00B14FDF">
            <w:pPr>
              <w:pStyle w:val="SCCLsocParty"/>
              <w:jc w:val="both"/>
              <w:rPr>
                <w:b/>
                <w:sz w:val="20"/>
                <w:szCs w:val="20"/>
                <w:lang w:val="en-US"/>
              </w:rPr>
            </w:pPr>
            <w:r w:rsidRPr="00EB7BB6">
              <w:rPr>
                <w:b/>
                <w:sz w:val="20"/>
                <w:szCs w:val="20"/>
                <w:lang w:val="en-US"/>
              </w:rPr>
              <w:t>Chief of Police of the Edmonton Police Service c. Agent T. Deluca (n</w:t>
            </w:r>
            <w:r w:rsidRPr="00EB7BB6">
              <w:rPr>
                <w:b/>
                <w:sz w:val="20"/>
                <w:szCs w:val="20"/>
                <w:vertAlign w:val="superscript"/>
                <w:lang w:val="en-US"/>
              </w:rPr>
              <w:t>o</w:t>
            </w:r>
            <w:r w:rsidRPr="00EB7BB6">
              <w:rPr>
                <w:b/>
                <w:sz w:val="20"/>
                <w:szCs w:val="20"/>
                <w:lang w:val="en-US"/>
              </w:rPr>
              <w:t xml:space="preserve"> 2393) et Agent T. Paulino (n</w:t>
            </w:r>
            <w:r w:rsidRPr="00EB7BB6">
              <w:rPr>
                <w:b/>
                <w:sz w:val="20"/>
                <w:szCs w:val="20"/>
                <w:vertAlign w:val="superscript"/>
                <w:lang w:val="en-US"/>
              </w:rPr>
              <w:t>o</w:t>
            </w:r>
            <w:r w:rsidRPr="00EB7BB6">
              <w:rPr>
                <w:b/>
                <w:sz w:val="20"/>
                <w:szCs w:val="20"/>
                <w:lang w:val="en-US"/>
              </w:rPr>
              <w:t xml:space="preserve"> 2300)</w:t>
            </w:r>
          </w:p>
          <w:p w:rsidR="001D0DD7" w:rsidRPr="00EB7BB6" w:rsidRDefault="001D0DD7" w:rsidP="00B14FDF">
            <w:pPr>
              <w:pStyle w:val="SCCLsocOtherPartySeparator"/>
              <w:rPr>
                <w:rFonts w:cs="Times New Roman"/>
                <w:sz w:val="20"/>
                <w:szCs w:val="20"/>
              </w:rPr>
            </w:pPr>
            <w:r w:rsidRPr="00EB7BB6">
              <w:rPr>
                <w:rFonts w:cs="Times New Roman"/>
                <w:sz w:val="20"/>
                <w:szCs w:val="20"/>
              </w:rPr>
              <w:t>— et —</w:t>
            </w:r>
          </w:p>
          <w:p w:rsidR="001D0DD7" w:rsidRPr="00EB7BB6" w:rsidRDefault="001D0DD7" w:rsidP="00B14FDF">
            <w:r w:rsidRPr="00EB7BB6">
              <w:rPr>
                <w:b/>
                <w:sz w:val="20"/>
              </w:rPr>
              <w:t>Alberta Law Enforcement Review Board</w:t>
            </w:r>
          </w:p>
          <w:p w:rsidR="001D0DD7" w:rsidRPr="00EB7BB6" w:rsidRDefault="001D0DD7" w:rsidP="00B14FDF">
            <w:pPr>
              <w:pStyle w:val="SCCLsocSubfileSeparator0"/>
              <w:rPr>
                <w:sz w:val="20"/>
                <w:szCs w:val="20"/>
                <w:lang w:val="en-US"/>
              </w:rPr>
            </w:pPr>
            <w:r w:rsidRPr="00EB7BB6">
              <w:rPr>
                <w:sz w:val="20"/>
                <w:szCs w:val="20"/>
                <w:lang w:val="en-US"/>
              </w:rPr>
              <w:t>— et entre —</w:t>
            </w:r>
          </w:p>
          <w:p w:rsidR="001D0DD7" w:rsidRPr="00EB7BB6" w:rsidRDefault="001D0DD7" w:rsidP="00B14FDF">
            <w:pPr>
              <w:pStyle w:val="SCCLsocParty"/>
              <w:jc w:val="both"/>
              <w:rPr>
                <w:b/>
                <w:sz w:val="20"/>
                <w:szCs w:val="20"/>
                <w:lang w:val="en-US"/>
              </w:rPr>
            </w:pPr>
            <w:r w:rsidRPr="00EB7BB6">
              <w:rPr>
                <w:b/>
                <w:sz w:val="20"/>
                <w:szCs w:val="20"/>
                <w:lang w:val="en-US"/>
              </w:rPr>
              <w:t>Chief of Police of the Edmonton Police Service c. Agente J. Coughlan (n</w:t>
            </w:r>
            <w:r w:rsidRPr="00EB7BB6">
              <w:rPr>
                <w:b/>
                <w:sz w:val="20"/>
                <w:szCs w:val="20"/>
                <w:vertAlign w:val="superscript"/>
                <w:lang w:val="en-US"/>
              </w:rPr>
              <w:t>o</w:t>
            </w:r>
            <w:r w:rsidRPr="00EB7BB6">
              <w:rPr>
                <w:b/>
                <w:sz w:val="20"/>
                <w:szCs w:val="20"/>
                <w:lang w:val="en-US"/>
              </w:rPr>
              <w:t xml:space="preserve"> 2270)</w:t>
            </w:r>
          </w:p>
          <w:p w:rsidR="001D0DD7" w:rsidRPr="00EB7BB6" w:rsidRDefault="001D0DD7" w:rsidP="00B14FDF">
            <w:pPr>
              <w:pStyle w:val="SCCLsocOtherPartySeparator"/>
              <w:rPr>
                <w:rFonts w:cs="Times New Roman"/>
                <w:sz w:val="20"/>
                <w:szCs w:val="20"/>
              </w:rPr>
            </w:pPr>
            <w:r w:rsidRPr="00EB7BB6">
              <w:rPr>
                <w:rFonts w:cs="Times New Roman"/>
                <w:sz w:val="20"/>
                <w:szCs w:val="20"/>
              </w:rPr>
              <w:t>— et —</w:t>
            </w:r>
          </w:p>
          <w:p w:rsidR="001D0DD7" w:rsidRPr="00EB7BB6" w:rsidRDefault="001D0DD7" w:rsidP="00B14FDF">
            <w:pPr>
              <w:pStyle w:val="SCCLsocParty"/>
              <w:jc w:val="both"/>
              <w:rPr>
                <w:b/>
                <w:sz w:val="20"/>
                <w:szCs w:val="20"/>
                <w:lang w:val="en-US"/>
              </w:rPr>
            </w:pPr>
            <w:r w:rsidRPr="00EB7BB6">
              <w:rPr>
                <w:b/>
                <w:sz w:val="20"/>
                <w:szCs w:val="20"/>
                <w:lang w:val="en-US"/>
              </w:rPr>
              <w:t>Alberta Law Enforcement Review Board</w:t>
            </w:r>
          </w:p>
          <w:p w:rsidR="001D0DD7" w:rsidRPr="00EB7BB6" w:rsidRDefault="001D0DD7" w:rsidP="00B14FDF">
            <w:pPr>
              <w:jc w:val="both"/>
              <w:rPr>
                <w:sz w:val="20"/>
                <w:lang w:val="fr-CA"/>
              </w:rPr>
            </w:pPr>
            <w:r w:rsidRPr="00EB7BB6">
              <w:rPr>
                <w:sz w:val="20"/>
                <w:lang w:val="fr-CA"/>
              </w:rPr>
              <w:t>(Alb.) (Civile) (Autorisation)</w:t>
            </w:r>
          </w:p>
        </w:tc>
      </w:tr>
      <w:tr w:rsidR="00B14FDF" w:rsidRPr="00EB7BB6" w:rsidTr="00B14FDF">
        <w:tc>
          <w:tcPr>
            <w:tcW w:w="5000" w:type="pct"/>
            <w:gridSpan w:val="4"/>
          </w:tcPr>
          <w:p w:rsidR="00B14FDF" w:rsidRPr="00EB7BB6" w:rsidRDefault="009205EA" w:rsidP="00B14FDF">
            <w:pPr>
              <w:jc w:val="both"/>
              <w:rPr>
                <w:sz w:val="20"/>
                <w:szCs w:val="20"/>
                <w:lang w:val="fr-CA"/>
              </w:rPr>
            </w:pPr>
            <w:r w:rsidRPr="00EB7BB6">
              <w:rPr>
                <w:sz w:val="20"/>
                <w:szCs w:val="20"/>
                <w:lang w:val="fr-CA"/>
              </w:rPr>
              <w:t>La requête pour joindre deux dossiers de la Cour d’appel de l’Alberta dans une seule demande d’autorisation d’appel est accueillie. La demande d’autorisation d’appel de l’arrêt de la Cour d’appel de l’Alberta (Edmonton), numéros 1703-0060-AC et 1703-0092-AC, 2018 ABCA 340, daté du 18 octobre 2018, est rejetée sans dépens.</w:t>
            </w:r>
          </w:p>
          <w:p w:rsidR="009205EA" w:rsidRPr="00EB7BB6" w:rsidRDefault="009205EA"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 xml:space="preserve">Droit administratif — Organismes et tribunaux administratifs — Compétence — Quel est le critère approprié pour conclure qu’un tribunal administratif a un pouvoir ou une compétence par la théorie de common law de la « déduction nécessaire »? — Quelle est la bonne manière d’appliquer le principe de </w:t>
            </w:r>
            <w:r w:rsidRPr="00EB7BB6">
              <w:rPr>
                <w:i/>
                <w:sz w:val="20"/>
                <w:lang w:val="fr-CA"/>
              </w:rPr>
              <w:t>stare decisis</w:t>
            </w:r>
            <w:r w:rsidRPr="00EB7BB6">
              <w:rPr>
                <w:sz w:val="20"/>
                <w:lang w:val="fr-CA"/>
              </w:rPr>
              <w:t xml:space="preserve"> aux décisions d’un tribunal administratif?</w:t>
            </w:r>
          </w:p>
        </w:tc>
      </w:tr>
      <w:tr w:rsidR="001D0DD7" w:rsidRPr="00EB7BB6" w:rsidTr="00B14FDF">
        <w:tc>
          <w:tcPr>
            <w:tcW w:w="5000" w:type="pct"/>
            <w:gridSpan w:val="4"/>
          </w:tcPr>
          <w:p w:rsidR="001D0DD7" w:rsidRPr="00EB7BB6" w:rsidRDefault="001D0DD7"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Trois policiers ont déposé des avis d’appel au Law</w:t>
            </w:r>
            <w:r w:rsidRPr="00EB7BB6">
              <w:rPr>
                <w:spacing w:val="-10"/>
                <w:sz w:val="20"/>
                <w:lang w:val="fr-CA"/>
              </w:rPr>
              <w:t xml:space="preserve"> </w:t>
            </w:r>
            <w:r w:rsidRPr="00EB7BB6">
              <w:rPr>
                <w:sz w:val="20"/>
                <w:lang w:val="fr-CA"/>
              </w:rPr>
              <w:t>Enforcement</w:t>
            </w:r>
            <w:r w:rsidRPr="00EB7BB6">
              <w:rPr>
                <w:spacing w:val="-10"/>
                <w:sz w:val="20"/>
                <w:lang w:val="fr-CA"/>
              </w:rPr>
              <w:t xml:space="preserve"> </w:t>
            </w:r>
            <w:r w:rsidRPr="00EB7BB6">
              <w:rPr>
                <w:sz w:val="20"/>
                <w:lang w:val="fr-CA"/>
              </w:rPr>
              <w:t xml:space="preserve">Review Board (le « Bureau ») de ce qu’ils considèrent être une mesure disciplinaire déguisée susceptible d’être portée en appel au Bureau en application de la Partie V de la </w:t>
            </w:r>
            <w:r w:rsidRPr="00EB7BB6">
              <w:rPr>
                <w:i/>
                <w:sz w:val="20"/>
                <w:lang w:val="fr-CA"/>
              </w:rPr>
              <w:t>Police Act</w:t>
            </w:r>
            <w:r w:rsidRPr="00EB7BB6">
              <w:rPr>
                <w:sz w:val="20"/>
                <w:lang w:val="fr-CA"/>
              </w:rPr>
              <w:t>, RSA 2000, ch. P</w:t>
            </w:r>
            <w:r w:rsidRPr="00EB7BB6">
              <w:rPr>
                <w:sz w:val="20"/>
                <w:lang w:val="fr-CA"/>
              </w:rPr>
              <w:noBreakHyphen/>
              <w:t>17. Les agents Deluca et Paulino voulaient conjointement interjeter appel de mutations imposées de l’unité d’instruction des recrues du service de police d’Edmonton. L’agente Coughlan voulait interjeter appel de la radiation de son nom, par le service de police d’Edmonton, d’une liste de candidats admissibles pour le poste d’agent ressource dans les écoles. Le Bureau s’est déclaré incompétent pour instruire les appels. La Cour d’appel a accueilli un appel.</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8 février 2017</w:t>
            </w:r>
          </w:p>
          <w:p w:rsidR="001D0DD7" w:rsidRPr="00EB7BB6" w:rsidRDefault="001D0DD7" w:rsidP="00B14FDF">
            <w:pPr>
              <w:jc w:val="both"/>
              <w:rPr>
                <w:sz w:val="20"/>
                <w:lang w:val="fr-CA"/>
              </w:rPr>
            </w:pPr>
            <w:r w:rsidRPr="00EB7BB6">
              <w:rPr>
                <w:sz w:val="20"/>
                <w:lang w:val="fr-CA"/>
              </w:rPr>
              <w:t>Law Enforcement Review Board</w:t>
            </w:r>
          </w:p>
          <w:p w:rsidR="001D0DD7" w:rsidRPr="00EB7BB6" w:rsidRDefault="001D0DD7" w:rsidP="00B14FDF">
            <w:pPr>
              <w:jc w:val="both"/>
              <w:rPr>
                <w:sz w:val="20"/>
                <w:lang w:val="fr-CA"/>
              </w:rPr>
            </w:pPr>
            <w:r w:rsidRPr="00EB7BB6">
              <w:rPr>
                <w:sz w:val="20"/>
                <w:lang w:val="fr-CA"/>
              </w:rPr>
              <w:t>(Président D. Loukidelis; membre B. Gifford)</w:t>
            </w:r>
          </w:p>
          <w:p w:rsidR="001D0DD7" w:rsidRPr="00EB7BB6" w:rsidRDefault="001D0DD7" w:rsidP="00B14FDF">
            <w:pPr>
              <w:jc w:val="both"/>
              <w:rPr>
                <w:sz w:val="20"/>
                <w:lang w:val="fr-CA"/>
              </w:rPr>
            </w:pPr>
            <w:r w:rsidRPr="00EB7BB6">
              <w:rPr>
                <w:sz w:val="20"/>
                <w:lang w:val="fr-CA"/>
              </w:rPr>
              <w:t>2017 ABLERB 003 (non publié)</w:t>
            </w:r>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Conclusion selon laquelle le Bureau n’a pas compétence pour instruire l’appel déposé par les agents Deluca et Paulino</w:t>
            </w: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14 mars 2017</w:t>
            </w:r>
          </w:p>
          <w:p w:rsidR="001D0DD7" w:rsidRPr="00EB7BB6" w:rsidRDefault="001D0DD7" w:rsidP="00B14FDF">
            <w:pPr>
              <w:jc w:val="both"/>
              <w:rPr>
                <w:sz w:val="20"/>
                <w:lang w:val="fr-CA"/>
              </w:rPr>
            </w:pPr>
            <w:r w:rsidRPr="00EB7BB6">
              <w:rPr>
                <w:sz w:val="20"/>
                <w:lang w:val="fr-CA"/>
              </w:rPr>
              <w:t>Law Enforcement Review Board</w:t>
            </w:r>
          </w:p>
          <w:p w:rsidR="001D0DD7" w:rsidRPr="00EB7BB6" w:rsidRDefault="001D0DD7" w:rsidP="00B14FDF">
            <w:pPr>
              <w:jc w:val="both"/>
              <w:rPr>
                <w:sz w:val="20"/>
                <w:lang w:val="fr-CA"/>
              </w:rPr>
            </w:pPr>
            <w:r w:rsidRPr="00EB7BB6">
              <w:rPr>
                <w:sz w:val="20"/>
                <w:lang w:val="fr-CA"/>
              </w:rPr>
              <w:t>(Président D. Loukidelis; membre A. Arcand)</w:t>
            </w:r>
          </w:p>
          <w:p w:rsidR="001D0DD7" w:rsidRPr="00EB7BB6" w:rsidRDefault="001D0DD7" w:rsidP="00B14FDF">
            <w:pPr>
              <w:jc w:val="both"/>
              <w:rPr>
                <w:sz w:val="20"/>
                <w:lang w:val="fr-CA"/>
              </w:rPr>
            </w:pPr>
            <w:r w:rsidRPr="00EB7BB6">
              <w:rPr>
                <w:sz w:val="20"/>
                <w:lang w:val="fr-CA"/>
              </w:rPr>
              <w:t>2017 ABLERB 006 (non publié)</w:t>
            </w:r>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Conclusion selon laquelle le Bureau n’a pas compétence pour instruire l’appel déposé par l’agente Coughlan</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18 octobre 2018</w:t>
            </w:r>
          </w:p>
          <w:p w:rsidR="001D0DD7" w:rsidRPr="00EB7BB6" w:rsidRDefault="001D0DD7" w:rsidP="00B14FDF">
            <w:pPr>
              <w:jc w:val="both"/>
              <w:rPr>
                <w:sz w:val="20"/>
                <w:lang w:val="fr-CA"/>
              </w:rPr>
            </w:pPr>
            <w:r w:rsidRPr="00EB7BB6">
              <w:rPr>
                <w:sz w:val="20"/>
                <w:lang w:val="fr-CA"/>
              </w:rPr>
              <w:t>Cour d’appel de l’Alberta (Edmonton)</w:t>
            </w:r>
          </w:p>
          <w:p w:rsidR="001D0DD7" w:rsidRPr="00EB7BB6" w:rsidRDefault="001D0DD7" w:rsidP="00B14FDF">
            <w:pPr>
              <w:jc w:val="both"/>
              <w:rPr>
                <w:sz w:val="20"/>
              </w:rPr>
            </w:pPr>
            <w:r w:rsidRPr="00EB7BB6">
              <w:rPr>
                <w:sz w:val="20"/>
              </w:rPr>
              <w:t>(Juges O'Ferrall, Wakeling et Strekaf)</w:t>
            </w:r>
          </w:p>
          <w:p w:rsidR="001D0DD7" w:rsidRPr="00EB7BB6" w:rsidRDefault="001D0DD7" w:rsidP="00B14FDF">
            <w:pPr>
              <w:jc w:val="both"/>
              <w:rPr>
                <w:sz w:val="20"/>
              </w:rPr>
            </w:pPr>
            <w:r w:rsidRPr="00EB7BB6">
              <w:rPr>
                <w:sz w:val="20"/>
              </w:rPr>
              <w:t>1703</w:t>
            </w:r>
            <w:r w:rsidRPr="00EB7BB6">
              <w:rPr>
                <w:sz w:val="20"/>
              </w:rPr>
              <w:noBreakHyphen/>
              <w:t>0092</w:t>
            </w:r>
            <w:r w:rsidRPr="00EB7BB6">
              <w:rPr>
                <w:sz w:val="20"/>
              </w:rPr>
              <w:noBreakHyphen/>
              <w:t>AC, 17003</w:t>
            </w:r>
            <w:r w:rsidRPr="00EB7BB6">
              <w:rPr>
                <w:sz w:val="20"/>
              </w:rPr>
              <w:noBreakHyphen/>
              <w:t>0060</w:t>
            </w:r>
            <w:r w:rsidRPr="00EB7BB6">
              <w:rPr>
                <w:sz w:val="20"/>
              </w:rPr>
              <w:noBreakHyphen/>
              <w:t>AC;</w:t>
            </w:r>
          </w:p>
          <w:p w:rsidR="001D0DD7" w:rsidRPr="00EB7BB6" w:rsidRDefault="00EB7BB6" w:rsidP="00B14FDF">
            <w:pPr>
              <w:jc w:val="both"/>
              <w:rPr>
                <w:sz w:val="20"/>
              </w:rPr>
            </w:pPr>
            <w:hyperlink r:id="rId63" w:history="1">
              <w:r w:rsidR="001D0DD7" w:rsidRPr="00EB7BB6">
                <w:rPr>
                  <w:rStyle w:val="Hyperlink"/>
                  <w:sz w:val="20"/>
                </w:rPr>
                <w:t>2018 ABCA 340</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lang w:val="fr-CA"/>
              </w:rPr>
            </w:pPr>
            <w:r w:rsidRPr="00EB7BB6">
              <w:rPr>
                <w:sz w:val="20"/>
                <w:lang w:val="fr-CA"/>
              </w:rPr>
              <w:t>Arrêt accueillant les appels</w:t>
            </w: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17 décembre 2018</w:t>
            </w:r>
          </w:p>
          <w:p w:rsidR="001D0DD7" w:rsidRPr="00EB7BB6" w:rsidRDefault="001D0DD7" w:rsidP="00CB6812">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 xml:space="preserve">Dépôt de la demande d’autorisation d’appel </w:t>
            </w:r>
          </w:p>
        </w:tc>
      </w:tr>
    </w:tbl>
    <w:p w:rsidR="001D0DD7" w:rsidRPr="00EB7BB6" w:rsidRDefault="001D0DD7" w:rsidP="001D0DD7">
      <w:pPr>
        <w:jc w:val="both"/>
        <w:rPr>
          <w:sz w:val="20"/>
          <w:lang w:val="fr-CA"/>
        </w:rPr>
      </w:pPr>
    </w:p>
    <w:p w:rsidR="00B14FDF" w:rsidRPr="00EB7BB6" w:rsidRDefault="00EB7BB6" w:rsidP="001D0DD7">
      <w:pPr>
        <w:jc w:val="both"/>
        <w:rPr>
          <w:sz w:val="20"/>
          <w:lang w:val="fr-CA"/>
        </w:rPr>
      </w:pPr>
      <w:r w:rsidRPr="00EB7BB6">
        <w:rPr>
          <w:sz w:val="20"/>
          <w:szCs w:val="20"/>
        </w:rPr>
        <w:pict>
          <v:rect id="_x0000_i1075" style="width:2in;height:1pt" o:hrpct="0" o:hralign="center" o:hrstd="t" o:hrnoshade="t" o:hr="t" fillcolor="black" stroked="f"/>
        </w:pict>
      </w:r>
    </w:p>
    <w:p w:rsidR="001D0DD7" w:rsidRPr="00EB7BB6" w:rsidRDefault="001D0DD7" w:rsidP="001D0DD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t>38456</w:t>
            </w:r>
          </w:p>
        </w:tc>
        <w:tc>
          <w:tcPr>
            <w:tcW w:w="4457" w:type="pct"/>
            <w:gridSpan w:val="3"/>
          </w:tcPr>
          <w:p w:rsidR="001D0DD7" w:rsidRPr="00EB7BB6" w:rsidRDefault="001D0DD7" w:rsidP="00B14FDF">
            <w:pPr>
              <w:pStyle w:val="SCCLsocParty"/>
              <w:jc w:val="both"/>
              <w:rPr>
                <w:b/>
                <w:sz w:val="20"/>
                <w:szCs w:val="20"/>
                <w:lang w:val="en-CA"/>
              </w:rPr>
            </w:pPr>
            <w:r w:rsidRPr="00EB7BB6">
              <w:rPr>
                <w:b/>
                <w:sz w:val="20"/>
                <w:szCs w:val="20"/>
                <w:lang w:val="en-CA"/>
              </w:rPr>
              <w:t>Rossita Stoyanova v. Litwin Boyadjian inc., in its capacity as trustee in bankruptcy of Les Disques Mile End inc. and Nicolas Maranda</w:t>
            </w:r>
          </w:p>
          <w:p w:rsidR="001D0DD7" w:rsidRPr="00EB7BB6" w:rsidRDefault="001D0DD7" w:rsidP="00B14FDF">
            <w:pPr>
              <w:jc w:val="both"/>
              <w:rPr>
                <w:sz w:val="20"/>
              </w:rPr>
            </w:pPr>
            <w:r w:rsidRPr="00EB7BB6">
              <w:rPr>
                <w:sz w:val="20"/>
              </w:rPr>
              <w:t>(Que.) (Civil) (By Leave)</w:t>
            </w:r>
          </w:p>
        </w:tc>
      </w:tr>
      <w:tr w:rsidR="00B14FDF" w:rsidRPr="00EB7BB6" w:rsidTr="00B14FDF">
        <w:tc>
          <w:tcPr>
            <w:tcW w:w="5000" w:type="pct"/>
            <w:gridSpan w:val="4"/>
          </w:tcPr>
          <w:p w:rsidR="00BF742B" w:rsidRPr="00EB7BB6" w:rsidRDefault="00BF742B" w:rsidP="00BF742B">
            <w:pPr>
              <w:jc w:val="both"/>
              <w:rPr>
                <w:sz w:val="20"/>
                <w:szCs w:val="20"/>
              </w:rPr>
            </w:pPr>
            <w:r w:rsidRPr="00EB7BB6">
              <w:rPr>
                <w:sz w:val="20"/>
                <w:szCs w:val="20"/>
              </w:rPr>
              <w:t>The application for leave to appeal from the judgment of the Court of Appeal of Quebec (Montréal), Number 500-09-026471-169, 2018 QCCA 1788, dated October 24, 2018, is dismissed without costs.</w:t>
            </w:r>
          </w:p>
          <w:p w:rsidR="00B14FDF" w:rsidRPr="00EB7BB6" w:rsidRDefault="00B14FDF" w:rsidP="00B14FDF">
            <w:pPr>
              <w:pStyle w:val="SCCBanSummary0"/>
              <w:rPr>
                <w:smallCaps w:val="0"/>
                <w:sz w:val="20"/>
                <w:szCs w:val="20"/>
              </w:rPr>
            </w:pPr>
          </w:p>
        </w:tc>
      </w:tr>
      <w:tr w:rsidR="001D0DD7" w:rsidRPr="00EB7BB6" w:rsidTr="00B14FDF">
        <w:tc>
          <w:tcPr>
            <w:tcW w:w="5000" w:type="pct"/>
            <w:gridSpan w:val="4"/>
          </w:tcPr>
          <w:p w:rsidR="001D0DD7" w:rsidRPr="00EB7BB6" w:rsidRDefault="001D0DD7" w:rsidP="00B14FDF">
            <w:pPr>
              <w:pStyle w:val="SCCBanSummary0"/>
              <w:rPr>
                <w:smallCaps w:val="0"/>
                <w:sz w:val="20"/>
                <w:szCs w:val="20"/>
              </w:rPr>
            </w:pPr>
            <w:r w:rsidRPr="00EB7BB6">
              <w:rPr>
                <w:smallCaps w:val="0"/>
                <w:sz w:val="20"/>
                <w:szCs w:val="20"/>
              </w:rPr>
              <w:t>Intellectual property — Copyright — Vocal performance of poem — Remixed version of song — Production of album — Absence of authorization — Implied licence — Violation of privacy, dignity and honour — Sound recording — Absence of consent — Limited distribution — Assessment of damages — Moral injury — Material injury — Whether defence that there was implied licence to market musical work worldwide, without contract and on sole basis of author/performer’s sexuality, constitutes sexual harassment in course of proceeding and abuse of procedure — Whether respondent Nicolas Maranda, by defending infringement by Les Disques Mile End inc., unlawfully and intentionally authorized that infringement — Whether introduction of [</w:t>
            </w:r>
            <w:r w:rsidRPr="00EB7BB6">
              <w:rPr>
                <w:sz w:val="20"/>
                <w:szCs w:val="20"/>
              </w:rPr>
              <w:t>translation</w:t>
            </w:r>
            <w:r w:rsidRPr="00EB7BB6">
              <w:rPr>
                <w:rFonts w:asciiTheme="minorBidi" w:hAnsiTheme="minorBidi"/>
                <w:smallCaps w:val="0"/>
                <w:sz w:val="20"/>
                <w:szCs w:val="20"/>
              </w:rPr>
              <w:t>]</w:t>
            </w:r>
            <w:r w:rsidRPr="00EB7BB6">
              <w:rPr>
                <w:smallCaps w:val="0"/>
                <w:sz w:val="20"/>
                <w:szCs w:val="20"/>
              </w:rPr>
              <w:t xml:space="preserve"> “rape myths” in intellectual property case had effect of denying non</w:t>
            </w:r>
            <w:r w:rsidRPr="00EB7BB6">
              <w:rPr>
                <w:smallCaps w:val="0"/>
                <w:sz w:val="20"/>
                <w:szCs w:val="20"/>
              </w:rPr>
              <w:noBreakHyphen/>
              <w:t>pecuniary consequences of marketing of work and intentional nature of breach of author/performer’s privacy.</w:t>
            </w:r>
          </w:p>
        </w:tc>
      </w:tr>
      <w:tr w:rsidR="001D0DD7" w:rsidRPr="00EB7BB6" w:rsidTr="00B14FDF">
        <w:tc>
          <w:tcPr>
            <w:tcW w:w="5000" w:type="pct"/>
            <w:gridSpan w:val="4"/>
          </w:tcPr>
          <w:p w:rsidR="001D0DD7" w:rsidRPr="00EB7BB6" w:rsidRDefault="001D0DD7"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In 2010, the respondent Mr. Maranda recorded the applicant Ms. Stoyanova’s vocal performance of a poem she had written. With Ms. Stoyanova’s consent, the recording of that work was integrated with the music of a group called Monitor in order to create a song. Monitor later assigned the rights to the producer, Les Disques Mile End inc., which marketed the song without Ms. Stoyanova’s authorization and without identifying her as the author. Around the same time, and without Ms. Stoyanova’s knowledge, Mr. Maranda made a 96</w:t>
            </w:r>
            <w:r w:rsidRPr="00EB7BB6">
              <w:rPr>
                <w:sz w:val="20"/>
              </w:rPr>
              <w:noBreakHyphen/>
              <w:t>minute recording of the ambient noise in his apartment, including a sexual encounter between them. The Superior Court (i) allowed in part Ms. Stoyanova’s application for a permanent injunction and damages against Les Disques Mile End inc. and Litwin Boyadjian inc., in its capacity as trustee in bankruptcy, (ii) ordered them to pay $15,528 for copyright infringement, (iii) ordered Mr. Maranda to pay Ms. Stoyanova $5,000 in moral damages for breach of privacy, and (iv) dismissed the cross</w:t>
            </w:r>
            <w:r w:rsidRPr="00EB7BB6">
              <w:rPr>
                <w:sz w:val="20"/>
              </w:rPr>
              <w:noBreakHyphen/>
              <w:t>application, with legal costs to Ms. Stoyanova. The Court of Appeal unanimously dismissed Ms. Stoyanova’s appeal with legal costs, finding that none of the grounds of appeal had merit.</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October 24, 2016</w:t>
            </w:r>
          </w:p>
          <w:p w:rsidR="001D0DD7" w:rsidRPr="00EB7BB6" w:rsidRDefault="001D0DD7" w:rsidP="00B14FDF">
            <w:pPr>
              <w:jc w:val="both"/>
              <w:rPr>
                <w:sz w:val="20"/>
              </w:rPr>
            </w:pPr>
            <w:r w:rsidRPr="00EB7BB6">
              <w:rPr>
                <w:sz w:val="20"/>
              </w:rPr>
              <w:t>Quebec Superior Court</w:t>
            </w:r>
          </w:p>
          <w:p w:rsidR="001D0DD7" w:rsidRPr="00EB7BB6" w:rsidRDefault="001D0DD7" w:rsidP="00B14FDF">
            <w:pPr>
              <w:jc w:val="both"/>
              <w:rPr>
                <w:sz w:val="20"/>
              </w:rPr>
            </w:pPr>
            <w:r w:rsidRPr="00EB7BB6">
              <w:rPr>
                <w:sz w:val="20"/>
              </w:rPr>
              <w:t>(Lucas J.)</w:t>
            </w:r>
          </w:p>
          <w:p w:rsidR="001D0DD7" w:rsidRPr="00EB7BB6" w:rsidRDefault="001D0DD7" w:rsidP="00B14FDF">
            <w:pPr>
              <w:jc w:val="both"/>
              <w:rPr>
                <w:sz w:val="20"/>
              </w:rPr>
            </w:pPr>
            <w:r w:rsidRPr="00EB7BB6">
              <w:rPr>
                <w:sz w:val="20"/>
              </w:rPr>
              <w:t>No. 500</w:t>
            </w:r>
            <w:r w:rsidRPr="00EB7BB6">
              <w:rPr>
                <w:sz w:val="20"/>
              </w:rPr>
              <w:noBreakHyphen/>
              <w:t>17</w:t>
            </w:r>
            <w:r w:rsidRPr="00EB7BB6">
              <w:rPr>
                <w:sz w:val="20"/>
              </w:rPr>
              <w:noBreakHyphen/>
              <w:t>073668</w:t>
            </w:r>
            <w:r w:rsidRPr="00EB7BB6">
              <w:rPr>
                <w:sz w:val="20"/>
              </w:rPr>
              <w:noBreakHyphen/>
              <w:t>124</w:t>
            </w:r>
          </w:p>
          <w:p w:rsidR="001D0DD7" w:rsidRPr="00EB7BB6" w:rsidRDefault="00EB7BB6" w:rsidP="00B14FDF">
            <w:pPr>
              <w:jc w:val="both"/>
              <w:rPr>
                <w:sz w:val="20"/>
              </w:rPr>
            </w:pPr>
            <w:hyperlink r:id="rId64" w:history="1">
              <w:r w:rsidR="001D0DD7" w:rsidRPr="00EB7BB6">
                <w:rPr>
                  <w:rStyle w:val="Hyperlink"/>
                  <w:sz w:val="20"/>
                </w:rPr>
                <w:t>2016 QCCS 5093</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Amended originating application for permanent injunction and damages allowed in part; cross</w:t>
            </w:r>
            <w:r w:rsidRPr="00EB7BB6">
              <w:rPr>
                <w:sz w:val="20"/>
              </w:rPr>
              <w:noBreakHyphen/>
              <w:t>application dismissed with legal costs to applicant</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October 24, 2018</w:t>
            </w:r>
          </w:p>
          <w:p w:rsidR="001D0DD7" w:rsidRPr="00EB7BB6" w:rsidRDefault="001D0DD7" w:rsidP="00B14FDF">
            <w:pPr>
              <w:jc w:val="both"/>
              <w:rPr>
                <w:sz w:val="20"/>
              </w:rPr>
            </w:pPr>
            <w:r w:rsidRPr="00EB7BB6">
              <w:rPr>
                <w:sz w:val="20"/>
              </w:rPr>
              <w:t>Quebec Court of Appeal (Montréal)</w:t>
            </w:r>
          </w:p>
          <w:p w:rsidR="001D0DD7" w:rsidRPr="00EB7BB6" w:rsidRDefault="001D0DD7" w:rsidP="00B14FDF">
            <w:pPr>
              <w:jc w:val="both"/>
              <w:rPr>
                <w:sz w:val="20"/>
              </w:rPr>
            </w:pPr>
            <w:r w:rsidRPr="00EB7BB6">
              <w:rPr>
                <w:sz w:val="20"/>
              </w:rPr>
              <w:t>(Chamberland, Savard and Marcotte JJ.A.)</w:t>
            </w:r>
          </w:p>
          <w:p w:rsidR="001D0DD7" w:rsidRPr="00EB7BB6" w:rsidRDefault="001D0DD7" w:rsidP="00B14FDF">
            <w:pPr>
              <w:jc w:val="both"/>
              <w:rPr>
                <w:sz w:val="20"/>
              </w:rPr>
            </w:pPr>
            <w:r w:rsidRPr="00EB7BB6">
              <w:rPr>
                <w:sz w:val="20"/>
              </w:rPr>
              <w:t>No. 500</w:t>
            </w:r>
            <w:r w:rsidRPr="00EB7BB6">
              <w:rPr>
                <w:sz w:val="20"/>
              </w:rPr>
              <w:noBreakHyphen/>
              <w:t>09</w:t>
            </w:r>
            <w:r w:rsidRPr="00EB7BB6">
              <w:rPr>
                <w:sz w:val="20"/>
              </w:rPr>
              <w:noBreakHyphen/>
              <w:t>026471</w:t>
            </w:r>
            <w:r w:rsidRPr="00EB7BB6">
              <w:rPr>
                <w:sz w:val="20"/>
              </w:rPr>
              <w:noBreakHyphen/>
              <w:t>169</w:t>
            </w:r>
          </w:p>
          <w:p w:rsidR="001D0DD7" w:rsidRPr="00EB7BB6" w:rsidRDefault="00EB7BB6" w:rsidP="00B14FDF">
            <w:pPr>
              <w:jc w:val="both"/>
              <w:rPr>
                <w:sz w:val="20"/>
              </w:rPr>
            </w:pPr>
            <w:hyperlink r:id="rId65" w:history="1">
              <w:r w:rsidR="001D0DD7" w:rsidRPr="00EB7BB6">
                <w:rPr>
                  <w:rStyle w:val="Hyperlink"/>
                  <w:sz w:val="20"/>
                </w:rPr>
                <w:t>2018 QCCA 1788</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Appeal dismissed with costs</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December 21,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tc>
      </w:tr>
    </w:tbl>
    <w:p w:rsidR="001D0DD7" w:rsidRPr="00EB7BB6" w:rsidRDefault="001D0DD7" w:rsidP="001D0DD7">
      <w:pPr>
        <w:jc w:val="both"/>
        <w:rPr>
          <w:sz w:val="20"/>
        </w:rPr>
      </w:pPr>
    </w:p>
    <w:p w:rsidR="00B14FDF" w:rsidRPr="00EB7BB6" w:rsidRDefault="00EB7BB6" w:rsidP="001D0DD7">
      <w:pPr>
        <w:jc w:val="both"/>
        <w:rPr>
          <w:sz w:val="20"/>
        </w:rPr>
      </w:pPr>
      <w:r w:rsidRPr="00EB7BB6">
        <w:rPr>
          <w:sz w:val="20"/>
          <w:szCs w:val="20"/>
        </w:rPr>
        <w:pict>
          <v:rect id="_x0000_i1076" style="width:2in;height:1pt" o:hrpct="0" o:hralign="center" o:hrstd="t" o:hrnoshade="t" o:hr="t" fillcolor="black" stroked="f"/>
        </w:pict>
      </w:r>
    </w:p>
    <w:p w:rsidR="001D0DD7" w:rsidRPr="00EB7BB6" w:rsidRDefault="001D0DD7" w:rsidP="001D0DD7">
      <w:pPr>
        <w:jc w:val="both"/>
        <w:rPr>
          <w:sz w:val="20"/>
        </w:rPr>
      </w:pPr>
    </w:p>
    <w:p w:rsidR="00EC16C8" w:rsidRPr="00EB7BB6" w:rsidRDefault="00EC16C8">
      <w:r w:rsidRPr="00EB7BB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lastRenderedPageBreak/>
              <w:t>38456</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Rossita Stoyanova c. Litwin Boyadjian inc., ès qualités de syndic à la faillite de Les Disques Mile End inc. et Nicolas Maranda</w:t>
            </w:r>
          </w:p>
          <w:p w:rsidR="001D0DD7" w:rsidRPr="00EB7BB6" w:rsidRDefault="001D0DD7" w:rsidP="00B14FDF">
            <w:pPr>
              <w:jc w:val="both"/>
              <w:rPr>
                <w:sz w:val="20"/>
                <w:lang w:val="fr-CA"/>
              </w:rPr>
            </w:pPr>
            <w:r w:rsidRPr="00EB7BB6">
              <w:rPr>
                <w:sz w:val="20"/>
                <w:lang w:val="fr-CA"/>
              </w:rPr>
              <w:t>(Qc) (Civile) (Autorisation)</w:t>
            </w:r>
          </w:p>
        </w:tc>
      </w:tr>
      <w:tr w:rsidR="00B14FDF" w:rsidRPr="00EB7BB6" w:rsidTr="00B14FDF">
        <w:tc>
          <w:tcPr>
            <w:tcW w:w="5000" w:type="pct"/>
            <w:gridSpan w:val="4"/>
          </w:tcPr>
          <w:p w:rsidR="00B83681" w:rsidRPr="00EB7BB6" w:rsidRDefault="00B83681" w:rsidP="00B83681">
            <w:pPr>
              <w:jc w:val="both"/>
              <w:rPr>
                <w:sz w:val="20"/>
                <w:szCs w:val="20"/>
                <w:lang w:val="fr-CA"/>
              </w:rPr>
            </w:pPr>
            <w:r w:rsidRPr="00EB7BB6">
              <w:rPr>
                <w:sz w:val="20"/>
                <w:szCs w:val="20"/>
                <w:lang w:val="fr-CA"/>
              </w:rPr>
              <w:t>La demande d’autorisation d’appel de l’arrêt de la Cour d’appel du Québec (Montréal), numéro 500-09-026471-169, 2018 QCCA 1788, daté du 24 octobre 2018, est rejetée sans dépens.</w:t>
            </w:r>
          </w:p>
          <w:p w:rsidR="00B14FDF" w:rsidRPr="00EB7BB6" w:rsidRDefault="00B14FDF" w:rsidP="00B14FDF">
            <w:pPr>
              <w:pStyle w:val="SCCBanSummary0"/>
              <w:rPr>
                <w:smallCaps w:val="0"/>
                <w:sz w:val="20"/>
                <w:szCs w:val="20"/>
                <w:lang w:val="fr-CA"/>
              </w:rPr>
            </w:pPr>
          </w:p>
        </w:tc>
      </w:tr>
      <w:tr w:rsidR="001D0DD7" w:rsidRPr="00EB7BB6" w:rsidTr="00B14FDF">
        <w:tc>
          <w:tcPr>
            <w:tcW w:w="5000" w:type="pct"/>
            <w:gridSpan w:val="4"/>
          </w:tcPr>
          <w:p w:rsidR="001D0DD7" w:rsidRPr="00EB7BB6" w:rsidRDefault="001D0DD7" w:rsidP="00B14FDF">
            <w:pPr>
              <w:pStyle w:val="SCCBanSummary0"/>
              <w:rPr>
                <w:smallCaps w:val="0"/>
                <w:sz w:val="20"/>
                <w:szCs w:val="20"/>
                <w:lang w:val="fr-CA"/>
              </w:rPr>
            </w:pPr>
            <w:r w:rsidRPr="00EB7BB6">
              <w:rPr>
                <w:smallCaps w:val="0"/>
                <w:sz w:val="20"/>
                <w:szCs w:val="20"/>
                <w:lang w:val="fr-CA"/>
              </w:rPr>
              <w:t>Propriété intellectuelle — Droit d’auteur — Prestation vocale d’un poème — Version remixée d’une chanson — Production d’un album — Absence d’autorisation — Licence implicite —Atteinte à la vie privée, à la dignité et à l’honneur — Enregistrement sonore — Absence de consentement — Diffusion restreinte — Évaluation des dommages — Préjudice moral —Préjudice matériel — Est</w:t>
            </w:r>
            <w:r w:rsidRPr="00EB7BB6">
              <w:rPr>
                <w:smallCaps w:val="0"/>
                <w:sz w:val="20"/>
                <w:szCs w:val="20"/>
                <w:lang w:val="fr-CA"/>
              </w:rPr>
              <w:noBreakHyphen/>
              <w:t>ce que la défense de la licence implicite à la commercialisation mondiale d’une œuvre, musicale, sans contrat et sur la seule base de la sexualité de l’auteur interprète constitue du harcèlement sexuel en cours d’instance et un abus de procédure? — En ayant défendu la contrefaçon de Les Disques Mile End, l’intimé Nicolas Maranda a</w:t>
            </w:r>
            <w:r w:rsidRPr="00EB7BB6">
              <w:rPr>
                <w:smallCaps w:val="0"/>
                <w:sz w:val="20"/>
                <w:szCs w:val="20"/>
                <w:lang w:val="fr-CA"/>
              </w:rPr>
              <w:noBreakHyphen/>
              <w:t>t</w:t>
            </w:r>
            <w:r w:rsidRPr="00EB7BB6">
              <w:rPr>
                <w:smallCaps w:val="0"/>
                <w:sz w:val="20"/>
                <w:szCs w:val="20"/>
                <w:lang w:val="fr-CA"/>
              </w:rPr>
              <w:noBreakHyphen/>
              <w:t>il autorisé cette contrefaçon de manière illicite et intentionnelle? — Est</w:t>
            </w:r>
            <w:r w:rsidRPr="00EB7BB6">
              <w:rPr>
                <w:smallCaps w:val="0"/>
                <w:sz w:val="20"/>
                <w:szCs w:val="20"/>
                <w:lang w:val="fr-CA"/>
              </w:rPr>
              <w:noBreakHyphen/>
              <w:t>ce que l’introduction des «  mythes du viol  » dans un dossier de propriété intellectuelle a eu pour effet de nier les conséquences non pécuniaires de la commercialisation de l’œuvre et le caractère intentionnel de l’atteinte à la vie privée de l’auteur interprète?</w:t>
            </w:r>
          </w:p>
        </w:tc>
      </w:tr>
      <w:tr w:rsidR="001D0DD7" w:rsidRPr="00EB7BB6" w:rsidTr="00B14FDF">
        <w:tc>
          <w:tcPr>
            <w:tcW w:w="5000" w:type="pct"/>
            <w:gridSpan w:val="4"/>
          </w:tcPr>
          <w:p w:rsidR="001D0DD7" w:rsidRPr="00EB7BB6" w:rsidRDefault="001D0DD7"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t>En 2010, l’intimé M. Maranda enregistre la prestation vocale par la demanderesse Mme Stoyanova d’un poème dont elle est l’auteure. L’enregistrement de cette œuvre est intégré à la musique du groupe Monitor pour créer une chanson avec le consentement de Mme Stoyanova. Par la suite, le groupe Monitor cède les droits au producteur Les Disques Mile End Inc., qui commercialise la chanson sans l’autorisation de Mme Stoyanova et sans l’identifier comme auteure. Concomitamment, M. Maranda enregistre à l’insu de Mme Stoyanova les bruits ambiants de son appartement durant 96 minutes, y incluant leur relation sexuelle. La Cour supérieure (i) accueille en partie la demande en injonction permanente et en dommages de Mme Stoyanova contre Les Disques Mile</w:t>
            </w:r>
            <w:r w:rsidRPr="00EB7BB6">
              <w:rPr>
                <w:sz w:val="20"/>
                <w:lang w:val="fr-CA"/>
              </w:rPr>
              <w:noBreakHyphen/>
              <w:t>End inc. et Litwin Boyadjian inc., ès qualités de syndic à la faillite, (ii) les condamne à lui verser 15 528 $ pour violation de ses droits d’auteur, (iii) condamne M. Maranda à lui verser des dommages moraux de 5 000 $ pour atteinte à sa vie privée et (iv) rejette la demande reconventionnelle, le tout avec frais de justice en faveur de Stoyanova. La Cour d’appel, dans un arrêt unanime, rejette l’appel de Mme Stoyanova avec les frais de justice, concluant qu’aucun des moyens soulevés n’est fondé.</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24 octobre 2016</w:t>
            </w:r>
          </w:p>
          <w:p w:rsidR="001D0DD7" w:rsidRPr="00EB7BB6" w:rsidRDefault="001D0DD7" w:rsidP="00B14FDF">
            <w:pPr>
              <w:jc w:val="both"/>
              <w:rPr>
                <w:sz w:val="20"/>
                <w:lang w:val="fr-CA"/>
              </w:rPr>
            </w:pPr>
            <w:r w:rsidRPr="00EB7BB6">
              <w:rPr>
                <w:sz w:val="20"/>
                <w:lang w:val="fr-CA"/>
              </w:rPr>
              <w:t>Cour supérieure du Québec</w:t>
            </w:r>
          </w:p>
          <w:p w:rsidR="001D0DD7" w:rsidRPr="00EB7BB6" w:rsidRDefault="001D0DD7" w:rsidP="00B14FDF">
            <w:pPr>
              <w:jc w:val="both"/>
              <w:rPr>
                <w:sz w:val="20"/>
                <w:lang w:val="fr-CA"/>
              </w:rPr>
            </w:pPr>
            <w:r w:rsidRPr="00EB7BB6">
              <w:rPr>
                <w:sz w:val="20"/>
                <w:lang w:val="fr-CA"/>
              </w:rPr>
              <w:t>(La juge Lucas)</w:t>
            </w:r>
          </w:p>
          <w:p w:rsidR="001D0DD7" w:rsidRPr="00EB7BB6" w:rsidRDefault="001D0DD7" w:rsidP="00B14FDF">
            <w:pPr>
              <w:jc w:val="both"/>
              <w:rPr>
                <w:sz w:val="20"/>
                <w:lang w:val="fr-CA"/>
              </w:rPr>
            </w:pPr>
            <w:r w:rsidRPr="00EB7BB6">
              <w:rPr>
                <w:sz w:val="20"/>
                <w:lang w:val="fr-CA"/>
              </w:rPr>
              <w:t>No. 500</w:t>
            </w:r>
            <w:r w:rsidRPr="00EB7BB6">
              <w:rPr>
                <w:sz w:val="20"/>
                <w:lang w:val="fr-CA"/>
              </w:rPr>
              <w:noBreakHyphen/>
              <w:t>17</w:t>
            </w:r>
            <w:r w:rsidRPr="00EB7BB6">
              <w:rPr>
                <w:sz w:val="20"/>
                <w:lang w:val="fr-CA"/>
              </w:rPr>
              <w:noBreakHyphen/>
              <w:t>073668</w:t>
            </w:r>
            <w:r w:rsidRPr="00EB7BB6">
              <w:rPr>
                <w:sz w:val="20"/>
                <w:lang w:val="fr-CA"/>
              </w:rPr>
              <w:noBreakHyphen/>
              <w:t>124</w:t>
            </w:r>
          </w:p>
          <w:p w:rsidR="001D0DD7" w:rsidRPr="00EB7BB6" w:rsidRDefault="00EB7BB6" w:rsidP="00B14FDF">
            <w:pPr>
              <w:jc w:val="both"/>
              <w:rPr>
                <w:sz w:val="20"/>
                <w:lang w:val="fr-CA"/>
              </w:rPr>
            </w:pPr>
            <w:hyperlink r:id="rId66" w:history="1">
              <w:r w:rsidR="001D0DD7" w:rsidRPr="00EB7BB6">
                <w:rPr>
                  <w:rStyle w:val="Hyperlink"/>
                  <w:sz w:val="20"/>
                  <w:lang w:val="fr-CA"/>
                </w:rPr>
                <w:t>2016 QCCS 5093</w:t>
              </w:r>
            </w:hyperlink>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Demande introductive d’instance modifiée en injonction permanente et en dommages accueillie en partie; demande reconventionnelle rejetée, avec frais de justice en faveur de la demanderesse</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24 octobre 2018</w:t>
            </w:r>
          </w:p>
          <w:p w:rsidR="001D0DD7" w:rsidRPr="00EB7BB6" w:rsidRDefault="001D0DD7" w:rsidP="00B14FDF">
            <w:pPr>
              <w:jc w:val="both"/>
              <w:rPr>
                <w:sz w:val="20"/>
                <w:lang w:val="fr-CA"/>
              </w:rPr>
            </w:pPr>
            <w:r w:rsidRPr="00EB7BB6">
              <w:rPr>
                <w:sz w:val="20"/>
                <w:lang w:val="fr-CA"/>
              </w:rPr>
              <w:t>Cour d’appel du Québec (Montréal)</w:t>
            </w:r>
          </w:p>
          <w:p w:rsidR="001D0DD7" w:rsidRPr="00EB7BB6" w:rsidRDefault="001D0DD7" w:rsidP="00B14FDF">
            <w:pPr>
              <w:jc w:val="both"/>
              <w:rPr>
                <w:sz w:val="20"/>
                <w:lang w:val="fr-CA"/>
              </w:rPr>
            </w:pPr>
            <w:r w:rsidRPr="00EB7BB6">
              <w:rPr>
                <w:sz w:val="20"/>
                <w:lang w:val="fr-CA"/>
              </w:rPr>
              <w:t>(Les juges Chamberland, Savard, Marcotte)</w:t>
            </w:r>
          </w:p>
          <w:p w:rsidR="001D0DD7" w:rsidRPr="00EB7BB6" w:rsidRDefault="001D0DD7" w:rsidP="00B14FDF">
            <w:pPr>
              <w:jc w:val="both"/>
              <w:rPr>
                <w:sz w:val="20"/>
              </w:rPr>
            </w:pPr>
            <w:r w:rsidRPr="00EB7BB6">
              <w:rPr>
                <w:sz w:val="20"/>
              </w:rPr>
              <w:t>No. 500</w:t>
            </w:r>
            <w:r w:rsidRPr="00EB7BB6">
              <w:rPr>
                <w:sz w:val="20"/>
              </w:rPr>
              <w:noBreakHyphen/>
              <w:t>09</w:t>
            </w:r>
            <w:r w:rsidRPr="00EB7BB6">
              <w:rPr>
                <w:sz w:val="20"/>
              </w:rPr>
              <w:noBreakHyphen/>
              <w:t>026471</w:t>
            </w:r>
            <w:r w:rsidRPr="00EB7BB6">
              <w:rPr>
                <w:sz w:val="20"/>
              </w:rPr>
              <w:noBreakHyphen/>
              <w:t>169</w:t>
            </w:r>
          </w:p>
          <w:p w:rsidR="001D0DD7" w:rsidRPr="00EB7BB6" w:rsidRDefault="00EB7BB6" w:rsidP="00B14FDF">
            <w:pPr>
              <w:jc w:val="both"/>
              <w:rPr>
                <w:sz w:val="20"/>
              </w:rPr>
            </w:pPr>
            <w:hyperlink r:id="rId67" w:history="1">
              <w:r w:rsidR="001D0DD7" w:rsidRPr="00EB7BB6">
                <w:rPr>
                  <w:rStyle w:val="Hyperlink"/>
                  <w:sz w:val="20"/>
                </w:rPr>
                <w:t>2018 QCCA 1788</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lang w:val="fr-CA"/>
              </w:rPr>
            </w:pPr>
            <w:r w:rsidRPr="00EB7BB6">
              <w:rPr>
                <w:sz w:val="20"/>
                <w:lang w:val="fr-CA"/>
              </w:rPr>
              <w:t>Appel rejeté, avec frais de justice</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Le 21 décembre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rPr>
            </w:pPr>
            <w:r w:rsidRPr="00EB7BB6">
              <w:rPr>
                <w:sz w:val="20"/>
              </w:rPr>
              <w:t>Demande d’autorisation d’appel déposée</w:t>
            </w:r>
          </w:p>
        </w:tc>
      </w:tr>
    </w:tbl>
    <w:p w:rsidR="001D0DD7" w:rsidRPr="00EB7BB6" w:rsidRDefault="001D0DD7" w:rsidP="001D0DD7">
      <w:pPr>
        <w:jc w:val="both"/>
        <w:rPr>
          <w:sz w:val="20"/>
        </w:rPr>
      </w:pPr>
    </w:p>
    <w:p w:rsidR="00B14FDF" w:rsidRPr="00EB7BB6" w:rsidRDefault="00EB7BB6" w:rsidP="001D0DD7">
      <w:pPr>
        <w:jc w:val="both"/>
        <w:rPr>
          <w:sz w:val="20"/>
        </w:rPr>
      </w:pPr>
      <w:r w:rsidRPr="00EB7BB6">
        <w:rPr>
          <w:sz w:val="20"/>
          <w:szCs w:val="20"/>
        </w:rPr>
        <w:pict>
          <v:rect id="_x0000_i1077" style="width:2in;height:1pt" o:hrpct="0" o:hralign="center" o:hrstd="t" o:hrnoshade="t" o:hr="t" fillcolor="black" stroked="f"/>
        </w:pict>
      </w:r>
    </w:p>
    <w:p w:rsidR="001D0DD7" w:rsidRPr="00EB7BB6" w:rsidRDefault="001D0DD7" w:rsidP="001D0DD7">
      <w:pPr>
        <w:jc w:val="both"/>
        <w:rPr>
          <w:sz w:val="20"/>
          <w:lang w:val="fr-CA"/>
        </w:rPr>
      </w:pPr>
    </w:p>
    <w:p w:rsidR="00F44D23" w:rsidRPr="00EB7BB6" w:rsidRDefault="00F44D23">
      <w:r w:rsidRPr="00EB7BB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rPr>
            </w:pPr>
            <w:r w:rsidRPr="00EB7BB6">
              <w:rPr>
                <w:rStyle w:val="SCCFileNumberChar"/>
                <w:sz w:val="20"/>
                <w:szCs w:val="20"/>
              </w:rPr>
              <w:lastRenderedPageBreak/>
              <w:t>38462</w:t>
            </w:r>
          </w:p>
        </w:tc>
        <w:tc>
          <w:tcPr>
            <w:tcW w:w="4457" w:type="pct"/>
            <w:gridSpan w:val="3"/>
          </w:tcPr>
          <w:p w:rsidR="001D0DD7" w:rsidRPr="00EB7BB6" w:rsidRDefault="001D0DD7" w:rsidP="00B14FDF">
            <w:pPr>
              <w:pStyle w:val="SCCLsocParty"/>
              <w:jc w:val="both"/>
              <w:rPr>
                <w:b/>
                <w:sz w:val="20"/>
                <w:szCs w:val="20"/>
                <w:lang w:val="en-US"/>
              </w:rPr>
            </w:pPr>
            <w:r w:rsidRPr="00EB7BB6">
              <w:rPr>
                <w:b/>
                <w:sz w:val="20"/>
                <w:szCs w:val="20"/>
                <w:lang w:val="en-US"/>
              </w:rPr>
              <w:t>Emil Mihaylov and Sofia Mihaylov v. Long Beach Residents’ Association, Attorney General of Canada and Her Majesty the Queen in Right of Ontario as Represented by the Minister of Natural Resources</w:t>
            </w:r>
          </w:p>
          <w:p w:rsidR="001D0DD7" w:rsidRPr="00EB7BB6" w:rsidRDefault="001D0DD7" w:rsidP="00B14FDF">
            <w:pPr>
              <w:jc w:val="both"/>
              <w:rPr>
                <w:sz w:val="20"/>
              </w:rPr>
            </w:pPr>
            <w:r w:rsidRPr="00EB7BB6">
              <w:rPr>
                <w:sz w:val="20"/>
              </w:rPr>
              <w:t>(Ont.) (Civil) (By Leave)</w:t>
            </w:r>
          </w:p>
        </w:tc>
      </w:tr>
      <w:tr w:rsidR="00B14FDF" w:rsidRPr="00EB7BB6" w:rsidTr="00B14FDF">
        <w:tc>
          <w:tcPr>
            <w:tcW w:w="5000" w:type="pct"/>
            <w:gridSpan w:val="4"/>
          </w:tcPr>
          <w:p w:rsidR="00481302" w:rsidRPr="00EB7BB6" w:rsidRDefault="00481302" w:rsidP="00481302">
            <w:pPr>
              <w:jc w:val="both"/>
              <w:rPr>
                <w:sz w:val="20"/>
                <w:szCs w:val="20"/>
              </w:rPr>
            </w:pPr>
            <w:r w:rsidRPr="00EB7BB6">
              <w:rPr>
                <w:sz w:val="20"/>
                <w:szCs w:val="20"/>
              </w:rPr>
              <w:t>The application for leave to appeal from the judgment of the Court of Appeal for Ontario, Number C64906, 2018 ONCA 871, dated October 25, 2018, is dismissed with costs to the respondent, Attorney General of Canada.</w:t>
            </w:r>
          </w:p>
          <w:p w:rsidR="00B14FDF" w:rsidRPr="00EB7BB6" w:rsidRDefault="00B14FDF"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rPr>
            </w:pPr>
            <w:r w:rsidRPr="00EB7BB6">
              <w:rPr>
                <w:sz w:val="20"/>
              </w:rPr>
              <w:t>Real property — Boundary marking — Conveyance of land — Limitation of actions — Riparian rights — Whether land lawfully</w:t>
            </w:r>
            <w:r w:rsidRPr="00EB7BB6">
              <w:rPr>
                <w:spacing w:val="9"/>
                <w:sz w:val="20"/>
              </w:rPr>
              <w:t xml:space="preserve"> </w:t>
            </w:r>
            <w:r w:rsidRPr="00EB7BB6">
              <w:rPr>
                <w:sz w:val="20"/>
              </w:rPr>
              <w:t>conveyed</w:t>
            </w:r>
            <w:r w:rsidRPr="00EB7BB6">
              <w:rPr>
                <w:spacing w:val="11"/>
                <w:sz w:val="20"/>
              </w:rPr>
              <w:t xml:space="preserve"> </w:t>
            </w:r>
            <w:r w:rsidRPr="00EB7BB6">
              <w:rPr>
                <w:sz w:val="20"/>
              </w:rPr>
              <w:t>by</w:t>
            </w:r>
            <w:r w:rsidRPr="00EB7BB6">
              <w:rPr>
                <w:spacing w:val="-1"/>
                <w:sz w:val="20"/>
              </w:rPr>
              <w:t xml:space="preserve"> </w:t>
            </w:r>
            <w:r w:rsidRPr="00EB7BB6">
              <w:rPr>
                <w:sz w:val="20"/>
              </w:rPr>
              <w:t>Order</w:t>
            </w:r>
            <w:r w:rsidRPr="00EB7BB6">
              <w:rPr>
                <w:spacing w:val="-1"/>
                <w:sz w:val="20"/>
              </w:rPr>
              <w:t xml:space="preserve"> </w:t>
            </w:r>
            <w:r w:rsidRPr="00EB7BB6">
              <w:rPr>
                <w:sz w:val="20"/>
              </w:rPr>
              <w:t>in</w:t>
            </w:r>
            <w:r w:rsidRPr="00EB7BB6">
              <w:rPr>
                <w:spacing w:val="5"/>
                <w:sz w:val="20"/>
              </w:rPr>
              <w:t xml:space="preserve"> </w:t>
            </w:r>
            <w:r w:rsidRPr="00EB7BB6">
              <w:rPr>
                <w:sz w:val="20"/>
              </w:rPr>
              <w:t>Council</w:t>
            </w:r>
            <w:r w:rsidRPr="00EB7BB6">
              <w:rPr>
                <w:spacing w:val="25"/>
                <w:sz w:val="20"/>
              </w:rPr>
              <w:t xml:space="preserve"> </w:t>
            </w:r>
            <w:r w:rsidRPr="00EB7BB6">
              <w:rPr>
                <w:sz w:val="20"/>
              </w:rPr>
              <w:t>relying</w:t>
            </w:r>
            <w:r w:rsidRPr="00EB7BB6">
              <w:rPr>
                <w:spacing w:val="1"/>
                <w:sz w:val="20"/>
              </w:rPr>
              <w:t xml:space="preserve"> </w:t>
            </w:r>
            <w:r w:rsidRPr="00EB7BB6">
              <w:rPr>
                <w:sz w:val="20"/>
              </w:rPr>
              <w:t>on</w:t>
            </w:r>
            <w:r w:rsidRPr="00EB7BB6">
              <w:rPr>
                <w:spacing w:val="6"/>
                <w:sz w:val="20"/>
              </w:rPr>
              <w:t xml:space="preserve"> </w:t>
            </w:r>
            <w:r w:rsidRPr="00EB7BB6">
              <w:rPr>
                <w:sz w:val="20"/>
              </w:rPr>
              <w:t>a</w:t>
            </w:r>
            <w:r w:rsidRPr="00EB7BB6">
              <w:rPr>
                <w:spacing w:val="7"/>
                <w:sz w:val="20"/>
              </w:rPr>
              <w:t xml:space="preserve"> </w:t>
            </w:r>
            <w:r w:rsidRPr="00EB7BB6">
              <w:rPr>
                <w:sz w:val="20"/>
              </w:rPr>
              <w:t>description</w:t>
            </w:r>
            <w:r w:rsidRPr="00EB7BB6">
              <w:rPr>
                <w:spacing w:val="14"/>
                <w:sz w:val="20"/>
              </w:rPr>
              <w:t xml:space="preserve"> </w:t>
            </w:r>
            <w:r w:rsidRPr="00EB7BB6">
              <w:rPr>
                <w:sz w:val="20"/>
              </w:rPr>
              <w:t>of</w:t>
            </w:r>
            <w:r w:rsidRPr="00EB7BB6">
              <w:rPr>
                <w:spacing w:val="2"/>
                <w:sz w:val="20"/>
              </w:rPr>
              <w:t xml:space="preserve"> </w:t>
            </w:r>
            <w:r w:rsidRPr="00EB7BB6">
              <w:rPr>
                <w:sz w:val="20"/>
              </w:rPr>
              <w:t>the</w:t>
            </w:r>
            <w:r w:rsidRPr="00EB7BB6">
              <w:rPr>
                <w:spacing w:val="6"/>
                <w:sz w:val="20"/>
              </w:rPr>
              <w:t xml:space="preserve"> </w:t>
            </w:r>
            <w:r w:rsidRPr="00EB7BB6">
              <w:rPr>
                <w:sz w:val="20"/>
              </w:rPr>
              <w:t>land</w:t>
            </w:r>
            <w:r w:rsidRPr="00EB7BB6">
              <w:rPr>
                <w:spacing w:val="18"/>
                <w:sz w:val="20"/>
              </w:rPr>
              <w:t xml:space="preserve"> </w:t>
            </w:r>
            <w:r w:rsidRPr="00EB7BB6">
              <w:rPr>
                <w:sz w:val="20"/>
              </w:rPr>
              <w:t>based</w:t>
            </w:r>
            <w:r w:rsidRPr="00EB7BB6">
              <w:rPr>
                <w:spacing w:val="16"/>
                <w:sz w:val="20"/>
              </w:rPr>
              <w:t xml:space="preserve"> in part </w:t>
            </w:r>
            <w:r w:rsidRPr="00EB7BB6">
              <w:rPr>
                <w:sz w:val="20"/>
              </w:rPr>
              <w:t>on</w:t>
            </w:r>
            <w:r w:rsidRPr="00EB7BB6">
              <w:rPr>
                <w:spacing w:val="6"/>
                <w:sz w:val="20"/>
              </w:rPr>
              <w:t xml:space="preserve"> </w:t>
            </w:r>
            <w:r w:rsidRPr="00EB7BB6">
              <w:rPr>
                <w:sz w:val="20"/>
              </w:rPr>
              <w:t>a</w:t>
            </w:r>
            <w:r w:rsidRPr="00EB7BB6">
              <w:rPr>
                <w:spacing w:val="9"/>
                <w:sz w:val="20"/>
              </w:rPr>
              <w:t xml:space="preserve"> </w:t>
            </w:r>
            <w:r w:rsidRPr="00EB7BB6">
              <w:rPr>
                <w:sz w:val="20"/>
              </w:rPr>
              <w:t>high</w:t>
            </w:r>
            <w:r w:rsidRPr="00EB7BB6">
              <w:rPr>
                <w:spacing w:val="14"/>
                <w:sz w:val="20"/>
              </w:rPr>
              <w:t xml:space="preserve"> </w:t>
            </w:r>
            <w:r w:rsidRPr="00EB7BB6">
              <w:rPr>
                <w:sz w:val="20"/>
              </w:rPr>
              <w:t>water</w:t>
            </w:r>
            <w:r w:rsidRPr="00EB7BB6">
              <w:rPr>
                <w:spacing w:val="-1"/>
                <w:sz w:val="20"/>
              </w:rPr>
              <w:t xml:space="preserve"> </w:t>
            </w:r>
            <w:r w:rsidRPr="00EB7BB6">
              <w:rPr>
                <w:sz w:val="20"/>
              </w:rPr>
              <w:t xml:space="preserve">mark — </w:t>
            </w:r>
            <w:r w:rsidRPr="00EB7BB6">
              <w:rPr>
                <w:color w:val="2F2F2F"/>
                <w:w w:val="110"/>
                <w:sz w:val="20"/>
              </w:rPr>
              <w:t xml:space="preserve">Whether action for interference with riparian rights </w:t>
            </w:r>
            <w:r w:rsidRPr="00EB7BB6">
              <w:rPr>
                <w:color w:val="1A1A1A"/>
                <w:w w:val="110"/>
                <w:sz w:val="20"/>
              </w:rPr>
              <w:t xml:space="preserve">barred by </w:t>
            </w:r>
            <w:r w:rsidRPr="00EB7BB6">
              <w:rPr>
                <w:i/>
                <w:iCs/>
                <w:color w:val="1A1A1A"/>
                <w:w w:val="110"/>
                <w:sz w:val="20"/>
              </w:rPr>
              <w:t>Real</w:t>
            </w:r>
            <w:r w:rsidRPr="00EB7BB6">
              <w:rPr>
                <w:i/>
                <w:iCs/>
                <w:color w:val="2F2F2F"/>
                <w:w w:val="110"/>
                <w:sz w:val="20"/>
              </w:rPr>
              <w:t xml:space="preserve"> Property Limitation Act</w:t>
            </w:r>
            <w:r w:rsidRPr="00EB7BB6">
              <w:rPr>
                <w:i/>
                <w:iCs/>
                <w:color w:val="595959"/>
                <w:w w:val="110"/>
                <w:sz w:val="20"/>
              </w:rPr>
              <w:t xml:space="preserve">, </w:t>
            </w:r>
            <w:r w:rsidRPr="00EB7BB6">
              <w:rPr>
                <w:color w:val="1A1A1A"/>
                <w:w w:val="110"/>
                <w:sz w:val="20"/>
              </w:rPr>
              <w:t>R.S</w:t>
            </w:r>
            <w:r w:rsidRPr="00EB7BB6">
              <w:rPr>
                <w:color w:val="000000"/>
                <w:w w:val="110"/>
                <w:sz w:val="20"/>
              </w:rPr>
              <w:t>.</w:t>
            </w:r>
            <w:r w:rsidRPr="00EB7BB6">
              <w:rPr>
                <w:color w:val="2F2F2F"/>
                <w:w w:val="110"/>
                <w:sz w:val="20"/>
              </w:rPr>
              <w:t>O</w:t>
            </w:r>
            <w:r w:rsidRPr="00EB7BB6">
              <w:rPr>
                <w:color w:val="000000"/>
                <w:w w:val="110"/>
                <w:sz w:val="20"/>
              </w:rPr>
              <w:t xml:space="preserve">. </w:t>
            </w:r>
            <w:r w:rsidRPr="00EB7BB6">
              <w:rPr>
                <w:color w:val="2F2F2F"/>
                <w:w w:val="110"/>
                <w:sz w:val="20"/>
              </w:rPr>
              <w:t>1990, c. L.15?</w:t>
            </w:r>
          </w:p>
        </w:tc>
      </w:tr>
      <w:tr w:rsidR="001D0DD7" w:rsidRPr="00EB7BB6" w:rsidTr="00B14FDF">
        <w:tc>
          <w:tcPr>
            <w:tcW w:w="5000" w:type="pct"/>
            <w:gridSpan w:val="4"/>
          </w:tcPr>
          <w:p w:rsidR="001D0DD7" w:rsidRPr="00EB7BB6" w:rsidRDefault="001D0DD7" w:rsidP="00B14FDF">
            <w:pPr>
              <w:jc w:val="both"/>
              <w:rPr>
                <w:sz w:val="20"/>
              </w:rPr>
            </w:pPr>
          </w:p>
        </w:tc>
      </w:tr>
      <w:tr w:rsidR="001D0DD7" w:rsidRPr="00EB7BB6" w:rsidTr="00B14FDF">
        <w:tc>
          <w:tcPr>
            <w:tcW w:w="5000" w:type="pct"/>
            <w:gridSpan w:val="4"/>
          </w:tcPr>
          <w:p w:rsidR="001D0DD7" w:rsidRPr="00EB7BB6" w:rsidRDefault="001D0DD7" w:rsidP="00B14FDF">
            <w:pPr>
              <w:jc w:val="both"/>
              <w:rPr>
                <w:sz w:val="20"/>
                <w:lang w:val="en"/>
              </w:rPr>
            </w:pPr>
            <w:r w:rsidRPr="00EB7BB6">
              <w:rPr>
                <w:sz w:val="20"/>
                <w:lang w:val="en"/>
              </w:rPr>
              <w:t>Emil</w:t>
            </w:r>
            <w:r w:rsidRPr="00EB7BB6">
              <w:rPr>
                <w:sz w:val="20"/>
              </w:rPr>
              <w:t xml:space="preserve"> Mihaylov and Sofia Mihaylov </w:t>
            </w:r>
            <w:r w:rsidRPr="00EB7BB6">
              <w:rPr>
                <w:sz w:val="20"/>
                <w:lang w:val="en"/>
              </w:rPr>
              <w:t>took title to property</w:t>
            </w:r>
            <w:r w:rsidRPr="00EB7BB6">
              <w:rPr>
                <w:sz w:val="20"/>
              </w:rPr>
              <w:t xml:space="preserve"> o</w:t>
            </w:r>
            <w:r w:rsidRPr="00EB7BB6">
              <w:rPr>
                <w:sz w:val="20"/>
                <w:lang w:val="en"/>
              </w:rPr>
              <w:t xml:space="preserve">n </w:t>
            </w:r>
            <w:r w:rsidRPr="00EB7BB6">
              <w:rPr>
                <w:sz w:val="20"/>
              </w:rPr>
              <w:t>June 22</w:t>
            </w:r>
            <w:r w:rsidRPr="00EB7BB6">
              <w:rPr>
                <w:sz w:val="20"/>
                <w:lang w:val="en"/>
              </w:rPr>
              <w:t xml:space="preserve">, 2012. The original patent to the land </w:t>
            </w:r>
            <w:r w:rsidRPr="00EB7BB6">
              <w:rPr>
                <w:sz w:val="20"/>
              </w:rPr>
              <w:t xml:space="preserve">dated July 6, 1852 </w:t>
            </w:r>
            <w:r w:rsidRPr="00EB7BB6">
              <w:rPr>
                <w:sz w:val="20"/>
                <w:lang w:val="en"/>
              </w:rPr>
              <w:t>defines the property’s easterly limit in part as commencing at</w:t>
            </w:r>
            <w:r w:rsidRPr="00EB7BB6">
              <w:rPr>
                <w:sz w:val="20"/>
              </w:rPr>
              <w:t xml:space="preserve"> the water’s edge of </w:t>
            </w:r>
            <w:r w:rsidRPr="00EB7BB6">
              <w:rPr>
                <w:sz w:val="20"/>
                <w:lang w:val="en"/>
              </w:rPr>
              <w:t>Sturgeon Lake. In 1950, the federal government landfilled a water lot transferred to it from the Province of Ontario and installed a public wharf. The landfill and wharf separate Sturgeon Lake from the property owned by Emil</w:t>
            </w:r>
            <w:r w:rsidRPr="00EB7BB6">
              <w:rPr>
                <w:sz w:val="20"/>
              </w:rPr>
              <w:t xml:space="preserve"> Mihaylov and Sofia Mihaylov</w:t>
            </w:r>
            <w:r w:rsidRPr="00EB7BB6">
              <w:rPr>
                <w:sz w:val="20"/>
                <w:lang w:val="en"/>
              </w:rPr>
              <w:t>. The water lot and wharf were transferred to the Long Beach Resident’s Association in 1999. Emil</w:t>
            </w:r>
            <w:r w:rsidRPr="00EB7BB6">
              <w:rPr>
                <w:sz w:val="20"/>
              </w:rPr>
              <w:t xml:space="preserve"> Mihaylov and Sofia Mihaylov </w:t>
            </w:r>
            <w:r w:rsidRPr="00EB7BB6">
              <w:rPr>
                <w:sz w:val="20"/>
                <w:lang w:val="en"/>
              </w:rPr>
              <w:t>commenced an action claiming that the landfilled waterlot and wharf are an extension of their property and should be conveyed to them because the original patent to their land defines their property as to the water’s edge. Alternatively, they claimed interference with their riparian rights to Sturgeon Lake. The trial judge dismissed the application. The Court of Appeal dismissed an appeal.</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January 3, 2018</w:t>
            </w:r>
          </w:p>
          <w:p w:rsidR="001D0DD7" w:rsidRPr="00EB7BB6" w:rsidRDefault="001D0DD7" w:rsidP="00B14FDF">
            <w:pPr>
              <w:jc w:val="both"/>
              <w:rPr>
                <w:sz w:val="20"/>
              </w:rPr>
            </w:pPr>
            <w:r w:rsidRPr="00EB7BB6">
              <w:rPr>
                <w:sz w:val="20"/>
              </w:rPr>
              <w:t>Ontario Superior Court of Justice</w:t>
            </w:r>
          </w:p>
          <w:p w:rsidR="001D0DD7" w:rsidRPr="00EB7BB6" w:rsidRDefault="001D0DD7" w:rsidP="00B14FDF">
            <w:pPr>
              <w:jc w:val="both"/>
              <w:rPr>
                <w:sz w:val="20"/>
              </w:rPr>
            </w:pPr>
            <w:r w:rsidRPr="00EB7BB6">
              <w:rPr>
                <w:sz w:val="20"/>
              </w:rPr>
              <w:t>(Morgan J.)</w:t>
            </w:r>
          </w:p>
          <w:p w:rsidR="001D0DD7" w:rsidRPr="00EB7BB6" w:rsidRDefault="00EB7BB6" w:rsidP="00B14FDF">
            <w:pPr>
              <w:jc w:val="both"/>
              <w:rPr>
                <w:sz w:val="20"/>
              </w:rPr>
            </w:pPr>
            <w:hyperlink r:id="rId68" w:history="1">
              <w:r w:rsidR="001D0DD7" w:rsidRPr="00EB7BB6">
                <w:rPr>
                  <w:rStyle w:val="Hyperlink"/>
                  <w:sz w:val="20"/>
                </w:rPr>
                <w:t>2018 ONSC 14</w:t>
              </w:r>
            </w:hyperlink>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Action for declaration of ownership of land and for interference with</w:t>
            </w:r>
            <w:r w:rsidRPr="00EB7BB6">
              <w:rPr>
                <w:sz w:val="20"/>
                <w:lang w:val="en"/>
              </w:rPr>
              <w:t xml:space="preserve"> riparian rights</w:t>
            </w:r>
            <w:r w:rsidRPr="00EB7BB6">
              <w:rPr>
                <w:sz w:val="20"/>
              </w:rPr>
              <w:t xml:space="preserve"> dismissed</w:t>
            </w:r>
          </w:p>
        </w:tc>
      </w:tr>
      <w:tr w:rsidR="001D0DD7" w:rsidRPr="00EB7BB6" w:rsidTr="00B14FDF">
        <w:tc>
          <w:tcPr>
            <w:tcW w:w="2427" w:type="pct"/>
            <w:gridSpan w:val="2"/>
          </w:tcPr>
          <w:p w:rsidR="001D0DD7" w:rsidRPr="00EB7BB6" w:rsidRDefault="001D0DD7" w:rsidP="00B14FDF">
            <w:pPr>
              <w:jc w:val="both"/>
              <w:rPr>
                <w:sz w:val="20"/>
              </w:rPr>
            </w:pPr>
            <w:r w:rsidRPr="00EB7BB6">
              <w:rPr>
                <w:sz w:val="20"/>
              </w:rPr>
              <w:t>October 25, 2018</w:t>
            </w:r>
          </w:p>
          <w:p w:rsidR="001D0DD7" w:rsidRPr="00EB7BB6" w:rsidRDefault="001D0DD7" w:rsidP="00B14FDF">
            <w:pPr>
              <w:jc w:val="both"/>
              <w:rPr>
                <w:sz w:val="20"/>
              </w:rPr>
            </w:pPr>
            <w:r w:rsidRPr="00EB7BB6">
              <w:rPr>
                <w:sz w:val="20"/>
              </w:rPr>
              <w:t>Court of Appeal for Ontario</w:t>
            </w:r>
          </w:p>
          <w:p w:rsidR="001D0DD7" w:rsidRPr="00EB7BB6" w:rsidRDefault="001D0DD7" w:rsidP="00B14FDF">
            <w:pPr>
              <w:jc w:val="both"/>
              <w:rPr>
                <w:sz w:val="20"/>
              </w:rPr>
            </w:pPr>
            <w:r w:rsidRPr="00EB7BB6">
              <w:rPr>
                <w:sz w:val="20"/>
              </w:rPr>
              <w:t>(Rouleau, Watt, Paciocco JJ.A.)</w:t>
            </w:r>
          </w:p>
          <w:p w:rsidR="001D0DD7" w:rsidRPr="00EB7BB6" w:rsidRDefault="001D0DD7" w:rsidP="00B14FDF">
            <w:pPr>
              <w:pStyle w:val="citation1"/>
              <w:shd w:val="clear" w:color="auto" w:fill="FFFFFF"/>
              <w:jc w:val="both"/>
              <w:rPr>
                <w:rFonts w:ascii="Times New Roman" w:hAnsi="Times New Roman" w:cs="Times New Roman"/>
                <w:sz w:val="20"/>
                <w:szCs w:val="20"/>
                <w:lang w:val="en"/>
              </w:rPr>
            </w:pPr>
            <w:r w:rsidRPr="00EB7BB6">
              <w:rPr>
                <w:rFonts w:ascii="Times New Roman" w:hAnsi="Times New Roman" w:cs="Times New Roman"/>
                <w:sz w:val="20"/>
                <w:szCs w:val="20"/>
                <w:lang w:val="en"/>
              </w:rPr>
              <w:t xml:space="preserve">C64906; </w:t>
            </w:r>
            <w:hyperlink r:id="rId69" w:history="1">
              <w:r w:rsidRPr="00EB7BB6">
                <w:rPr>
                  <w:rStyle w:val="Hyperlink"/>
                  <w:rFonts w:cs="Times New Roman"/>
                  <w:sz w:val="20"/>
                  <w:szCs w:val="20"/>
                  <w:lang w:val="en"/>
                </w:rPr>
                <w:t>2018 ONCA 871</w:t>
              </w:r>
            </w:hyperlink>
            <w:r w:rsidRPr="00EB7BB6">
              <w:rPr>
                <w:rFonts w:ascii="Times New Roman" w:hAnsi="Times New Roman" w:cs="Times New Roman"/>
                <w:sz w:val="20"/>
                <w:szCs w:val="20"/>
                <w:lang w:val="en"/>
              </w:rPr>
              <w:t xml:space="preserve"> </w:t>
            </w:r>
          </w:p>
          <w:p w:rsidR="001D0DD7" w:rsidRPr="00EB7BB6" w:rsidRDefault="001D0DD7" w:rsidP="00B14FDF">
            <w:pPr>
              <w:jc w:val="both"/>
              <w:rPr>
                <w:sz w:val="20"/>
              </w:rPr>
            </w:pP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Appeal dismissed</w:t>
            </w:r>
          </w:p>
          <w:p w:rsidR="001D0DD7" w:rsidRPr="00EB7BB6" w:rsidRDefault="001D0DD7" w:rsidP="00B14FDF">
            <w:pPr>
              <w:jc w:val="both"/>
              <w:rPr>
                <w:sz w:val="20"/>
              </w:rPr>
            </w:pPr>
          </w:p>
        </w:tc>
      </w:tr>
      <w:tr w:rsidR="001D0DD7" w:rsidRPr="00EB7BB6" w:rsidTr="00B14FDF">
        <w:tc>
          <w:tcPr>
            <w:tcW w:w="2427" w:type="pct"/>
            <w:gridSpan w:val="2"/>
          </w:tcPr>
          <w:p w:rsidR="001D0DD7" w:rsidRPr="00EB7BB6" w:rsidRDefault="001D0DD7" w:rsidP="00B14FDF">
            <w:pPr>
              <w:jc w:val="both"/>
              <w:rPr>
                <w:sz w:val="20"/>
              </w:rPr>
            </w:pPr>
            <w:r w:rsidRPr="00EB7BB6">
              <w:rPr>
                <w:sz w:val="20"/>
              </w:rPr>
              <w:t>December 21, 2018</w:t>
            </w:r>
          </w:p>
          <w:p w:rsidR="001D0DD7" w:rsidRPr="00EB7BB6" w:rsidRDefault="001D0DD7" w:rsidP="00B14FDF">
            <w:pPr>
              <w:jc w:val="both"/>
              <w:rPr>
                <w:sz w:val="20"/>
              </w:rPr>
            </w:pPr>
            <w:r w:rsidRPr="00EB7BB6">
              <w:rPr>
                <w:sz w:val="20"/>
              </w:rPr>
              <w:t>Supreme Court of Canada</w:t>
            </w:r>
          </w:p>
        </w:tc>
        <w:tc>
          <w:tcPr>
            <w:tcW w:w="243" w:type="pct"/>
          </w:tcPr>
          <w:p w:rsidR="001D0DD7" w:rsidRPr="00EB7BB6" w:rsidRDefault="001D0DD7" w:rsidP="00B14FDF">
            <w:pPr>
              <w:jc w:val="both"/>
              <w:rPr>
                <w:sz w:val="20"/>
              </w:rPr>
            </w:pPr>
          </w:p>
        </w:tc>
        <w:tc>
          <w:tcPr>
            <w:tcW w:w="2330" w:type="pct"/>
          </w:tcPr>
          <w:p w:rsidR="001D0DD7" w:rsidRPr="00EB7BB6" w:rsidRDefault="001D0DD7" w:rsidP="00B14FDF">
            <w:pPr>
              <w:jc w:val="both"/>
              <w:rPr>
                <w:sz w:val="20"/>
              </w:rPr>
            </w:pPr>
            <w:r w:rsidRPr="00EB7BB6">
              <w:rPr>
                <w:sz w:val="20"/>
              </w:rPr>
              <w:t>Application for leave to appeal filed</w:t>
            </w:r>
          </w:p>
          <w:p w:rsidR="001D0DD7" w:rsidRPr="00EB7BB6" w:rsidRDefault="001D0DD7" w:rsidP="00B14FDF">
            <w:pPr>
              <w:jc w:val="both"/>
              <w:rPr>
                <w:sz w:val="20"/>
              </w:rPr>
            </w:pPr>
          </w:p>
        </w:tc>
      </w:tr>
    </w:tbl>
    <w:p w:rsidR="001D0DD7" w:rsidRPr="00EB7BB6" w:rsidRDefault="001D0DD7" w:rsidP="001D0DD7">
      <w:pPr>
        <w:ind w:left="142" w:hanging="142"/>
        <w:jc w:val="both"/>
        <w:rPr>
          <w:sz w:val="20"/>
        </w:rPr>
      </w:pPr>
    </w:p>
    <w:p w:rsidR="001D0DD7" w:rsidRPr="00EB7BB6" w:rsidRDefault="00EB7BB6" w:rsidP="001D0DD7">
      <w:pPr>
        <w:ind w:left="142" w:hanging="142"/>
        <w:jc w:val="both"/>
        <w:rPr>
          <w:sz w:val="20"/>
        </w:rPr>
      </w:pPr>
      <w:r w:rsidRPr="00EB7BB6">
        <w:rPr>
          <w:sz w:val="20"/>
          <w:szCs w:val="20"/>
        </w:rPr>
        <w:pict>
          <v:rect id="_x0000_i1078" style="width:2in;height:1pt" o:hrpct="0" o:hralign="center" o:hrstd="t" o:hrnoshade="t" o:hr="t" fillcolor="black" stroked="f"/>
        </w:pict>
      </w:r>
    </w:p>
    <w:p w:rsidR="00B14FDF" w:rsidRPr="00EB7BB6" w:rsidRDefault="00B14FDF" w:rsidP="001D0DD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D0DD7" w:rsidRPr="00EB7BB6" w:rsidTr="00B14FDF">
        <w:tc>
          <w:tcPr>
            <w:tcW w:w="543" w:type="pct"/>
          </w:tcPr>
          <w:p w:rsidR="001D0DD7" w:rsidRPr="00EB7BB6" w:rsidRDefault="001D0DD7" w:rsidP="00B14FDF">
            <w:pPr>
              <w:jc w:val="both"/>
              <w:rPr>
                <w:sz w:val="20"/>
                <w:lang w:val="fr-CA"/>
              </w:rPr>
            </w:pPr>
            <w:r w:rsidRPr="00EB7BB6">
              <w:rPr>
                <w:rStyle w:val="SCCFileNumberChar"/>
                <w:sz w:val="20"/>
                <w:szCs w:val="20"/>
                <w:lang w:val="fr-CA"/>
              </w:rPr>
              <w:t>38462</w:t>
            </w:r>
          </w:p>
        </w:tc>
        <w:tc>
          <w:tcPr>
            <w:tcW w:w="4457" w:type="pct"/>
            <w:gridSpan w:val="3"/>
          </w:tcPr>
          <w:p w:rsidR="001D0DD7" w:rsidRPr="00EB7BB6" w:rsidRDefault="001D0DD7" w:rsidP="00B14FDF">
            <w:pPr>
              <w:pStyle w:val="SCCLsocParty"/>
              <w:jc w:val="both"/>
              <w:rPr>
                <w:b/>
                <w:sz w:val="20"/>
                <w:szCs w:val="20"/>
              </w:rPr>
            </w:pPr>
            <w:r w:rsidRPr="00EB7BB6">
              <w:rPr>
                <w:b/>
                <w:sz w:val="20"/>
                <w:szCs w:val="20"/>
              </w:rPr>
              <w:t>Emil Mihaylov et Sofia Mihaylov c. Long Beach Residents’ Association, Procureur général du Canada et Sa Majesté la Reine du chef de l’Ontario, représentée par le ministre des Richesses naturelles</w:t>
            </w:r>
          </w:p>
          <w:p w:rsidR="001D0DD7" w:rsidRPr="00EB7BB6" w:rsidRDefault="001D0DD7" w:rsidP="00B14FDF">
            <w:pPr>
              <w:jc w:val="both"/>
              <w:rPr>
                <w:sz w:val="20"/>
                <w:lang w:val="fr-CA"/>
              </w:rPr>
            </w:pPr>
            <w:r w:rsidRPr="00EB7BB6">
              <w:rPr>
                <w:sz w:val="20"/>
                <w:lang w:val="fr-CA"/>
              </w:rPr>
              <w:t>(Ont.) (Civile) (Autorisation)</w:t>
            </w:r>
          </w:p>
        </w:tc>
      </w:tr>
      <w:tr w:rsidR="00B14FDF" w:rsidRPr="00EB7BB6" w:rsidTr="00B14FDF">
        <w:tc>
          <w:tcPr>
            <w:tcW w:w="5000" w:type="pct"/>
            <w:gridSpan w:val="4"/>
          </w:tcPr>
          <w:p w:rsidR="00B14FDF" w:rsidRPr="00EB7BB6" w:rsidRDefault="00481302" w:rsidP="00B14FDF">
            <w:pPr>
              <w:jc w:val="both"/>
              <w:rPr>
                <w:sz w:val="20"/>
                <w:szCs w:val="20"/>
                <w:lang w:val="fr-CA"/>
              </w:rPr>
            </w:pPr>
            <w:r w:rsidRPr="00EB7BB6">
              <w:rPr>
                <w:sz w:val="20"/>
                <w:szCs w:val="20"/>
                <w:lang w:val="fr-CA"/>
              </w:rPr>
              <w:t>La demande d’autorisation d’appel de l’arrêt de la Cour d’appel de l’Ontario, numéro C64906, 2018 ONCA 871, daté du 25 octobre 2018, est rejetée avec dépens en faveur de l’intimé, Procureur général du Canada.</w:t>
            </w:r>
          </w:p>
          <w:p w:rsidR="00481302" w:rsidRPr="00EB7BB6" w:rsidRDefault="00481302" w:rsidP="00B14FDF">
            <w:pPr>
              <w:jc w:val="both"/>
              <w:rPr>
                <w:color w:val="000000" w:themeColor="text1"/>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color w:val="000000" w:themeColor="text1"/>
                <w:sz w:val="20"/>
                <w:lang w:val="fr-CA"/>
              </w:rPr>
              <w:t>Biens réels — Bornage — Transport d’un bien-fonds — Prescription — Droits de riverains — Un bien</w:t>
            </w:r>
            <w:r w:rsidRPr="00EB7BB6">
              <w:rPr>
                <w:color w:val="000000" w:themeColor="text1"/>
                <w:sz w:val="20"/>
                <w:lang w:val="fr-CA"/>
              </w:rPr>
              <w:noBreakHyphen/>
              <w:t>fonds a</w:t>
            </w:r>
            <w:r w:rsidRPr="00EB7BB6">
              <w:rPr>
                <w:color w:val="000000" w:themeColor="text1"/>
                <w:sz w:val="20"/>
                <w:lang w:val="fr-CA"/>
              </w:rPr>
              <w:noBreakHyphen/>
              <w:t>t</w:t>
            </w:r>
            <w:r w:rsidRPr="00EB7BB6">
              <w:rPr>
                <w:color w:val="000000" w:themeColor="text1"/>
                <w:sz w:val="20"/>
                <w:lang w:val="fr-CA"/>
              </w:rPr>
              <w:noBreakHyphen/>
              <w:t>il été légalement transporté par décret s’appuyant sur une description du bien</w:t>
            </w:r>
            <w:r w:rsidRPr="00EB7BB6">
              <w:rPr>
                <w:color w:val="000000" w:themeColor="text1"/>
                <w:sz w:val="20"/>
                <w:lang w:val="fr-CA"/>
              </w:rPr>
              <w:noBreakHyphen/>
              <w:t xml:space="preserve">fonds établie en partie en fonction d’une ligne des hautes eaux? — </w:t>
            </w:r>
            <w:r w:rsidRPr="00EB7BB6">
              <w:rPr>
                <w:color w:val="000000" w:themeColor="text1"/>
                <w:w w:val="110"/>
                <w:sz w:val="20"/>
                <w:lang w:val="fr-CA"/>
              </w:rPr>
              <w:t>L’action en atteinte aux droits riverains est</w:t>
            </w:r>
            <w:r w:rsidRPr="00EB7BB6">
              <w:rPr>
                <w:color w:val="000000" w:themeColor="text1"/>
                <w:w w:val="110"/>
                <w:sz w:val="20"/>
                <w:lang w:val="fr-CA"/>
              </w:rPr>
              <w:noBreakHyphen/>
              <w:t xml:space="preserve">elle prescrite par la </w:t>
            </w:r>
            <w:r w:rsidRPr="00EB7BB6">
              <w:rPr>
                <w:bCs/>
                <w:i/>
                <w:iCs/>
                <w:color w:val="000000" w:themeColor="text1"/>
                <w:w w:val="110"/>
                <w:sz w:val="20"/>
                <w:lang w:val="fr-CA"/>
              </w:rPr>
              <w:t>Loi sur la prescription des actions relatives aux biens immeubles</w:t>
            </w:r>
            <w:r w:rsidRPr="00EB7BB6">
              <w:rPr>
                <w:i/>
                <w:iCs/>
                <w:color w:val="000000" w:themeColor="text1"/>
                <w:w w:val="110"/>
                <w:sz w:val="20"/>
                <w:lang w:val="fr-CA"/>
              </w:rPr>
              <w:t xml:space="preserve">, </w:t>
            </w:r>
            <w:r w:rsidRPr="00EB7BB6">
              <w:rPr>
                <w:color w:val="000000" w:themeColor="text1"/>
                <w:w w:val="110"/>
                <w:sz w:val="20"/>
                <w:lang w:val="fr-CA"/>
              </w:rPr>
              <w:t>L.R.O. 1990, ch. L.15?</w:t>
            </w:r>
          </w:p>
        </w:tc>
      </w:tr>
      <w:tr w:rsidR="001D0DD7" w:rsidRPr="00EB7BB6" w:rsidTr="00B14FDF">
        <w:tc>
          <w:tcPr>
            <w:tcW w:w="5000" w:type="pct"/>
            <w:gridSpan w:val="4"/>
          </w:tcPr>
          <w:p w:rsidR="001D0DD7" w:rsidRPr="00EB7BB6" w:rsidRDefault="001D0DD7" w:rsidP="00B14FDF">
            <w:pPr>
              <w:jc w:val="both"/>
              <w:rPr>
                <w:sz w:val="20"/>
                <w:lang w:val="fr-CA"/>
              </w:rPr>
            </w:pPr>
          </w:p>
        </w:tc>
      </w:tr>
      <w:tr w:rsidR="001D0DD7" w:rsidRPr="00EB7BB6" w:rsidTr="00B14FDF">
        <w:tc>
          <w:tcPr>
            <w:tcW w:w="5000" w:type="pct"/>
            <w:gridSpan w:val="4"/>
          </w:tcPr>
          <w:p w:rsidR="001D0DD7" w:rsidRPr="00EB7BB6" w:rsidRDefault="001D0DD7" w:rsidP="00B14FDF">
            <w:pPr>
              <w:jc w:val="both"/>
              <w:rPr>
                <w:sz w:val="20"/>
                <w:lang w:val="fr-CA"/>
              </w:rPr>
            </w:pPr>
            <w:r w:rsidRPr="00EB7BB6">
              <w:rPr>
                <w:sz w:val="20"/>
                <w:lang w:val="fr-CA"/>
              </w:rPr>
              <w:lastRenderedPageBreak/>
              <w:t>Emil Mihaylov et Sofia Mihaylov sont devenus propriétaires d’un immeuble le 22 juin 2012. L’acte initial de concession du bien</w:t>
            </w:r>
            <w:r w:rsidRPr="00EB7BB6">
              <w:rPr>
                <w:sz w:val="20"/>
                <w:lang w:val="fr-CA"/>
              </w:rPr>
              <w:noBreakHyphen/>
              <w:t>fonds, daté du 6 juillet 1852, définit la limite est de l’immeuble en partie comme partant du bord de l’eau de Sturgeon Lake. En 1950, le gouvernement fédéral a remblayé un lot d’eau qui lui avait été transféré par la Province d’Ontario et y a aménagé un quai public. Le remblai et le quai séparent Sturgeon Lake de l’immeuble appartenant à Emil Mihaylov et Sofia Mihaylov. Le lot d’eau et le quai ont été transférés à la Long Beach Resident’s Association en 1999. Emil Mihaylov et Sofia Mihaylov ont intenté une action alléguant que le lot d’eau remblayé et le quai sont une prolongation de leur immeuble et qu’ils doivent leur être transportés parce que l’acte initial de concession de leur bien</w:t>
            </w:r>
            <w:r w:rsidRPr="00EB7BB6">
              <w:rPr>
                <w:sz w:val="20"/>
                <w:lang w:val="fr-CA"/>
              </w:rPr>
              <w:noBreakHyphen/>
              <w:t>fonds définit leur immeuble comme se rendant jusqu’au bord de l’eau. Subsidiairement, ils ont allégué une atteinte à leurs droits de riverains à Sturgeon Lake. Le juge du procès a rejeté la demande. La Cour d’appel a rejeté l’appel.</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3 janvier 2018</w:t>
            </w:r>
          </w:p>
          <w:p w:rsidR="001D0DD7" w:rsidRPr="00EB7BB6" w:rsidRDefault="001D0DD7" w:rsidP="00B14FDF">
            <w:pPr>
              <w:jc w:val="both"/>
              <w:rPr>
                <w:sz w:val="20"/>
                <w:lang w:val="fr-CA"/>
              </w:rPr>
            </w:pPr>
            <w:r w:rsidRPr="00EB7BB6">
              <w:rPr>
                <w:sz w:val="20"/>
                <w:lang w:val="fr-CA"/>
              </w:rPr>
              <w:t>Cour supérieure de justice de l’Ontario</w:t>
            </w:r>
          </w:p>
          <w:p w:rsidR="001D0DD7" w:rsidRPr="00EB7BB6" w:rsidRDefault="001D0DD7" w:rsidP="00B14FDF">
            <w:pPr>
              <w:jc w:val="both"/>
              <w:rPr>
                <w:sz w:val="20"/>
                <w:lang w:val="fr-CA"/>
              </w:rPr>
            </w:pPr>
            <w:r w:rsidRPr="00EB7BB6">
              <w:rPr>
                <w:sz w:val="20"/>
                <w:lang w:val="fr-CA"/>
              </w:rPr>
              <w:t>(Juge Morgan)</w:t>
            </w:r>
          </w:p>
          <w:p w:rsidR="001D0DD7" w:rsidRPr="00EB7BB6" w:rsidRDefault="00EB7BB6" w:rsidP="00B14FDF">
            <w:pPr>
              <w:jc w:val="both"/>
              <w:rPr>
                <w:sz w:val="20"/>
                <w:lang w:val="fr-CA"/>
              </w:rPr>
            </w:pPr>
            <w:hyperlink r:id="rId70" w:history="1">
              <w:r w:rsidR="001D0DD7" w:rsidRPr="00EB7BB6">
                <w:rPr>
                  <w:rStyle w:val="Hyperlink"/>
                  <w:sz w:val="20"/>
                  <w:lang w:val="fr-CA"/>
                </w:rPr>
                <w:t>2018 ONSC 14</w:t>
              </w:r>
            </w:hyperlink>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Rejet de l’action déclaratoire de propriété d’un bien</w:t>
            </w:r>
            <w:r w:rsidRPr="00EB7BB6">
              <w:rPr>
                <w:sz w:val="20"/>
                <w:lang w:val="fr-CA"/>
              </w:rPr>
              <w:noBreakHyphen/>
              <w:t>fonds et en atteinte à des droits riverains</w:t>
            </w: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25 octobre 2018</w:t>
            </w:r>
          </w:p>
          <w:p w:rsidR="001D0DD7" w:rsidRPr="00EB7BB6" w:rsidRDefault="001D0DD7" w:rsidP="00B14FDF">
            <w:pPr>
              <w:jc w:val="both"/>
              <w:rPr>
                <w:sz w:val="20"/>
                <w:lang w:val="fr-CA"/>
              </w:rPr>
            </w:pPr>
            <w:r w:rsidRPr="00EB7BB6">
              <w:rPr>
                <w:sz w:val="20"/>
                <w:lang w:val="fr-CA"/>
              </w:rPr>
              <w:t>Cour d’appel de l’Ontario</w:t>
            </w:r>
          </w:p>
          <w:p w:rsidR="001D0DD7" w:rsidRPr="00EB7BB6" w:rsidRDefault="001D0DD7" w:rsidP="00B14FDF">
            <w:pPr>
              <w:jc w:val="both"/>
              <w:rPr>
                <w:rFonts w:cs="Times New Roman"/>
                <w:sz w:val="20"/>
                <w:lang w:val="fr-CA"/>
              </w:rPr>
            </w:pPr>
            <w:r w:rsidRPr="00EB7BB6">
              <w:rPr>
                <w:rFonts w:cs="Times New Roman"/>
                <w:sz w:val="20"/>
                <w:lang w:val="fr-CA"/>
              </w:rPr>
              <w:t>(Juges Rouleau, Watt et Paciocco)</w:t>
            </w:r>
          </w:p>
          <w:p w:rsidR="001D0DD7" w:rsidRPr="00EB7BB6" w:rsidRDefault="001D0DD7" w:rsidP="00B14FDF">
            <w:pPr>
              <w:pStyle w:val="citation1"/>
              <w:shd w:val="clear" w:color="auto" w:fill="FFFFFF"/>
              <w:jc w:val="both"/>
              <w:rPr>
                <w:rFonts w:ascii="Times New Roman" w:hAnsi="Times New Roman" w:cs="Times New Roman"/>
                <w:sz w:val="20"/>
                <w:szCs w:val="20"/>
                <w:lang w:val="fr-CA"/>
              </w:rPr>
            </w:pPr>
            <w:r w:rsidRPr="00EB7BB6">
              <w:rPr>
                <w:rFonts w:ascii="Times New Roman" w:hAnsi="Times New Roman" w:cs="Times New Roman"/>
                <w:sz w:val="20"/>
                <w:szCs w:val="20"/>
                <w:lang w:val="fr-CA"/>
              </w:rPr>
              <w:t xml:space="preserve">C64906; </w:t>
            </w:r>
            <w:hyperlink r:id="rId71" w:history="1">
              <w:r w:rsidRPr="00EB7BB6">
                <w:rPr>
                  <w:rStyle w:val="Hyperlink"/>
                  <w:rFonts w:ascii="Times New Roman" w:hAnsi="Times New Roman" w:cs="Times New Roman"/>
                  <w:sz w:val="20"/>
                  <w:szCs w:val="20"/>
                  <w:lang w:val="fr-CA"/>
                </w:rPr>
                <w:t>2018 ONCA 871</w:t>
              </w:r>
            </w:hyperlink>
            <w:r w:rsidRPr="00EB7BB6">
              <w:rPr>
                <w:rFonts w:ascii="Times New Roman" w:hAnsi="Times New Roman" w:cs="Times New Roman"/>
                <w:sz w:val="20"/>
                <w:szCs w:val="20"/>
                <w:lang w:val="fr-CA"/>
              </w:rPr>
              <w:t xml:space="preserve"> </w:t>
            </w:r>
          </w:p>
          <w:p w:rsidR="001D0DD7" w:rsidRPr="00EB7BB6" w:rsidRDefault="001D0DD7" w:rsidP="00B14FDF">
            <w:pPr>
              <w:jc w:val="both"/>
              <w:rPr>
                <w:sz w:val="20"/>
                <w:lang w:val="fr-CA"/>
              </w:rPr>
            </w:pP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Rejet de l’appel</w:t>
            </w:r>
          </w:p>
          <w:p w:rsidR="001D0DD7" w:rsidRPr="00EB7BB6" w:rsidRDefault="001D0DD7" w:rsidP="00B14FDF">
            <w:pPr>
              <w:jc w:val="both"/>
              <w:rPr>
                <w:sz w:val="20"/>
                <w:lang w:val="fr-CA"/>
              </w:rPr>
            </w:pPr>
          </w:p>
        </w:tc>
      </w:tr>
      <w:tr w:rsidR="001D0DD7" w:rsidRPr="00EB7BB6" w:rsidTr="00B14FDF">
        <w:tc>
          <w:tcPr>
            <w:tcW w:w="2427" w:type="pct"/>
            <w:gridSpan w:val="2"/>
          </w:tcPr>
          <w:p w:rsidR="001D0DD7" w:rsidRPr="00EB7BB6" w:rsidRDefault="001D0DD7" w:rsidP="00B14FDF">
            <w:pPr>
              <w:jc w:val="both"/>
              <w:rPr>
                <w:sz w:val="20"/>
                <w:lang w:val="fr-CA"/>
              </w:rPr>
            </w:pPr>
            <w:r w:rsidRPr="00EB7BB6">
              <w:rPr>
                <w:sz w:val="20"/>
                <w:lang w:val="fr-CA"/>
              </w:rPr>
              <w:t>21 décembre 2018</w:t>
            </w:r>
          </w:p>
          <w:p w:rsidR="001D0DD7" w:rsidRPr="00EB7BB6" w:rsidRDefault="001D0DD7" w:rsidP="00B14FDF">
            <w:pPr>
              <w:jc w:val="both"/>
              <w:rPr>
                <w:sz w:val="20"/>
                <w:lang w:val="fr-CA"/>
              </w:rPr>
            </w:pPr>
            <w:r w:rsidRPr="00EB7BB6">
              <w:rPr>
                <w:sz w:val="20"/>
                <w:lang w:val="fr-CA"/>
              </w:rPr>
              <w:t>Cour suprême du Canada</w:t>
            </w:r>
          </w:p>
        </w:tc>
        <w:tc>
          <w:tcPr>
            <w:tcW w:w="243" w:type="pct"/>
          </w:tcPr>
          <w:p w:rsidR="001D0DD7" w:rsidRPr="00EB7BB6" w:rsidRDefault="001D0DD7" w:rsidP="00B14FDF">
            <w:pPr>
              <w:jc w:val="both"/>
              <w:rPr>
                <w:sz w:val="20"/>
                <w:lang w:val="fr-CA"/>
              </w:rPr>
            </w:pPr>
          </w:p>
        </w:tc>
        <w:tc>
          <w:tcPr>
            <w:tcW w:w="2330" w:type="pct"/>
          </w:tcPr>
          <w:p w:rsidR="001D0DD7" w:rsidRPr="00EB7BB6" w:rsidRDefault="001D0DD7" w:rsidP="00B14FDF">
            <w:pPr>
              <w:jc w:val="both"/>
              <w:rPr>
                <w:sz w:val="20"/>
                <w:lang w:val="fr-CA"/>
              </w:rPr>
            </w:pPr>
            <w:r w:rsidRPr="00EB7BB6">
              <w:rPr>
                <w:sz w:val="20"/>
                <w:lang w:val="fr-CA"/>
              </w:rPr>
              <w:t>Dépôt de la demande d’autorisation d’appel</w:t>
            </w:r>
          </w:p>
          <w:p w:rsidR="001D0DD7" w:rsidRPr="00EB7BB6" w:rsidRDefault="001D0DD7" w:rsidP="00B14FDF">
            <w:pPr>
              <w:jc w:val="both"/>
              <w:rPr>
                <w:sz w:val="20"/>
                <w:lang w:val="fr-CA"/>
              </w:rPr>
            </w:pPr>
          </w:p>
        </w:tc>
      </w:tr>
    </w:tbl>
    <w:p w:rsidR="001D0DD7" w:rsidRPr="00EB7BB6" w:rsidRDefault="001D0DD7" w:rsidP="00414F50">
      <w:pPr>
        <w:jc w:val="both"/>
        <w:rPr>
          <w:sz w:val="20"/>
          <w:szCs w:val="20"/>
          <w:lang w:val="fr-CA"/>
        </w:rPr>
      </w:pPr>
    </w:p>
    <w:p w:rsidR="00634F42" w:rsidRPr="00EB7BB6" w:rsidRDefault="00EB7BB6" w:rsidP="00414F50">
      <w:pPr>
        <w:jc w:val="both"/>
        <w:rPr>
          <w:sz w:val="20"/>
          <w:lang w:val="fr-CA"/>
        </w:rPr>
      </w:pPr>
      <w:r w:rsidRPr="00EB7BB6">
        <w:rPr>
          <w:sz w:val="20"/>
          <w:szCs w:val="20"/>
        </w:rPr>
        <w:pict>
          <v:rect id="_x0000_i1079" style="width:2in;height:1pt" o:hrpct="0" o:hralign="center" o:hrstd="t" o:hrnoshade="t" o:hr="t" fillcolor="black" stroked="f"/>
        </w:pict>
      </w:r>
    </w:p>
    <w:p w:rsidR="00561CEE" w:rsidRPr="00EB7BB6" w:rsidRDefault="00561CEE" w:rsidP="00102792">
      <w:pPr>
        <w:jc w:val="both"/>
        <w:rPr>
          <w:sz w:val="20"/>
          <w:lang w:val="fr-CA"/>
        </w:rPr>
        <w:sectPr w:rsidR="00561CEE" w:rsidRPr="00EB7BB6" w:rsidSect="008D292F">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p w:rsidR="00561CEE" w:rsidRPr="00EB7BB6" w:rsidRDefault="00561CEE" w:rsidP="00561CEE">
      <w:pPr>
        <w:pStyle w:val="Header1StyleE"/>
        <w:pBdr>
          <w:bottom w:val="single" w:sz="12" w:space="1" w:color="auto"/>
        </w:pBdr>
        <w:rPr>
          <w:sz w:val="20"/>
          <w:lang w:val="fr-CA"/>
        </w:rPr>
      </w:pPr>
      <w:bookmarkStart w:id="5" w:name="_Toc532985690"/>
      <w:bookmarkStart w:id="6" w:name="_Toc6468303"/>
      <w:r w:rsidRPr="00EB7BB6">
        <w:rPr>
          <w:lang w:val="fr-CA"/>
        </w:rPr>
        <w:lastRenderedPageBreak/>
        <w:t xml:space="preserve">Judgment on motion / </w:t>
      </w:r>
      <w:r w:rsidRPr="00EB7BB6">
        <w:rPr>
          <w:lang w:val="fr-CA"/>
        </w:rPr>
        <w:br/>
        <w:t>Jugement sur requête</w:t>
      </w:r>
      <w:bookmarkEnd w:id="5"/>
      <w:bookmarkEnd w:id="6"/>
    </w:p>
    <w:p w:rsidR="00561CEE" w:rsidRPr="00EB7BB6" w:rsidRDefault="00561CEE" w:rsidP="00561CEE">
      <w:pPr>
        <w:rPr>
          <w:sz w:val="20"/>
          <w:szCs w:val="20"/>
          <w:lang w:val="fr-CA"/>
        </w:rPr>
      </w:pPr>
    </w:p>
    <w:p w:rsidR="00561CEE" w:rsidRPr="00EB7BB6" w:rsidRDefault="006960C1" w:rsidP="00561CEE">
      <w:pPr>
        <w:rPr>
          <w:b/>
          <w:sz w:val="20"/>
          <w:szCs w:val="20"/>
        </w:rPr>
      </w:pPr>
      <w:r w:rsidRPr="00EB7BB6">
        <w:rPr>
          <w:b/>
          <w:sz w:val="20"/>
          <w:szCs w:val="20"/>
        </w:rPr>
        <w:t>APRIL</w:t>
      </w:r>
      <w:r w:rsidR="00561CEE" w:rsidRPr="00EB7BB6">
        <w:rPr>
          <w:b/>
          <w:sz w:val="20"/>
          <w:szCs w:val="20"/>
        </w:rPr>
        <w:t xml:space="preserve"> 1</w:t>
      </w:r>
      <w:r w:rsidRPr="00EB7BB6">
        <w:rPr>
          <w:b/>
          <w:sz w:val="20"/>
          <w:szCs w:val="20"/>
        </w:rPr>
        <w:t>1</w:t>
      </w:r>
      <w:r w:rsidR="00561CEE" w:rsidRPr="00EB7BB6">
        <w:rPr>
          <w:b/>
          <w:sz w:val="20"/>
          <w:szCs w:val="20"/>
        </w:rPr>
        <w:t xml:space="preserve">, 2019 / LE </w:t>
      </w:r>
      <w:r w:rsidRPr="00EB7BB6">
        <w:rPr>
          <w:b/>
          <w:sz w:val="20"/>
          <w:szCs w:val="20"/>
        </w:rPr>
        <w:t>11 AVRIL</w:t>
      </w:r>
      <w:r w:rsidR="00561CEE" w:rsidRPr="00EB7BB6">
        <w:rPr>
          <w:b/>
          <w:sz w:val="20"/>
          <w:szCs w:val="20"/>
        </w:rPr>
        <w:t xml:space="preserve"> 2019</w:t>
      </w:r>
    </w:p>
    <w:p w:rsidR="00561CEE" w:rsidRPr="00EB7BB6" w:rsidRDefault="00561CEE" w:rsidP="00561CEE">
      <w:pPr>
        <w:rPr>
          <w:b/>
          <w:sz w:val="20"/>
          <w:szCs w:val="20"/>
        </w:rPr>
      </w:pPr>
    </w:p>
    <w:p w:rsidR="009842DB" w:rsidRPr="00EB7BB6" w:rsidRDefault="009842DB" w:rsidP="009842DB">
      <w:pPr>
        <w:jc w:val="both"/>
        <w:rPr>
          <w:b/>
          <w:bCs/>
          <w:sz w:val="20"/>
          <w:lang w:val="en-US"/>
        </w:rPr>
      </w:pPr>
      <w:r w:rsidRPr="00EB7BB6">
        <w:rPr>
          <w:b/>
          <w:bCs/>
          <w:sz w:val="20"/>
          <w:lang w:val="en-US"/>
        </w:rPr>
        <w:t>GIOVANNI D’AMICO v. HER MAJESTY THE QUEEN</w:t>
      </w:r>
    </w:p>
    <w:p w:rsidR="009842DB" w:rsidRPr="00EB7BB6" w:rsidRDefault="009842DB" w:rsidP="009842DB">
      <w:pPr>
        <w:jc w:val="both"/>
        <w:rPr>
          <w:b/>
          <w:sz w:val="20"/>
          <w:lang w:val="en-US"/>
        </w:rPr>
      </w:pPr>
      <w:r w:rsidRPr="00EB7BB6">
        <w:rPr>
          <w:b/>
          <w:sz w:val="20"/>
          <w:lang w:val="en-US"/>
        </w:rPr>
        <w:t xml:space="preserve">(Que.) (38512) </w:t>
      </w:r>
    </w:p>
    <w:p w:rsidR="00DA5B84" w:rsidRPr="00EB7BB6" w:rsidRDefault="00DA5B84" w:rsidP="00DA5B84">
      <w:pPr>
        <w:widowControl w:val="0"/>
        <w:ind w:left="1109" w:hanging="1109"/>
        <w:rPr>
          <w:sz w:val="20"/>
          <w:lang w:val="fr-CA"/>
        </w:rPr>
      </w:pPr>
      <w:r w:rsidRPr="00EB7BB6">
        <w:rPr>
          <w:b/>
          <w:sz w:val="20"/>
          <w:lang w:val="fr-CA"/>
        </w:rPr>
        <w:t>2019 SCC 23 / 2019 CSC 23</w:t>
      </w:r>
    </w:p>
    <w:p w:rsidR="00DA5B84" w:rsidRPr="00EB7BB6" w:rsidRDefault="00DA5B84" w:rsidP="00102792">
      <w:pPr>
        <w:jc w:val="both"/>
        <w:rPr>
          <w:sz w:val="20"/>
          <w:lang w:val="en-US"/>
        </w:rPr>
      </w:pPr>
    </w:p>
    <w:p w:rsidR="009842DB" w:rsidRPr="00EB7BB6" w:rsidRDefault="009842DB" w:rsidP="009842DB">
      <w:pPr>
        <w:jc w:val="both"/>
        <w:rPr>
          <w:b/>
          <w:bCs/>
          <w:sz w:val="20"/>
          <w:u w:val="single"/>
          <w:lang w:val="en-US"/>
        </w:rPr>
      </w:pPr>
      <w:r w:rsidRPr="00EB7BB6">
        <w:rPr>
          <w:b/>
          <w:bCs/>
          <w:sz w:val="20"/>
          <w:u w:val="single"/>
          <w:lang w:val="en-US"/>
        </w:rPr>
        <w:t>THE COURT:</w:t>
      </w:r>
    </w:p>
    <w:p w:rsidR="009842DB" w:rsidRPr="00EB7BB6" w:rsidRDefault="009842DB" w:rsidP="009842DB">
      <w:pPr>
        <w:jc w:val="both"/>
        <w:rPr>
          <w:b/>
          <w:sz w:val="20"/>
          <w:lang w:val="en-US"/>
        </w:rPr>
      </w:pPr>
    </w:p>
    <w:p w:rsidR="009842DB" w:rsidRPr="00EB7BB6" w:rsidRDefault="009842DB" w:rsidP="009842DB">
      <w:pPr>
        <w:jc w:val="both"/>
        <w:rPr>
          <w:sz w:val="20"/>
          <w:lang w:val="en-US"/>
        </w:rPr>
      </w:pPr>
      <w:r w:rsidRPr="00EB7BB6">
        <w:rPr>
          <w:b/>
          <w:sz w:val="20"/>
          <w:lang w:val="en-US"/>
        </w:rPr>
        <w:t xml:space="preserve">UPON APPLICATION </w:t>
      </w:r>
      <w:r w:rsidRPr="00EB7BB6">
        <w:rPr>
          <w:sz w:val="20"/>
          <w:lang w:val="en-US"/>
        </w:rPr>
        <w:t>by the respondent for an order extending the time to serve and file a motion to quash;</w:t>
      </w:r>
    </w:p>
    <w:p w:rsidR="009842DB" w:rsidRPr="00EB7BB6" w:rsidRDefault="009842DB" w:rsidP="009842DB">
      <w:pPr>
        <w:jc w:val="both"/>
        <w:rPr>
          <w:sz w:val="20"/>
          <w:lang w:val="en-US"/>
        </w:rPr>
      </w:pPr>
    </w:p>
    <w:p w:rsidR="009842DB" w:rsidRPr="00EB7BB6" w:rsidRDefault="009842DB" w:rsidP="009842DB">
      <w:pPr>
        <w:jc w:val="both"/>
        <w:rPr>
          <w:sz w:val="20"/>
          <w:lang w:val="en-US"/>
        </w:rPr>
      </w:pPr>
      <w:r w:rsidRPr="00EB7BB6">
        <w:rPr>
          <w:b/>
          <w:sz w:val="20"/>
          <w:lang w:val="en-US"/>
        </w:rPr>
        <w:t xml:space="preserve">AND UPON APPLICATION </w:t>
      </w:r>
      <w:r w:rsidRPr="00EB7BB6">
        <w:rPr>
          <w:sz w:val="20"/>
          <w:lang w:val="en-US"/>
        </w:rPr>
        <w:t>by the respondent to quash the Notice of Appeal filed on February 12, 2019;</w:t>
      </w:r>
    </w:p>
    <w:p w:rsidR="009842DB" w:rsidRPr="00EB7BB6" w:rsidRDefault="009842DB" w:rsidP="009842DB">
      <w:pPr>
        <w:jc w:val="both"/>
        <w:rPr>
          <w:sz w:val="20"/>
          <w:lang w:val="en-US"/>
        </w:rPr>
      </w:pPr>
    </w:p>
    <w:p w:rsidR="009842DB" w:rsidRPr="00EB7BB6" w:rsidRDefault="009842DB" w:rsidP="009842DB">
      <w:pPr>
        <w:jc w:val="both"/>
        <w:rPr>
          <w:sz w:val="20"/>
          <w:lang w:val="en-US"/>
        </w:rPr>
      </w:pPr>
      <w:r w:rsidRPr="00EB7BB6">
        <w:rPr>
          <w:b/>
          <w:bCs/>
          <w:sz w:val="20"/>
          <w:lang w:val="en-US"/>
        </w:rPr>
        <w:t>AND THE MATERIAL FILED</w:t>
      </w:r>
      <w:r w:rsidRPr="00EB7BB6">
        <w:rPr>
          <w:sz w:val="20"/>
          <w:lang w:val="en-US"/>
        </w:rPr>
        <w:t xml:space="preserve"> having been read;</w:t>
      </w:r>
    </w:p>
    <w:p w:rsidR="009842DB" w:rsidRPr="00EB7BB6" w:rsidRDefault="009842DB" w:rsidP="009842DB">
      <w:pPr>
        <w:jc w:val="both"/>
        <w:rPr>
          <w:b/>
          <w:bCs/>
          <w:sz w:val="20"/>
          <w:lang w:val="en-US"/>
        </w:rPr>
      </w:pPr>
    </w:p>
    <w:p w:rsidR="009842DB" w:rsidRPr="00EB7BB6" w:rsidRDefault="009842DB" w:rsidP="009842DB">
      <w:pPr>
        <w:jc w:val="both"/>
        <w:rPr>
          <w:b/>
          <w:bCs/>
          <w:sz w:val="20"/>
          <w:lang w:val="en-US"/>
        </w:rPr>
      </w:pPr>
      <w:r w:rsidRPr="00EB7BB6">
        <w:rPr>
          <w:b/>
          <w:bCs/>
          <w:sz w:val="20"/>
          <w:lang w:val="en-US"/>
        </w:rPr>
        <w:t>IT IS HEREBY ORDERED THAT:</w:t>
      </w:r>
    </w:p>
    <w:p w:rsidR="009842DB" w:rsidRPr="00EB7BB6" w:rsidRDefault="009842DB" w:rsidP="009842DB">
      <w:pPr>
        <w:jc w:val="both"/>
        <w:rPr>
          <w:sz w:val="20"/>
          <w:lang w:val="en-US"/>
        </w:rPr>
      </w:pPr>
    </w:p>
    <w:p w:rsidR="009842DB" w:rsidRPr="00EB7BB6" w:rsidRDefault="009842DB" w:rsidP="009842DB">
      <w:pPr>
        <w:jc w:val="both"/>
        <w:rPr>
          <w:sz w:val="20"/>
          <w:lang w:val="en-US"/>
        </w:rPr>
      </w:pPr>
      <w:r w:rsidRPr="00EB7BB6">
        <w:rPr>
          <w:sz w:val="20"/>
          <w:lang w:val="en-US"/>
        </w:rPr>
        <w:t>The motion for an extension of time to serve and file the motion to quash is granted.</w:t>
      </w:r>
    </w:p>
    <w:p w:rsidR="009842DB" w:rsidRPr="00EB7BB6" w:rsidRDefault="009842DB" w:rsidP="009842DB">
      <w:pPr>
        <w:jc w:val="both"/>
        <w:rPr>
          <w:sz w:val="20"/>
          <w:lang w:val="en-US"/>
        </w:rPr>
      </w:pPr>
    </w:p>
    <w:p w:rsidR="009842DB" w:rsidRPr="00EB7BB6" w:rsidRDefault="009842DB" w:rsidP="009842DB">
      <w:pPr>
        <w:jc w:val="both"/>
        <w:rPr>
          <w:sz w:val="20"/>
          <w:lang w:val="en-US"/>
        </w:rPr>
      </w:pPr>
      <w:r w:rsidRPr="00EB7BB6">
        <w:rPr>
          <w:sz w:val="20"/>
          <w:lang w:val="en-US"/>
        </w:rPr>
        <w:t>The motion to quash is granted.</w:t>
      </w:r>
    </w:p>
    <w:p w:rsidR="009842DB" w:rsidRPr="00EB7BB6" w:rsidRDefault="009842DB" w:rsidP="009842DB">
      <w:pPr>
        <w:jc w:val="both"/>
        <w:rPr>
          <w:sz w:val="20"/>
          <w:lang w:val="en-US"/>
        </w:rPr>
      </w:pPr>
    </w:p>
    <w:p w:rsidR="009842DB" w:rsidRPr="00EB7BB6" w:rsidRDefault="009842DB" w:rsidP="009842DB">
      <w:pPr>
        <w:jc w:val="both"/>
        <w:rPr>
          <w:sz w:val="20"/>
        </w:rPr>
      </w:pPr>
      <w:r w:rsidRPr="00EB7BB6">
        <w:rPr>
          <w:sz w:val="20"/>
          <w:lang w:val="en-US"/>
        </w:rPr>
        <w:t>A</w:t>
      </w:r>
      <w:r w:rsidRPr="00EB7BB6">
        <w:rPr>
          <w:sz w:val="20"/>
        </w:rPr>
        <w:t xml:space="preserve"> dissent within the meaning of s. 691(1)(a) of the </w:t>
      </w:r>
      <w:r w:rsidRPr="00EB7BB6">
        <w:rPr>
          <w:i/>
          <w:iCs/>
          <w:sz w:val="20"/>
        </w:rPr>
        <w:t>Criminal Code</w:t>
      </w:r>
      <w:r w:rsidRPr="00EB7BB6">
        <w:rPr>
          <w:sz w:val="20"/>
        </w:rPr>
        <w:t xml:space="preserve"> means a disagreement which affects the result. In this case, Vauclair J.A.’s disagreement does not go to the result and is better characterized as a concurring opinion or an opinion concurring in the result.</w:t>
      </w:r>
    </w:p>
    <w:p w:rsidR="009842DB" w:rsidRPr="00EB7BB6" w:rsidRDefault="009842DB" w:rsidP="009842DB">
      <w:pPr>
        <w:jc w:val="both"/>
        <w:rPr>
          <w:sz w:val="20"/>
          <w:lang w:val="en-US"/>
        </w:rPr>
      </w:pPr>
    </w:p>
    <w:p w:rsidR="00561CEE" w:rsidRPr="00EB7BB6" w:rsidRDefault="009842DB" w:rsidP="009842DB">
      <w:pPr>
        <w:jc w:val="both"/>
        <w:rPr>
          <w:sz w:val="20"/>
          <w:lang w:val="en-US"/>
        </w:rPr>
      </w:pPr>
      <w:r w:rsidRPr="00EB7BB6">
        <w:rPr>
          <w:sz w:val="20"/>
          <w:lang w:val="en-US"/>
        </w:rPr>
        <w:t>The applicant shall be entitled to serve and file an application for leave to appeal within thirty (30) days from the date of this order.</w:t>
      </w:r>
    </w:p>
    <w:p w:rsidR="00561CEE" w:rsidRPr="00EB7BB6" w:rsidRDefault="00561CEE" w:rsidP="00102792">
      <w:pPr>
        <w:jc w:val="both"/>
        <w:rPr>
          <w:sz w:val="20"/>
          <w:lang w:val="en-US"/>
        </w:rPr>
      </w:pPr>
    </w:p>
    <w:p w:rsidR="009842DB" w:rsidRPr="00EB7BB6" w:rsidRDefault="009842DB" w:rsidP="009842DB">
      <w:pPr>
        <w:jc w:val="both"/>
        <w:rPr>
          <w:sz w:val="20"/>
          <w:lang w:val="en-US"/>
        </w:rPr>
      </w:pPr>
    </w:p>
    <w:p w:rsidR="009842DB" w:rsidRPr="00EB7BB6" w:rsidRDefault="009842DB" w:rsidP="009842DB">
      <w:pPr>
        <w:jc w:val="both"/>
        <w:rPr>
          <w:b/>
          <w:bCs/>
          <w:sz w:val="20"/>
          <w:lang w:val="fr-CA"/>
        </w:rPr>
      </w:pPr>
      <w:r w:rsidRPr="00EB7BB6">
        <w:rPr>
          <w:b/>
          <w:bCs/>
          <w:sz w:val="20"/>
          <w:lang w:val="fr-CA"/>
        </w:rPr>
        <w:t xml:space="preserve">À LA SUITE DE LA DEMANDE </w:t>
      </w:r>
      <w:r w:rsidRPr="00EB7BB6">
        <w:rPr>
          <w:bCs/>
          <w:sz w:val="20"/>
          <w:lang w:val="fr-CA"/>
        </w:rPr>
        <w:t>présentée par l’intimée pour une ordonnance en vue d’obtenir une prorogation du délai de signification et de dépôt d’une requête en cassation</w:t>
      </w:r>
      <w:r w:rsidRPr="00EB7BB6">
        <w:rPr>
          <w:sz w:val="20"/>
          <w:lang w:val="fr-CA"/>
        </w:rPr>
        <w:t>;</w:t>
      </w:r>
    </w:p>
    <w:p w:rsidR="009842DB" w:rsidRPr="00EB7BB6" w:rsidRDefault="009842DB" w:rsidP="009842DB">
      <w:pPr>
        <w:jc w:val="both"/>
        <w:rPr>
          <w:b/>
          <w:bCs/>
          <w:sz w:val="20"/>
          <w:lang w:val="fr-CA"/>
        </w:rPr>
      </w:pPr>
    </w:p>
    <w:p w:rsidR="009842DB" w:rsidRPr="00EB7BB6" w:rsidRDefault="009842DB" w:rsidP="009842DB">
      <w:pPr>
        <w:jc w:val="both"/>
        <w:rPr>
          <w:bCs/>
          <w:sz w:val="20"/>
          <w:lang w:val="fr-CA"/>
        </w:rPr>
      </w:pPr>
      <w:r w:rsidRPr="00EB7BB6">
        <w:rPr>
          <w:b/>
          <w:bCs/>
          <w:sz w:val="20"/>
          <w:lang w:val="fr-CA"/>
        </w:rPr>
        <w:t xml:space="preserve">ET À LA SUITE DE LA DEMANDE </w:t>
      </w:r>
      <w:r w:rsidRPr="00EB7BB6">
        <w:rPr>
          <w:bCs/>
          <w:sz w:val="20"/>
          <w:lang w:val="fr-CA"/>
        </w:rPr>
        <w:t>présentée par l’intimée visant à faire annuler l’avis d’appel déposé le 12 février 2019</w:t>
      </w:r>
      <w:r w:rsidRPr="00EB7BB6">
        <w:rPr>
          <w:sz w:val="20"/>
          <w:lang w:val="fr-CA"/>
        </w:rPr>
        <w:t>;</w:t>
      </w:r>
    </w:p>
    <w:p w:rsidR="009842DB" w:rsidRPr="00EB7BB6" w:rsidRDefault="009842DB" w:rsidP="009842DB">
      <w:pPr>
        <w:jc w:val="both"/>
        <w:rPr>
          <w:b/>
          <w:bCs/>
          <w:sz w:val="20"/>
          <w:lang w:val="fr-CA"/>
        </w:rPr>
      </w:pPr>
    </w:p>
    <w:p w:rsidR="009842DB" w:rsidRPr="00EB7BB6" w:rsidRDefault="009842DB" w:rsidP="009842DB">
      <w:pPr>
        <w:jc w:val="both"/>
        <w:rPr>
          <w:sz w:val="20"/>
          <w:lang w:val="fr-CA"/>
        </w:rPr>
      </w:pPr>
      <w:r w:rsidRPr="00EB7BB6">
        <w:rPr>
          <w:b/>
          <w:bCs/>
          <w:sz w:val="20"/>
          <w:lang w:val="fr-CA"/>
        </w:rPr>
        <w:t xml:space="preserve">ET APRÈS EXAMEN </w:t>
      </w:r>
      <w:r w:rsidRPr="00EB7BB6">
        <w:rPr>
          <w:bCs/>
          <w:sz w:val="20"/>
          <w:lang w:val="fr-CA"/>
        </w:rPr>
        <w:t>des documents déposés</w:t>
      </w:r>
      <w:r w:rsidRPr="00EB7BB6">
        <w:rPr>
          <w:sz w:val="20"/>
          <w:lang w:val="fr-CA"/>
        </w:rPr>
        <w:t>;</w:t>
      </w:r>
    </w:p>
    <w:p w:rsidR="009842DB" w:rsidRPr="00EB7BB6" w:rsidRDefault="009842DB" w:rsidP="009842DB">
      <w:pPr>
        <w:jc w:val="both"/>
        <w:rPr>
          <w:b/>
          <w:bCs/>
          <w:sz w:val="20"/>
          <w:lang w:val="fr-CA"/>
        </w:rPr>
      </w:pPr>
    </w:p>
    <w:p w:rsidR="009842DB" w:rsidRPr="00EB7BB6" w:rsidRDefault="009842DB" w:rsidP="009842DB">
      <w:pPr>
        <w:jc w:val="both"/>
        <w:rPr>
          <w:b/>
          <w:bCs/>
          <w:sz w:val="20"/>
          <w:lang w:val="fr-CA"/>
        </w:rPr>
      </w:pPr>
    </w:p>
    <w:p w:rsidR="009842DB" w:rsidRPr="00EB7BB6" w:rsidRDefault="009842DB" w:rsidP="009842DB">
      <w:pPr>
        <w:jc w:val="both"/>
        <w:rPr>
          <w:b/>
          <w:bCs/>
          <w:sz w:val="20"/>
          <w:lang w:val="fr-CA"/>
        </w:rPr>
      </w:pPr>
      <w:r w:rsidRPr="00EB7BB6">
        <w:rPr>
          <w:b/>
          <w:sz w:val="20"/>
          <w:lang w:val="fr-CA"/>
        </w:rPr>
        <w:t>IL EST ORDONNÉ CE QUI SUIT :</w:t>
      </w:r>
    </w:p>
    <w:p w:rsidR="009842DB" w:rsidRPr="00EB7BB6" w:rsidRDefault="009842DB" w:rsidP="009842DB">
      <w:pPr>
        <w:jc w:val="both"/>
        <w:rPr>
          <w:b/>
          <w:bCs/>
          <w:sz w:val="20"/>
          <w:lang w:val="fr-CA"/>
        </w:rPr>
      </w:pPr>
    </w:p>
    <w:p w:rsidR="009842DB" w:rsidRPr="00EB7BB6" w:rsidRDefault="009842DB" w:rsidP="009842DB">
      <w:pPr>
        <w:jc w:val="both"/>
        <w:rPr>
          <w:sz w:val="20"/>
          <w:lang w:val="fr-CA"/>
        </w:rPr>
      </w:pPr>
      <w:r w:rsidRPr="00EB7BB6">
        <w:rPr>
          <w:sz w:val="20"/>
          <w:lang w:val="fr-CA"/>
        </w:rPr>
        <w:t>La requête en prorogation du délai de signification et de dépôt de la requête en cassation est accueillie.</w:t>
      </w:r>
    </w:p>
    <w:p w:rsidR="009842DB" w:rsidRPr="00EB7BB6" w:rsidRDefault="009842DB" w:rsidP="009842DB">
      <w:pPr>
        <w:jc w:val="both"/>
        <w:rPr>
          <w:sz w:val="20"/>
          <w:lang w:val="fr-CA"/>
        </w:rPr>
      </w:pPr>
    </w:p>
    <w:p w:rsidR="009842DB" w:rsidRPr="00EB7BB6" w:rsidRDefault="009842DB" w:rsidP="009842DB">
      <w:pPr>
        <w:jc w:val="both"/>
        <w:rPr>
          <w:sz w:val="20"/>
          <w:lang w:val="fr-CA"/>
        </w:rPr>
      </w:pPr>
      <w:r w:rsidRPr="00EB7BB6">
        <w:rPr>
          <w:sz w:val="20"/>
          <w:lang w:val="fr-CA"/>
        </w:rPr>
        <w:t>La requête en cassation est accueillie.</w:t>
      </w:r>
    </w:p>
    <w:p w:rsidR="009842DB" w:rsidRPr="00EB7BB6" w:rsidRDefault="009842DB" w:rsidP="009842DB">
      <w:pPr>
        <w:jc w:val="both"/>
        <w:rPr>
          <w:sz w:val="20"/>
          <w:lang w:val="fr-CA"/>
        </w:rPr>
      </w:pPr>
    </w:p>
    <w:p w:rsidR="009842DB" w:rsidRPr="00EB7BB6" w:rsidRDefault="009842DB" w:rsidP="009842DB">
      <w:pPr>
        <w:jc w:val="both"/>
        <w:rPr>
          <w:sz w:val="20"/>
          <w:lang w:val="fr-CA"/>
        </w:rPr>
      </w:pPr>
      <w:r w:rsidRPr="00EB7BB6">
        <w:rPr>
          <w:sz w:val="20"/>
          <w:lang w:val="fr-CA"/>
        </w:rPr>
        <w:t xml:space="preserve">Au titre de l’alinéa 691(1)a) du </w:t>
      </w:r>
      <w:r w:rsidRPr="00EB7BB6">
        <w:rPr>
          <w:i/>
          <w:iCs/>
          <w:sz w:val="20"/>
          <w:lang w:val="fr-CA"/>
        </w:rPr>
        <w:t>Code criminel</w:t>
      </w:r>
      <w:r w:rsidRPr="00EB7BB6">
        <w:rPr>
          <w:sz w:val="20"/>
          <w:lang w:val="fr-CA"/>
        </w:rPr>
        <w:t>, la dissidence s’entend d’un désaccord qui influence le résultat. En l’espèce, le désaccord du juge Vauclair n’a pas d’incidence sur le résultat et il serait plus juste de parler d’opinion concordante ou d’opinion concordante quant au résultat.</w:t>
      </w:r>
    </w:p>
    <w:p w:rsidR="009842DB" w:rsidRPr="00EB7BB6" w:rsidRDefault="009842DB" w:rsidP="009842DB">
      <w:pPr>
        <w:jc w:val="both"/>
        <w:rPr>
          <w:sz w:val="20"/>
          <w:lang w:val="fr-CA"/>
        </w:rPr>
      </w:pPr>
    </w:p>
    <w:p w:rsidR="00561CEE" w:rsidRPr="00EB7BB6" w:rsidRDefault="009842DB" w:rsidP="009842DB">
      <w:pPr>
        <w:jc w:val="both"/>
        <w:rPr>
          <w:sz w:val="20"/>
          <w:lang w:val="fr-CA"/>
        </w:rPr>
      </w:pPr>
      <w:r w:rsidRPr="00EB7BB6">
        <w:rPr>
          <w:sz w:val="20"/>
          <w:lang w:val="fr-CA"/>
        </w:rPr>
        <w:t>Le demandeur pourra signifier et déposer une demande d’autorisation d’appel au plus tard trente (30) jours après la date de la présente ordonnance.</w:t>
      </w:r>
    </w:p>
    <w:p w:rsidR="00890FEB" w:rsidRPr="00EB7BB6" w:rsidRDefault="00890FEB" w:rsidP="008D292F">
      <w:pPr>
        <w:rPr>
          <w:sz w:val="20"/>
          <w:szCs w:val="20"/>
          <w:lang w:val="fr-CA"/>
        </w:rPr>
      </w:pPr>
    </w:p>
    <w:p w:rsidR="00890FEB" w:rsidRPr="00EB7BB6" w:rsidRDefault="00890FEB" w:rsidP="008D292F">
      <w:pPr>
        <w:rPr>
          <w:b/>
          <w:sz w:val="20"/>
          <w:szCs w:val="20"/>
          <w:lang w:val="fr-CA"/>
        </w:rPr>
        <w:sectPr w:rsidR="00890FEB" w:rsidRPr="00EB7BB6" w:rsidSect="008D292F">
          <w:pgSz w:w="12240" w:h="15840"/>
          <w:pgMar w:top="720" w:right="965" w:bottom="1080" w:left="1656" w:header="720" w:footer="965" w:gutter="0"/>
          <w:cols w:space="720"/>
          <w:titlePg/>
          <w:docGrid w:linePitch="326"/>
        </w:sectPr>
      </w:pPr>
    </w:p>
    <w:p w:rsidR="00693C38" w:rsidRPr="00EB7BB6" w:rsidRDefault="00DD0BDC" w:rsidP="00567602">
      <w:pPr>
        <w:pStyle w:val="Header1StyleE"/>
        <w:pBdr>
          <w:bottom w:val="single" w:sz="12" w:space="1" w:color="auto"/>
        </w:pBdr>
        <w:rPr>
          <w:lang w:val="fr-CA"/>
        </w:rPr>
      </w:pPr>
      <w:bookmarkStart w:id="7" w:name="_Toc6468304"/>
      <w:r w:rsidRPr="00EB7BB6">
        <w:rPr>
          <w:lang w:val="fr-CA"/>
        </w:rPr>
        <w:lastRenderedPageBreak/>
        <w:t>Motions</w:t>
      </w:r>
      <w:r w:rsidR="00271E1E" w:rsidRPr="00EB7BB6">
        <w:rPr>
          <w:lang w:val="fr-CA"/>
        </w:rPr>
        <w:t xml:space="preserve"> / </w:t>
      </w:r>
      <w:r w:rsidR="00693C38" w:rsidRPr="00EB7BB6">
        <w:rPr>
          <w:lang w:val="fr-CA"/>
        </w:rPr>
        <w:br/>
      </w:r>
      <w:r w:rsidRPr="00EB7BB6">
        <w:rPr>
          <w:lang w:val="fr-CA"/>
        </w:rPr>
        <w:t>Requêtes</w:t>
      </w:r>
      <w:bookmarkEnd w:id="7"/>
    </w:p>
    <w:p w:rsidR="00890FEB" w:rsidRPr="00EB7BB6" w:rsidRDefault="00890FEB" w:rsidP="00890FEB">
      <w:pPr>
        <w:rPr>
          <w:sz w:val="20"/>
          <w:szCs w:val="20"/>
          <w:lang w:val="fr-CA"/>
        </w:rPr>
      </w:pPr>
    </w:p>
    <w:p w:rsidR="00D22E96" w:rsidRPr="00EB7BB6" w:rsidRDefault="00D22E96" w:rsidP="00D22E96">
      <w:pPr>
        <w:rPr>
          <w:b/>
          <w:sz w:val="20"/>
          <w:szCs w:val="20"/>
          <w:lang w:val="fr-CA"/>
        </w:rPr>
      </w:pPr>
      <w:r w:rsidRPr="00EB7BB6">
        <w:rPr>
          <w:b/>
          <w:sz w:val="20"/>
          <w:szCs w:val="20"/>
          <w:lang w:val="fr-CA"/>
        </w:rPr>
        <w:t>APRIL 10, 2019 / LE 10 AVRIL</w:t>
      </w:r>
      <w:r w:rsidR="00E9135F" w:rsidRPr="00EB7BB6">
        <w:rPr>
          <w:b/>
          <w:sz w:val="20"/>
          <w:szCs w:val="20"/>
          <w:lang w:val="fr-CA"/>
        </w:rPr>
        <w:t xml:space="preserve"> 2019</w:t>
      </w:r>
    </w:p>
    <w:p w:rsidR="00D22E96" w:rsidRPr="00EB7BB6" w:rsidRDefault="00D22E96" w:rsidP="00D22E9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D22E96" w:rsidRPr="00EB7BB6" w:rsidTr="000441E7">
        <w:tc>
          <w:tcPr>
            <w:tcW w:w="4804" w:type="dxa"/>
            <w:tcBorders>
              <w:top w:val="nil"/>
              <w:left w:val="nil"/>
              <w:bottom w:val="nil"/>
              <w:right w:val="nil"/>
            </w:tcBorders>
          </w:tcPr>
          <w:p w:rsidR="00D22E96" w:rsidRPr="00EB7BB6" w:rsidRDefault="00D22E96" w:rsidP="000441E7">
            <w:pPr>
              <w:tabs>
                <w:tab w:val="left" w:pos="-1440"/>
                <w:tab w:val="left" w:pos="-720"/>
              </w:tabs>
              <w:jc w:val="both"/>
              <w:rPr>
                <w:rFonts w:eastAsia="Times New Roman" w:cs="Times New Roman"/>
                <w:b/>
                <w:sz w:val="20"/>
                <w:szCs w:val="20"/>
                <w:lang w:val="en-US" w:eastAsia="en-CA"/>
              </w:rPr>
            </w:pPr>
            <w:r w:rsidRPr="00EB7BB6">
              <w:rPr>
                <w:rFonts w:eastAsia="Times New Roman" w:cs="Times New Roman"/>
                <w:b/>
                <w:sz w:val="20"/>
                <w:szCs w:val="20"/>
                <w:lang w:val="en-US" w:eastAsia="en-CA"/>
              </w:rPr>
              <w:t>Motion for leave to intervene</w:t>
            </w:r>
            <w:r w:rsidR="000441E7" w:rsidRPr="00EB7BB6">
              <w:rPr>
                <w:rFonts w:eastAsia="Times New Roman" w:cs="Times New Roman"/>
                <w:b/>
                <w:sz w:val="20"/>
                <w:szCs w:val="20"/>
                <w:lang w:val="en-US" w:eastAsia="en-CA"/>
              </w:rPr>
              <w:t xml:space="preserve"> and </w:t>
            </w:r>
            <w:r w:rsidR="001A7CAA" w:rsidRPr="00EB7BB6">
              <w:rPr>
                <w:rFonts w:eastAsia="Times New Roman" w:cs="Times New Roman"/>
                <w:b/>
                <w:sz w:val="20"/>
                <w:szCs w:val="20"/>
                <w:lang w:val="en-US" w:eastAsia="en-CA"/>
              </w:rPr>
              <w:t xml:space="preserve">motion to </w:t>
            </w:r>
            <w:r w:rsidR="000441E7" w:rsidRPr="00EB7BB6">
              <w:rPr>
                <w:rFonts w:eastAsia="Times New Roman" w:cs="Times New Roman"/>
                <w:b/>
                <w:sz w:val="20"/>
                <w:szCs w:val="20"/>
                <w:lang w:val="en-US" w:eastAsia="en-CA"/>
              </w:rPr>
              <w:t>add parties</w:t>
            </w:r>
          </w:p>
        </w:tc>
        <w:tc>
          <w:tcPr>
            <w:tcW w:w="4805" w:type="dxa"/>
            <w:tcBorders>
              <w:top w:val="nil"/>
              <w:left w:val="nil"/>
              <w:bottom w:val="nil"/>
              <w:right w:val="nil"/>
            </w:tcBorders>
          </w:tcPr>
          <w:p w:rsidR="00D22E96" w:rsidRPr="00EB7BB6" w:rsidRDefault="00D22E96" w:rsidP="000441E7">
            <w:pPr>
              <w:tabs>
                <w:tab w:val="left" w:pos="-1440"/>
                <w:tab w:val="left" w:pos="-720"/>
              </w:tabs>
              <w:jc w:val="both"/>
              <w:rPr>
                <w:rFonts w:eastAsia="Times New Roman" w:cs="Times New Roman"/>
                <w:b/>
                <w:sz w:val="20"/>
                <w:szCs w:val="20"/>
                <w:lang w:val="fr-CA" w:eastAsia="en-CA"/>
              </w:rPr>
            </w:pPr>
            <w:r w:rsidRPr="00EB7BB6">
              <w:rPr>
                <w:rFonts w:eastAsia="Times New Roman" w:cs="Times New Roman"/>
                <w:b/>
                <w:sz w:val="20"/>
                <w:szCs w:val="20"/>
                <w:lang w:val="fr-CA" w:eastAsia="en-CA"/>
              </w:rPr>
              <w:t>Requête en intervention</w:t>
            </w:r>
            <w:r w:rsidR="001A7CAA" w:rsidRPr="00EB7BB6">
              <w:rPr>
                <w:rFonts w:eastAsia="Times New Roman" w:cs="Times New Roman"/>
                <w:b/>
                <w:sz w:val="20"/>
                <w:szCs w:val="20"/>
                <w:lang w:val="fr-CA" w:eastAsia="en-CA"/>
              </w:rPr>
              <w:t xml:space="preserve"> et requête pour ajouter des parties</w:t>
            </w:r>
          </w:p>
        </w:tc>
      </w:tr>
    </w:tbl>
    <w:p w:rsidR="00D22E96" w:rsidRPr="00EB7BB6" w:rsidRDefault="00D22E96" w:rsidP="00D22E96">
      <w:pPr>
        <w:tabs>
          <w:tab w:val="left" w:pos="-1440"/>
          <w:tab w:val="left" w:pos="-720"/>
        </w:tabs>
        <w:jc w:val="both"/>
        <w:rPr>
          <w:rFonts w:eastAsia="Times New Roman" w:cs="Times New Roman"/>
          <w:sz w:val="20"/>
          <w:szCs w:val="20"/>
          <w:lang w:val="fr-CA" w:eastAsia="en-CA"/>
        </w:rPr>
      </w:pPr>
    </w:p>
    <w:p w:rsidR="00D22E96" w:rsidRPr="00EB7BB6" w:rsidRDefault="00D22E96" w:rsidP="00D22E96">
      <w:pPr>
        <w:pStyle w:val="SCCSsocParty"/>
        <w:rPr>
          <w:rFonts w:eastAsiaTheme="minorEastAsia"/>
          <w:b/>
          <w:bCs/>
          <w:i w:val="0"/>
          <w:sz w:val="20"/>
          <w:lang w:val="en-US"/>
        </w:rPr>
      </w:pPr>
      <w:r w:rsidRPr="00EB7BB6">
        <w:rPr>
          <w:rFonts w:eastAsiaTheme="minorEastAsia"/>
          <w:b/>
          <w:bCs/>
          <w:i w:val="0"/>
          <w:sz w:val="20"/>
          <w:lang w:val="en-US"/>
        </w:rPr>
        <w:t xml:space="preserve">CHRISTINE DEJONG MEDICINE PROFESSIONAL CORPORATION v. DBDC SPADINA LTD., DR. BERNSTEIN DIET CLINICS LTD., 2272551 ONTARIO LIMITED, DBDC INVESTMENTS ATLANTIC LTD., DBDC INVESTMENT PAPE LTD., DBDC INVESTMENTS HIGHWAY 7 LTD., DBDC INVESTMENTS TRENT LTD., DBDC INVESTMENTS ST. CLAIR LTD., DBDC INVESTMENTS TISDALE LTD., DBDC INVESTMENTS LESLIE LTD., DBDC INVESTMENTS LESLIEBROOK LTD., DBDC FRASER PROPERTIES LTD., DBDC FRASER LANDS LTD., DBDC QUEEN’S CORNER INC., DBDC QUEEN’S PLATE HOLDINGS INC., DBDC DUPONT DEVELOPMENTS LTD., DBDC RED DOOR DEVELOPMENTS INC., DBDC RED DOOR LANDS INC., DBDC GLOBAL MILLS LTD., DBDC DONALDA DEVELOPMENTS LTD., DBDC SALMON RIVER PROPERTIES LTD., DBDC CITYVIEW INDUSTRIAL LTD., DBDC WESTON LANDS LTD., DBDC DOUBLE ROSE DEVELOPMENTS LTD., DBDC SKYWAY HOLDINGS LTD., DBDC WEST MALL HOLDINGS LTD., DBDC ROYAL GATE HOLDINGS LTD., DBDC DEWHURST DEVELOPMENTS LTD., DBDC EDDYSTONE PLACE LTD. AND DBDC RICHMOND ROW HOLDINGS LTD. </w:t>
      </w:r>
      <w:r w:rsidRPr="00EB7BB6">
        <w:rPr>
          <w:rFonts w:eastAsiaTheme="minorEastAsia"/>
          <w:i w:val="0"/>
          <w:sz w:val="20"/>
          <w:lang w:val="en-US" w:eastAsia="fr-FR"/>
        </w:rPr>
        <w:t>(Ont.) (38051)</w:t>
      </w:r>
    </w:p>
    <w:p w:rsidR="00D22E96" w:rsidRPr="00EB7BB6" w:rsidRDefault="00D22E96" w:rsidP="00D22E96">
      <w:pPr>
        <w:rPr>
          <w:rFonts w:cs="Times New Roman"/>
          <w:sz w:val="16"/>
        </w:rPr>
      </w:pPr>
    </w:p>
    <w:p w:rsidR="00D22E96" w:rsidRPr="00EB7BB6" w:rsidRDefault="00D22E96" w:rsidP="00D22E96">
      <w:pPr>
        <w:rPr>
          <w:rFonts w:cs="Times New Roman"/>
          <w:sz w:val="20"/>
        </w:rPr>
      </w:pPr>
      <w:r w:rsidRPr="00EB7BB6">
        <w:rPr>
          <w:rFonts w:cs="Times New Roman"/>
          <w:b/>
          <w:bCs/>
          <w:sz w:val="20"/>
          <w:u w:val="single"/>
        </w:rPr>
        <w:t>CÔTÉ J.:</w:t>
      </w:r>
    </w:p>
    <w:p w:rsidR="00D22E96" w:rsidRPr="00EB7BB6" w:rsidRDefault="00D22E96" w:rsidP="00D22E96">
      <w:pPr>
        <w:rPr>
          <w:rFonts w:cs="Times New Roman"/>
          <w:sz w:val="20"/>
        </w:rPr>
      </w:pPr>
    </w:p>
    <w:p w:rsidR="00D22E96" w:rsidRPr="00EB7BB6" w:rsidRDefault="00D22E96" w:rsidP="00D22E96">
      <w:pPr>
        <w:spacing w:line="233" w:lineRule="auto"/>
        <w:rPr>
          <w:rFonts w:cs="Times New Roman"/>
          <w:sz w:val="20"/>
        </w:rPr>
      </w:pPr>
      <w:r w:rsidRPr="00EB7BB6">
        <w:rPr>
          <w:rFonts w:cs="Times New Roman"/>
          <w:b/>
          <w:sz w:val="20"/>
        </w:rPr>
        <w:t xml:space="preserve">UPON APPLICATION </w:t>
      </w:r>
      <w:r w:rsidRPr="00EB7BB6">
        <w:rPr>
          <w:rFonts w:cs="Times New Roman"/>
          <w:sz w:val="20"/>
        </w:rPr>
        <w:t>by Schonfeld Inc., in its capacity as the court-appointed Inspector and Manager of Twin Dragons Corporation, et al., for an order to be added as a respondent in the above appeal or, in the alternative, an order granting leave to intervene in the above appeal;</w:t>
      </w:r>
    </w:p>
    <w:p w:rsidR="00D22E96" w:rsidRPr="00EB7BB6" w:rsidRDefault="00D22E96" w:rsidP="00D22E96">
      <w:pPr>
        <w:spacing w:line="233" w:lineRule="auto"/>
        <w:rPr>
          <w:rFonts w:cs="Times New Roman"/>
          <w:sz w:val="20"/>
        </w:rPr>
      </w:pPr>
    </w:p>
    <w:p w:rsidR="00D22E96" w:rsidRPr="00EB7BB6" w:rsidRDefault="00D22E96" w:rsidP="00D22E96">
      <w:pPr>
        <w:spacing w:line="233" w:lineRule="auto"/>
        <w:rPr>
          <w:rFonts w:cs="Times New Roman"/>
          <w:sz w:val="20"/>
          <w:lang w:val="en-US"/>
        </w:rPr>
      </w:pPr>
      <w:r w:rsidRPr="00EB7BB6">
        <w:rPr>
          <w:rFonts w:cs="Times New Roman"/>
          <w:b/>
          <w:bCs/>
          <w:sz w:val="20"/>
          <w:lang w:val="en-US"/>
        </w:rPr>
        <w:t xml:space="preserve">AND UPON APPLICATION </w:t>
      </w:r>
      <w:r w:rsidRPr="00EB7BB6">
        <w:rPr>
          <w:rFonts w:cs="Times New Roman"/>
          <w:sz w:val="20"/>
          <w:lang w:val="en-US"/>
        </w:rPr>
        <w:t>by the Canadian Chamber of Commerce for leave to intervene in the above appeal;</w:t>
      </w:r>
    </w:p>
    <w:p w:rsidR="00D22E96" w:rsidRPr="00EB7BB6" w:rsidRDefault="00D22E96" w:rsidP="00D22E96">
      <w:pPr>
        <w:spacing w:line="233" w:lineRule="auto"/>
        <w:rPr>
          <w:rFonts w:cs="Times New Roman"/>
          <w:sz w:val="20"/>
        </w:rPr>
      </w:pPr>
    </w:p>
    <w:p w:rsidR="00D22E96" w:rsidRPr="00EB7BB6" w:rsidRDefault="00D22E96" w:rsidP="00D22E96">
      <w:pPr>
        <w:spacing w:line="233" w:lineRule="auto"/>
        <w:rPr>
          <w:rFonts w:cs="Times New Roman"/>
          <w:sz w:val="20"/>
        </w:rPr>
      </w:pPr>
      <w:r w:rsidRPr="00EB7BB6">
        <w:rPr>
          <w:rFonts w:cs="Times New Roman"/>
          <w:b/>
          <w:bCs/>
          <w:sz w:val="20"/>
        </w:rPr>
        <w:t>AND THE MATERIAL FILED</w:t>
      </w:r>
      <w:r w:rsidRPr="00EB7BB6">
        <w:rPr>
          <w:rFonts w:cs="Times New Roman"/>
          <w:sz w:val="20"/>
        </w:rPr>
        <w:t xml:space="preserve"> having been read;</w:t>
      </w:r>
    </w:p>
    <w:p w:rsidR="00D22E96" w:rsidRPr="00EB7BB6" w:rsidRDefault="00D22E96" w:rsidP="00D22E96">
      <w:pPr>
        <w:spacing w:line="233" w:lineRule="auto"/>
        <w:rPr>
          <w:rFonts w:cs="Times New Roman"/>
          <w:sz w:val="20"/>
        </w:rPr>
      </w:pPr>
    </w:p>
    <w:p w:rsidR="00D22E96" w:rsidRPr="00EB7BB6" w:rsidRDefault="00D22E96" w:rsidP="00D22E96">
      <w:pPr>
        <w:spacing w:line="233" w:lineRule="auto"/>
        <w:rPr>
          <w:rFonts w:cs="Times New Roman"/>
          <w:sz w:val="20"/>
        </w:rPr>
      </w:pPr>
      <w:r w:rsidRPr="00EB7BB6">
        <w:rPr>
          <w:rFonts w:cs="Times New Roman"/>
          <w:b/>
          <w:bCs/>
          <w:sz w:val="20"/>
        </w:rPr>
        <w:t>IT IS HEREBY ORDERED THAT:</w:t>
      </w:r>
    </w:p>
    <w:p w:rsidR="00D22E96" w:rsidRPr="00EB7BB6" w:rsidRDefault="00D22E96" w:rsidP="00D22E96">
      <w:pPr>
        <w:spacing w:line="233" w:lineRule="auto"/>
        <w:rPr>
          <w:rFonts w:cs="Times New Roman"/>
          <w:sz w:val="20"/>
        </w:rPr>
      </w:pPr>
    </w:p>
    <w:p w:rsidR="00D22E96" w:rsidRPr="00EB7BB6" w:rsidRDefault="00D22E96" w:rsidP="00D22E96">
      <w:pPr>
        <w:spacing w:line="228" w:lineRule="auto"/>
        <w:rPr>
          <w:sz w:val="20"/>
          <w:lang w:val="en-US"/>
        </w:rPr>
      </w:pPr>
      <w:r w:rsidRPr="00EB7BB6">
        <w:rPr>
          <w:sz w:val="20"/>
          <w:lang w:val="en-US"/>
        </w:rPr>
        <w:t xml:space="preserve">The motion to be added as a respondent by Schonfeld Inc., in its capacity as the court-appointed Inspector and Manager of Twin Dragons Corporation, et al., is dismissed. </w:t>
      </w:r>
    </w:p>
    <w:p w:rsidR="00D22E96" w:rsidRPr="00EB7BB6" w:rsidRDefault="00D22E96" w:rsidP="00D22E96">
      <w:pPr>
        <w:spacing w:line="228" w:lineRule="auto"/>
        <w:rPr>
          <w:sz w:val="20"/>
          <w:lang w:val="en-US"/>
        </w:rPr>
      </w:pPr>
    </w:p>
    <w:p w:rsidR="00D22E96" w:rsidRPr="00EB7BB6" w:rsidRDefault="00D22E96" w:rsidP="00D22E96">
      <w:pPr>
        <w:spacing w:line="228" w:lineRule="auto"/>
        <w:rPr>
          <w:sz w:val="20"/>
          <w:lang w:val="en-US"/>
        </w:rPr>
      </w:pPr>
      <w:r w:rsidRPr="00EB7BB6">
        <w:rPr>
          <w:sz w:val="20"/>
          <w:lang w:val="en-US"/>
        </w:rPr>
        <w:t xml:space="preserve">The alternative request for leave to intervene by Schonfeld Inc., in its capacity as the court-appointed Inspector and Manager of Twin Dragons Corporation, et al., is granted and the said intervener shall be entitled to serve and file a factum not exceeding ten (10) pages in length on or before May 1, 2019. </w:t>
      </w:r>
    </w:p>
    <w:p w:rsidR="00D22E96" w:rsidRPr="00EB7BB6" w:rsidRDefault="00D22E96" w:rsidP="00D22E96">
      <w:pPr>
        <w:spacing w:line="228" w:lineRule="auto"/>
        <w:rPr>
          <w:sz w:val="20"/>
          <w:lang w:val="en-US"/>
        </w:rPr>
      </w:pPr>
    </w:p>
    <w:p w:rsidR="00D22E96" w:rsidRPr="00EB7BB6" w:rsidRDefault="00D22E96" w:rsidP="00D22E96">
      <w:pPr>
        <w:spacing w:line="228" w:lineRule="auto"/>
        <w:rPr>
          <w:sz w:val="20"/>
          <w:lang w:val="en-US"/>
        </w:rPr>
      </w:pPr>
      <w:r w:rsidRPr="00EB7BB6">
        <w:rPr>
          <w:sz w:val="20"/>
          <w:lang w:val="en-US"/>
        </w:rPr>
        <w:t>The motion for leave to intervene by the Canadian Chamber of Commerce is granted and the said intervener shall be entitled to serve and file a factum not exceeding ten (10) pages in length on or before May 1, 2019.</w:t>
      </w:r>
    </w:p>
    <w:p w:rsidR="00D22E96" w:rsidRPr="00EB7BB6" w:rsidRDefault="00D22E96" w:rsidP="00D22E96">
      <w:pPr>
        <w:spacing w:line="228" w:lineRule="auto"/>
        <w:rPr>
          <w:sz w:val="20"/>
          <w:lang w:val="en-US"/>
        </w:rPr>
      </w:pPr>
    </w:p>
    <w:p w:rsidR="00D22E96" w:rsidRPr="00EB7BB6" w:rsidRDefault="00D22E96" w:rsidP="00D22E96">
      <w:pPr>
        <w:spacing w:line="228" w:lineRule="auto"/>
        <w:rPr>
          <w:sz w:val="20"/>
        </w:rPr>
      </w:pPr>
      <w:r w:rsidRPr="00EB7BB6">
        <w:rPr>
          <w:bCs/>
          <w:sz w:val="20"/>
          <w:lang w:val="en-US"/>
        </w:rPr>
        <w:t>The said two (2) interveners</w:t>
      </w:r>
      <w:r w:rsidRPr="00EB7BB6">
        <w:rPr>
          <w:sz w:val="20"/>
          <w:lang w:val="en-US"/>
        </w:rPr>
        <w:t xml:space="preserve"> are</w:t>
      </w:r>
      <w:r w:rsidRPr="00EB7BB6">
        <w:rPr>
          <w:sz w:val="20"/>
        </w:rPr>
        <w:t xml:space="preserve"> each granted permission to present oral argument not exceeding five (5) minutes at the hearing of the appeal.</w:t>
      </w:r>
    </w:p>
    <w:p w:rsidR="00D22E96" w:rsidRPr="00EB7BB6" w:rsidRDefault="00D22E96" w:rsidP="00D22E96">
      <w:pPr>
        <w:spacing w:line="228" w:lineRule="auto"/>
        <w:rPr>
          <w:sz w:val="20"/>
        </w:rPr>
      </w:pPr>
    </w:p>
    <w:p w:rsidR="00D22E96" w:rsidRPr="00EB7BB6" w:rsidRDefault="00D22E96" w:rsidP="00D22E96">
      <w:pPr>
        <w:spacing w:line="228" w:lineRule="auto"/>
        <w:rPr>
          <w:sz w:val="20"/>
          <w:lang w:val="en-US"/>
        </w:rPr>
      </w:pPr>
      <w:r w:rsidRPr="00EB7BB6">
        <w:rPr>
          <w:sz w:val="20"/>
          <w:lang w:val="en-US"/>
        </w:rPr>
        <w:t>The respondents are permitted to serve and file a factum not exceeding ten (10) pages in response to these interventions on or before May 7, 2019.</w:t>
      </w:r>
    </w:p>
    <w:p w:rsidR="00D22E96" w:rsidRPr="00EB7BB6" w:rsidRDefault="00D22E96" w:rsidP="00D22E96">
      <w:pPr>
        <w:spacing w:line="228" w:lineRule="auto"/>
        <w:rPr>
          <w:sz w:val="20"/>
        </w:rPr>
      </w:pPr>
    </w:p>
    <w:p w:rsidR="00D22E96" w:rsidRPr="00EB7BB6" w:rsidRDefault="00D22E96" w:rsidP="00D22E96">
      <w:pPr>
        <w:spacing w:line="228" w:lineRule="auto"/>
        <w:rPr>
          <w:b/>
          <w:sz w:val="20"/>
          <w:lang w:val="en-US"/>
        </w:rPr>
      </w:pPr>
      <w:r w:rsidRPr="00EB7BB6">
        <w:rPr>
          <w:b/>
          <w:sz w:val="20"/>
          <w:lang w:val="en-US"/>
        </w:rPr>
        <w:t xml:space="preserve">The interveners are not entitled to raise new issues or to adduce further evidence or otherwise to supplement the record of the parties. </w:t>
      </w:r>
    </w:p>
    <w:p w:rsidR="00D22E96" w:rsidRPr="00EB7BB6" w:rsidRDefault="00D22E96" w:rsidP="00D22E96">
      <w:pPr>
        <w:spacing w:line="228" w:lineRule="auto"/>
        <w:rPr>
          <w:sz w:val="20"/>
          <w:lang w:val="en-US"/>
        </w:rPr>
      </w:pPr>
    </w:p>
    <w:p w:rsidR="00D22E96" w:rsidRPr="00EB7BB6" w:rsidRDefault="00D22E96" w:rsidP="00D22E96">
      <w:pPr>
        <w:spacing w:line="228" w:lineRule="auto"/>
        <w:rPr>
          <w:sz w:val="20"/>
          <w:lang w:val="en-US"/>
        </w:rPr>
      </w:pPr>
      <w:r w:rsidRPr="00EB7BB6">
        <w:rPr>
          <w:sz w:val="20"/>
          <w:lang w:val="en-US"/>
        </w:rPr>
        <w:t>Pursuant to Rule 59(1)(</w:t>
      </w:r>
      <w:r w:rsidRPr="00EB7BB6">
        <w:rPr>
          <w:i/>
          <w:iCs/>
          <w:sz w:val="20"/>
          <w:lang w:val="en-US"/>
        </w:rPr>
        <w:t>a</w:t>
      </w:r>
      <w:r w:rsidRPr="00EB7BB6">
        <w:rPr>
          <w:sz w:val="20"/>
          <w:lang w:val="en-US"/>
        </w:rPr>
        <w:t xml:space="preserve">) of the </w:t>
      </w:r>
      <w:r w:rsidRPr="00EB7BB6">
        <w:rPr>
          <w:i/>
          <w:iCs/>
          <w:sz w:val="20"/>
          <w:lang w:val="en-US"/>
        </w:rPr>
        <w:t>Rules of the Supreme Court of Canada</w:t>
      </w:r>
      <w:r w:rsidRPr="00EB7BB6">
        <w:rPr>
          <w:sz w:val="20"/>
          <w:lang w:val="en-US"/>
        </w:rPr>
        <w:t>, the interveners shall pay to the appellant and respondents any additional disbursements resulting from their interventions.</w:t>
      </w:r>
    </w:p>
    <w:p w:rsidR="00D22E96" w:rsidRPr="00EB7BB6" w:rsidRDefault="00D22E96" w:rsidP="00D22E96">
      <w:pPr>
        <w:spacing w:line="228" w:lineRule="auto"/>
        <w:rPr>
          <w:sz w:val="20"/>
          <w:lang w:val="en-US"/>
        </w:rPr>
      </w:pPr>
    </w:p>
    <w:p w:rsidR="00D22E96" w:rsidRPr="00EB7BB6" w:rsidRDefault="00D22E96" w:rsidP="00D22E96">
      <w:pPr>
        <w:spacing w:line="228" w:lineRule="auto"/>
        <w:rPr>
          <w:sz w:val="20"/>
        </w:rPr>
      </w:pPr>
    </w:p>
    <w:p w:rsidR="00D22E96" w:rsidRPr="00EB7BB6" w:rsidRDefault="00D22E96" w:rsidP="00D22E96">
      <w:pPr>
        <w:spacing w:line="233" w:lineRule="auto"/>
        <w:rPr>
          <w:rFonts w:cs="Times New Roman"/>
          <w:sz w:val="20"/>
          <w:lang w:val="fr-CA"/>
        </w:rPr>
      </w:pPr>
      <w:r w:rsidRPr="00EB7BB6">
        <w:rPr>
          <w:rFonts w:cs="Times New Roman"/>
          <w:b/>
          <w:sz w:val="20"/>
          <w:lang w:val="fr-CA"/>
        </w:rPr>
        <w:lastRenderedPageBreak/>
        <w:t xml:space="preserve">À LA SUITE DE LA DEMANDE </w:t>
      </w:r>
      <w:r w:rsidRPr="00EB7BB6">
        <w:rPr>
          <w:rFonts w:cs="Times New Roman"/>
          <w:sz w:val="20"/>
          <w:lang w:val="fr-CA"/>
        </w:rPr>
        <w:t>présentée par Schonfeld Inc., en sa qualité d’inspectrice et de gérante nommée par la cour pour Twin Dragons Corporation, et al., en vue d’être constituée intimée dans l’appel ou, subsidiairement, en autorisation d’intervenir dans l’appel;</w:t>
      </w:r>
    </w:p>
    <w:p w:rsidR="00D22E96" w:rsidRPr="00EB7BB6" w:rsidRDefault="00D22E96" w:rsidP="00D22E96">
      <w:pPr>
        <w:spacing w:line="233" w:lineRule="auto"/>
        <w:rPr>
          <w:rFonts w:cs="Times New Roman"/>
          <w:sz w:val="20"/>
          <w:lang w:val="fr-CA"/>
        </w:rPr>
      </w:pPr>
    </w:p>
    <w:p w:rsidR="00D22E96" w:rsidRPr="00EB7BB6" w:rsidRDefault="00D22E96" w:rsidP="00D22E96">
      <w:pPr>
        <w:spacing w:line="233" w:lineRule="auto"/>
        <w:rPr>
          <w:rFonts w:cs="Times New Roman"/>
          <w:sz w:val="20"/>
          <w:lang w:val="fr-CA"/>
        </w:rPr>
      </w:pPr>
      <w:r w:rsidRPr="00EB7BB6">
        <w:rPr>
          <w:rFonts w:cs="Times New Roman"/>
          <w:b/>
          <w:sz w:val="20"/>
          <w:lang w:val="fr-CA"/>
        </w:rPr>
        <w:t>ET À LA SUITE DE LA DEMANDE</w:t>
      </w:r>
      <w:r w:rsidRPr="00EB7BB6">
        <w:rPr>
          <w:rFonts w:cs="Times New Roman"/>
          <w:sz w:val="20"/>
          <w:lang w:val="fr-CA"/>
        </w:rPr>
        <w:t xml:space="preserve"> présentée par la Chambre de commerce du Canada en autorisation d’intervenir dans l’appel;</w:t>
      </w:r>
    </w:p>
    <w:p w:rsidR="00D22E96" w:rsidRPr="00EB7BB6" w:rsidRDefault="00D22E96" w:rsidP="00D22E96">
      <w:pPr>
        <w:spacing w:line="233" w:lineRule="auto"/>
        <w:rPr>
          <w:rFonts w:cs="Times New Roman"/>
          <w:sz w:val="20"/>
          <w:lang w:val="fr-CA"/>
        </w:rPr>
      </w:pPr>
    </w:p>
    <w:p w:rsidR="00D22E96" w:rsidRPr="00EB7BB6" w:rsidRDefault="00D22E96" w:rsidP="00D22E96">
      <w:pPr>
        <w:spacing w:line="233" w:lineRule="auto"/>
        <w:rPr>
          <w:rFonts w:cs="Times New Roman"/>
          <w:sz w:val="20"/>
          <w:lang w:val="fr-CA"/>
        </w:rPr>
      </w:pPr>
      <w:r w:rsidRPr="00EB7BB6">
        <w:rPr>
          <w:rFonts w:cs="Times New Roman"/>
          <w:b/>
          <w:sz w:val="20"/>
          <w:lang w:val="fr-CA"/>
        </w:rPr>
        <w:t>ET APRÈS EXAMEN</w:t>
      </w:r>
      <w:r w:rsidRPr="00EB7BB6">
        <w:rPr>
          <w:rFonts w:cs="Times New Roman"/>
          <w:sz w:val="20"/>
          <w:lang w:val="fr-CA"/>
        </w:rPr>
        <w:t xml:space="preserve"> des documents déposés;</w:t>
      </w:r>
    </w:p>
    <w:p w:rsidR="00D22E96" w:rsidRPr="00EB7BB6" w:rsidRDefault="00D22E96" w:rsidP="00D22E96">
      <w:pPr>
        <w:spacing w:line="233" w:lineRule="auto"/>
        <w:rPr>
          <w:rFonts w:cs="Times New Roman"/>
          <w:sz w:val="20"/>
          <w:lang w:val="fr-CA"/>
        </w:rPr>
      </w:pPr>
    </w:p>
    <w:p w:rsidR="00D22E96" w:rsidRPr="00EB7BB6" w:rsidRDefault="00D22E96" w:rsidP="00D22E96">
      <w:pPr>
        <w:spacing w:line="233" w:lineRule="auto"/>
        <w:rPr>
          <w:rFonts w:cs="Times New Roman"/>
          <w:b/>
          <w:bCs/>
          <w:sz w:val="20"/>
          <w:lang w:val="fr-CA"/>
        </w:rPr>
      </w:pPr>
      <w:r w:rsidRPr="00EB7BB6">
        <w:rPr>
          <w:rFonts w:cs="Times New Roman"/>
          <w:b/>
          <w:bCs/>
          <w:sz w:val="20"/>
          <w:lang w:val="fr-CA"/>
        </w:rPr>
        <w:t>IL EST ORDONNÉ CE QUI SUIT :</w:t>
      </w:r>
    </w:p>
    <w:p w:rsidR="00D22E96" w:rsidRPr="00EB7BB6" w:rsidRDefault="00D22E96" w:rsidP="00D22E96">
      <w:pPr>
        <w:spacing w:line="233" w:lineRule="auto"/>
        <w:rPr>
          <w:rFonts w:cs="Times New Roman"/>
          <w:sz w:val="20"/>
          <w:lang w:val="fr-CA"/>
        </w:rPr>
      </w:pPr>
    </w:p>
    <w:p w:rsidR="00D22E96" w:rsidRPr="00EB7BB6" w:rsidRDefault="00D22E96" w:rsidP="00D22E96">
      <w:pPr>
        <w:spacing w:line="232" w:lineRule="auto"/>
        <w:rPr>
          <w:sz w:val="20"/>
          <w:lang w:val="fr-CA"/>
        </w:rPr>
      </w:pPr>
      <w:r w:rsidRPr="00EB7BB6">
        <w:rPr>
          <w:sz w:val="20"/>
          <w:lang w:val="fr-CA"/>
        </w:rPr>
        <w:t>La requête en vue d’être constituée intimée présentée par Schonfeld Inc., en sa qualité d’inspectrice et de gérante nommée par la cour pour Twin Dragons Corporation, et al., est rejetée.</w:t>
      </w:r>
    </w:p>
    <w:p w:rsidR="00D22E96" w:rsidRPr="00EB7BB6" w:rsidRDefault="00D22E96" w:rsidP="00D22E96">
      <w:pPr>
        <w:spacing w:line="232" w:lineRule="auto"/>
        <w:rPr>
          <w:sz w:val="20"/>
          <w:lang w:val="fr-CA"/>
        </w:rPr>
      </w:pPr>
    </w:p>
    <w:p w:rsidR="00D22E96" w:rsidRPr="00EB7BB6" w:rsidRDefault="00D22E96" w:rsidP="00D22E96">
      <w:pPr>
        <w:spacing w:line="232" w:lineRule="auto"/>
        <w:rPr>
          <w:sz w:val="20"/>
          <w:lang w:val="fr-CA"/>
        </w:rPr>
      </w:pPr>
      <w:r w:rsidRPr="00EB7BB6">
        <w:rPr>
          <w:sz w:val="20"/>
          <w:lang w:val="fr-CA"/>
        </w:rPr>
        <w:t>La requête subsidiaire en intervention présentée par Schonfeld Inc., en sa qualité d’inspectrice et de gérante nommée par la cour pour Twin Dragons Corporation, et al., est accueillie et cette intervenante pourra signifier et déposer un mémoire d’au plus dix (10) pages au plus tard le 1</w:t>
      </w:r>
      <w:r w:rsidRPr="00EB7BB6">
        <w:rPr>
          <w:sz w:val="20"/>
          <w:vertAlign w:val="superscript"/>
          <w:lang w:val="fr-CA"/>
        </w:rPr>
        <w:t>er</w:t>
      </w:r>
      <w:r w:rsidRPr="00EB7BB6">
        <w:rPr>
          <w:sz w:val="20"/>
          <w:lang w:val="fr-CA"/>
        </w:rPr>
        <w:t> mai 2019.</w:t>
      </w:r>
    </w:p>
    <w:p w:rsidR="00D22E96" w:rsidRPr="00EB7BB6" w:rsidRDefault="00D22E96" w:rsidP="00D22E96">
      <w:pPr>
        <w:spacing w:line="232" w:lineRule="auto"/>
        <w:rPr>
          <w:sz w:val="20"/>
          <w:lang w:val="fr-CA"/>
        </w:rPr>
      </w:pPr>
    </w:p>
    <w:p w:rsidR="00D22E96" w:rsidRPr="00EB7BB6" w:rsidRDefault="00D22E96" w:rsidP="00D22E96">
      <w:pPr>
        <w:spacing w:line="232" w:lineRule="auto"/>
        <w:rPr>
          <w:sz w:val="20"/>
          <w:lang w:val="fr-CA"/>
        </w:rPr>
      </w:pPr>
      <w:r w:rsidRPr="00EB7BB6">
        <w:rPr>
          <w:sz w:val="20"/>
          <w:lang w:val="fr-CA"/>
        </w:rPr>
        <w:t>La requête en autorisation d’intervenir présentée par la Chambre du commerce du Canada est accueillie et cette intervenante pourra signifier et déposer un mémoire d’au plus dix (10) pages au plus tard le 1</w:t>
      </w:r>
      <w:r w:rsidRPr="00EB7BB6">
        <w:rPr>
          <w:sz w:val="20"/>
          <w:vertAlign w:val="superscript"/>
          <w:lang w:val="fr-CA"/>
        </w:rPr>
        <w:t>er</w:t>
      </w:r>
      <w:r w:rsidRPr="00EB7BB6">
        <w:rPr>
          <w:sz w:val="20"/>
          <w:lang w:val="fr-CA"/>
        </w:rPr>
        <w:t xml:space="preserve"> mai 2019.</w:t>
      </w:r>
    </w:p>
    <w:p w:rsidR="00D22E96" w:rsidRPr="00EB7BB6" w:rsidRDefault="00D22E96" w:rsidP="00D22E96">
      <w:pPr>
        <w:spacing w:line="232" w:lineRule="auto"/>
        <w:rPr>
          <w:sz w:val="20"/>
          <w:lang w:val="fr-CA"/>
        </w:rPr>
      </w:pPr>
    </w:p>
    <w:p w:rsidR="00D22E96" w:rsidRPr="00EB7BB6" w:rsidRDefault="00D22E96" w:rsidP="00D22E96">
      <w:pPr>
        <w:spacing w:line="232" w:lineRule="auto"/>
        <w:rPr>
          <w:sz w:val="20"/>
          <w:lang w:val="fr-CA"/>
        </w:rPr>
      </w:pPr>
      <w:r w:rsidRPr="00EB7BB6">
        <w:rPr>
          <w:sz w:val="20"/>
          <w:lang w:val="fr-CA"/>
        </w:rPr>
        <w:t>Ces deux (2) intervenantes sont autorisées à présenter chacune une plaidoirie orale d’au plus cinq (5) minutes lors de l’audition de l’appel.</w:t>
      </w:r>
    </w:p>
    <w:p w:rsidR="00D22E96" w:rsidRPr="00EB7BB6" w:rsidRDefault="00D22E96" w:rsidP="00D22E96">
      <w:pPr>
        <w:spacing w:line="232" w:lineRule="auto"/>
        <w:rPr>
          <w:sz w:val="20"/>
          <w:lang w:val="fr-CA"/>
        </w:rPr>
      </w:pPr>
    </w:p>
    <w:p w:rsidR="00D22E96" w:rsidRPr="00EB7BB6" w:rsidRDefault="00D22E96" w:rsidP="00D22E96">
      <w:pPr>
        <w:spacing w:line="232" w:lineRule="auto"/>
        <w:rPr>
          <w:b/>
          <w:sz w:val="20"/>
          <w:lang w:val="fr-CA"/>
        </w:rPr>
      </w:pPr>
      <w:r w:rsidRPr="00EB7BB6">
        <w:rPr>
          <w:sz w:val="20"/>
          <w:lang w:val="fr-CA"/>
        </w:rPr>
        <w:t>Les intimées sont autorisées à signifier et à déposer un mémoire d’au plus dix (10) pages en réponse à ces interventions au plus tard le 7 mai 2019.</w:t>
      </w:r>
    </w:p>
    <w:p w:rsidR="00D22E96" w:rsidRPr="00EB7BB6" w:rsidRDefault="00D22E96" w:rsidP="00D22E96">
      <w:pPr>
        <w:spacing w:line="232" w:lineRule="auto"/>
        <w:rPr>
          <w:b/>
          <w:sz w:val="20"/>
          <w:lang w:val="fr-CA"/>
        </w:rPr>
      </w:pPr>
      <w:r w:rsidRPr="00EB7BB6">
        <w:rPr>
          <w:b/>
          <w:sz w:val="20"/>
          <w:lang w:val="fr-CA"/>
        </w:rPr>
        <w:tab/>
      </w:r>
    </w:p>
    <w:p w:rsidR="00D22E96" w:rsidRPr="00EB7BB6" w:rsidRDefault="00D22E96" w:rsidP="00D22E96">
      <w:pPr>
        <w:spacing w:line="232" w:lineRule="auto"/>
        <w:rPr>
          <w:b/>
          <w:sz w:val="20"/>
          <w:lang w:val="fr-CA"/>
        </w:rPr>
      </w:pPr>
      <w:r w:rsidRPr="00EB7BB6">
        <w:rPr>
          <w:b/>
          <w:sz w:val="20"/>
          <w:lang w:val="fr-CA"/>
        </w:rPr>
        <w:t>Les intervenantes n’ont pas le droit de soulever de nouvelles questions, de produire d’autres éléments de preuve, ni de compléter de quelque autre façon le dossier des parties.</w:t>
      </w:r>
    </w:p>
    <w:p w:rsidR="00D22E96" w:rsidRPr="00EB7BB6" w:rsidRDefault="00D22E96" w:rsidP="00D22E96">
      <w:pPr>
        <w:spacing w:line="232" w:lineRule="auto"/>
        <w:rPr>
          <w:sz w:val="20"/>
          <w:lang w:val="fr-CA"/>
        </w:rPr>
      </w:pPr>
    </w:p>
    <w:p w:rsidR="00D22E96" w:rsidRPr="00EB7BB6" w:rsidRDefault="00D22E96" w:rsidP="00D22E96">
      <w:pPr>
        <w:spacing w:line="232" w:lineRule="auto"/>
        <w:rPr>
          <w:sz w:val="20"/>
          <w:lang w:val="fr-CA"/>
        </w:rPr>
      </w:pPr>
      <w:r w:rsidRPr="00EB7BB6">
        <w:rPr>
          <w:sz w:val="20"/>
          <w:lang w:val="fr-CA"/>
        </w:rPr>
        <w:t>Conformément à l’alinéa 59(1)</w:t>
      </w:r>
      <w:r w:rsidRPr="00EB7BB6">
        <w:rPr>
          <w:i/>
          <w:sz w:val="20"/>
          <w:lang w:val="fr-CA"/>
        </w:rPr>
        <w:t>a</w:t>
      </w:r>
      <w:r w:rsidRPr="00EB7BB6">
        <w:rPr>
          <w:sz w:val="20"/>
          <w:lang w:val="fr-CA"/>
        </w:rPr>
        <w:t xml:space="preserve">) des </w:t>
      </w:r>
      <w:r w:rsidRPr="00EB7BB6">
        <w:rPr>
          <w:i/>
          <w:sz w:val="20"/>
          <w:lang w:val="fr-CA"/>
        </w:rPr>
        <w:t>Règles de la Cour suprême du Canada</w:t>
      </w:r>
      <w:r w:rsidRPr="00EB7BB6">
        <w:rPr>
          <w:sz w:val="20"/>
          <w:lang w:val="fr-CA"/>
        </w:rPr>
        <w:t>, les intervenantes paieront à l’appelante et aux intimées tous débours supplémentaires résultant de leur intervention.</w:t>
      </w:r>
    </w:p>
    <w:p w:rsidR="00D22E96" w:rsidRPr="00EB7BB6" w:rsidRDefault="00D22E96" w:rsidP="00D22E96">
      <w:pPr>
        <w:spacing w:line="232" w:lineRule="auto"/>
        <w:rPr>
          <w:rFonts w:cs="Times New Roman"/>
          <w:sz w:val="20"/>
          <w:lang w:val="fr-CA"/>
        </w:rPr>
      </w:pPr>
    </w:p>
    <w:p w:rsidR="00CE4B8E" w:rsidRPr="00EB7BB6" w:rsidRDefault="00CE4B8E" w:rsidP="00D22E96">
      <w:pPr>
        <w:spacing w:line="232" w:lineRule="auto"/>
        <w:rPr>
          <w:rFonts w:cs="Times New Roman"/>
          <w:sz w:val="20"/>
          <w:lang w:val="fr-CA"/>
        </w:rPr>
      </w:pPr>
    </w:p>
    <w:p w:rsidR="00D22E96" w:rsidRPr="00EB7BB6" w:rsidRDefault="00EB7BB6" w:rsidP="00D22E96">
      <w:pPr>
        <w:rPr>
          <w:sz w:val="20"/>
          <w:szCs w:val="20"/>
          <w:lang w:val="fr-CA"/>
        </w:rPr>
      </w:pPr>
      <w:r w:rsidRPr="00EB7BB6">
        <w:rPr>
          <w:rFonts w:eastAsia="Times New Roman" w:cs="Times New Roman"/>
          <w:sz w:val="20"/>
          <w:szCs w:val="20"/>
          <w:lang w:val="fr-CA" w:eastAsia="en-CA"/>
        </w:rPr>
        <w:pict>
          <v:rect id="_x0000_i1082" style="width:2in;height:1pt" o:hrpct="0" o:hralign="center" o:hrstd="t" o:hrnoshade="t" o:hr="t" fillcolor="black [3213]" stroked="f"/>
        </w:pict>
      </w:r>
    </w:p>
    <w:p w:rsidR="00D22E96" w:rsidRPr="00EB7BB6" w:rsidRDefault="00D22E96" w:rsidP="00890FEB">
      <w:pPr>
        <w:rPr>
          <w:sz w:val="20"/>
          <w:szCs w:val="20"/>
          <w:lang w:val="fr-CA"/>
        </w:rPr>
      </w:pPr>
    </w:p>
    <w:p w:rsidR="00CE4B8E" w:rsidRPr="00EB7BB6" w:rsidRDefault="00CE4B8E" w:rsidP="00890FEB">
      <w:pPr>
        <w:rPr>
          <w:sz w:val="20"/>
          <w:szCs w:val="20"/>
          <w:lang w:val="fr-CA"/>
        </w:rPr>
      </w:pPr>
    </w:p>
    <w:p w:rsidR="00CE4B8E" w:rsidRPr="00EB7BB6" w:rsidRDefault="00CE4B8E" w:rsidP="00CE4B8E">
      <w:pPr>
        <w:rPr>
          <w:b/>
          <w:sz w:val="20"/>
          <w:szCs w:val="20"/>
          <w:lang w:val="fr-CA"/>
        </w:rPr>
      </w:pPr>
      <w:r w:rsidRPr="00EB7BB6">
        <w:rPr>
          <w:b/>
          <w:sz w:val="20"/>
          <w:szCs w:val="20"/>
          <w:lang w:val="fr-CA"/>
        </w:rPr>
        <w:t>APRIL 11, 2019 / LE 11 AVRIL 2019</w:t>
      </w:r>
    </w:p>
    <w:p w:rsidR="00CE4B8E" w:rsidRPr="00EB7BB6" w:rsidRDefault="00CE4B8E" w:rsidP="00CE4B8E">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CE4B8E" w:rsidRPr="00EB7BB6" w:rsidTr="00CE4B8E">
        <w:tc>
          <w:tcPr>
            <w:tcW w:w="4804" w:type="dxa"/>
            <w:tcBorders>
              <w:top w:val="nil"/>
              <w:left w:val="nil"/>
              <w:bottom w:val="nil"/>
              <w:right w:val="nil"/>
            </w:tcBorders>
          </w:tcPr>
          <w:p w:rsidR="00CE4B8E" w:rsidRPr="00EB7BB6" w:rsidRDefault="00CE4B8E" w:rsidP="00CE4B8E">
            <w:pPr>
              <w:tabs>
                <w:tab w:val="left" w:pos="-1440"/>
                <w:tab w:val="left" w:pos="-720"/>
              </w:tabs>
              <w:jc w:val="both"/>
              <w:rPr>
                <w:rFonts w:eastAsia="Times New Roman" w:cs="Times New Roman"/>
                <w:b/>
                <w:sz w:val="20"/>
                <w:szCs w:val="20"/>
                <w:lang w:val="en-US" w:eastAsia="en-CA"/>
              </w:rPr>
            </w:pPr>
            <w:r w:rsidRPr="00EB7BB6">
              <w:rPr>
                <w:rFonts w:eastAsia="Times New Roman" w:cs="Times New Roman"/>
                <w:b/>
                <w:sz w:val="20"/>
                <w:szCs w:val="20"/>
                <w:lang w:val="en-US" w:eastAsia="en-CA"/>
              </w:rPr>
              <w:t>Motion for a stay</w:t>
            </w:r>
          </w:p>
        </w:tc>
        <w:tc>
          <w:tcPr>
            <w:tcW w:w="4805" w:type="dxa"/>
            <w:tcBorders>
              <w:top w:val="nil"/>
              <w:left w:val="nil"/>
              <w:bottom w:val="nil"/>
              <w:right w:val="nil"/>
            </w:tcBorders>
          </w:tcPr>
          <w:p w:rsidR="00CE4B8E" w:rsidRPr="00EB7BB6" w:rsidRDefault="00CE4B8E" w:rsidP="00CE4B8E">
            <w:pPr>
              <w:tabs>
                <w:tab w:val="left" w:pos="-1440"/>
                <w:tab w:val="left" w:pos="-720"/>
              </w:tabs>
              <w:jc w:val="both"/>
              <w:rPr>
                <w:rFonts w:eastAsia="Times New Roman" w:cs="Times New Roman"/>
                <w:b/>
                <w:sz w:val="20"/>
                <w:szCs w:val="20"/>
                <w:lang w:val="fr-CA" w:eastAsia="en-CA"/>
              </w:rPr>
            </w:pPr>
            <w:r w:rsidRPr="00EB7BB6">
              <w:rPr>
                <w:rFonts w:eastAsia="Times New Roman" w:cs="Times New Roman"/>
                <w:b/>
                <w:sz w:val="20"/>
                <w:szCs w:val="20"/>
                <w:lang w:val="fr-CA" w:eastAsia="en-CA"/>
              </w:rPr>
              <w:t>Requête en sursis d’exécution</w:t>
            </w:r>
          </w:p>
        </w:tc>
      </w:tr>
    </w:tbl>
    <w:p w:rsidR="00CE4B8E" w:rsidRPr="00EB7BB6" w:rsidRDefault="00CE4B8E" w:rsidP="00CE4B8E">
      <w:pPr>
        <w:tabs>
          <w:tab w:val="left" w:pos="-1440"/>
          <w:tab w:val="left" w:pos="-720"/>
        </w:tabs>
        <w:jc w:val="both"/>
        <w:rPr>
          <w:rFonts w:eastAsia="Times New Roman" w:cs="Times New Roman"/>
          <w:sz w:val="20"/>
          <w:szCs w:val="20"/>
          <w:lang w:val="fr-CA" w:eastAsia="en-CA"/>
        </w:rPr>
      </w:pPr>
    </w:p>
    <w:p w:rsidR="00CE4B8E" w:rsidRPr="00EB7BB6" w:rsidRDefault="00CE4B8E" w:rsidP="00CE4B8E">
      <w:pPr>
        <w:pStyle w:val="SCCSsocParty"/>
        <w:rPr>
          <w:rFonts w:eastAsiaTheme="minorEastAsia"/>
          <w:i w:val="0"/>
          <w:sz w:val="20"/>
          <w:lang w:val="en-US" w:eastAsia="fr-FR"/>
        </w:rPr>
      </w:pPr>
      <w:r w:rsidRPr="00EB7BB6">
        <w:rPr>
          <w:rFonts w:eastAsiaTheme="minorEastAsia"/>
          <w:b/>
          <w:bCs/>
          <w:i w:val="0"/>
          <w:sz w:val="20"/>
          <w:lang w:val="en-US"/>
        </w:rPr>
        <w:t xml:space="preserve">ATTORNEY GENERAL OF CANADA v. CORPORATION OF THE CANADIAN CIVIL LIBERTIES ASSOCIATION </w:t>
      </w:r>
      <w:r w:rsidRPr="00EB7BB6">
        <w:rPr>
          <w:rFonts w:eastAsiaTheme="minorEastAsia"/>
          <w:i w:val="0"/>
          <w:sz w:val="20"/>
          <w:lang w:val="en-US" w:eastAsia="fr-FR"/>
        </w:rPr>
        <w:t>(Ont.) (38574)</w:t>
      </w:r>
    </w:p>
    <w:p w:rsidR="00CE4B8E" w:rsidRPr="00EB7BB6" w:rsidRDefault="00CE4B8E" w:rsidP="00CE4B8E">
      <w:pPr>
        <w:rPr>
          <w:rFonts w:cs="Times New Roman"/>
          <w:sz w:val="16"/>
        </w:rPr>
      </w:pPr>
    </w:p>
    <w:p w:rsidR="00CE4B8E" w:rsidRPr="00EB7BB6" w:rsidRDefault="00CE4B8E" w:rsidP="00CE4B8E">
      <w:pPr>
        <w:rPr>
          <w:rFonts w:cs="Times New Roman"/>
          <w:sz w:val="20"/>
        </w:rPr>
      </w:pPr>
      <w:r w:rsidRPr="00EB7BB6">
        <w:rPr>
          <w:rFonts w:cs="Times New Roman"/>
          <w:b/>
          <w:bCs/>
          <w:sz w:val="20"/>
          <w:u w:val="single"/>
        </w:rPr>
        <w:t>CÔTÉ J.:</w:t>
      </w:r>
    </w:p>
    <w:p w:rsidR="00CE4B8E" w:rsidRPr="00EB7BB6" w:rsidRDefault="00CE4B8E" w:rsidP="00CE4B8E">
      <w:pPr>
        <w:rPr>
          <w:rFonts w:cs="Times New Roman"/>
          <w:sz w:val="20"/>
        </w:rPr>
      </w:pPr>
    </w:p>
    <w:p w:rsidR="00CE4B8E" w:rsidRPr="00EB7BB6" w:rsidRDefault="00CE4B8E" w:rsidP="00CE4B8E">
      <w:pPr>
        <w:spacing w:line="233" w:lineRule="auto"/>
        <w:rPr>
          <w:rFonts w:cs="Times New Roman"/>
          <w:sz w:val="20"/>
        </w:rPr>
      </w:pPr>
      <w:r w:rsidRPr="00EB7BB6">
        <w:rPr>
          <w:rFonts w:cs="Times New Roman"/>
          <w:b/>
          <w:sz w:val="20"/>
        </w:rPr>
        <w:t xml:space="preserve">UPON APPLICATION </w:t>
      </w:r>
      <w:r w:rsidRPr="00EB7BB6">
        <w:rPr>
          <w:rFonts w:cs="Times New Roman"/>
          <w:sz w:val="20"/>
        </w:rPr>
        <w:t xml:space="preserve">by the applicant pursuant to s. 65.1 of the </w:t>
      </w:r>
      <w:r w:rsidRPr="00EB7BB6">
        <w:rPr>
          <w:rFonts w:cs="Times New Roman"/>
          <w:i/>
          <w:iCs/>
          <w:sz w:val="20"/>
        </w:rPr>
        <w:t>Supreme Court Act</w:t>
      </w:r>
      <w:r w:rsidRPr="00EB7BB6">
        <w:rPr>
          <w:rFonts w:cs="Times New Roman"/>
          <w:sz w:val="20"/>
        </w:rPr>
        <w:t xml:space="preserve"> and rule 47 of the </w:t>
      </w:r>
      <w:r w:rsidRPr="00EB7BB6">
        <w:rPr>
          <w:rFonts w:cs="Times New Roman"/>
          <w:i/>
          <w:iCs/>
          <w:sz w:val="20"/>
        </w:rPr>
        <w:t>Rules of the Supreme Court of Canada</w:t>
      </w:r>
      <w:r w:rsidRPr="00EB7BB6">
        <w:rPr>
          <w:rFonts w:cs="Times New Roman"/>
          <w:sz w:val="20"/>
        </w:rPr>
        <w:t xml:space="preserve"> for an interim interim order staying the judgment of the Court of Appeal for Ontario, Number C64841, 2019 ONCA 243, dated March 28, 2019, pending the determination of the motion for an interim stay</w:t>
      </w:r>
      <w:r w:rsidRPr="00EB7BB6">
        <w:rPr>
          <w:rFonts w:cs="Times New Roman"/>
          <w:sz w:val="20"/>
          <w:lang w:val="en-US"/>
        </w:rPr>
        <w:t>;</w:t>
      </w:r>
    </w:p>
    <w:p w:rsidR="00CE4B8E" w:rsidRPr="00EB7BB6" w:rsidRDefault="00CE4B8E" w:rsidP="00CE4B8E">
      <w:pPr>
        <w:spacing w:line="233" w:lineRule="auto"/>
        <w:rPr>
          <w:rFonts w:cs="Times New Roman"/>
          <w:b/>
          <w:bCs/>
          <w:sz w:val="20"/>
        </w:rPr>
      </w:pPr>
    </w:p>
    <w:p w:rsidR="00CE4B8E" w:rsidRPr="00EB7BB6" w:rsidRDefault="00CE4B8E" w:rsidP="00CE4B8E">
      <w:pPr>
        <w:spacing w:line="233" w:lineRule="auto"/>
        <w:rPr>
          <w:rFonts w:cs="Times New Roman"/>
          <w:sz w:val="20"/>
        </w:rPr>
      </w:pPr>
      <w:r w:rsidRPr="00EB7BB6">
        <w:rPr>
          <w:rFonts w:cs="Times New Roman"/>
          <w:b/>
          <w:bCs/>
          <w:sz w:val="20"/>
        </w:rPr>
        <w:t>AND THE MATERIAL FILED</w:t>
      </w:r>
      <w:r w:rsidRPr="00EB7BB6">
        <w:rPr>
          <w:rFonts w:cs="Times New Roman"/>
          <w:sz w:val="20"/>
        </w:rPr>
        <w:t xml:space="preserve"> having been read;</w:t>
      </w:r>
    </w:p>
    <w:p w:rsidR="00CE4B8E" w:rsidRPr="00EB7BB6" w:rsidRDefault="00CE4B8E" w:rsidP="00CE4B8E">
      <w:pPr>
        <w:spacing w:line="233" w:lineRule="auto"/>
        <w:rPr>
          <w:rFonts w:cs="Times New Roman"/>
          <w:sz w:val="20"/>
        </w:rPr>
      </w:pPr>
    </w:p>
    <w:p w:rsidR="00CE4B8E" w:rsidRPr="00EB7BB6" w:rsidRDefault="00CE4B8E" w:rsidP="00CE4B8E">
      <w:pPr>
        <w:spacing w:line="233" w:lineRule="auto"/>
        <w:rPr>
          <w:rFonts w:cs="Times New Roman"/>
          <w:sz w:val="20"/>
        </w:rPr>
      </w:pPr>
      <w:r w:rsidRPr="00EB7BB6">
        <w:rPr>
          <w:rFonts w:cs="Times New Roman"/>
          <w:b/>
          <w:bCs/>
          <w:sz w:val="20"/>
        </w:rPr>
        <w:t>IT IS HEREBY ORDERED THAT:</w:t>
      </w:r>
    </w:p>
    <w:p w:rsidR="00CE4B8E" w:rsidRPr="00EB7BB6" w:rsidRDefault="00CE4B8E" w:rsidP="00CE4B8E">
      <w:pPr>
        <w:spacing w:line="228" w:lineRule="auto"/>
        <w:rPr>
          <w:rFonts w:cs="Times New Roman"/>
          <w:sz w:val="20"/>
        </w:rPr>
      </w:pPr>
      <w:r w:rsidRPr="00EB7BB6">
        <w:rPr>
          <w:rFonts w:cs="Times New Roman"/>
          <w:sz w:val="20"/>
        </w:rPr>
        <w:t xml:space="preserve">The request for an interim interim order for a stay is granted. The test for a stay under s. 65.1 of the </w:t>
      </w:r>
      <w:r w:rsidRPr="00EB7BB6">
        <w:rPr>
          <w:rFonts w:cs="Times New Roman"/>
          <w:i/>
          <w:sz w:val="20"/>
        </w:rPr>
        <w:t>Supreme Court Act</w:t>
      </w:r>
      <w:r w:rsidRPr="00EB7BB6">
        <w:rPr>
          <w:rFonts w:cs="Times New Roman"/>
          <w:sz w:val="20"/>
        </w:rPr>
        <w:t xml:space="preserve"> was set out in </w:t>
      </w:r>
      <w:r w:rsidRPr="00EB7BB6">
        <w:rPr>
          <w:rFonts w:cs="Times New Roman"/>
          <w:i/>
          <w:sz w:val="20"/>
        </w:rPr>
        <w:t>RJR-MacDonald Inc. v. A.G. (Can.)</w:t>
      </w:r>
      <w:r w:rsidRPr="00EB7BB6">
        <w:rPr>
          <w:rFonts w:cs="Times New Roman"/>
          <w:sz w:val="20"/>
        </w:rPr>
        <w:t xml:space="preserve">, [1994] 1 S.C.R. 311. The Court considers three factors: (i) whether there is a serious issue to be tried; (ii) whether absent a stay there will be irreparable harm to the applicant; and (iii) the </w:t>
      </w:r>
      <w:r w:rsidRPr="00EB7BB6">
        <w:rPr>
          <w:rFonts w:cs="Times New Roman"/>
          <w:sz w:val="20"/>
        </w:rPr>
        <w:lastRenderedPageBreak/>
        <w:t>balance of (in)convenience. I am satisfied that these factors have been met for the purpose of the interim interim stay only.</w:t>
      </w:r>
    </w:p>
    <w:p w:rsidR="00CE4B8E" w:rsidRPr="00EB7BB6" w:rsidRDefault="00CE4B8E" w:rsidP="00CE4B8E">
      <w:pPr>
        <w:spacing w:line="228" w:lineRule="auto"/>
        <w:rPr>
          <w:rFonts w:cs="Times New Roman"/>
          <w:sz w:val="20"/>
        </w:rPr>
      </w:pPr>
    </w:p>
    <w:p w:rsidR="00CE4B8E" w:rsidRPr="00EB7BB6" w:rsidRDefault="00CE4B8E" w:rsidP="00CE4B8E">
      <w:pPr>
        <w:spacing w:line="228" w:lineRule="auto"/>
        <w:rPr>
          <w:rFonts w:cs="Times New Roman"/>
          <w:sz w:val="20"/>
        </w:rPr>
      </w:pPr>
      <w:r w:rsidRPr="00EB7BB6">
        <w:rPr>
          <w:rFonts w:cs="Times New Roman"/>
          <w:sz w:val="20"/>
        </w:rPr>
        <w:t>Any response to the motion for an interim stay shall be served and filed no later than April 23, 2019.</w:t>
      </w:r>
    </w:p>
    <w:p w:rsidR="00CE4B8E" w:rsidRPr="00EB7BB6" w:rsidRDefault="00CE4B8E" w:rsidP="00CE4B8E">
      <w:pPr>
        <w:spacing w:line="228" w:lineRule="auto"/>
        <w:rPr>
          <w:rFonts w:cs="Times New Roman"/>
          <w:sz w:val="20"/>
        </w:rPr>
      </w:pPr>
    </w:p>
    <w:p w:rsidR="00CE4B8E" w:rsidRPr="00EB7BB6" w:rsidRDefault="00CE4B8E" w:rsidP="00CE4B8E">
      <w:pPr>
        <w:spacing w:line="228" w:lineRule="auto"/>
        <w:rPr>
          <w:rFonts w:cs="Times New Roman"/>
          <w:sz w:val="20"/>
        </w:rPr>
      </w:pPr>
      <w:r w:rsidRPr="00EB7BB6">
        <w:rPr>
          <w:rFonts w:cs="Times New Roman"/>
          <w:sz w:val="20"/>
        </w:rPr>
        <w:t>The applicant shall serve and file a reply to any response to that motion no later than 12:00 p.m. on April 25, 2019.</w:t>
      </w:r>
    </w:p>
    <w:p w:rsidR="00CE4B8E" w:rsidRPr="00EB7BB6" w:rsidRDefault="00CE4B8E" w:rsidP="00CE4B8E">
      <w:pPr>
        <w:spacing w:line="228" w:lineRule="auto"/>
        <w:rPr>
          <w:rFonts w:cs="Times New Roman"/>
          <w:sz w:val="20"/>
        </w:rPr>
      </w:pPr>
    </w:p>
    <w:p w:rsidR="00CE4B8E" w:rsidRPr="00EB7BB6" w:rsidRDefault="00CE4B8E" w:rsidP="00CE4B8E">
      <w:pPr>
        <w:spacing w:line="228" w:lineRule="auto"/>
        <w:rPr>
          <w:rFonts w:cs="Times New Roman"/>
          <w:sz w:val="20"/>
        </w:rPr>
      </w:pPr>
      <w:r w:rsidRPr="00EB7BB6">
        <w:rPr>
          <w:rFonts w:cs="Times New Roman"/>
          <w:sz w:val="20"/>
        </w:rPr>
        <w:t>With respect to the submissions in paragraph 40 of the response to the motion for an interim interim stay filed by the Corporation of the Canadian Civil Liberties Association, the parties are directed to consult and determine the manner in which the evidence on the motion for an interim stay may be supplemented.</w:t>
      </w:r>
    </w:p>
    <w:p w:rsidR="00CE4B8E" w:rsidRPr="00EB7BB6" w:rsidRDefault="00CE4B8E" w:rsidP="00CE4B8E">
      <w:pPr>
        <w:spacing w:line="228" w:lineRule="auto"/>
        <w:rPr>
          <w:rFonts w:cs="Times New Roman"/>
          <w:sz w:val="20"/>
        </w:rPr>
      </w:pPr>
    </w:p>
    <w:p w:rsidR="00CE4B8E" w:rsidRPr="00EB7BB6" w:rsidRDefault="00CE4B8E" w:rsidP="00CE4B8E">
      <w:pPr>
        <w:spacing w:line="228" w:lineRule="auto"/>
        <w:rPr>
          <w:sz w:val="20"/>
        </w:rPr>
      </w:pPr>
      <w:r w:rsidRPr="00EB7BB6">
        <w:rPr>
          <w:rFonts w:cs="Times New Roman"/>
          <w:sz w:val="20"/>
        </w:rPr>
        <w:t>This order will remain in effect until the determination of the motion for an interim stay which shall be dealt with on an expedited basis.</w:t>
      </w:r>
    </w:p>
    <w:p w:rsidR="00CE4B8E" w:rsidRPr="00EB7BB6" w:rsidRDefault="00CE4B8E" w:rsidP="00CE4B8E">
      <w:pPr>
        <w:spacing w:line="228" w:lineRule="auto"/>
        <w:rPr>
          <w:sz w:val="20"/>
        </w:rPr>
      </w:pPr>
    </w:p>
    <w:p w:rsidR="00CE4B8E" w:rsidRPr="00EB7BB6" w:rsidRDefault="00CE4B8E" w:rsidP="00CE4B8E">
      <w:pPr>
        <w:spacing w:line="228" w:lineRule="auto"/>
        <w:rPr>
          <w:sz w:val="20"/>
        </w:rPr>
      </w:pPr>
    </w:p>
    <w:p w:rsidR="00CE4B8E" w:rsidRPr="00EB7BB6" w:rsidRDefault="00CE4B8E" w:rsidP="00CE4B8E">
      <w:pPr>
        <w:spacing w:line="233" w:lineRule="auto"/>
        <w:rPr>
          <w:rFonts w:cs="Times New Roman"/>
          <w:sz w:val="20"/>
          <w:lang w:val="fr-CA"/>
        </w:rPr>
      </w:pPr>
      <w:r w:rsidRPr="00EB7BB6">
        <w:rPr>
          <w:rFonts w:cs="Times New Roman"/>
          <w:b/>
          <w:sz w:val="20"/>
          <w:lang w:val="fr-CA"/>
        </w:rPr>
        <w:t xml:space="preserve">À LA SUITE DE LA DEMANDE </w:t>
      </w:r>
      <w:r w:rsidRPr="00EB7BB6">
        <w:rPr>
          <w:rFonts w:cs="Times New Roman"/>
          <w:sz w:val="20"/>
          <w:lang w:val="fr-CA"/>
        </w:rPr>
        <w:t xml:space="preserve">du demandeur en application de l’art. 65.1 de la </w:t>
      </w:r>
      <w:r w:rsidRPr="00EB7BB6">
        <w:rPr>
          <w:rFonts w:cs="Times New Roman"/>
          <w:i/>
          <w:sz w:val="20"/>
          <w:lang w:val="fr-CA"/>
        </w:rPr>
        <w:t>Loi sur la Cour suprême</w:t>
      </w:r>
      <w:r w:rsidRPr="00EB7BB6">
        <w:rPr>
          <w:rFonts w:cs="Times New Roman"/>
          <w:sz w:val="20"/>
          <w:lang w:val="fr-CA"/>
        </w:rPr>
        <w:t xml:space="preserve"> et conformément à l’art. 47 des </w:t>
      </w:r>
      <w:r w:rsidRPr="00EB7BB6">
        <w:rPr>
          <w:rFonts w:cs="Times New Roman"/>
          <w:i/>
          <w:sz w:val="20"/>
          <w:lang w:val="fr-CA"/>
        </w:rPr>
        <w:t>Règles de la Cour suprême du Canada</w:t>
      </w:r>
      <w:r w:rsidRPr="00EB7BB6">
        <w:rPr>
          <w:rFonts w:cs="Times New Roman"/>
          <w:sz w:val="20"/>
          <w:lang w:val="fr-CA"/>
        </w:rPr>
        <w:t xml:space="preserve"> en vue d’obtenir une ordonnance provisoire de sursis du jugement de la Cour d’appel de l’Ontario, n</w:t>
      </w:r>
      <w:r w:rsidRPr="00EB7BB6">
        <w:rPr>
          <w:rFonts w:cs="Times New Roman"/>
          <w:sz w:val="20"/>
          <w:vertAlign w:val="superscript"/>
          <w:lang w:val="fr-CA"/>
        </w:rPr>
        <w:t>o</w:t>
      </w:r>
      <w:r w:rsidRPr="00EB7BB6">
        <w:rPr>
          <w:rFonts w:cs="Times New Roman"/>
          <w:sz w:val="20"/>
          <w:lang w:val="fr-CA"/>
        </w:rPr>
        <w:t> C64841, 2019 ONCA 243, daté du 28 mars 2019, jusqu’à ce qu’il soit statué sur la requête en sursis provisoire;</w:t>
      </w:r>
    </w:p>
    <w:p w:rsidR="00CE4B8E" w:rsidRPr="00EB7BB6" w:rsidRDefault="00CE4B8E" w:rsidP="00CE4B8E">
      <w:pPr>
        <w:spacing w:line="233" w:lineRule="auto"/>
        <w:rPr>
          <w:rFonts w:cs="Times New Roman"/>
          <w:sz w:val="20"/>
          <w:lang w:val="fr-CA"/>
        </w:rPr>
      </w:pPr>
    </w:p>
    <w:p w:rsidR="00CE4B8E" w:rsidRPr="00EB7BB6" w:rsidRDefault="00CE4B8E" w:rsidP="00CE4B8E">
      <w:pPr>
        <w:spacing w:line="233" w:lineRule="auto"/>
        <w:rPr>
          <w:rFonts w:cs="Times New Roman"/>
          <w:sz w:val="20"/>
          <w:lang w:val="fr-CA"/>
        </w:rPr>
      </w:pPr>
      <w:r w:rsidRPr="00EB7BB6">
        <w:rPr>
          <w:rFonts w:cs="Times New Roman"/>
          <w:b/>
          <w:sz w:val="20"/>
          <w:lang w:val="fr-CA"/>
        </w:rPr>
        <w:t>ET APRÈS EXAMEN</w:t>
      </w:r>
      <w:r w:rsidRPr="00EB7BB6">
        <w:rPr>
          <w:rFonts w:cs="Times New Roman"/>
          <w:sz w:val="20"/>
          <w:lang w:val="fr-CA"/>
        </w:rPr>
        <w:t xml:space="preserve"> des documents déposés;</w:t>
      </w:r>
    </w:p>
    <w:p w:rsidR="00CE4B8E" w:rsidRPr="00EB7BB6" w:rsidRDefault="00CE4B8E" w:rsidP="00CE4B8E">
      <w:pPr>
        <w:spacing w:line="233" w:lineRule="auto"/>
        <w:rPr>
          <w:rFonts w:cs="Times New Roman"/>
          <w:sz w:val="20"/>
          <w:lang w:val="fr-CA"/>
        </w:rPr>
      </w:pPr>
    </w:p>
    <w:p w:rsidR="00CE4B8E" w:rsidRPr="00EB7BB6" w:rsidRDefault="00CE4B8E" w:rsidP="00CE4B8E">
      <w:pPr>
        <w:spacing w:line="233" w:lineRule="auto"/>
        <w:rPr>
          <w:rFonts w:cs="Times New Roman"/>
          <w:b/>
          <w:bCs/>
          <w:sz w:val="20"/>
          <w:lang w:val="fr-CA"/>
        </w:rPr>
      </w:pPr>
      <w:r w:rsidRPr="00EB7BB6">
        <w:rPr>
          <w:rFonts w:cs="Times New Roman"/>
          <w:b/>
          <w:bCs/>
          <w:sz w:val="20"/>
          <w:lang w:val="fr-CA"/>
        </w:rPr>
        <w:t>IL EST ORDONNÉ CE QUI SUIT :</w:t>
      </w:r>
    </w:p>
    <w:p w:rsidR="00CE4B8E" w:rsidRPr="00EB7BB6" w:rsidRDefault="00CE4B8E" w:rsidP="00CE4B8E">
      <w:pPr>
        <w:spacing w:line="233" w:lineRule="auto"/>
        <w:rPr>
          <w:rFonts w:cs="Times New Roman"/>
          <w:sz w:val="20"/>
          <w:lang w:val="fr-CA"/>
        </w:rPr>
      </w:pPr>
    </w:p>
    <w:p w:rsidR="00CE4B8E" w:rsidRPr="00EB7BB6" w:rsidRDefault="00CE4B8E" w:rsidP="00CE4B8E">
      <w:pPr>
        <w:spacing w:line="232" w:lineRule="auto"/>
        <w:rPr>
          <w:sz w:val="20"/>
          <w:lang w:val="fr-FR"/>
        </w:rPr>
      </w:pPr>
      <w:r w:rsidRPr="00EB7BB6">
        <w:rPr>
          <w:sz w:val="20"/>
          <w:lang w:val="fr-CA"/>
        </w:rPr>
        <w:t xml:space="preserve">La requête en vue d’obtenir une ordonnance provisoire de sursis est accueillie. Le test applicable à une demande de sursis présentée en application de l’art. 65.1 de la </w:t>
      </w:r>
      <w:r w:rsidRPr="00EB7BB6">
        <w:rPr>
          <w:i/>
          <w:sz w:val="20"/>
          <w:lang w:val="fr-CA"/>
        </w:rPr>
        <w:t>Loi sur la Cour suprême</w:t>
      </w:r>
      <w:r w:rsidRPr="00EB7BB6">
        <w:rPr>
          <w:sz w:val="20"/>
          <w:lang w:val="fr-CA"/>
        </w:rPr>
        <w:t xml:space="preserve"> est énoncée dans </w:t>
      </w:r>
      <w:r w:rsidRPr="00EB7BB6">
        <w:rPr>
          <w:i/>
          <w:sz w:val="20"/>
          <w:lang w:val="fr-CA"/>
        </w:rPr>
        <w:t>RJR-MacDonald Inc. c. P.G. (Can.)</w:t>
      </w:r>
      <w:r w:rsidRPr="00EB7BB6">
        <w:rPr>
          <w:sz w:val="20"/>
          <w:lang w:val="fr-CA"/>
        </w:rPr>
        <w:t xml:space="preserve">, [1994] 1 R.C.S. 311. La Cour prend trois facteurs en considération : i) </w:t>
      </w:r>
      <w:r w:rsidRPr="00EB7BB6">
        <w:rPr>
          <w:sz w:val="20"/>
          <w:lang w:val="fr-FR"/>
        </w:rPr>
        <w:t>l’existence d’une question sérieuse à juger ; ii) la possibilité que le demandeur subisse un préjudice irréparable en cas de refus d’ordonner le sursis ; et iii) la prépondérance des inconvénients. Je suis convaincue qu’il a été satisfait à ces facteurs pour les fins de l’ordonnance provisoire de sursis uniquement.</w:t>
      </w:r>
    </w:p>
    <w:p w:rsidR="00CE4B8E" w:rsidRPr="00EB7BB6" w:rsidRDefault="00CE4B8E" w:rsidP="00CE4B8E">
      <w:pPr>
        <w:spacing w:line="232" w:lineRule="auto"/>
        <w:rPr>
          <w:sz w:val="20"/>
          <w:lang w:val="fr-FR"/>
        </w:rPr>
      </w:pPr>
    </w:p>
    <w:p w:rsidR="00CE4B8E" w:rsidRPr="00EB7BB6" w:rsidRDefault="00CE4B8E" w:rsidP="00CE4B8E">
      <w:pPr>
        <w:spacing w:line="232" w:lineRule="auto"/>
        <w:rPr>
          <w:sz w:val="20"/>
          <w:lang w:val="fr-FR"/>
        </w:rPr>
      </w:pPr>
      <w:r w:rsidRPr="00EB7BB6">
        <w:rPr>
          <w:sz w:val="20"/>
          <w:lang w:val="fr-FR"/>
        </w:rPr>
        <w:t>Toute réponse à la requête en sursis provisoire sera signifiée et déposée au plus tard le 23 avril 2019.</w:t>
      </w:r>
    </w:p>
    <w:p w:rsidR="00CE4B8E" w:rsidRPr="00EB7BB6" w:rsidRDefault="00CE4B8E" w:rsidP="00CE4B8E">
      <w:pPr>
        <w:spacing w:line="232" w:lineRule="auto"/>
        <w:rPr>
          <w:sz w:val="20"/>
          <w:lang w:val="fr-FR"/>
        </w:rPr>
      </w:pPr>
    </w:p>
    <w:p w:rsidR="00CE4B8E" w:rsidRPr="00EB7BB6" w:rsidRDefault="00CE4B8E" w:rsidP="00CE4B8E">
      <w:pPr>
        <w:spacing w:line="232" w:lineRule="auto"/>
        <w:rPr>
          <w:sz w:val="20"/>
          <w:lang w:val="fr-FR"/>
        </w:rPr>
      </w:pPr>
      <w:r w:rsidRPr="00EB7BB6">
        <w:rPr>
          <w:sz w:val="20"/>
          <w:lang w:val="fr-FR"/>
        </w:rPr>
        <w:t>Le demandeur signifiera et déposera une réplique à toute réponse à la requête au plus tard à 12 h (midi) le 25 avril 2019.</w:t>
      </w:r>
    </w:p>
    <w:p w:rsidR="00CE4B8E" w:rsidRPr="00EB7BB6" w:rsidRDefault="00CE4B8E" w:rsidP="00CE4B8E">
      <w:pPr>
        <w:spacing w:line="232" w:lineRule="auto"/>
        <w:rPr>
          <w:sz w:val="20"/>
          <w:lang w:val="fr-FR"/>
        </w:rPr>
      </w:pPr>
    </w:p>
    <w:p w:rsidR="00CE4B8E" w:rsidRPr="00EB7BB6" w:rsidRDefault="00CE4B8E" w:rsidP="00CE4B8E">
      <w:pPr>
        <w:spacing w:line="232" w:lineRule="auto"/>
        <w:rPr>
          <w:sz w:val="20"/>
          <w:lang w:val="fr-CA"/>
        </w:rPr>
      </w:pPr>
      <w:r w:rsidRPr="00EB7BB6">
        <w:rPr>
          <w:sz w:val="20"/>
          <w:lang w:val="fr-FR"/>
        </w:rPr>
        <w:t xml:space="preserve">En ce qui a trait aux observations énoncées au paragraphe 40 de la réponse à la requête en vue d’obtenir une ordonnance provisoire de sursis déposée par la </w:t>
      </w:r>
      <w:r w:rsidRPr="00EB7BB6">
        <w:rPr>
          <w:sz w:val="20"/>
          <w:lang w:val="fr-CA"/>
        </w:rPr>
        <w:t>Corporation of the Canadian Civil Liberties Association, les parties se consulteront et détermineront comment la preuve relative à la requête en sursis provisoire pourrait être complétée.</w:t>
      </w:r>
    </w:p>
    <w:p w:rsidR="00CE4B8E" w:rsidRPr="00EB7BB6" w:rsidRDefault="00CE4B8E" w:rsidP="00CE4B8E">
      <w:pPr>
        <w:spacing w:line="232" w:lineRule="auto"/>
        <w:rPr>
          <w:sz w:val="20"/>
          <w:lang w:val="fr-CA"/>
        </w:rPr>
      </w:pPr>
    </w:p>
    <w:p w:rsidR="00CE4B8E" w:rsidRPr="00EB7BB6" w:rsidRDefault="00CE4B8E" w:rsidP="00CE4B8E">
      <w:pPr>
        <w:spacing w:line="232" w:lineRule="auto"/>
        <w:rPr>
          <w:sz w:val="20"/>
          <w:lang w:val="fr-CA"/>
        </w:rPr>
      </w:pPr>
      <w:r w:rsidRPr="00EB7BB6">
        <w:rPr>
          <w:sz w:val="20"/>
          <w:lang w:val="fr-CA"/>
        </w:rPr>
        <w:t>La présente ordonnance sera en vigueur jusqu’à ce qu’il soit statué sur la requête en sursis provisoire qui sera traitée dans les plus brefs délais.</w:t>
      </w:r>
    </w:p>
    <w:p w:rsidR="00CE4B8E" w:rsidRPr="00EB7BB6" w:rsidRDefault="00CE4B8E" w:rsidP="00CE4B8E">
      <w:pPr>
        <w:spacing w:line="232" w:lineRule="auto"/>
        <w:rPr>
          <w:rFonts w:cs="Times New Roman"/>
          <w:sz w:val="20"/>
          <w:lang w:val="fr-CA"/>
        </w:rPr>
      </w:pPr>
    </w:p>
    <w:p w:rsidR="00CE4B8E" w:rsidRPr="00EB7BB6" w:rsidRDefault="00EB7BB6" w:rsidP="00CE4B8E">
      <w:pPr>
        <w:widowControl w:val="0"/>
        <w:rPr>
          <w:rFonts w:eastAsia="Times New Roman" w:cs="Times New Roman"/>
          <w:sz w:val="20"/>
          <w:szCs w:val="20"/>
          <w:lang w:val="fr-CA" w:eastAsia="en-CA"/>
        </w:rPr>
      </w:pPr>
      <w:r w:rsidRPr="00EB7BB6">
        <w:rPr>
          <w:rFonts w:eastAsia="Times New Roman" w:cs="Times New Roman"/>
          <w:sz w:val="20"/>
          <w:szCs w:val="20"/>
          <w:lang w:val="fr-CA" w:eastAsia="en-CA"/>
        </w:rPr>
        <w:pict>
          <v:rect id="_x0000_i1083" style="width:2in;height:1pt" o:hrpct="0" o:hralign="center" o:hrstd="t" o:hrnoshade="t" o:hr="t" fillcolor="black [3213]" stroked="f"/>
        </w:pict>
      </w:r>
    </w:p>
    <w:p w:rsidR="00CE4B8E" w:rsidRPr="00EB7BB6" w:rsidRDefault="00CE4B8E" w:rsidP="00CE4B8E">
      <w:pPr>
        <w:rPr>
          <w:rFonts w:eastAsia="Times New Roman" w:cs="Times New Roman"/>
          <w:sz w:val="20"/>
          <w:szCs w:val="20"/>
          <w:lang w:val="fr-CA" w:eastAsia="en-CA"/>
        </w:rPr>
      </w:pPr>
    </w:p>
    <w:p w:rsidR="00CE4B8E" w:rsidRPr="00EB7BB6" w:rsidRDefault="00CE4B8E" w:rsidP="00CE4B8E">
      <w:pPr>
        <w:widowControl w:val="0"/>
        <w:rPr>
          <w:rFonts w:eastAsia="Times New Roman" w:cs="Times New Roman"/>
          <w:sz w:val="20"/>
          <w:szCs w:val="20"/>
          <w:lang w:val="en-US" w:eastAsia="en-CA"/>
        </w:rPr>
      </w:pPr>
    </w:p>
    <w:p w:rsidR="008859F1" w:rsidRPr="00EB7BB6" w:rsidRDefault="00D22E96" w:rsidP="008859F1">
      <w:pPr>
        <w:rPr>
          <w:b/>
          <w:sz w:val="20"/>
          <w:szCs w:val="20"/>
          <w:lang w:val="fr-CA"/>
        </w:rPr>
      </w:pPr>
      <w:r w:rsidRPr="00EB7BB6">
        <w:rPr>
          <w:b/>
          <w:sz w:val="20"/>
          <w:szCs w:val="20"/>
          <w:lang w:val="fr-CA"/>
        </w:rPr>
        <w:t>APRIL</w:t>
      </w:r>
      <w:r w:rsidR="008859F1" w:rsidRPr="00EB7BB6">
        <w:rPr>
          <w:b/>
          <w:sz w:val="20"/>
          <w:szCs w:val="20"/>
          <w:lang w:val="fr-CA"/>
        </w:rPr>
        <w:t xml:space="preserve"> 1</w:t>
      </w:r>
      <w:r w:rsidRPr="00EB7BB6">
        <w:rPr>
          <w:b/>
          <w:sz w:val="20"/>
          <w:szCs w:val="20"/>
          <w:lang w:val="fr-CA"/>
        </w:rPr>
        <w:t>5</w:t>
      </w:r>
      <w:r w:rsidR="008859F1" w:rsidRPr="00EB7BB6">
        <w:rPr>
          <w:b/>
          <w:sz w:val="20"/>
          <w:szCs w:val="20"/>
          <w:lang w:val="fr-CA"/>
        </w:rPr>
        <w:t>, 2019 / LE 1</w:t>
      </w:r>
      <w:r w:rsidRPr="00EB7BB6">
        <w:rPr>
          <w:b/>
          <w:sz w:val="20"/>
          <w:szCs w:val="20"/>
          <w:lang w:val="fr-CA"/>
        </w:rPr>
        <w:t>5 AVRIL</w:t>
      </w:r>
      <w:r w:rsidR="00090621" w:rsidRPr="00EB7BB6">
        <w:rPr>
          <w:b/>
          <w:sz w:val="20"/>
          <w:szCs w:val="20"/>
          <w:lang w:val="fr-CA"/>
        </w:rPr>
        <w:t xml:space="preserve"> 2019</w:t>
      </w:r>
    </w:p>
    <w:p w:rsidR="00102792" w:rsidRPr="00EB7BB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EB7BB6" w:rsidTr="00957556">
        <w:tc>
          <w:tcPr>
            <w:tcW w:w="4804" w:type="dxa"/>
            <w:tcBorders>
              <w:top w:val="nil"/>
              <w:left w:val="nil"/>
              <w:bottom w:val="nil"/>
              <w:right w:val="nil"/>
            </w:tcBorders>
          </w:tcPr>
          <w:p w:rsidR="00957556" w:rsidRPr="00EB7BB6" w:rsidRDefault="00957556" w:rsidP="00102792">
            <w:pPr>
              <w:tabs>
                <w:tab w:val="left" w:pos="-1440"/>
                <w:tab w:val="left" w:pos="-720"/>
              </w:tabs>
              <w:jc w:val="both"/>
              <w:rPr>
                <w:rFonts w:eastAsia="Times New Roman" w:cs="Times New Roman"/>
                <w:b/>
                <w:sz w:val="20"/>
                <w:szCs w:val="20"/>
                <w:lang w:val="en-US" w:eastAsia="en-CA"/>
              </w:rPr>
            </w:pPr>
            <w:r w:rsidRPr="00EB7BB6">
              <w:rPr>
                <w:rFonts w:eastAsia="Times New Roman" w:cs="Times New Roman"/>
                <w:b/>
                <w:sz w:val="20"/>
                <w:szCs w:val="20"/>
                <w:lang w:val="en-US" w:eastAsia="en-CA"/>
              </w:rPr>
              <w:t xml:space="preserve">Motion </w:t>
            </w:r>
            <w:r w:rsidR="00D22E96" w:rsidRPr="00EB7BB6">
              <w:rPr>
                <w:rFonts w:eastAsia="Times New Roman" w:cs="Times New Roman"/>
                <w:b/>
                <w:sz w:val="20"/>
                <w:szCs w:val="20"/>
                <w:lang w:val="en-US" w:eastAsia="en-CA"/>
              </w:rPr>
              <w:t>for leave to intervene</w:t>
            </w:r>
          </w:p>
        </w:tc>
        <w:tc>
          <w:tcPr>
            <w:tcW w:w="4805" w:type="dxa"/>
            <w:tcBorders>
              <w:top w:val="nil"/>
              <w:left w:val="nil"/>
              <w:bottom w:val="nil"/>
              <w:right w:val="nil"/>
            </w:tcBorders>
          </w:tcPr>
          <w:p w:rsidR="00957556" w:rsidRPr="00EB7BB6" w:rsidRDefault="00957556" w:rsidP="00102792">
            <w:pPr>
              <w:tabs>
                <w:tab w:val="left" w:pos="-1440"/>
                <w:tab w:val="left" w:pos="-720"/>
              </w:tabs>
              <w:jc w:val="both"/>
              <w:rPr>
                <w:rFonts w:eastAsia="Times New Roman" w:cs="Times New Roman"/>
                <w:b/>
                <w:sz w:val="20"/>
                <w:szCs w:val="20"/>
                <w:lang w:val="fr-CA" w:eastAsia="en-CA"/>
              </w:rPr>
            </w:pPr>
            <w:r w:rsidRPr="00EB7BB6">
              <w:rPr>
                <w:rFonts w:eastAsia="Times New Roman" w:cs="Times New Roman"/>
                <w:b/>
                <w:sz w:val="20"/>
                <w:szCs w:val="20"/>
                <w:lang w:val="fr-CA" w:eastAsia="en-CA"/>
              </w:rPr>
              <w:t xml:space="preserve">Requête </w:t>
            </w:r>
            <w:r w:rsidR="00D22E96" w:rsidRPr="00EB7BB6">
              <w:rPr>
                <w:rFonts w:eastAsia="Times New Roman" w:cs="Times New Roman"/>
                <w:b/>
                <w:sz w:val="20"/>
                <w:szCs w:val="20"/>
                <w:lang w:val="fr-CA" w:eastAsia="en-CA"/>
              </w:rPr>
              <w:t>en intervention</w:t>
            </w:r>
          </w:p>
        </w:tc>
      </w:tr>
    </w:tbl>
    <w:p w:rsidR="00957556" w:rsidRPr="00EB7BB6" w:rsidRDefault="00957556" w:rsidP="00102792">
      <w:pPr>
        <w:tabs>
          <w:tab w:val="left" w:pos="-1440"/>
          <w:tab w:val="left" w:pos="-720"/>
        </w:tabs>
        <w:jc w:val="both"/>
        <w:rPr>
          <w:rFonts w:eastAsia="Times New Roman" w:cs="Times New Roman"/>
          <w:sz w:val="20"/>
          <w:szCs w:val="20"/>
          <w:lang w:val="fr-CA" w:eastAsia="en-CA"/>
        </w:rPr>
      </w:pPr>
    </w:p>
    <w:p w:rsidR="00102792" w:rsidRPr="00EB7BB6" w:rsidRDefault="00D22E96" w:rsidP="00102792">
      <w:pPr>
        <w:pStyle w:val="SCCSsocParty"/>
        <w:rPr>
          <w:rFonts w:eastAsiaTheme="minorEastAsia"/>
          <w:i w:val="0"/>
          <w:sz w:val="20"/>
          <w:lang w:val="en-US" w:eastAsia="fr-FR"/>
        </w:rPr>
      </w:pPr>
      <w:r w:rsidRPr="00EB7BB6">
        <w:rPr>
          <w:rFonts w:eastAsiaTheme="minorEastAsia"/>
          <w:b/>
          <w:bCs/>
          <w:i w:val="0"/>
          <w:sz w:val="20"/>
          <w:lang w:val="en-US"/>
        </w:rPr>
        <w:t xml:space="preserve">HER MAJESTY THE QUEEN v. OMAR MUHAMMAD OMAR </w:t>
      </w:r>
      <w:r w:rsidR="00102792" w:rsidRPr="00EB7BB6">
        <w:rPr>
          <w:rFonts w:eastAsiaTheme="minorEastAsia"/>
          <w:i w:val="0"/>
          <w:sz w:val="20"/>
          <w:lang w:val="en-US" w:eastAsia="fr-FR"/>
        </w:rPr>
        <w:t>(</w:t>
      </w:r>
      <w:r w:rsidRPr="00EB7BB6">
        <w:rPr>
          <w:rFonts w:eastAsiaTheme="minorEastAsia"/>
          <w:i w:val="0"/>
          <w:sz w:val="20"/>
          <w:lang w:val="en-US" w:eastAsia="fr-FR"/>
        </w:rPr>
        <w:t>Ont</w:t>
      </w:r>
      <w:r w:rsidR="00102792" w:rsidRPr="00EB7BB6">
        <w:rPr>
          <w:rFonts w:eastAsiaTheme="minorEastAsia"/>
          <w:i w:val="0"/>
          <w:sz w:val="20"/>
          <w:lang w:val="en-US" w:eastAsia="fr-FR"/>
        </w:rPr>
        <w:t>.) (3</w:t>
      </w:r>
      <w:r w:rsidRPr="00EB7BB6">
        <w:rPr>
          <w:rFonts w:eastAsiaTheme="minorEastAsia"/>
          <w:i w:val="0"/>
          <w:sz w:val="20"/>
          <w:lang w:val="en-US" w:eastAsia="fr-FR"/>
        </w:rPr>
        <w:t>8461</w:t>
      </w:r>
      <w:r w:rsidR="00102792" w:rsidRPr="00EB7BB6">
        <w:rPr>
          <w:rFonts w:eastAsiaTheme="minorEastAsia"/>
          <w:i w:val="0"/>
          <w:sz w:val="20"/>
          <w:lang w:val="en-US" w:eastAsia="fr-FR"/>
        </w:rPr>
        <w:t>)</w:t>
      </w:r>
    </w:p>
    <w:p w:rsidR="00102792" w:rsidRPr="00EB7BB6" w:rsidRDefault="00102792" w:rsidP="00102792">
      <w:pPr>
        <w:rPr>
          <w:rFonts w:cs="Times New Roman"/>
          <w:sz w:val="16"/>
        </w:rPr>
      </w:pPr>
    </w:p>
    <w:p w:rsidR="00102792" w:rsidRPr="00EB7BB6" w:rsidRDefault="00D22E96" w:rsidP="00102792">
      <w:pPr>
        <w:rPr>
          <w:rFonts w:cs="Times New Roman"/>
          <w:sz w:val="20"/>
        </w:rPr>
      </w:pPr>
      <w:r w:rsidRPr="00EB7BB6">
        <w:rPr>
          <w:rFonts w:cs="Times New Roman"/>
          <w:b/>
          <w:bCs/>
          <w:sz w:val="20"/>
          <w:u w:val="single"/>
        </w:rPr>
        <w:t>CÔTÉ J.:</w:t>
      </w:r>
    </w:p>
    <w:p w:rsidR="00102792" w:rsidRPr="00EB7BB6" w:rsidRDefault="00102792" w:rsidP="00102792">
      <w:pPr>
        <w:rPr>
          <w:rFonts w:cs="Times New Roman"/>
          <w:sz w:val="20"/>
        </w:rPr>
      </w:pPr>
    </w:p>
    <w:p w:rsidR="00102792" w:rsidRPr="00EB7BB6" w:rsidRDefault="00102792" w:rsidP="00102792">
      <w:pPr>
        <w:spacing w:line="233" w:lineRule="auto"/>
        <w:rPr>
          <w:rFonts w:cs="Times New Roman"/>
          <w:sz w:val="20"/>
        </w:rPr>
      </w:pPr>
      <w:r w:rsidRPr="00EB7BB6">
        <w:rPr>
          <w:rFonts w:cs="Times New Roman"/>
          <w:b/>
          <w:sz w:val="20"/>
        </w:rPr>
        <w:t xml:space="preserve">UPON APPLICATION </w:t>
      </w:r>
      <w:r w:rsidR="00D22E96" w:rsidRPr="00EB7BB6">
        <w:rPr>
          <w:rFonts w:cs="Times New Roman"/>
          <w:sz w:val="20"/>
        </w:rPr>
        <w:t>by the Criminal Lawyers’ Association (Ontario) for leave to intervene in the above appeal;</w:t>
      </w:r>
    </w:p>
    <w:p w:rsidR="00102792" w:rsidRPr="00EB7BB6" w:rsidRDefault="00102792" w:rsidP="00102792">
      <w:pPr>
        <w:spacing w:line="233" w:lineRule="auto"/>
        <w:rPr>
          <w:rFonts w:cs="Times New Roman"/>
          <w:sz w:val="20"/>
        </w:rPr>
      </w:pPr>
    </w:p>
    <w:p w:rsidR="00102792" w:rsidRPr="00EB7BB6" w:rsidRDefault="00102792" w:rsidP="00102792">
      <w:pPr>
        <w:spacing w:line="233" w:lineRule="auto"/>
        <w:rPr>
          <w:rFonts w:cs="Times New Roman"/>
          <w:sz w:val="20"/>
        </w:rPr>
      </w:pPr>
      <w:r w:rsidRPr="00EB7BB6">
        <w:rPr>
          <w:rFonts w:cs="Times New Roman"/>
          <w:b/>
          <w:bCs/>
          <w:sz w:val="20"/>
        </w:rPr>
        <w:t>AND THE MATERIAL FILED</w:t>
      </w:r>
      <w:r w:rsidRPr="00EB7BB6">
        <w:rPr>
          <w:rFonts w:cs="Times New Roman"/>
          <w:sz w:val="20"/>
        </w:rPr>
        <w:t xml:space="preserve"> having been read;</w:t>
      </w:r>
    </w:p>
    <w:p w:rsidR="00102792" w:rsidRPr="00EB7BB6" w:rsidRDefault="00102792" w:rsidP="00102792">
      <w:pPr>
        <w:spacing w:line="233" w:lineRule="auto"/>
        <w:rPr>
          <w:rFonts w:cs="Times New Roman"/>
          <w:sz w:val="20"/>
        </w:rPr>
      </w:pPr>
    </w:p>
    <w:p w:rsidR="00102792" w:rsidRPr="00EB7BB6" w:rsidRDefault="00102792" w:rsidP="00102792">
      <w:pPr>
        <w:spacing w:line="233" w:lineRule="auto"/>
        <w:rPr>
          <w:rFonts w:cs="Times New Roman"/>
          <w:sz w:val="20"/>
        </w:rPr>
      </w:pPr>
      <w:r w:rsidRPr="00EB7BB6">
        <w:rPr>
          <w:rFonts w:cs="Times New Roman"/>
          <w:b/>
          <w:bCs/>
          <w:sz w:val="20"/>
        </w:rPr>
        <w:lastRenderedPageBreak/>
        <w:t>IT IS HEREBY ORDERED THAT:</w:t>
      </w:r>
    </w:p>
    <w:p w:rsidR="00102792" w:rsidRPr="00EB7BB6" w:rsidRDefault="00102792" w:rsidP="00102792">
      <w:pPr>
        <w:spacing w:line="233" w:lineRule="auto"/>
        <w:rPr>
          <w:rFonts w:cs="Times New Roman"/>
          <w:sz w:val="20"/>
        </w:rPr>
      </w:pPr>
    </w:p>
    <w:p w:rsidR="00D22E96" w:rsidRPr="00EB7BB6" w:rsidRDefault="00D22E96" w:rsidP="00D22E96">
      <w:pPr>
        <w:spacing w:line="228" w:lineRule="auto"/>
        <w:rPr>
          <w:sz w:val="20"/>
        </w:rPr>
      </w:pPr>
      <w:r w:rsidRPr="00EB7BB6">
        <w:rPr>
          <w:sz w:val="20"/>
        </w:rPr>
        <w:t>The motion for leave to intervene is granted and the said intervener shall be entitled to serve and file a factum not exceeding ten (10) pages in length on or before May 8, 2019.</w:t>
      </w:r>
    </w:p>
    <w:p w:rsidR="00D22E96" w:rsidRPr="00EB7BB6" w:rsidRDefault="00D22E96" w:rsidP="00D22E96">
      <w:pPr>
        <w:spacing w:line="228" w:lineRule="auto"/>
        <w:rPr>
          <w:sz w:val="20"/>
        </w:rPr>
      </w:pPr>
    </w:p>
    <w:p w:rsidR="00102792" w:rsidRPr="00EB7BB6" w:rsidRDefault="00D22E96" w:rsidP="00D22E96">
      <w:pPr>
        <w:spacing w:line="228" w:lineRule="auto"/>
        <w:rPr>
          <w:sz w:val="20"/>
        </w:rPr>
      </w:pPr>
      <w:r w:rsidRPr="00EB7BB6">
        <w:rPr>
          <w:sz w:val="20"/>
        </w:rPr>
        <w:t>The said intervener is granted permission to present oral argument not exceeding five (5) minutes at the hearing of the appeal.</w:t>
      </w:r>
    </w:p>
    <w:p w:rsidR="00D22E96" w:rsidRPr="00EB7BB6" w:rsidRDefault="00D22E96" w:rsidP="00D22E96">
      <w:pPr>
        <w:spacing w:line="228" w:lineRule="auto"/>
        <w:rPr>
          <w:sz w:val="20"/>
        </w:rPr>
      </w:pPr>
    </w:p>
    <w:p w:rsidR="00D22E96" w:rsidRPr="00EB7BB6" w:rsidRDefault="00D22E96" w:rsidP="00D22E96">
      <w:pPr>
        <w:spacing w:line="228" w:lineRule="auto"/>
        <w:rPr>
          <w:b/>
          <w:sz w:val="20"/>
        </w:rPr>
      </w:pPr>
      <w:r w:rsidRPr="00EB7BB6">
        <w:rPr>
          <w:b/>
          <w:sz w:val="20"/>
        </w:rPr>
        <w:t xml:space="preserve">The intervener is not entitled to raise new issues or to adduce further evidence or otherwise to supplement the record of the parties. </w:t>
      </w:r>
    </w:p>
    <w:p w:rsidR="00D22E96" w:rsidRPr="00EB7BB6" w:rsidRDefault="00D22E96" w:rsidP="00D22E96">
      <w:pPr>
        <w:spacing w:line="228" w:lineRule="auto"/>
        <w:rPr>
          <w:sz w:val="20"/>
        </w:rPr>
      </w:pPr>
    </w:p>
    <w:p w:rsidR="00D22E96" w:rsidRPr="00EB7BB6" w:rsidRDefault="00D22E96" w:rsidP="00D22E96">
      <w:pPr>
        <w:spacing w:line="228" w:lineRule="auto"/>
        <w:rPr>
          <w:sz w:val="20"/>
        </w:rPr>
      </w:pPr>
      <w:r w:rsidRPr="00EB7BB6">
        <w:rPr>
          <w:sz w:val="20"/>
        </w:rPr>
        <w:t>Pursuant to Rule 59(1)(a) of the Rules of the Supreme Court of Canada, the intervener shall pay to the appellant and respondent any additional disbursements resulting from its intervention.</w:t>
      </w:r>
    </w:p>
    <w:p w:rsidR="00D22E96" w:rsidRPr="00EB7BB6" w:rsidRDefault="00D22E96" w:rsidP="00D22E96">
      <w:pPr>
        <w:spacing w:line="228" w:lineRule="auto"/>
        <w:rPr>
          <w:sz w:val="20"/>
        </w:rPr>
      </w:pPr>
    </w:p>
    <w:p w:rsidR="00D22E96" w:rsidRPr="00EB7BB6" w:rsidRDefault="00D22E96" w:rsidP="00D22E96">
      <w:pPr>
        <w:spacing w:line="228" w:lineRule="auto"/>
        <w:rPr>
          <w:sz w:val="20"/>
        </w:rPr>
      </w:pPr>
    </w:p>
    <w:p w:rsidR="00102792" w:rsidRPr="00EB7BB6" w:rsidRDefault="00102792" w:rsidP="00102792">
      <w:pPr>
        <w:spacing w:line="233" w:lineRule="auto"/>
        <w:rPr>
          <w:rFonts w:cs="Times New Roman"/>
          <w:sz w:val="20"/>
          <w:lang w:val="fr-CA"/>
        </w:rPr>
      </w:pPr>
      <w:r w:rsidRPr="00EB7BB6">
        <w:rPr>
          <w:rFonts w:cs="Times New Roman"/>
          <w:b/>
          <w:sz w:val="20"/>
          <w:lang w:val="fr-CA"/>
        </w:rPr>
        <w:t xml:space="preserve">À LA SUITE DE LA DEMANDE </w:t>
      </w:r>
      <w:r w:rsidR="00D22E96" w:rsidRPr="00EB7BB6">
        <w:rPr>
          <w:rFonts w:cs="Times New Roman"/>
          <w:sz w:val="20"/>
          <w:lang w:val="fr-CA"/>
        </w:rPr>
        <w:t>présentée par la Criminal Lawyers’ Association (Ontario), en vue d’intervenir dans l’appel;</w:t>
      </w:r>
    </w:p>
    <w:p w:rsidR="00102792" w:rsidRPr="00EB7BB6" w:rsidRDefault="00102792" w:rsidP="00102792">
      <w:pPr>
        <w:spacing w:line="233" w:lineRule="auto"/>
        <w:rPr>
          <w:rFonts w:cs="Times New Roman"/>
          <w:sz w:val="20"/>
          <w:lang w:val="fr-CA"/>
        </w:rPr>
      </w:pPr>
    </w:p>
    <w:p w:rsidR="00102792" w:rsidRPr="00EB7BB6" w:rsidRDefault="00102792" w:rsidP="00102792">
      <w:pPr>
        <w:spacing w:line="233" w:lineRule="auto"/>
        <w:rPr>
          <w:rFonts w:cs="Times New Roman"/>
          <w:sz w:val="20"/>
          <w:lang w:val="fr-CA"/>
        </w:rPr>
      </w:pPr>
      <w:r w:rsidRPr="00EB7BB6">
        <w:rPr>
          <w:rFonts w:cs="Times New Roman"/>
          <w:b/>
          <w:sz w:val="20"/>
          <w:lang w:val="fr-CA"/>
        </w:rPr>
        <w:t>ET APRÈS EXAMEN</w:t>
      </w:r>
      <w:r w:rsidRPr="00EB7BB6">
        <w:rPr>
          <w:rFonts w:cs="Times New Roman"/>
          <w:sz w:val="20"/>
          <w:lang w:val="fr-CA"/>
        </w:rPr>
        <w:t xml:space="preserve"> des documents déposés;</w:t>
      </w:r>
    </w:p>
    <w:p w:rsidR="00102792" w:rsidRPr="00EB7BB6" w:rsidRDefault="00102792" w:rsidP="00102792">
      <w:pPr>
        <w:spacing w:line="233" w:lineRule="auto"/>
        <w:rPr>
          <w:rFonts w:cs="Times New Roman"/>
          <w:sz w:val="20"/>
          <w:lang w:val="fr-CA"/>
        </w:rPr>
      </w:pPr>
    </w:p>
    <w:p w:rsidR="00102792" w:rsidRPr="00EB7BB6" w:rsidRDefault="00102792" w:rsidP="00102792">
      <w:pPr>
        <w:spacing w:line="233" w:lineRule="auto"/>
        <w:rPr>
          <w:rFonts w:cs="Times New Roman"/>
          <w:b/>
          <w:bCs/>
          <w:sz w:val="20"/>
          <w:lang w:val="fr-CA"/>
        </w:rPr>
      </w:pPr>
      <w:r w:rsidRPr="00EB7BB6">
        <w:rPr>
          <w:rFonts w:cs="Times New Roman"/>
          <w:b/>
          <w:bCs/>
          <w:sz w:val="20"/>
          <w:lang w:val="fr-CA"/>
        </w:rPr>
        <w:t>IL EST ORDONNÉ CE QUI SUIT :</w:t>
      </w:r>
    </w:p>
    <w:p w:rsidR="00102792" w:rsidRPr="00EB7BB6" w:rsidRDefault="00102792" w:rsidP="00102792">
      <w:pPr>
        <w:spacing w:line="233" w:lineRule="auto"/>
        <w:rPr>
          <w:rFonts w:cs="Times New Roman"/>
          <w:sz w:val="20"/>
          <w:lang w:val="fr-CA"/>
        </w:rPr>
      </w:pPr>
    </w:p>
    <w:p w:rsidR="00D22E96" w:rsidRPr="00EB7BB6" w:rsidRDefault="00D22E96" w:rsidP="00D22E96">
      <w:pPr>
        <w:spacing w:line="232" w:lineRule="auto"/>
        <w:rPr>
          <w:sz w:val="20"/>
          <w:lang w:val="fr-CA"/>
        </w:rPr>
      </w:pPr>
      <w:r w:rsidRPr="00EB7BB6">
        <w:rPr>
          <w:sz w:val="20"/>
          <w:lang w:val="fr-CA"/>
        </w:rPr>
        <w:t>La requête en autorisation d’intervenir est accueillie et cette intervenante pourra signifier et déposer un mémoire d’au plus dix (10) pages au plus tard le 8 mai 2019.</w:t>
      </w:r>
    </w:p>
    <w:p w:rsidR="00D22E96" w:rsidRPr="00EB7BB6" w:rsidRDefault="00D22E96" w:rsidP="00D22E96">
      <w:pPr>
        <w:spacing w:line="232" w:lineRule="auto"/>
        <w:rPr>
          <w:sz w:val="20"/>
          <w:lang w:val="fr-CA"/>
        </w:rPr>
      </w:pPr>
    </w:p>
    <w:p w:rsidR="00D22E96" w:rsidRPr="00EB7BB6" w:rsidRDefault="00D22E96" w:rsidP="00D22E96">
      <w:pPr>
        <w:spacing w:line="232" w:lineRule="auto"/>
        <w:rPr>
          <w:sz w:val="20"/>
          <w:lang w:val="fr-CA"/>
        </w:rPr>
      </w:pPr>
      <w:r w:rsidRPr="00EB7BB6">
        <w:rPr>
          <w:sz w:val="20"/>
          <w:lang w:val="fr-CA"/>
        </w:rPr>
        <w:t>L’intervenante aura le droit de présenter une plaidoirie orale d’au plus cinq (5) minutes lors de l’audition de l’appel.</w:t>
      </w:r>
    </w:p>
    <w:p w:rsidR="00D22E96" w:rsidRPr="00EB7BB6" w:rsidRDefault="00D22E96" w:rsidP="00D22E96">
      <w:pPr>
        <w:spacing w:line="232" w:lineRule="auto"/>
        <w:rPr>
          <w:sz w:val="20"/>
          <w:lang w:val="fr-CA"/>
        </w:rPr>
      </w:pPr>
    </w:p>
    <w:p w:rsidR="00D22E96" w:rsidRPr="00EB7BB6" w:rsidRDefault="00D22E96" w:rsidP="00D22E96">
      <w:pPr>
        <w:spacing w:line="232" w:lineRule="auto"/>
        <w:rPr>
          <w:b/>
          <w:sz w:val="20"/>
          <w:lang w:val="fr-CA"/>
        </w:rPr>
      </w:pPr>
      <w:r w:rsidRPr="00EB7BB6">
        <w:rPr>
          <w:b/>
          <w:sz w:val="20"/>
          <w:lang w:val="fr-CA"/>
        </w:rPr>
        <w:t>L’intervenante n’a pas le droit de soulever de nouvelles questions, de produire d’autres éléments de preuve ni de compléter de quelque autre façon le dossier des parties.</w:t>
      </w:r>
    </w:p>
    <w:p w:rsidR="00D22E96" w:rsidRPr="00EB7BB6" w:rsidRDefault="00D22E96" w:rsidP="00D22E96">
      <w:pPr>
        <w:spacing w:line="232" w:lineRule="auto"/>
        <w:rPr>
          <w:sz w:val="20"/>
          <w:lang w:val="fr-CA"/>
        </w:rPr>
      </w:pPr>
    </w:p>
    <w:p w:rsidR="00D22E96" w:rsidRPr="00EB7BB6" w:rsidRDefault="00D22E96" w:rsidP="00D22E96">
      <w:pPr>
        <w:spacing w:line="232" w:lineRule="auto"/>
        <w:rPr>
          <w:sz w:val="20"/>
          <w:lang w:val="fr-CA"/>
        </w:rPr>
      </w:pPr>
      <w:r w:rsidRPr="00EB7BB6">
        <w:rPr>
          <w:sz w:val="20"/>
          <w:lang w:val="fr-CA"/>
        </w:rPr>
        <w:t>Conformément à l’alinéa 59(1)</w:t>
      </w:r>
      <w:r w:rsidRPr="00EB7BB6">
        <w:rPr>
          <w:i/>
          <w:sz w:val="20"/>
          <w:lang w:val="fr-CA"/>
        </w:rPr>
        <w:t>a</w:t>
      </w:r>
      <w:r w:rsidRPr="00EB7BB6">
        <w:rPr>
          <w:sz w:val="20"/>
          <w:lang w:val="fr-CA"/>
        </w:rPr>
        <w:t xml:space="preserve">) des </w:t>
      </w:r>
      <w:r w:rsidRPr="00EB7BB6">
        <w:rPr>
          <w:i/>
          <w:sz w:val="20"/>
          <w:lang w:val="fr-CA"/>
        </w:rPr>
        <w:t>Règles de la Cour suprême du Canada</w:t>
      </w:r>
      <w:r w:rsidRPr="00EB7BB6">
        <w:rPr>
          <w:sz w:val="20"/>
          <w:lang w:val="fr-CA"/>
        </w:rPr>
        <w:t>, l’intervenante paiera à l’appelante et à l’intimé tous dépens supplémentaires résultant de son intervention.</w:t>
      </w:r>
    </w:p>
    <w:p w:rsidR="00102792" w:rsidRPr="00EB7BB6" w:rsidRDefault="00102792" w:rsidP="00102792">
      <w:pPr>
        <w:spacing w:line="232" w:lineRule="auto"/>
        <w:rPr>
          <w:rFonts w:cs="Times New Roman"/>
          <w:sz w:val="20"/>
          <w:lang w:val="fr-CA"/>
        </w:rPr>
      </w:pPr>
    </w:p>
    <w:p w:rsidR="00102792" w:rsidRPr="00EB7BB6" w:rsidRDefault="00EB7BB6" w:rsidP="00102792">
      <w:pPr>
        <w:widowControl w:val="0"/>
        <w:rPr>
          <w:rFonts w:eastAsia="Times New Roman" w:cs="Times New Roman"/>
          <w:sz w:val="20"/>
          <w:szCs w:val="20"/>
          <w:lang w:val="fr-CA" w:eastAsia="en-CA"/>
        </w:rPr>
      </w:pPr>
      <w:r w:rsidRPr="00EB7BB6">
        <w:rPr>
          <w:rFonts w:eastAsia="Times New Roman" w:cs="Times New Roman"/>
          <w:sz w:val="20"/>
          <w:szCs w:val="20"/>
          <w:lang w:val="fr-CA" w:eastAsia="en-CA"/>
        </w:rPr>
        <w:pict>
          <v:rect id="_x0000_i1084" style="width:2in;height:1pt" o:hrpct="0" o:hralign="center" o:hrstd="t" o:hrnoshade="t" o:hr="t" fillcolor="black [3213]" stroked="f"/>
        </w:pict>
      </w:r>
    </w:p>
    <w:p w:rsidR="00414F50" w:rsidRPr="00EB7BB6" w:rsidRDefault="00414F50" w:rsidP="00102792">
      <w:pPr>
        <w:rPr>
          <w:rFonts w:eastAsia="Times New Roman" w:cs="Times New Roman"/>
          <w:sz w:val="20"/>
          <w:szCs w:val="20"/>
          <w:lang w:val="fr-CA" w:eastAsia="en-CA"/>
        </w:rPr>
      </w:pPr>
    </w:p>
    <w:p w:rsidR="00CA2DEA" w:rsidRPr="00EB7BB6" w:rsidRDefault="00CA2DEA" w:rsidP="00CA2DEA">
      <w:pPr>
        <w:widowControl w:val="0"/>
        <w:rPr>
          <w:rFonts w:eastAsia="Times New Roman" w:cs="Times New Roman"/>
          <w:sz w:val="20"/>
          <w:szCs w:val="20"/>
          <w:lang w:val="en-US" w:eastAsia="en-CA"/>
        </w:rPr>
      </w:pPr>
    </w:p>
    <w:p w:rsidR="00CA2DEA" w:rsidRPr="00EB7BB6" w:rsidRDefault="00CA2DEA" w:rsidP="0010587F">
      <w:pPr>
        <w:tabs>
          <w:tab w:val="left" w:pos="-1440"/>
          <w:tab w:val="left" w:pos="-720"/>
        </w:tabs>
        <w:jc w:val="both"/>
        <w:rPr>
          <w:sz w:val="20"/>
          <w:szCs w:val="20"/>
          <w:lang w:val="fr-CA"/>
        </w:rPr>
      </w:pPr>
    </w:p>
    <w:p w:rsidR="00890FEB" w:rsidRPr="00EB7BB6" w:rsidRDefault="00890FEB" w:rsidP="00831CA9">
      <w:pPr>
        <w:jc w:val="both"/>
        <w:rPr>
          <w:sz w:val="20"/>
          <w:szCs w:val="20"/>
          <w:lang w:val="fr-CA"/>
        </w:rPr>
      </w:pPr>
    </w:p>
    <w:p w:rsidR="00831CA9" w:rsidRPr="00EB7BB6" w:rsidRDefault="00831CA9" w:rsidP="00831CA9">
      <w:pPr>
        <w:jc w:val="both"/>
        <w:rPr>
          <w:sz w:val="20"/>
          <w:szCs w:val="20"/>
          <w:lang w:val="fr-CA"/>
        </w:rPr>
        <w:sectPr w:rsidR="00831CA9" w:rsidRPr="00EB7BB6" w:rsidSect="00831CA9">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p w:rsidR="00567602" w:rsidRPr="00EB7BB6" w:rsidRDefault="001434B9" w:rsidP="00567602">
      <w:pPr>
        <w:pStyle w:val="Header1StyleE"/>
        <w:pBdr>
          <w:bottom w:val="single" w:sz="12" w:space="1" w:color="auto"/>
        </w:pBdr>
        <w:rPr>
          <w:sz w:val="20"/>
          <w:lang w:val="en-US"/>
        </w:rPr>
      </w:pPr>
      <w:bookmarkStart w:id="8" w:name="_Toc6468305"/>
      <w:r w:rsidRPr="00EB7BB6">
        <w:lastRenderedPageBreak/>
        <w:t>Notices of appeal filed since the last issue</w:t>
      </w:r>
      <w:r w:rsidR="00271E1E" w:rsidRPr="00EB7BB6">
        <w:t xml:space="preserve"> / </w:t>
      </w:r>
      <w:r w:rsidR="00567602" w:rsidRPr="00EB7BB6">
        <w:br/>
      </w:r>
      <w:r w:rsidRPr="00EB7BB6">
        <w:rPr>
          <w:lang w:val="fr-CA"/>
        </w:rPr>
        <w:t>Avis d’appel déposés depuis la dernière parution</w:t>
      </w:r>
      <w:bookmarkEnd w:id="8"/>
    </w:p>
    <w:p w:rsidR="00FB1DB6" w:rsidRPr="00EB7BB6"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B7BB6" w:rsidTr="005F1ED8">
        <w:trPr>
          <w:cantSplit/>
        </w:trPr>
        <w:tc>
          <w:tcPr>
            <w:tcW w:w="2206" w:type="pct"/>
            <w:tcMar>
              <w:left w:w="0" w:type="dxa"/>
              <w:right w:w="0" w:type="dxa"/>
            </w:tcMar>
          </w:tcPr>
          <w:p w:rsidR="0086340B" w:rsidRPr="00EB7BB6" w:rsidRDefault="000F5DCD" w:rsidP="005F1ED8">
            <w:pPr>
              <w:rPr>
                <w:sz w:val="20"/>
                <w:szCs w:val="20"/>
              </w:rPr>
            </w:pPr>
            <w:r w:rsidRPr="00EB7BB6">
              <w:rPr>
                <w:sz w:val="20"/>
                <w:szCs w:val="20"/>
              </w:rPr>
              <w:t>April</w:t>
            </w:r>
            <w:r w:rsidR="00C85ADC" w:rsidRPr="00EB7BB6">
              <w:rPr>
                <w:sz w:val="20"/>
                <w:szCs w:val="20"/>
              </w:rPr>
              <w:t xml:space="preserve"> 9</w:t>
            </w:r>
            <w:r w:rsidR="008859F1" w:rsidRPr="00EB7BB6">
              <w:rPr>
                <w:sz w:val="20"/>
                <w:szCs w:val="20"/>
              </w:rPr>
              <w:t>, 2019</w:t>
            </w:r>
          </w:p>
          <w:p w:rsidR="0034657E" w:rsidRPr="00EB7BB6" w:rsidRDefault="0034657E" w:rsidP="005F1ED8">
            <w:pPr>
              <w:rPr>
                <w:sz w:val="20"/>
                <w:szCs w:val="20"/>
              </w:rPr>
            </w:pPr>
          </w:p>
          <w:p w:rsidR="0086340B" w:rsidRPr="00EB7BB6" w:rsidRDefault="000F5DCD" w:rsidP="005F1ED8">
            <w:pPr>
              <w:rPr>
                <w:b/>
                <w:sz w:val="20"/>
                <w:szCs w:val="20"/>
              </w:rPr>
            </w:pPr>
            <w:r w:rsidRPr="00EB7BB6">
              <w:rPr>
                <w:b/>
                <w:sz w:val="20"/>
                <w:szCs w:val="20"/>
              </w:rPr>
              <w:t xml:space="preserve">Deborah Lee Doonanco </w:t>
            </w:r>
          </w:p>
          <w:p w:rsidR="000F5DCD" w:rsidRPr="00EB7BB6" w:rsidRDefault="000F5DCD" w:rsidP="005F1ED8">
            <w:pPr>
              <w:rPr>
                <w:b/>
                <w:sz w:val="20"/>
                <w:szCs w:val="20"/>
              </w:rPr>
            </w:pPr>
          </w:p>
          <w:p w:rsidR="0086340B" w:rsidRPr="00EB7BB6" w:rsidRDefault="0086340B" w:rsidP="005F1ED8">
            <w:pPr>
              <w:rPr>
                <w:b/>
                <w:sz w:val="20"/>
                <w:szCs w:val="20"/>
              </w:rPr>
            </w:pPr>
            <w:r w:rsidRPr="00EB7BB6">
              <w:rPr>
                <w:b/>
                <w:sz w:val="20"/>
                <w:szCs w:val="20"/>
              </w:rPr>
              <w:tab/>
              <w:t>v. (3</w:t>
            </w:r>
            <w:r w:rsidR="000F5DCD" w:rsidRPr="00EB7BB6">
              <w:rPr>
                <w:b/>
                <w:sz w:val="20"/>
                <w:szCs w:val="20"/>
              </w:rPr>
              <w:t>8577</w:t>
            </w:r>
            <w:r w:rsidRPr="00EB7BB6">
              <w:rPr>
                <w:b/>
                <w:sz w:val="20"/>
                <w:szCs w:val="20"/>
              </w:rPr>
              <w:t>)</w:t>
            </w:r>
          </w:p>
          <w:p w:rsidR="0086340B" w:rsidRPr="00EB7BB6" w:rsidRDefault="0086340B" w:rsidP="005F1ED8">
            <w:pPr>
              <w:rPr>
                <w:b/>
                <w:sz w:val="20"/>
                <w:szCs w:val="20"/>
              </w:rPr>
            </w:pPr>
          </w:p>
          <w:p w:rsidR="0086340B" w:rsidRPr="00EB7BB6" w:rsidRDefault="000F5DCD" w:rsidP="005F1ED8">
            <w:pPr>
              <w:rPr>
                <w:b/>
                <w:sz w:val="20"/>
                <w:szCs w:val="20"/>
              </w:rPr>
            </w:pPr>
            <w:r w:rsidRPr="00EB7BB6">
              <w:rPr>
                <w:b/>
                <w:sz w:val="20"/>
                <w:szCs w:val="20"/>
              </w:rPr>
              <w:t>Her Majesty the Queen</w:t>
            </w:r>
            <w:r w:rsidR="0086340B" w:rsidRPr="00EB7BB6">
              <w:rPr>
                <w:b/>
                <w:sz w:val="20"/>
                <w:szCs w:val="20"/>
              </w:rPr>
              <w:t>. (N.S.)</w:t>
            </w:r>
          </w:p>
          <w:p w:rsidR="0086340B" w:rsidRPr="00EB7BB6" w:rsidRDefault="0086340B" w:rsidP="005F1ED8">
            <w:pPr>
              <w:rPr>
                <w:sz w:val="20"/>
                <w:szCs w:val="20"/>
              </w:rPr>
            </w:pPr>
          </w:p>
          <w:p w:rsidR="0086340B" w:rsidRPr="00EB7BB6" w:rsidRDefault="000F5DCD" w:rsidP="005F1ED8">
            <w:pPr>
              <w:rPr>
                <w:sz w:val="20"/>
                <w:szCs w:val="20"/>
              </w:rPr>
            </w:pPr>
            <w:r w:rsidRPr="00EB7BB6">
              <w:rPr>
                <w:sz w:val="20"/>
                <w:szCs w:val="20"/>
              </w:rPr>
              <w:t>(As of Right</w:t>
            </w:r>
            <w:r w:rsidR="0086340B" w:rsidRPr="00EB7BB6">
              <w:rPr>
                <w:sz w:val="20"/>
                <w:szCs w:val="20"/>
              </w:rPr>
              <w:t>)</w:t>
            </w:r>
          </w:p>
          <w:p w:rsidR="0086340B" w:rsidRPr="00EB7BB6" w:rsidRDefault="0086340B" w:rsidP="005F1ED8">
            <w:pPr>
              <w:rPr>
                <w:sz w:val="20"/>
                <w:szCs w:val="20"/>
              </w:rPr>
            </w:pPr>
          </w:p>
          <w:p w:rsidR="0086340B" w:rsidRPr="00EB7BB6" w:rsidRDefault="00EB7BB6" w:rsidP="005F1ED8">
            <w:pPr>
              <w:rPr>
                <w:sz w:val="20"/>
                <w:szCs w:val="20"/>
                <w:lang w:val="fr-CA"/>
              </w:rPr>
            </w:pPr>
            <w:r w:rsidRPr="00EB7BB6">
              <w:rPr>
                <w:sz w:val="20"/>
                <w:szCs w:val="20"/>
                <w:lang w:val="fr-CA"/>
              </w:rPr>
              <w:pict>
                <v:rect id="_x0000_i1087" style="width:106.1pt;height:1pt" o:hrpct="500" o:hralign="center" o:hrstd="t" o:hrnoshade="t" o:hr="t" fillcolor="black [3213]" stroked="f"/>
              </w:pict>
            </w:r>
          </w:p>
          <w:p w:rsidR="005B50CC" w:rsidRPr="00EB7BB6" w:rsidRDefault="005B50CC" w:rsidP="005F1ED8">
            <w:pPr>
              <w:rPr>
                <w:sz w:val="20"/>
                <w:szCs w:val="20"/>
                <w:lang w:val="fr-CA"/>
              </w:rPr>
            </w:pPr>
          </w:p>
        </w:tc>
        <w:tc>
          <w:tcPr>
            <w:tcW w:w="588" w:type="pct"/>
          </w:tcPr>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p w:rsidR="0086340B" w:rsidRPr="00EB7BB6" w:rsidRDefault="0086340B" w:rsidP="005F1ED8">
            <w:pPr>
              <w:jc w:val="center"/>
              <w:rPr>
                <w:sz w:val="20"/>
                <w:szCs w:val="20"/>
              </w:rPr>
            </w:pPr>
          </w:p>
        </w:tc>
        <w:tc>
          <w:tcPr>
            <w:tcW w:w="2206" w:type="pct"/>
          </w:tcPr>
          <w:p w:rsidR="000F5DCD" w:rsidRPr="00EB7BB6" w:rsidRDefault="000F5DCD" w:rsidP="000F5DCD">
            <w:pPr>
              <w:rPr>
                <w:sz w:val="20"/>
                <w:szCs w:val="20"/>
              </w:rPr>
            </w:pPr>
            <w:r w:rsidRPr="00EB7BB6">
              <w:rPr>
                <w:sz w:val="20"/>
                <w:szCs w:val="20"/>
              </w:rPr>
              <w:t>April</w:t>
            </w:r>
            <w:r w:rsidR="00C85ADC" w:rsidRPr="00EB7BB6">
              <w:rPr>
                <w:sz w:val="20"/>
                <w:szCs w:val="20"/>
              </w:rPr>
              <w:t xml:space="preserve"> 5</w:t>
            </w:r>
            <w:r w:rsidRPr="00EB7BB6">
              <w:rPr>
                <w:sz w:val="20"/>
                <w:szCs w:val="20"/>
              </w:rPr>
              <w:t>, 2019</w:t>
            </w:r>
          </w:p>
          <w:p w:rsidR="0086340B" w:rsidRPr="00EB7BB6" w:rsidRDefault="0086340B" w:rsidP="005F1ED8">
            <w:pPr>
              <w:rPr>
                <w:sz w:val="20"/>
                <w:szCs w:val="20"/>
                <w:lang w:val="en-US"/>
              </w:rPr>
            </w:pPr>
          </w:p>
          <w:p w:rsidR="0086340B" w:rsidRPr="00EB7BB6" w:rsidRDefault="000F5DCD" w:rsidP="005F1ED8">
            <w:pPr>
              <w:rPr>
                <w:b/>
                <w:sz w:val="20"/>
                <w:szCs w:val="20"/>
                <w:lang w:val="en-US"/>
              </w:rPr>
            </w:pPr>
            <w:r w:rsidRPr="00EB7BB6">
              <w:rPr>
                <w:b/>
                <w:sz w:val="20"/>
                <w:szCs w:val="20"/>
                <w:lang w:val="en-US"/>
              </w:rPr>
              <w:t xml:space="preserve">Chief Roger William on his own behalf and on behalf of all other members of the Xeni Gwet'in First Nations Government and the Tsilhqot'in Nation </w:t>
            </w:r>
          </w:p>
          <w:p w:rsidR="000F5DCD" w:rsidRPr="00EB7BB6" w:rsidRDefault="000F5DCD" w:rsidP="005F1ED8">
            <w:pPr>
              <w:rPr>
                <w:b/>
                <w:sz w:val="20"/>
                <w:szCs w:val="20"/>
                <w:lang w:val="en-US"/>
              </w:rPr>
            </w:pPr>
          </w:p>
          <w:p w:rsidR="0086340B" w:rsidRPr="00EB7BB6" w:rsidRDefault="0086340B" w:rsidP="005F1ED8">
            <w:pPr>
              <w:rPr>
                <w:b/>
                <w:sz w:val="20"/>
                <w:szCs w:val="20"/>
                <w:lang w:val="en-US"/>
              </w:rPr>
            </w:pPr>
            <w:r w:rsidRPr="00EB7BB6">
              <w:rPr>
                <w:b/>
                <w:sz w:val="20"/>
                <w:szCs w:val="20"/>
                <w:lang w:val="en-US"/>
              </w:rPr>
              <w:tab/>
            </w:r>
            <w:r w:rsidR="000F5DCD" w:rsidRPr="00EB7BB6">
              <w:rPr>
                <w:b/>
                <w:sz w:val="20"/>
                <w:szCs w:val="20"/>
                <w:lang w:val="en-US"/>
              </w:rPr>
              <w:t>v</w:t>
            </w:r>
            <w:r w:rsidRPr="00EB7BB6">
              <w:rPr>
                <w:b/>
                <w:sz w:val="20"/>
                <w:szCs w:val="20"/>
                <w:lang w:val="en-US"/>
              </w:rPr>
              <w:t>. (3</w:t>
            </w:r>
            <w:r w:rsidR="000F5DCD" w:rsidRPr="00EB7BB6">
              <w:rPr>
                <w:b/>
                <w:sz w:val="20"/>
                <w:szCs w:val="20"/>
                <w:lang w:val="en-US"/>
              </w:rPr>
              <w:t>8548</w:t>
            </w:r>
            <w:r w:rsidRPr="00EB7BB6">
              <w:rPr>
                <w:b/>
                <w:sz w:val="20"/>
                <w:szCs w:val="20"/>
                <w:lang w:val="en-US"/>
              </w:rPr>
              <w:t>)</w:t>
            </w:r>
          </w:p>
          <w:p w:rsidR="0086340B" w:rsidRPr="00EB7BB6" w:rsidRDefault="0086340B" w:rsidP="005F1ED8">
            <w:pPr>
              <w:rPr>
                <w:b/>
                <w:sz w:val="20"/>
                <w:szCs w:val="20"/>
                <w:lang w:val="en-US"/>
              </w:rPr>
            </w:pPr>
          </w:p>
          <w:p w:rsidR="0086340B" w:rsidRPr="00EB7BB6" w:rsidRDefault="000F5DCD" w:rsidP="005F1ED8">
            <w:pPr>
              <w:rPr>
                <w:b/>
                <w:sz w:val="20"/>
                <w:szCs w:val="20"/>
                <w:lang w:val="fr-CA"/>
              </w:rPr>
            </w:pPr>
            <w:r w:rsidRPr="00EB7BB6">
              <w:rPr>
                <w:b/>
                <w:sz w:val="20"/>
                <w:szCs w:val="20"/>
                <w:lang w:val="en-US"/>
              </w:rPr>
              <w:t xml:space="preserve">Attorney General of British Columbia, et al. </w:t>
            </w:r>
            <w:r w:rsidR="0086340B" w:rsidRPr="00EB7BB6">
              <w:rPr>
                <w:b/>
                <w:sz w:val="20"/>
                <w:szCs w:val="20"/>
                <w:lang w:val="fr-CA"/>
              </w:rPr>
              <w:t>(</w:t>
            </w:r>
            <w:r w:rsidRPr="00EB7BB6">
              <w:rPr>
                <w:b/>
                <w:sz w:val="20"/>
                <w:szCs w:val="20"/>
                <w:lang w:val="fr-CA"/>
              </w:rPr>
              <w:t>B.C.</w:t>
            </w:r>
            <w:r w:rsidR="0086340B" w:rsidRPr="00EB7BB6">
              <w:rPr>
                <w:b/>
                <w:sz w:val="20"/>
                <w:szCs w:val="20"/>
                <w:lang w:val="fr-CA"/>
              </w:rPr>
              <w:t>)</w:t>
            </w:r>
          </w:p>
          <w:p w:rsidR="000F5DCD" w:rsidRPr="00EB7BB6" w:rsidRDefault="000F5DCD" w:rsidP="005F1ED8">
            <w:pPr>
              <w:rPr>
                <w:sz w:val="20"/>
                <w:szCs w:val="20"/>
                <w:lang w:val="fr-CA"/>
              </w:rPr>
            </w:pPr>
          </w:p>
          <w:p w:rsidR="0086340B" w:rsidRPr="00EB7BB6" w:rsidRDefault="0086340B" w:rsidP="005F1ED8">
            <w:pPr>
              <w:rPr>
                <w:sz w:val="20"/>
                <w:szCs w:val="20"/>
              </w:rPr>
            </w:pPr>
            <w:r w:rsidRPr="00EB7BB6">
              <w:rPr>
                <w:sz w:val="20"/>
                <w:szCs w:val="20"/>
              </w:rPr>
              <w:t>(</w:t>
            </w:r>
            <w:r w:rsidR="000F5DCD" w:rsidRPr="00EB7BB6">
              <w:rPr>
                <w:sz w:val="20"/>
                <w:szCs w:val="20"/>
              </w:rPr>
              <w:t>By Leave</w:t>
            </w:r>
            <w:r w:rsidRPr="00EB7BB6">
              <w:rPr>
                <w:sz w:val="20"/>
                <w:szCs w:val="20"/>
              </w:rPr>
              <w:t>)</w:t>
            </w:r>
          </w:p>
          <w:p w:rsidR="0086340B" w:rsidRPr="00EB7BB6" w:rsidRDefault="0086340B" w:rsidP="005F1ED8">
            <w:pPr>
              <w:rPr>
                <w:sz w:val="20"/>
                <w:szCs w:val="20"/>
              </w:rPr>
            </w:pPr>
          </w:p>
          <w:p w:rsidR="0086340B" w:rsidRPr="00EB7BB6" w:rsidRDefault="00EB7BB6" w:rsidP="005F1ED8">
            <w:pPr>
              <w:rPr>
                <w:sz w:val="20"/>
                <w:szCs w:val="20"/>
              </w:rPr>
            </w:pPr>
            <w:r w:rsidRPr="00EB7BB6">
              <w:rPr>
                <w:sz w:val="20"/>
                <w:szCs w:val="20"/>
                <w:lang w:val="fr-CA"/>
              </w:rPr>
              <w:pict>
                <v:rect id="_x0000_i1088" style="width:106.1pt;height:1pt" o:hrpct="500" o:hralign="center" o:hrstd="t" o:hrnoshade="t" o:hr="t" fillcolor="black [3213]" stroked="f"/>
              </w:pict>
            </w:r>
          </w:p>
        </w:tc>
      </w:tr>
    </w:tbl>
    <w:p w:rsidR="008277C4" w:rsidRPr="00EB7BB6" w:rsidRDefault="008277C4" w:rsidP="00F40249">
      <w:pPr>
        <w:rPr>
          <w:sz w:val="20"/>
          <w:szCs w:val="20"/>
        </w:rPr>
      </w:pPr>
    </w:p>
    <w:p w:rsidR="008277C4" w:rsidRPr="00EB7BB6" w:rsidRDefault="008277C4" w:rsidP="00F40249">
      <w:pPr>
        <w:rPr>
          <w:sz w:val="20"/>
          <w:szCs w:val="20"/>
        </w:rPr>
      </w:pPr>
    </w:p>
    <w:p w:rsidR="008277C4" w:rsidRPr="00EB7BB6" w:rsidRDefault="008277C4" w:rsidP="00F40249">
      <w:pPr>
        <w:rPr>
          <w:sz w:val="20"/>
          <w:szCs w:val="20"/>
        </w:rPr>
      </w:pPr>
    </w:p>
    <w:p w:rsidR="0010587F" w:rsidRPr="00EB7BB6" w:rsidRDefault="0010587F" w:rsidP="00F40249">
      <w:pPr>
        <w:rPr>
          <w:sz w:val="20"/>
          <w:szCs w:val="20"/>
        </w:rPr>
      </w:pPr>
    </w:p>
    <w:p w:rsidR="00EB2B90" w:rsidRPr="00EB7BB6" w:rsidRDefault="00EB2B90" w:rsidP="00F40249">
      <w:pPr>
        <w:rPr>
          <w:sz w:val="20"/>
          <w:szCs w:val="20"/>
        </w:rPr>
        <w:sectPr w:rsidR="00EB2B90" w:rsidRPr="00EB7BB6" w:rsidSect="00F40249">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p w:rsidR="00567602" w:rsidRPr="00EB7BB6" w:rsidRDefault="001434B9" w:rsidP="00567602">
      <w:pPr>
        <w:pStyle w:val="Header1StyleE"/>
        <w:pBdr>
          <w:bottom w:val="single" w:sz="12" w:space="1" w:color="auto"/>
        </w:pBdr>
        <w:rPr>
          <w:lang w:val="fr-CA"/>
        </w:rPr>
      </w:pPr>
      <w:bookmarkStart w:id="9" w:name="_Toc6468306"/>
      <w:r w:rsidRPr="00EB7BB6">
        <w:rPr>
          <w:lang w:val="fr-CA"/>
        </w:rPr>
        <w:lastRenderedPageBreak/>
        <w:t>Appeals heard since the last issue and disposition</w:t>
      </w:r>
      <w:r w:rsidR="00271E1E" w:rsidRPr="00EB7BB6">
        <w:rPr>
          <w:lang w:val="fr-CA"/>
        </w:rPr>
        <w:t xml:space="preserve"> / </w:t>
      </w:r>
      <w:r w:rsidR="00567602" w:rsidRPr="00EB7BB6">
        <w:rPr>
          <w:lang w:val="fr-CA"/>
        </w:rPr>
        <w:br/>
      </w:r>
      <w:r w:rsidRPr="00EB7BB6">
        <w:rPr>
          <w:lang w:val="fr-CA"/>
        </w:rPr>
        <w:t>Appels entendus depuis la dernière parution et résultat</w:t>
      </w:r>
      <w:bookmarkEnd w:id="9"/>
    </w:p>
    <w:p w:rsidR="00567602" w:rsidRPr="00EB7BB6" w:rsidRDefault="00567602" w:rsidP="00567602">
      <w:pPr>
        <w:keepNext/>
        <w:keepLines/>
        <w:widowControl w:val="0"/>
        <w:jc w:val="both"/>
        <w:rPr>
          <w:szCs w:val="24"/>
          <w:lang w:val="fr-CA"/>
        </w:rPr>
      </w:pPr>
    </w:p>
    <w:p w:rsidR="00B5495F" w:rsidRPr="00EB7BB6" w:rsidRDefault="00B5495F" w:rsidP="00B5495F">
      <w:pPr>
        <w:rPr>
          <w:b/>
          <w:sz w:val="20"/>
          <w:szCs w:val="20"/>
          <w:lang w:val="en-US"/>
        </w:rPr>
      </w:pPr>
      <w:r w:rsidRPr="00EB7BB6">
        <w:rPr>
          <w:b/>
          <w:sz w:val="20"/>
          <w:szCs w:val="20"/>
          <w:lang w:val="en-US"/>
        </w:rPr>
        <w:t>MARCH 27, 2019 / LE 27 MARS 2019</w:t>
      </w:r>
    </w:p>
    <w:p w:rsidR="00B5495F" w:rsidRPr="00EB7BB6" w:rsidRDefault="00B5495F" w:rsidP="00B5495F">
      <w:pPr>
        <w:widowControl w:val="0"/>
        <w:rPr>
          <w:rStyle w:val="sccssocchar"/>
          <w:bCs/>
          <w:color w:val="000000"/>
          <w:sz w:val="20"/>
          <w:szCs w:val="20"/>
          <w:lang w:val="en-US"/>
        </w:rPr>
      </w:pPr>
    </w:p>
    <w:p w:rsidR="00E30619" w:rsidRPr="00EB7BB6" w:rsidRDefault="00E30619" w:rsidP="00E30619">
      <w:pPr>
        <w:widowControl w:val="0"/>
        <w:rPr>
          <w:sz w:val="20"/>
          <w:szCs w:val="20"/>
        </w:rPr>
      </w:pPr>
      <w:r w:rsidRPr="00EB7BB6">
        <w:rPr>
          <w:b/>
          <w:sz w:val="20"/>
          <w:szCs w:val="20"/>
        </w:rPr>
        <w:t xml:space="preserve">Her Majesty the Queen v. Dean Daniel Kelsie </w:t>
      </w:r>
      <w:r w:rsidRPr="00EB7BB6">
        <w:rPr>
          <w:sz w:val="20"/>
          <w:szCs w:val="20"/>
        </w:rPr>
        <w:t>(N.S.) (Criminal) (By Leave) (</w:t>
      </w:r>
      <w:hyperlink r:id="rId90" w:history="1">
        <w:r w:rsidRPr="00EB7BB6">
          <w:rPr>
            <w:rStyle w:val="Hyperlink"/>
            <w:sz w:val="20"/>
            <w:szCs w:val="20"/>
          </w:rPr>
          <w:t>38129</w:t>
        </w:r>
      </w:hyperlink>
      <w:r w:rsidRPr="00EB7BB6">
        <w:rPr>
          <w:sz w:val="20"/>
          <w:szCs w:val="20"/>
        </w:rPr>
        <w:t>)</w:t>
      </w:r>
    </w:p>
    <w:p w:rsidR="00E30619" w:rsidRPr="00EB7BB6" w:rsidRDefault="00E30619" w:rsidP="00E30619">
      <w:pPr>
        <w:widowControl w:val="0"/>
        <w:ind w:left="1109" w:hanging="1109"/>
        <w:rPr>
          <w:sz w:val="20"/>
          <w:szCs w:val="20"/>
        </w:rPr>
      </w:pPr>
      <w:r w:rsidRPr="00EB7BB6">
        <w:rPr>
          <w:b/>
          <w:sz w:val="20"/>
          <w:szCs w:val="20"/>
        </w:rPr>
        <w:t>2019 SCC 17 / 2019 CSC 17</w:t>
      </w:r>
    </w:p>
    <w:p w:rsidR="00B5495F" w:rsidRPr="00EB7BB6" w:rsidRDefault="00B5495F" w:rsidP="00B5495F">
      <w:pPr>
        <w:rPr>
          <w:color w:val="000000"/>
          <w:sz w:val="20"/>
          <w:szCs w:val="20"/>
        </w:rPr>
      </w:pPr>
    </w:p>
    <w:p w:rsidR="00B5495F" w:rsidRPr="00EB7BB6" w:rsidRDefault="00B5495F" w:rsidP="00B5495F">
      <w:pPr>
        <w:ind w:left="1109" w:hanging="1109"/>
        <w:rPr>
          <w:color w:val="000000"/>
          <w:sz w:val="20"/>
          <w:szCs w:val="27"/>
          <w:lang w:val="en-US"/>
        </w:rPr>
      </w:pPr>
      <w:r w:rsidRPr="00EB7BB6">
        <w:rPr>
          <w:color w:val="000000"/>
          <w:sz w:val="20"/>
          <w:szCs w:val="27"/>
          <w:lang w:val="en-US"/>
        </w:rPr>
        <w:t>Coram:</w:t>
      </w:r>
      <w:r w:rsidRPr="00EB7BB6">
        <w:rPr>
          <w:sz w:val="20"/>
          <w:lang w:val="en-US"/>
        </w:rPr>
        <w:t xml:space="preserve"> </w:t>
      </w:r>
      <w:r w:rsidRPr="00EB7BB6">
        <w:rPr>
          <w:sz w:val="20"/>
          <w:lang w:val="en-US"/>
        </w:rPr>
        <w:tab/>
      </w:r>
      <w:r w:rsidRPr="00EB7BB6">
        <w:rPr>
          <w:color w:val="000000"/>
          <w:sz w:val="20"/>
          <w:szCs w:val="27"/>
          <w:lang w:val="en-US"/>
        </w:rPr>
        <w:t>Wagner C.J. and Abella, Moldaver, Karakatsanis, Côté, Rowe and Martin JJ.</w:t>
      </w:r>
    </w:p>
    <w:p w:rsidR="00B5495F" w:rsidRPr="00EB7BB6" w:rsidRDefault="00B5495F" w:rsidP="00B5495F">
      <w:pPr>
        <w:ind w:left="1109" w:hanging="1109"/>
        <w:rPr>
          <w:color w:val="000000"/>
          <w:sz w:val="20"/>
          <w:szCs w:val="20"/>
          <w:lang w:val="en-US"/>
        </w:rPr>
      </w:pPr>
    </w:p>
    <w:p w:rsidR="00E30619" w:rsidRPr="00EB7BB6" w:rsidRDefault="00E30619" w:rsidP="00E30619">
      <w:pPr>
        <w:widowControl w:val="0"/>
        <w:tabs>
          <w:tab w:val="left" w:pos="720"/>
          <w:tab w:val="left" w:pos="1440"/>
          <w:tab w:val="left" w:pos="2851"/>
          <w:tab w:val="left" w:pos="4320"/>
          <w:tab w:val="left" w:pos="10224"/>
          <w:tab w:val="left" w:pos="11376"/>
        </w:tabs>
        <w:rPr>
          <w:b/>
          <w:sz w:val="20"/>
          <w:szCs w:val="20"/>
        </w:rPr>
      </w:pPr>
      <w:r w:rsidRPr="00EB7BB6">
        <w:rPr>
          <w:b/>
          <w:sz w:val="20"/>
          <w:szCs w:val="20"/>
        </w:rPr>
        <w:t>DISMISSED / REJETÉ</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r w:rsidRPr="00EB7BB6">
        <w:rPr>
          <w:sz w:val="20"/>
          <w:szCs w:val="20"/>
        </w:rPr>
        <w:t>The appeal from the judgment of the Nova Scotia Court of Appeal, Number CAC 211631, 2017 NSCA 89, dated December 8, 2017, was heard on March 27, 2019, and the Court on that day delivered the following judgment orally</w:t>
      </w:r>
      <w:r w:rsidRPr="00EB7BB6">
        <w:rPr>
          <w:sz w:val="20"/>
          <w:szCs w:val="20"/>
          <w:vertAlign w:val="superscript"/>
        </w:rPr>
        <w:t>1</w:t>
      </w:r>
      <w:r w:rsidRPr="00EB7BB6">
        <w:rPr>
          <w:sz w:val="20"/>
          <w:szCs w:val="20"/>
        </w:rPr>
        <w:t xml:space="preserve">: </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r w:rsidRPr="00EB7BB6">
        <w:rPr>
          <w:sz w:val="20"/>
          <w:szCs w:val="20"/>
        </w:rPr>
        <w:t xml:space="preserve">KARAKATSANIS J. — We agree with the conclusion of the Court of Appeal that the trial judge’s instructions on party liability for first degree murder were in error. As a result, the conviction for first degree murder cannot stand. </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r w:rsidRPr="00EB7BB6">
        <w:rPr>
          <w:sz w:val="20"/>
          <w:szCs w:val="20"/>
        </w:rPr>
        <w:t>We do not, however, agree with the Court of Appeal that the trial judge was required to charge the jury on manslaughter. While not determinative, we agree with defence counsel’s position at trial that there was no basis to leave it with the jury as an available verdict. In our view, the evidence was, at best, tenuous and speculative, and did not meet the air of reality test.</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r w:rsidRPr="00EB7BB6">
        <w:rPr>
          <w:sz w:val="20"/>
          <w:szCs w:val="20"/>
        </w:rPr>
        <w:t xml:space="preserve">With respect to the conspiracy charge, we do not agree with the Court of Appeal. In the particular circumstances of this case, we are not persuaded that the trial judge erred in the evidence he left for the jury to consider as part of the third prong of the Carter test for the admissibility of co-conspirator hearsay (R. v. Carter, [1982] 1 S.C.R. 938). We note, in this regard, that the defence of the accused to the charge of conspiracy is that he did not know the nature and scope of the alleged conspiracy. Accordingly, we would not have interfered with the conviction for conspiracy to commit murder. </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r w:rsidRPr="00EB7BB6">
        <w:rPr>
          <w:sz w:val="20"/>
          <w:szCs w:val="20"/>
        </w:rPr>
        <w:t xml:space="preserve">Given our conclusions, the parties agree that it would be appropriate to substitute a verdict of second degree murder in place of the verdict for first degree murder. We are satisfied that such a verdict is appropriate in the circumstances. </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r w:rsidRPr="00EB7BB6">
        <w:rPr>
          <w:sz w:val="20"/>
          <w:szCs w:val="20"/>
        </w:rPr>
        <w:t xml:space="preserve">As a result, pursuant to s. 686(1)(b)(i) and s. 686(3) of the Criminal Code, R.S.C. 1985, c. C-46, we would have dismissed the appeal and substituted a conviction for second degree murder. </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r w:rsidRPr="00EB7BB6">
        <w:rPr>
          <w:sz w:val="20"/>
          <w:szCs w:val="20"/>
        </w:rPr>
        <w:t xml:space="preserve">Therefore, the appeal is allowed in part. The conspiracy conviction is restored and a second degree murder conviction is entered. </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r w:rsidRPr="00EB7BB6">
        <w:rPr>
          <w:sz w:val="20"/>
          <w:szCs w:val="20"/>
        </w:rPr>
        <w:t>Counsel are encouraged to agree on the appropriate sentence regarding eligibility for parole. The matter is remitted to the trial court for sentencing.</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lang w:val="fr-CA"/>
        </w:rPr>
        <w:t>L’appel interjeté contre l’arrêt de la Cour d’appel de la Nouvelle-Écosse, numéro CAC 211631, 2017 NSCA 89, daté du 8 décembre 2017, a été entendu le 27 mars 2019 et la Cour a prononcé oralement le même jour le jugement suivant</w:t>
      </w:r>
      <w:r w:rsidRPr="00EB7BB6">
        <w:rPr>
          <w:sz w:val="20"/>
          <w:szCs w:val="20"/>
          <w:vertAlign w:val="superscript"/>
          <w:lang w:val="fr-CA"/>
        </w:rPr>
        <w:t>1</w:t>
      </w:r>
      <w:r w:rsidRPr="00EB7BB6">
        <w:rPr>
          <w:sz w:val="20"/>
          <w:szCs w:val="20"/>
          <w:lang w:val="fr-CA"/>
        </w:rPr>
        <w:t>:</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lang w:val="fr-CA"/>
        </w:rPr>
        <w:tab/>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lang w:val="fr-CA"/>
        </w:rPr>
        <w:t>[TRADUCTION]</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lang w:val="fr-CA"/>
        </w:rPr>
        <w:t>LA JUGE KARAKATSANIS — Nous faisons nôtre la conclusion de la Cour d’appel portant que les directives du juge du procès sur la responsabilité des participants au meurtre au premier degré étaient erronées. Par conséquent, la déclaration de culpabilité pour meurtre au premier degré ne peut être maintenue.</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lang w:val="fr-CA"/>
        </w:rPr>
        <w:t>Nous ne sommes toutefois pas d’accord avec la Cour d’appel pour dire que le juge de première instance était tenu de formuler au jury des directives sur l’homicide involontaire coupable. Bien que ce ne soit pas déterminant, nous souscrivons à la thèse avancée au procès par l’avocat de la défense suivant laquelle rien ne justifiait de laisser au jury la possibilité de rendre un verdict d’homicide involontaire coupable. À notre avis, la preuve était, au mieux, ténue et conjecturale, et elle ne satisfaisait pas au critère de la vraisemblance.</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lang w:val="fr-CA"/>
        </w:rPr>
        <w:lastRenderedPageBreak/>
        <w:t>Pour ce qui est de l’accusation de complot, nous ne partageons pas l’avis de la Cour d’appel. Eu égard aux circonstances particulières de la présente affaire, nous ne sommes pas convaincus que le juge du procès a fait erreur quant aux éléments de preuve qu’il a laissés à l’appréciation du jury dans le cadre du troisième volet de l’analyse établie dans l’arrêt Carter relativement à l’admissibilité du ouï-dire de co-conspirateurs (R. c. Carter, [1982] 1 R.C.S. 938). Nous soulignons, à ce propos, que le moyen de défense invoqué par l’accusé à l’encontre de l’accusation de complot était qu’il ignorait la nature et l’ampleur du complot reproché. Nous ne serions donc pas intervenus pour modifier la déclaration de culpabilité de complot en vue de commettre un meurtre.</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lang w:val="fr-CA"/>
        </w:rPr>
        <w:t xml:space="preserve">Vu nos conclusions, les parties reconnaissent qu’il convient de substituer un verdict de meurtre au deuxième degré à celui de meurtre au premier degré. Nous sommes convaincus qu’un tel verdict est approprié dans les circonstances.  </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lang w:val="fr-CA"/>
        </w:rPr>
        <w:t xml:space="preserve">Par conséquent, en vertu du sous-al. 686(1)b)(i) et du par. 686(3) du Code criminel, L.R.C. 1985, c. C-46, nous aurions rejeté l’appel et prononcé une déclaration de culpabilité de meurtre au deuxième degré. </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lang w:val="fr-CA"/>
        </w:rPr>
        <w:t>En conséquence, le pourvoi est accueilli en partie. La déclaration de culpabilité pour complot est rétablie et une déclaration de culpabilité pour meurtre au deuxième degré est consignée.</w:t>
      </w: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p>
    <w:p w:rsidR="00E30619" w:rsidRPr="00EB7BB6" w:rsidRDefault="00E30619" w:rsidP="00E30619">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lang w:val="fr-CA"/>
        </w:rPr>
        <w:t>Les avocats sont invités à s’entendre sur la peine appropriée en ce qui concerne l’admissibilité à la libération conditionnelle. L’affaire est renvoyée au tribunal de première instance pour qu’il détermine la peine.</w:t>
      </w:r>
    </w:p>
    <w:p w:rsidR="00944772" w:rsidRPr="00EB7BB6" w:rsidRDefault="00944772" w:rsidP="00E30619">
      <w:pPr>
        <w:widowControl w:val="0"/>
        <w:tabs>
          <w:tab w:val="left" w:pos="720"/>
          <w:tab w:val="left" w:pos="1440"/>
          <w:tab w:val="left" w:pos="2851"/>
          <w:tab w:val="left" w:pos="4320"/>
          <w:tab w:val="left" w:pos="10224"/>
          <w:tab w:val="left" w:pos="11376"/>
        </w:tabs>
        <w:rPr>
          <w:sz w:val="20"/>
          <w:szCs w:val="20"/>
          <w:lang w:val="fr-CA"/>
        </w:rPr>
      </w:pP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517"/>
        <w:gridCol w:w="581"/>
        <w:gridCol w:w="4521"/>
      </w:tblGrid>
      <w:tr w:rsidR="00944772" w:rsidRPr="00EB7BB6" w:rsidTr="00F3059C">
        <w:tc>
          <w:tcPr>
            <w:tcW w:w="2348" w:type="pct"/>
            <w:tcMar>
              <w:top w:w="0" w:type="dxa"/>
              <w:bottom w:w="0" w:type="dxa"/>
            </w:tcMar>
          </w:tcPr>
          <w:p w:rsidR="00944772" w:rsidRPr="00EB7BB6" w:rsidRDefault="00944772" w:rsidP="00944772">
            <w:pPr>
              <w:widowControl w:val="0"/>
              <w:tabs>
                <w:tab w:val="left" w:pos="720"/>
                <w:tab w:val="left" w:pos="1440"/>
                <w:tab w:val="left" w:pos="2851"/>
                <w:tab w:val="left" w:pos="4320"/>
                <w:tab w:val="left" w:pos="10224"/>
                <w:tab w:val="left" w:pos="11376"/>
              </w:tabs>
              <w:rPr>
                <w:b/>
                <w:sz w:val="20"/>
                <w:szCs w:val="20"/>
                <w:vertAlign w:val="superscript"/>
                <w:lang w:val="en-US"/>
              </w:rPr>
            </w:pPr>
            <w:r w:rsidRPr="00EB7BB6">
              <w:rPr>
                <w:b/>
                <w:sz w:val="20"/>
                <w:szCs w:val="20"/>
                <w:vertAlign w:val="superscript"/>
                <w:lang w:val="en-US"/>
              </w:rPr>
              <w:t>____________________</w:t>
            </w:r>
          </w:p>
          <w:p w:rsidR="00944772" w:rsidRPr="00EB7BB6" w:rsidRDefault="00944772" w:rsidP="00944772">
            <w:pPr>
              <w:widowControl w:val="0"/>
              <w:tabs>
                <w:tab w:val="left" w:pos="720"/>
                <w:tab w:val="left" w:pos="1440"/>
                <w:tab w:val="left" w:pos="2851"/>
                <w:tab w:val="left" w:pos="4320"/>
                <w:tab w:val="left" w:pos="10224"/>
                <w:tab w:val="left" w:pos="11376"/>
              </w:tabs>
              <w:rPr>
                <w:sz w:val="20"/>
                <w:szCs w:val="20"/>
                <w:lang w:val="en-US"/>
              </w:rPr>
            </w:pPr>
            <w:r w:rsidRPr="00EB7BB6">
              <w:rPr>
                <w:sz w:val="20"/>
                <w:szCs w:val="20"/>
                <w:vertAlign w:val="superscript"/>
                <w:lang w:val="en-US"/>
              </w:rPr>
              <w:t>1</w:t>
            </w:r>
            <w:r w:rsidRPr="00EB7BB6">
              <w:rPr>
                <w:sz w:val="20"/>
                <w:szCs w:val="20"/>
                <w:lang w:val="en-US"/>
              </w:rPr>
              <w:t xml:space="preserve"> The judgment pronounced at the hearing was amended. </w:t>
            </w:r>
          </w:p>
        </w:tc>
        <w:tc>
          <w:tcPr>
            <w:tcW w:w="302" w:type="pct"/>
            <w:tcMar>
              <w:top w:w="0" w:type="dxa"/>
              <w:bottom w:w="0" w:type="dxa"/>
            </w:tcMar>
          </w:tcPr>
          <w:p w:rsidR="00944772" w:rsidRPr="00EB7BB6" w:rsidRDefault="00944772" w:rsidP="00944772">
            <w:pPr>
              <w:widowControl w:val="0"/>
              <w:tabs>
                <w:tab w:val="left" w:pos="720"/>
                <w:tab w:val="left" w:pos="1440"/>
                <w:tab w:val="left" w:pos="2851"/>
                <w:tab w:val="left" w:pos="4320"/>
                <w:tab w:val="left" w:pos="10224"/>
                <w:tab w:val="left" w:pos="11376"/>
              </w:tabs>
              <w:rPr>
                <w:sz w:val="20"/>
                <w:szCs w:val="20"/>
                <w:lang w:val="en-US"/>
              </w:rPr>
            </w:pPr>
          </w:p>
        </w:tc>
        <w:tc>
          <w:tcPr>
            <w:tcW w:w="2350" w:type="pct"/>
            <w:tcMar>
              <w:top w:w="0" w:type="dxa"/>
              <w:bottom w:w="0" w:type="dxa"/>
            </w:tcMar>
          </w:tcPr>
          <w:p w:rsidR="00944772" w:rsidRPr="00EB7BB6" w:rsidRDefault="00944772" w:rsidP="00944772">
            <w:pPr>
              <w:widowControl w:val="0"/>
              <w:tabs>
                <w:tab w:val="left" w:pos="720"/>
                <w:tab w:val="left" w:pos="1440"/>
                <w:tab w:val="left" w:pos="2851"/>
                <w:tab w:val="left" w:pos="4320"/>
                <w:tab w:val="left" w:pos="10224"/>
                <w:tab w:val="left" w:pos="11376"/>
              </w:tabs>
              <w:rPr>
                <w:b/>
                <w:sz w:val="20"/>
                <w:szCs w:val="20"/>
                <w:vertAlign w:val="superscript"/>
                <w:lang w:val="fr-CA"/>
              </w:rPr>
            </w:pPr>
            <w:r w:rsidRPr="00EB7BB6">
              <w:rPr>
                <w:b/>
                <w:sz w:val="20"/>
                <w:szCs w:val="20"/>
                <w:vertAlign w:val="superscript"/>
                <w:lang w:val="fr-CA"/>
              </w:rPr>
              <w:t>____________________</w:t>
            </w:r>
          </w:p>
          <w:p w:rsidR="00944772" w:rsidRPr="00EB7BB6" w:rsidRDefault="00944772" w:rsidP="00944772">
            <w:pPr>
              <w:widowControl w:val="0"/>
              <w:tabs>
                <w:tab w:val="left" w:pos="720"/>
                <w:tab w:val="left" w:pos="1440"/>
                <w:tab w:val="left" w:pos="2851"/>
                <w:tab w:val="left" w:pos="4320"/>
                <w:tab w:val="left" w:pos="10224"/>
                <w:tab w:val="left" w:pos="11376"/>
              </w:tabs>
              <w:rPr>
                <w:sz w:val="20"/>
                <w:szCs w:val="20"/>
                <w:lang w:val="fr-CA"/>
              </w:rPr>
            </w:pPr>
            <w:r w:rsidRPr="00EB7BB6">
              <w:rPr>
                <w:sz w:val="20"/>
                <w:szCs w:val="20"/>
                <w:vertAlign w:val="superscript"/>
                <w:lang w:val="fr-CA"/>
              </w:rPr>
              <w:t>1</w:t>
            </w:r>
            <w:r w:rsidRPr="00EB7BB6">
              <w:rPr>
                <w:sz w:val="20"/>
                <w:szCs w:val="20"/>
                <w:lang w:val="fr-CA"/>
              </w:rPr>
              <w:t xml:space="preserve"> Le jugement prononcé à l’audience a été modifié.</w:t>
            </w:r>
          </w:p>
        </w:tc>
      </w:tr>
    </w:tbl>
    <w:p w:rsidR="00E30619" w:rsidRPr="00EB7BB6" w:rsidRDefault="00E30619" w:rsidP="00E30619">
      <w:pPr>
        <w:widowControl w:val="0"/>
        <w:tabs>
          <w:tab w:val="left" w:pos="720"/>
          <w:tab w:val="left" w:pos="1440"/>
          <w:tab w:val="left" w:pos="2851"/>
          <w:tab w:val="left" w:pos="4320"/>
          <w:tab w:val="left" w:pos="10224"/>
          <w:tab w:val="left" w:pos="11376"/>
        </w:tabs>
        <w:rPr>
          <w:szCs w:val="24"/>
          <w:lang w:val="fr-CA"/>
        </w:rPr>
      </w:pPr>
    </w:p>
    <w:p w:rsidR="00B5495F" w:rsidRPr="00EB7BB6" w:rsidRDefault="00EB7BB6" w:rsidP="00B5495F">
      <w:pPr>
        <w:widowControl w:val="0"/>
        <w:rPr>
          <w:sz w:val="20"/>
          <w:szCs w:val="20"/>
        </w:rPr>
      </w:pPr>
      <w:r w:rsidRPr="00EB7BB6">
        <w:rPr>
          <w:sz w:val="20"/>
          <w:szCs w:val="20"/>
          <w:lang w:val="fr-CA"/>
        </w:rPr>
        <w:pict>
          <v:rect id="_x0000_i1091" style="width:108pt;height:1pt" o:hrpct="0" o:hralign="center" o:hrstd="t" o:hrnoshade="t" o:hr="t" fillcolor="black [3213]" stroked="f"/>
        </w:pict>
      </w:r>
    </w:p>
    <w:p w:rsidR="00B5495F" w:rsidRPr="00EB7BB6" w:rsidRDefault="00B5495F" w:rsidP="00B5495F">
      <w:pPr>
        <w:widowControl w:val="0"/>
        <w:rPr>
          <w:sz w:val="20"/>
          <w:szCs w:val="20"/>
        </w:rPr>
      </w:pPr>
    </w:p>
    <w:p w:rsidR="00717608" w:rsidRPr="00EB7BB6" w:rsidRDefault="00717608" w:rsidP="00717608">
      <w:pPr>
        <w:rPr>
          <w:b/>
          <w:sz w:val="20"/>
          <w:szCs w:val="20"/>
          <w:lang w:val="fr-CA"/>
        </w:rPr>
      </w:pPr>
      <w:r w:rsidRPr="00EB7BB6">
        <w:rPr>
          <w:b/>
          <w:sz w:val="20"/>
          <w:szCs w:val="20"/>
          <w:lang w:val="fr-CA"/>
        </w:rPr>
        <w:t>A</w:t>
      </w:r>
      <w:r w:rsidR="004C2D55" w:rsidRPr="00EB7BB6">
        <w:rPr>
          <w:b/>
          <w:sz w:val="20"/>
          <w:szCs w:val="20"/>
          <w:lang w:val="fr-CA"/>
        </w:rPr>
        <w:t>PRIL</w:t>
      </w:r>
      <w:r w:rsidRPr="00EB7BB6">
        <w:rPr>
          <w:b/>
          <w:sz w:val="20"/>
          <w:szCs w:val="20"/>
          <w:lang w:val="fr-CA"/>
        </w:rPr>
        <w:t xml:space="preserve"> 1</w:t>
      </w:r>
      <w:r w:rsidR="004C2D55" w:rsidRPr="00EB7BB6">
        <w:rPr>
          <w:b/>
          <w:sz w:val="20"/>
          <w:szCs w:val="20"/>
          <w:lang w:val="fr-CA"/>
        </w:rPr>
        <w:t>6</w:t>
      </w:r>
      <w:r w:rsidRPr="00EB7BB6">
        <w:rPr>
          <w:b/>
          <w:sz w:val="20"/>
          <w:szCs w:val="20"/>
          <w:lang w:val="fr-CA"/>
        </w:rPr>
        <w:t>, 2019 / LE 1</w:t>
      </w:r>
      <w:r w:rsidR="004C2D55" w:rsidRPr="00EB7BB6">
        <w:rPr>
          <w:b/>
          <w:sz w:val="20"/>
          <w:szCs w:val="20"/>
          <w:lang w:val="fr-CA"/>
        </w:rPr>
        <w:t>6</w:t>
      </w:r>
      <w:r w:rsidRPr="00EB7BB6">
        <w:rPr>
          <w:b/>
          <w:sz w:val="20"/>
          <w:szCs w:val="20"/>
          <w:lang w:val="fr-CA"/>
        </w:rPr>
        <w:t xml:space="preserve"> AVR</w:t>
      </w:r>
      <w:r w:rsidR="004C2D55" w:rsidRPr="00EB7BB6">
        <w:rPr>
          <w:b/>
          <w:sz w:val="20"/>
          <w:szCs w:val="20"/>
          <w:lang w:val="fr-CA"/>
        </w:rPr>
        <w:t>IL</w:t>
      </w:r>
      <w:r w:rsidRPr="00EB7BB6">
        <w:rPr>
          <w:b/>
          <w:sz w:val="20"/>
          <w:szCs w:val="20"/>
          <w:lang w:val="fr-CA"/>
        </w:rPr>
        <w:t xml:space="preserve"> 2019</w:t>
      </w:r>
    </w:p>
    <w:p w:rsidR="004A7888" w:rsidRPr="00EB7BB6" w:rsidRDefault="004A7888" w:rsidP="004C2D55">
      <w:pPr>
        <w:widowControl w:val="0"/>
        <w:rPr>
          <w:rStyle w:val="sccssocchar"/>
          <w:bCs/>
          <w:color w:val="000000"/>
          <w:sz w:val="20"/>
          <w:szCs w:val="20"/>
          <w:lang w:val="fr-CA"/>
        </w:rPr>
      </w:pPr>
    </w:p>
    <w:p w:rsidR="004C2D55" w:rsidRPr="00EB7BB6" w:rsidRDefault="004C2D55" w:rsidP="004C2D55">
      <w:pPr>
        <w:widowControl w:val="0"/>
        <w:rPr>
          <w:sz w:val="20"/>
          <w:szCs w:val="20"/>
          <w:lang w:val="fr-CA"/>
        </w:rPr>
      </w:pPr>
      <w:r w:rsidRPr="00EB7BB6">
        <w:rPr>
          <w:b/>
          <w:sz w:val="20"/>
          <w:szCs w:val="20"/>
          <w:lang w:val="fr-CA"/>
        </w:rPr>
        <w:t xml:space="preserve">Bela Kosoian c. Société de transport de Montréal, et al. </w:t>
      </w:r>
      <w:r w:rsidRPr="00EB7BB6">
        <w:rPr>
          <w:sz w:val="20"/>
          <w:szCs w:val="20"/>
          <w:lang w:val="fr-CA"/>
        </w:rPr>
        <w:t xml:space="preserve">(Qc) (Civile) (Autorisation) </w:t>
      </w:r>
      <w:r w:rsidRPr="00EB7BB6">
        <w:rPr>
          <w:color w:val="333333"/>
          <w:sz w:val="20"/>
          <w:szCs w:val="20"/>
          <w:lang w:val="fr-CA"/>
        </w:rPr>
        <w:t>(</w:t>
      </w:r>
      <w:hyperlink r:id="rId91" w:history="1">
        <w:r w:rsidRPr="00EB7BB6">
          <w:rPr>
            <w:rStyle w:val="Hyperlink"/>
            <w:sz w:val="20"/>
            <w:szCs w:val="20"/>
            <w:lang w:val="fr-CA"/>
          </w:rPr>
          <w:t>38012</w:t>
        </w:r>
      </w:hyperlink>
      <w:r w:rsidRPr="00EB7BB6">
        <w:rPr>
          <w:color w:val="333333"/>
          <w:sz w:val="20"/>
          <w:szCs w:val="20"/>
          <w:lang w:val="fr-CA"/>
        </w:rPr>
        <w:t>)</w:t>
      </w:r>
    </w:p>
    <w:p w:rsidR="003D70D9" w:rsidRPr="00EB7BB6" w:rsidRDefault="003D70D9" w:rsidP="004C2D55">
      <w:pPr>
        <w:rPr>
          <w:color w:val="000000"/>
          <w:sz w:val="20"/>
          <w:szCs w:val="20"/>
          <w:lang w:val="fr-CA"/>
        </w:rPr>
      </w:pPr>
    </w:p>
    <w:p w:rsidR="00102792" w:rsidRPr="00EB7BB6" w:rsidRDefault="00102792" w:rsidP="00102792">
      <w:pPr>
        <w:ind w:left="1109" w:hanging="1109"/>
        <w:rPr>
          <w:color w:val="000000"/>
          <w:sz w:val="20"/>
          <w:szCs w:val="27"/>
          <w:lang w:val="fr-CA"/>
        </w:rPr>
      </w:pPr>
      <w:r w:rsidRPr="00EB7BB6">
        <w:rPr>
          <w:color w:val="000000"/>
          <w:sz w:val="20"/>
          <w:szCs w:val="27"/>
          <w:lang w:val="fr-CA"/>
        </w:rPr>
        <w:t>Coram:</w:t>
      </w:r>
      <w:r w:rsidR="00D82BFF" w:rsidRPr="00EB7BB6">
        <w:rPr>
          <w:sz w:val="20"/>
          <w:lang w:val="fr-CA"/>
        </w:rPr>
        <w:t xml:space="preserve"> </w:t>
      </w:r>
      <w:r w:rsidR="00D82BFF" w:rsidRPr="00EB7BB6">
        <w:rPr>
          <w:sz w:val="20"/>
          <w:lang w:val="fr-CA"/>
        </w:rPr>
        <w:tab/>
      </w:r>
      <w:r w:rsidR="004C2D55" w:rsidRPr="00EB7BB6">
        <w:rPr>
          <w:color w:val="000000"/>
          <w:sz w:val="20"/>
          <w:szCs w:val="27"/>
          <w:lang w:val="fr-CA"/>
        </w:rPr>
        <w:t>Le juge en chef Wagner et les juges Abella, Moldaver, Karakatsanis, Gascon, Côté, Brown, Rowe et Martin</w:t>
      </w:r>
    </w:p>
    <w:p w:rsidR="00102792" w:rsidRPr="00EB7BB6" w:rsidRDefault="00102792" w:rsidP="00102792">
      <w:pPr>
        <w:ind w:left="1109" w:hanging="1109"/>
        <w:rPr>
          <w:color w:val="000000"/>
          <w:sz w:val="20"/>
          <w:szCs w:val="20"/>
          <w:lang w:val="fr-CA"/>
        </w:rPr>
      </w:pPr>
    </w:p>
    <w:p w:rsidR="004C2D55" w:rsidRPr="00EB7BB6" w:rsidRDefault="004C2D55" w:rsidP="004C2D55">
      <w:pPr>
        <w:widowControl w:val="0"/>
        <w:ind w:left="1109" w:hanging="1109"/>
        <w:rPr>
          <w:b/>
          <w:sz w:val="20"/>
          <w:szCs w:val="20"/>
        </w:rPr>
      </w:pPr>
      <w:r w:rsidRPr="00EB7BB6">
        <w:rPr>
          <w:b/>
          <w:sz w:val="20"/>
          <w:szCs w:val="20"/>
        </w:rPr>
        <w:t>RESERVED / EN DÉLIBÉRÉ</w:t>
      </w:r>
    </w:p>
    <w:p w:rsidR="004C2D55" w:rsidRPr="00EB7BB6" w:rsidRDefault="004C2D55" w:rsidP="004C2D55">
      <w:pPr>
        <w:widowControl w:val="0"/>
        <w:tabs>
          <w:tab w:val="left" w:pos="720"/>
          <w:tab w:val="left" w:pos="1440"/>
          <w:tab w:val="left" w:pos="2851"/>
          <w:tab w:val="left" w:pos="4320"/>
          <w:tab w:val="left" w:pos="10224"/>
          <w:tab w:val="left" w:pos="11376"/>
        </w:tabs>
        <w:rPr>
          <w:sz w:val="20"/>
          <w:szCs w:val="20"/>
        </w:rPr>
      </w:pPr>
    </w:p>
    <w:p w:rsidR="00102792" w:rsidRPr="00EB7BB6" w:rsidRDefault="00EB7BB6" w:rsidP="00102792">
      <w:pPr>
        <w:widowControl w:val="0"/>
        <w:rPr>
          <w:sz w:val="20"/>
          <w:szCs w:val="20"/>
        </w:rPr>
      </w:pPr>
      <w:r w:rsidRPr="00EB7BB6">
        <w:rPr>
          <w:sz w:val="20"/>
          <w:szCs w:val="20"/>
          <w:lang w:val="fr-CA"/>
        </w:rPr>
        <w:pict>
          <v:rect id="_x0000_i1092" style="width:108pt;height:1pt" o:hrpct="0" o:hralign="center" o:hrstd="t" o:hrnoshade="t" o:hr="t" fillcolor="black [3213]" stroked="f"/>
        </w:pict>
      </w:r>
    </w:p>
    <w:p w:rsidR="00102792" w:rsidRPr="00EB7BB6" w:rsidRDefault="00102792" w:rsidP="00102792">
      <w:pPr>
        <w:widowControl w:val="0"/>
        <w:rPr>
          <w:sz w:val="20"/>
          <w:szCs w:val="20"/>
        </w:rPr>
      </w:pPr>
    </w:p>
    <w:p w:rsidR="003D70D9" w:rsidRPr="00EB7BB6" w:rsidRDefault="003D70D9" w:rsidP="003D70D9">
      <w:pPr>
        <w:rPr>
          <w:b/>
          <w:sz w:val="20"/>
          <w:szCs w:val="20"/>
          <w:lang w:val="fr-CA"/>
        </w:rPr>
      </w:pPr>
      <w:r w:rsidRPr="00EB7BB6">
        <w:rPr>
          <w:b/>
          <w:sz w:val="20"/>
          <w:szCs w:val="20"/>
          <w:lang w:val="fr-CA"/>
        </w:rPr>
        <w:t>APRIL 17, 2019 / LE 17 AVRIL 2019</w:t>
      </w:r>
    </w:p>
    <w:p w:rsidR="00A234E1" w:rsidRPr="00EB7BB6" w:rsidRDefault="00A234E1" w:rsidP="00A234E1">
      <w:pPr>
        <w:widowControl w:val="0"/>
        <w:rPr>
          <w:sz w:val="20"/>
          <w:szCs w:val="20"/>
          <w:lang w:val="fr-CA"/>
        </w:rPr>
      </w:pPr>
    </w:p>
    <w:p w:rsidR="003D70D9" w:rsidRPr="00EB7BB6" w:rsidRDefault="003D70D9" w:rsidP="003D70D9">
      <w:pPr>
        <w:widowControl w:val="0"/>
        <w:rPr>
          <w:sz w:val="20"/>
          <w:szCs w:val="20"/>
          <w:lang w:val="fr-CA"/>
        </w:rPr>
      </w:pPr>
      <w:r w:rsidRPr="00EB7BB6">
        <w:rPr>
          <w:b/>
          <w:sz w:val="20"/>
          <w:szCs w:val="20"/>
          <w:lang w:val="fr-CA"/>
        </w:rPr>
        <w:t xml:space="preserve">Sa Majesté la Reine c. Sivaloganathan Thanabalasingham </w:t>
      </w:r>
      <w:r w:rsidRPr="00EB7BB6">
        <w:rPr>
          <w:sz w:val="20"/>
          <w:szCs w:val="20"/>
          <w:lang w:val="fr-CA"/>
        </w:rPr>
        <w:t xml:space="preserve">(Qc) (Criminelle) (De plein droit) </w:t>
      </w:r>
      <w:r w:rsidRPr="00EB7BB6">
        <w:rPr>
          <w:color w:val="333333"/>
          <w:sz w:val="20"/>
          <w:szCs w:val="20"/>
          <w:lang w:val="fr-CA"/>
        </w:rPr>
        <w:t>(</w:t>
      </w:r>
      <w:hyperlink r:id="rId92" w:history="1">
        <w:r w:rsidRPr="00EB7BB6">
          <w:rPr>
            <w:rStyle w:val="Hyperlink"/>
            <w:sz w:val="20"/>
            <w:szCs w:val="20"/>
            <w:lang w:val="fr-CA"/>
          </w:rPr>
          <w:t>37984</w:t>
        </w:r>
      </w:hyperlink>
      <w:r w:rsidRPr="00EB7BB6">
        <w:rPr>
          <w:color w:val="333333"/>
          <w:sz w:val="20"/>
          <w:szCs w:val="20"/>
          <w:lang w:val="fr-CA"/>
        </w:rPr>
        <w:t>)</w:t>
      </w:r>
    </w:p>
    <w:p w:rsidR="00A234E1" w:rsidRPr="00EB7BB6" w:rsidRDefault="00A234E1" w:rsidP="00A234E1">
      <w:pPr>
        <w:widowControl w:val="0"/>
        <w:ind w:left="1109" w:hanging="1109"/>
        <w:rPr>
          <w:sz w:val="20"/>
          <w:lang w:val="fr-CA"/>
        </w:rPr>
      </w:pPr>
      <w:r w:rsidRPr="00EB7BB6">
        <w:rPr>
          <w:b/>
          <w:sz w:val="20"/>
          <w:lang w:val="fr-CA"/>
        </w:rPr>
        <w:t>201</w:t>
      </w:r>
      <w:r w:rsidR="003D70D9" w:rsidRPr="00EB7BB6">
        <w:rPr>
          <w:b/>
          <w:sz w:val="20"/>
          <w:lang w:val="fr-CA"/>
        </w:rPr>
        <w:t>9</w:t>
      </w:r>
      <w:r w:rsidRPr="00EB7BB6">
        <w:rPr>
          <w:b/>
          <w:sz w:val="20"/>
          <w:lang w:val="fr-CA"/>
        </w:rPr>
        <w:t xml:space="preserve"> SCC</w:t>
      </w:r>
      <w:r w:rsidR="00E41F5F" w:rsidRPr="00EB7BB6">
        <w:rPr>
          <w:b/>
          <w:sz w:val="20"/>
          <w:lang w:val="fr-CA"/>
        </w:rPr>
        <w:t xml:space="preserve"> 2</w:t>
      </w:r>
      <w:r w:rsidR="003D70D9" w:rsidRPr="00EB7BB6">
        <w:rPr>
          <w:b/>
          <w:sz w:val="20"/>
          <w:lang w:val="fr-CA"/>
        </w:rPr>
        <w:t>1</w:t>
      </w:r>
      <w:r w:rsidRPr="00EB7BB6">
        <w:rPr>
          <w:b/>
          <w:sz w:val="20"/>
          <w:lang w:val="fr-CA"/>
        </w:rPr>
        <w:t xml:space="preserve"> / 201</w:t>
      </w:r>
      <w:r w:rsidR="003D70D9" w:rsidRPr="00EB7BB6">
        <w:rPr>
          <w:b/>
          <w:sz w:val="20"/>
          <w:lang w:val="fr-CA"/>
        </w:rPr>
        <w:t>9</w:t>
      </w:r>
      <w:r w:rsidRPr="00EB7BB6">
        <w:rPr>
          <w:b/>
          <w:sz w:val="20"/>
          <w:lang w:val="fr-CA"/>
        </w:rPr>
        <w:t xml:space="preserve"> CSC </w:t>
      </w:r>
      <w:r w:rsidR="00DA5B84" w:rsidRPr="00EB7BB6">
        <w:rPr>
          <w:b/>
          <w:sz w:val="20"/>
          <w:lang w:val="fr-CA"/>
        </w:rPr>
        <w:t>21</w:t>
      </w:r>
    </w:p>
    <w:p w:rsidR="00A234E1" w:rsidRPr="00EB7BB6" w:rsidRDefault="00A234E1" w:rsidP="00A234E1">
      <w:pPr>
        <w:widowControl w:val="0"/>
        <w:ind w:left="1109" w:hanging="1109"/>
        <w:rPr>
          <w:sz w:val="20"/>
          <w:lang w:val="fr-CA"/>
        </w:rPr>
      </w:pPr>
    </w:p>
    <w:p w:rsidR="00A234E1" w:rsidRPr="00EB7BB6" w:rsidRDefault="00A234E1" w:rsidP="00A234E1">
      <w:pPr>
        <w:widowControl w:val="0"/>
        <w:ind w:left="1109" w:hanging="1109"/>
        <w:rPr>
          <w:sz w:val="20"/>
          <w:lang w:val="fr-CA"/>
        </w:rPr>
      </w:pPr>
      <w:r w:rsidRPr="00EB7BB6">
        <w:rPr>
          <w:sz w:val="20"/>
          <w:lang w:val="fr-CA"/>
        </w:rPr>
        <w:t xml:space="preserve">Coram: </w:t>
      </w:r>
      <w:r w:rsidRPr="00EB7BB6">
        <w:rPr>
          <w:sz w:val="20"/>
          <w:lang w:val="fr-CA"/>
        </w:rPr>
        <w:tab/>
      </w:r>
      <w:r w:rsidR="003D70D9" w:rsidRPr="00EB7BB6">
        <w:rPr>
          <w:sz w:val="20"/>
          <w:lang w:val="fr-CA"/>
        </w:rPr>
        <w:t>Le juge en chef Wagner et les juges Abella, Moldaver, Karakatsanis, Gascon, Côté, Brown, Rowe et Martin</w:t>
      </w:r>
    </w:p>
    <w:p w:rsidR="00A234E1" w:rsidRPr="00EB7BB6" w:rsidRDefault="00A234E1" w:rsidP="00A234E1">
      <w:pPr>
        <w:widowControl w:val="0"/>
        <w:ind w:left="1109" w:hanging="1109"/>
        <w:rPr>
          <w:sz w:val="20"/>
          <w:lang w:val="fr-CA"/>
        </w:rPr>
      </w:pPr>
    </w:p>
    <w:p w:rsidR="003D70D9" w:rsidRPr="00EB7BB6" w:rsidRDefault="003D70D9" w:rsidP="003D70D9">
      <w:pPr>
        <w:widowControl w:val="0"/>
        <w:tabs>
          <w:tab w:val="left" w:pos="720"/>
          <w:tab w:val="left" w:pos="1440"/>
          <w:tab w:val="left" w:pos="2851"/>
          <w:tab w:val="left" w:pos="4320"/>
          <w:tab w:val="left" w:pos="10224"/>
          <w:tab w:val="left" w:pos="11376"/>
        </w:tabs>
        <w:rPr>
          <w:sz w:val="20"/>
          <w:szCs w:val="20"/>
        </w:rPr>
      </w:pPr>
      <w:r w:rsidRPr="00EB7BB6">
        <w:rPr>
          <w:b/>
          <w:sz w:val="20"/>
          <w:szCs w:val="20"/>
        </w:rPr>
        <w:t>ALLOWED / ACCUEILLI</w:t>
      </w:r>
    </w:p>
    <w:p w:rsidR="00A234E1" w:rsidRPr="00EB7BB6" w:rsidRDefault="00A234E1" w:rsidP="00102792">
      <w:pPr>
        <w:rPr>
          <w:color w:val="000000"/>
          <w:sz w:val="20"/>
          <w:szCs w:val="20"/>
          <w:lang w:val="fr-CA"/>
        </w:rPr>
      </w:pPr>
    </w:p>
    <w:p w:rsidR="003D70D9" w:rsidRPr="00EB7BB6" w:rsidRDefault="00EB7BB6" w:rsidP="00102792">
      <w:pPr>
        <w:rPr>
          <w:color w:val="000000"/>
          <w:sz w:val="20"/>
          <w:szCs w:val="20"/>
          <w:lang w:val="fr-CA"/>
        </w:rPr>
      </w:pPr>
      <w:r w:rsidRPr="00EB7BB6">
        <w:rPr>
          <w:sz w:val="20"/>
          <w:szCs w:val="20"/>
          <w:lang w:val="fr-CA"/>
        </w:rPr>
        <w:pict>
          <v:rect id="_x0000_i1093" style="width:108pt;height:1pt" o:hrpct="0" o:hralign="center" o:hrstd="t" o:hrnoshade="t" o:hr="t" fillcolor="black [3213]" stroked="f"/>
        </w:pict>
      </w:r>
    </w:p>
    <w:p w:rsidR="003D70D9" w:rsidRPr="00EB7BB6" w:rsidRDefault="003D70D9" w:rsidP="00102792">
      <w:pPr>
        <w:rPr>
          <w:color w:val="000000"/>
          <w:sz w:val="20"/>
          <w:szCs w:val="20"/>
          <w:lang w:val="fr-CA"/>
        </w:rPr>
      </w:pPr>
    </w:p>
    <w:p w:rsidR="003D70D9" w:rsidRPr="00EB7BB6" w:rsidRDefault="003D70D9" w:rsidP="003D70D9">
      <w:pPr>
        <w:rPr>
          <w:b/>
          <w:sz w:val="20"/>
          <w:szCs w:val="20"/>
          <w:lang w:val="en-US"/>
        </w:rPr>
      </w:pPr>
      <w:r w:rsidRPr="00EB7BB6">
        <w:rPr>
          <w:b/>
          <w:sz w:val="20"/>
          <w:szCs w:val="20"/>
          <w:lang w:val="en-US"/>
        </w:rPr>
        <w:t>APRIL 18, 2019 / LE 18 AVRIL 2019</w:t>
      </w:r>
    </w:p>
    <w:p w:rsidR="003D70D9" w:rsidRPr="00EB7BB6" w:rsidRDefault="003D70D9" w:rsidP="00102792">
      <w:pPr>
        <w:rPr>
          <w:color w:val="000000"/>
          <w:sz w:val="20"/>
          <w:szCs w:val="20"/>
          <w:lang w:val="en-US"/>
        </w:rPr>
      </w:pPr>
    </w:p>
    <w:p w:rsidR="004A7888" w:rsidRPr="00EB7BB6" w:rsidRDefault="004A7888" w:rsidP="004A7888">
      <w:pPr>
        <w:widowControl w:val="0"/>
        <w:rPr>
          <w:sz w:val="20"/>
          <w:szCs w:val="20"/>
          <w:lang w:val="en-US"/>
        </w:rPr>
      </w:pPr>
      <w:r w:rsidRPr="00EB7BB6">
        <w:rPr>
          <w:b/>
          <w:sz w:val="20"/>
          <w:szCs w:val="20"/>
        </w:rPr>
        <w:t xml:space="preserve">Her Majesty the Queen v. J.M. </w:t>
      </w:r>
      <w:r w:rsidRPr="00EB7BB6">
        <w:rPr>
          <w:sz w:val="20"/>
          <w:szCs w:val="20"/>
        </w:rPr>
        <w:t xml:space="preserve">(Ont.) </w:t>
      </w:r>
      <w:r w:rsidRPr="00EB7BB6">
        <w:rPr>
          <w:sz w:val="20"/>
          <w:szCs w:val="20"/>
          <w:lang w:val="en-US"/>
        </w:rPr>
        <w:t xml:space="preserve">(Criminal) (As of Right) </w:t>
      </w:r>
      <w:r w:rsidRPr="00EB7BB6">
        <w:rPr>
          <w:color w:val="333333"/>
          <w:sz w:val="20"/>
          <w:szCs w:val="20"/>
          <w:lang w:val="en-US"/>
        </w:rPr>
        <w:t>(</w:t>
      </w:r>
      <w:hyperlink r:id="rId93" w:history="1">
        <w:r w:rsidRPr="00EB7BB6">
          <w:rPr>
            <w:rStyle w:val="Hyperlink"/>
            <w:sz w:val="20"/>
            <w:szCs w:val="20"/>
            <w:lang w:val="en-US"/>
          </w:rPr>
          <w:t>38483</w:t>
        </w:r>
      </w:hyperlink>
      <w:r w:rsidRPr="00EB7BB6">
        <w:rPr>
          <w:color w:val="333333"/>
          <w:sz w:val="20"/>
          <w:szCs w:val="20"/>
          <w:lang w:val="en-US"/>
        </w:rPr>
        <w:t>)</w:t>
      </w:r>
    </w:p>
    <w:p w:rsidR="00943F7C" w:rsidRPr="00EB7BB6" w:rsidRDefault="00943F7C" w:rsidP="00943F7C">
      <w:pPr>
        <w:widowControl w:val="0"/>
        <w:ind w:left="1109" w:hanging="1109"/>
        <w:rPr>
          <w:sz w:val="20"/>
        </w:rPr>
      </w:pPr>
      <w:r w:rsidRPr="00EB7BB6">
        <w:rPr>
          <w:b/>
          <w:sz w:val="20"/>
        </w:rPr>
        <w:t xml:space="preserve">2019 SCC </w:t>
      </w:r>
      <w:r w:rsidR="00E41F5F" w:rsidRPr="00EB7BB6">
        <w:rPr>
          <w:b/>
          <w:sz w:val="20"/>
        </w:rPr>
        <w:t>2</w:t>
      </w:r>
      <w:r w:rsidR="00193512" w:rsidRPr="00EB7BB6">
        <w:rPr>
          <w:b/>
          <w:sz w:val="20"/>
        </w:rPr>
        <w:t>4</w:t>
      </w:r>
      <w:r w:rsidRPr="00EB7BB6">
        <w:rPr>
          <w:b/>
          <w:sz w:val="20"/>
        </w:rPr>
        <w:t xml:space="preserve"> / 2019 CSC 2</w:t>
      </w:r>
      <w:r w:rsidR="00193512" w:rsidRPr="00EB7BB6">
        <w:rPr>
          <w:b/>
          <w:sz w:val="20"/>
        </w:rPr>
        <w:t>4</w:t>
      </w:r>
    </w:p>
    <w:p w:rsidR="00DC59C0" w:rsidRPr="00EB7BB6" w:rsidRDefault="00DC59C0" w:rsidP="00102792">
      <w:pPr>
        <w:rPr>
          <w:color w:val="000000"/>
          <w:sz w:val="20"/>
          <w:szCs w:val="20"/>
        </w:rPr>
      </w:pPr>
    </w:p>
    <w:p w:rsidR="00DC59C0" w:rsidRPr="00EB7BB6" w:rsidRDefault="00DC59C0" w:rsidP="00DC59C0">
      <w:pPr>
        <w:widowControl w:val="0"/>
        <w:ind w:left="1109" w:hanging="1109"/>
        <w:rPr>
          <w:sz w:val="20"/>
          <w:lang w:val="en-US"/>
        </w:rPr>
      </w:pPr>
      <w:r w:rsidRPr="00EB7BB6">
        <w:rPr>
          <w:sz w:val="20"/>
          <w:lang w:val="en-US"/>
        </w:rPr>
        <w:lastRenderedPageBreak/>
        <w:t xml:space="preserve">Coram: </w:t>
      </w:r>
      <w:r w:rsidRPr="00EB7BB6">
        <w:rPr>
          <w:sz w:val="20"/>
          <w:lang w:val="en-US"/>
        </w:rPr>
        <w:tab/>
      </w:r>
      <w:r w:rsidR="00943F7C" w:rsidRPr="00EB7BB6">
        <w:rPr>
          <w:sz w:val="20"/>
          <w:lang w:val="en-US"/>
        </w:rPr>
        <w:t>Abella, Karakatsanis, Côté, Rowe and Martin JJ.</w:t>
      </w:r>
    </w:p>
    <w:p w:rsidR="003D70D9" w:rsidRPr="00EB7BB6" w:rsidRDefault="003D70D9" w:rsidP="00102792">
      <w:pPr>
        <w:rPr>
          <w:color w:val="000000"/>
          <w:sz w:val="20"/>
          <w:szCs w:val="20"/>
          <w:lang w:val="en-US"/>
        </w:rPr>
      </w:pPr>
    </w:p>
    <w:p w:rsidR="00943F7C" w:rsidRPr="00EB7BB6" w:rsidRDefault="00943F7C" w:rsidP="00943F7C">
      <w:pPr>
        <w:widowControl w:val="0"/>
        <w:tabs>
          <w:tab w:val="left" w:pos="720"/>
          <w:tab w:val="left" w:pos="1440"/>
          <w:tab w:val="left" w:pos="2851"/>
          <w:tab w:val="left" w:pos="4320"/>
          <w:tab w:val="left" w:pos="10224"/>
          <w:tab w:val="left" w:pos="11376"/>
        </w:tabs>
        <w:rPr>
          <w:sz w:val="20"/>
          <w:szCs w:val="20"/>
          <w:lang w:val="fr-CA"/>
        </w:rPr>
      </w:pPr>
      <w:r w:rsidRPr="00EB7BB6">
        <w:rPr>
          <w:b/>
          <w:sz w:val="20"/>
          <w:szCs w:val="20"/>
          <w:lang w:val="fr-CA"/>
        </w:rPr>
        <w:t>ALLOWED</w:t>
      </w:r>
      <w:r w:rsidR="00B44797" w:rsidRPr="00EB7BB6">
        <w:rPr>
          <w:b/>
          <w:sz w:val="20"/>
          <w:szCs w:val="20"/>
          <w:lang w:val="fr-CA"/>
        </w:rPr>
        <w:t>, Abella and Karakatsanis JJ. dissenting</w:t>
      </w:r>
      <w:r w:rsidRPr="00EB7BB6">
        <w:rPr>
          <w:b/>
          <w:sz w:val="20"/>
          <w:szCs w:val="20"/>
          <w:lang w:val="fr-CA"/>
        </w:rPr>
        <w:t xml:space="preserve"> / ACCUEILLI</w:t>
      </w:r>
      <w:r w:rsidR="00B44797" w:rsidRPr="00EB7BB6">
        <w:rPr>
          <w:b/>
          <w:sz w:val="20"/>
          <w:szCs w:val="20"/>
          <w:lang w:val="fr-CA"/>
        </w:rPr>
        <w:t>, les juges Abella et Karakatsanis sont dissidentes</w:t>
      </w:r>
    </w:p>
    <w:p w:rsidR="003D70D9" w:rsidRPr="00EB7BB6" w:rsidRDefault="003D70D9" w:rsidP="00102792">
      <w:pPr>
        <w:rPr>
          <w:color w:val="000000"/>
          <w:sz w:val="20"/>
          <w:szCs w:val="20"/>
          <w:lang w:val="fr-CA"/>
        </w:rPr>
      </w:pPr>
    </w:p>
    <w:p w:rsidR="00D004FC" w:rsidRPr="00EB7BB6" w:rsidRDefault="00EB7BB6" w:rsidP="00102792">
      <w:pPr>
        <w:rPr>
          <w:sz w:val="20"/>
          <w:szCs w:val="20"/>
          <w:lang w:val="en-US"/>
        </w:rPr>
      </w:pPr>
      <w:r w:rsidRPr="00EB7BB6">
        <w:rPr>
          <w:sz w:val="20"/>
          <w:szCs w:val="20"/>
          <w:lang w:val="fr-CA"/>
        </w:rPr>
        <w:pict>
          <v:rect id="_x0000_i1094" style="width:108pt;height:1pt" o:hrpct="0" o:hralign="center" o:hrstd="t" o:hrnoshade="t" o:hr="t" fillcolor="black [3213]" stroked="f"/>
        </w:pict>
      </w:r>
    </w:p>
    <w:p w:rsidR="0056248C" w:rsidRPr="00EB7BB6" w:rsidRDefault="0056248C" w:rsidP="00732DB7">
      <w:pPr>
        <w:widowControl w:val="0"/>
        <w:rPr>
          <w:sz w:val="20"/>
          <w:szCs w:val="20"/>
          <w:lang w:val="en-US"/>
        </w:rPr>
      </w:pPr>
    </w:p>
    <w:p w:rsidR="00943F7C" w:rsidRPr="00EB7BB6" w:rsidRDefault="00943F7C" w:rsidP="00732DB7">
      <w:pPr>
        <w:widowControl w:val="0"/>
        <w:rPr>
          <w:sz w:val="20"/>
          <w:szCs w:val="20"/>
          <w:lang w:val="en-US"/>
        </w:rPr>
      </w:pPr>
    </w:p>
    <w:p w:rsidR="00943F7C" w:rsidRPr="00EB7BB6" w:rsidRDefault="00943F7C" w:rsidP="00732DB7">
      <w:pPr>
        <w:widowControl w:val="0"/>
        <w:rPr>
          <w:sz w:val="20"/>
          <w:szCs w:val="20"/>
          <w:lang w:val="en-US"/>
        </w:rPr>
      </w:pPr>
    </w:p>
    <w:p w:rsidR="00732DB7" w:rsidRPr="00EB7BB6" w:rsidRDefault="00732DB7" w:rsidP="00732DB7">
      <w:pPr>
        <w:widowControl w:val="0"/>
        <w:rPr>
          <w:sz w:val="20"/>
          <w:szCs w:val="20"/>
          <w:lang w:val="en-US"/>
        </w:rPr>
      </w:pPr>
    </w:p>
    <w:p w:rsidR="00732DB7" w:rsidRPr="00EB7BB6" w:rsidRDefault="00732DB7" w:rsidP="00732DB7">
      <w:pPr>
        <w:widowControl w:val="0"/>
        <w:rPr>
          <w:sz w:val="20"/>
          <w:szCs w:val="20"/>
          <w:lang w:val="en-US"/>
        </w:rPr>
        <w:sectPr w:rsidR="00732DB7" w:rsidRPr="00EB7BB6" w:rsidSect="00732DB7">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720" w:footer="960" w:gutter="0"/>
          <w:cols w:space="720"/>
          <w:titlePg/>
          <w:docGrid w:linePitch="326"/>
        </w:sectPr>
      </w:pPr>
    </w:p>
    <w:p w:rsidR="00567602" w:rsidRPr="00EB7BB6" w:rsidRDefault="001434B9" w:rsidP="00567602">
      <w:pPr>
        <w:pStyle w:val="Header1StyleE"/>
        <w:pBdr>
          <w:bottom w:val="single" w:sz="12" w:space="1" w:color="auto"/>
        </w:pBdr>
        <w:rPr>
          <w:lang w:val="fr-CA"/>
        </w:rPr>
      </w:pPr>
      <w:bookmarkStart w:id="10" w:name="_Toc6468307"/>
      <w:r w:rsidRPr="00EB7BB6">
        <w:rPr>
          <w:lang w:val="fr-CA"/>
        </w:rPr>
        <w:lastRenderedPageBreak/>
        <w:t>Pronouncements of reserved</w:t>
      </w:r>
      <w:r w:rsidR="00271E1E" w:rsidRPr="00EB7BB6">
        <w:rPr>
          <w:lang w:val="fr-CA"/>
        </w:rPr>
        <w:t xml:space="preserve"> appeals / </w:t>
      </w:r>
      <w:r w:rsidR="00567602" w:rsidRPr="00EB7BB6">
        <w:rPr>
          <w:lang w:val="fr-CA"/>
        </w:rPr>
        <w:br/>
      </w:r>
      <w:r w:rsidRPr="00EB7BB6">
        <w:rPr>
          <w:lang w:val="fr-CA"/>
        </w:rPr>
        <w:t>Jugements rendus sur les appels en délibéré</w:t>
      </w:r>
      <w:bookmarkEnd w:id="10"/>
    </w:p>
    <w:p w:rsidR="00567602" w:rsidRPr="00EB7BB6" w:rsidRDefault="00567602" w:rsidP="00FF6EEC">
      <w:pPr>
        <w:rPr>
          <w:b/>
          <w:sz w:val="20"/>
          <w:szCs w:val="20"/>
          <w:lang w:val="fr-CA"/>
        </w:rPr>
      </w:pPr>
    </w:p>
    <w:p w:rsidR="00FF6EEC" w:rsidRPr="00EB7BB6" w:rsidRDefault="00FF6EEC" w:rsidP="00FF6EEC">
      <w:pPr>
        <w:rPr>
          <w:b/>
          <w:sz w:val="20"/>
          <w:szCs w:val="20"/>
          <w:lang w:val="fr-CA"/>
        </w:rPr>
      </w:pPr>
    </w:p>
    <w:p w:rsidR="00102792" w:rsidRPr="00EB7BB6" w:rsidRDefault="007A33E7" w:rsidP="00102792">
      <w:pPr>
        <w:rPr>
          <w:b/>
          <w:sz w:val="20"/>
          <w:szCs w:val="20"/>
          <w:lang w:val="en-US"/>
        </w:rPr>
      </w:pPr>
      <w:r w:rsidRPr="00EB7BB6">
        <w:rPr>
          <w:b/>
          <w:sz w:val="20"/>
          <w:szCs w:val="20"/>
          <w:lang w:val="en-US"/>
        </w:rPr>
        <w:t>APRIL</w:t>
      </w:r>
      <w:r w:rsidR="00102792" w:rsidRPr="00EB7BB6">
        <w:rPr>
          <w:b/>
          <w:sz w:val="20"/>
          <w:szCs w:val="20"/>
          <w:lang w:val="en-US"/>
        </w:rPr>
        <w:t xml:space="preserve"> 1</w:t>
      </w:r>
      <w:r w:rsidRPr="00EB7BB6">
        <w:rPr>
          <w:b/>
          <w:sz w:val="20"/>
          <w:szCs w:val="20"/>
          <w:lang w:val="en-US"/>
        </w:rPr>
        <w:t>8</w:t>
      </w:r>
      <w:r w:rsidR="00102792" w:rsidRPr="00EB7BB6">
        <w:rPr>
          <w:b/>
          <w:sz w:val="20"/>
          <w:szCs w:val="20"/>
          <w:lang w:val="en-US"/>
        </w:rPr>
        <w:t xml:space="preserve">, </w:t>
      </w:r>
      <w:r w:rsidR="0034657E" w:rsidRPr="00EB7BB6">
        <w:rPr>
          <w:b/>
          <w:sz w:val="20"/>
          <w:szCs w:val="20"/>
          <w:lang w:val="en-US"/>
        </w:rPr>
        <w:t>2019</w:t>
      </w:r>
      <w:r w:rsidR="00102792" w:rsidRPr="00EB7BB6">
        <w:rPr>
          <w:b/>
          <w:sz w:val="20"/>
          <w:szCs w:val="20"/>
          <w:lang w:val="en-US"/>
        </w:rPr>
        <w:t xml:space="preserve"> / LE 1</w:t>
      </w:r>
      <w:r w:rsidRPr="00EB7BB6">
        <w:rPr>
          <w:b/>
          <w:sz w:val="20"/>
          <w:szCs w:val="20"/>
          <w:lang w:val="en-US"/>
        </w:rPr>
        <w:t>8</w:t>
      </w:r>
      <w:r w:rsidR="00102792" w:rsidRPr="00EB7BB6">
        <w:rPr>
          <w:b/>
          <w:sz w:val="20"/>
          <w:szCs w:val="20"/>
          <w:lang w:val="en-US"/>
        </w:rPr>
        <w:t xml:space="preserve"> </w:t>
      </w:r>
      <w:r w:rsidRPr="00EB7BB6">
        <w:rPr>
          <w:b/>
          <w:sz w:val="20"/>
          <w:szCs w:val="20"/>
          <w:lang w:val="en-US"/>
        </w:rPr>
        <w:t>AVRIL</w:t>
      </w:r>
      <w:r w:rsidR="00102792" w:rsidRPr="00EB7BB6">
        <w:rPr>
          <w:b/>
          <w:sz w:val="20"/>
          <w:szCs w:val="20"/>
          <w:lang w:val="en-US"/>
        </w:rPr>
        <w:t xml:space="preserve"> </w:t>
      </w:r>
      <w:r w:rsidR="0034657E" w:rsidRPr="00EB7BB6">
        <w:rPr>
          <w:b/>
          <w:sz w:val="20"/>
          <w:szCs w:val="20"/>
          <w:lang w:val="en-US"/>
        </w:rPr>
        <w:t>2019</w:t>
      </w:r>
    </w:p>
    <w:p w:rsidR="00102792" w:rsidRPr="00EB7BB6" w:rsidRDefault="00102792" w:rsidP="000F5C92">
      <w:pPr>
        <w:tabs>
          <w:tab w:val="left" w:pos="1134"/>
        </w:tabs>
        <w:rPr>
          <w:sz w:val="20"/>
          <w:szCs w:val="20"/>
          <w:lang w:val="en-US"/>
        </w:rPr>
      </w:pPr>
    </w:p>
    <w:p w:rsidR="00102792" w:rsidRPr="00EB7BB6" w:rsidRDefault="00102792" w:rsidP="000F5C92">
      <w:pPr>
        <w:tabs>
          <w:tab w:val="left" w:pos="1134"/>
        </w:tabs>
        <w:ind w:left="1134" w:hanging="1134"/>
        <w:jc w:val="both"/>
        <w:rPr>
          <w:rFonts w:eastAsia="Times New Roman" w:cs="Times New Roman"/>
          <w:color w:val="000000"/>
          <w:sz w:val="20"/>
          <w:szCs w:val="20"/>
          <w:lang w:val="en-US"/>
        </w:rPr>
      </w:pPr>
      <w:r w:rsidRPr="00EB7BB6">
        <w:rPr>
          <w:rFonts w:eastAsia="Times New Roman" w:cs="Times New Roman"/>
          <w:b/>
          <w:bCs/>
          <w:color w:val="000000"/>
          <w:sz w:val="20"/>
          <w:szCs w:val="20"/>
          <w:lang w:val="en-US"/>
        </w:rPr>
        <w:t>37</w:t>
      </w:r>
      <w:r w:rsidR="007A33E7" w:rsidRPr="00EB7BB6">
        <w:rPr>
          <w:rFonts w:eastAsia="Times New Roman" w:cs="Times New Roman"/>
          <w:b/>
          <w:bCs/>
          <w:color w:val="000000"/>
          <w:sz w:val="20"/>
          <w:szCs w:val="20"/>
          <w:lang w:val="en-US"/>
        </w:rPr>
        <w:t>518</w:t>
      </w:r>
      <w:r w:rsidR="000F5C92" w:rsidRPr="00EB7BB6">
        <w:rPr>
          <w:rFonts w:eastAsia="Times New Roman" w:cs="Times New Roman"/>
          <w:b/>
          <w:bCs/>
          <w:color w:val="000000"/>
          <w:sz w:val="20"/>
          <w:szCs w:val="20"/>
          <w:lang w:val="en-US"/>
        </w:rPr>
        <w:tab/>
      </w:r>
      <w:r w:rsidR="003538E6" w:rsidRPr="00EB7BB6">
        <w:rPr>
          <w:rFonts w:eastAsia="Times New Roman" w:cs="Times New Roman"/>
          <w:b/>
          <w:bCs/>
          <w:color w:val="000000"/>
          <w:sz w:val="20"/>
          <w:szCs w:val="20"/>
          <w:lang w:val="en-US"/>
        </w:rPr>
        <w:t xml:space="preserve">Sean Patrick Mills </w:t>
      </w:r>
      <w:r w:rsidRPr="00EB7BB6">
        <w:rPr>
          <w:rFonts w:eastAsia="Times New Roman" w:cs="Times New Roman"/>
          <w:b/>
          <w:bCs/>
          <w:color w:val="000000"/>
          <w:sz w:val="20"/>
          <w:szCs w:val="20"/>
          <w:lang w:val="en-US"/>
        </w:rPr>
        <w:t xml:space="preserve">v. </w:t>
      </w:r>
      <w:r w:rsidR="003538E6" w:rsidRPr="00EB7BB6">
        <w:rPr>
          <w:rFonts w:eastAsia="Times New Roman" w:cs="Times New Roman"/>
          <w:b/>
          <w:bCs/>
          <w:color w:val="000000"/>
          <w:sz w:val="20"/>
          <w:szCs w:val="20"/>
          <w:lang w:val="en-US"/>
        </w:rPr>
        <w:t>Her Majesty The Queen</w:t>
      </w:r>
      <w:r w:rsidRPr="00EB7BB6">
        <w:rPr>
          <w:rFonts w:eastAsia="Times New Roman" w:cs="Times New Roman"/>
          <w:b/>
          <w:bCs/>
          <w:color w:val="000000"/>
          <w:sz w:val="20"/>
          <w:szCs w:val="20"/>
          <w:lang w:val="en-US"/>
        </w:rPr>
        <w:t xml:space="preserve"> </w:t>
      </w:r>
      <w:r w:rsidR="003538E6" w:rsidRPr="00EB7BB6">
        <w:rPr>
          <w:rFonts w:eastAsia="Times New Roman" w:cs="Times New Roman"/>
          <w:b/>
          <w:bCs/>
          <w:color w:val="000000"/>
          <w:sz w:val="20"/>
          <w:szCs w:val="20"/>
          <w:lang w:val="en-US"/>
        </w:rPr>
        <w:t>-</w:t>
      </w:r>
      <w:r w:rsidRPr="00EB7BB6">
        <w:rPr>
          <w:rFonts w:eastAsia="Times New Roman" w:cs="Times New Roman"/>
          <w:b/>
          <w:bCs/>
          <w:color w:val="000000"/>
          <w:sz w:val="20"/>
          <w:szCs w:val="20"/>
          <w:lang w:val="en-US"/>
        </w:rPr>
        <w:t xml:space="preserve"> and - </w:t>
      </w:r>
      <w:r w:rsidR="00004454" w:rsidRPr="00EB7BB6">
        <w:rPr>
          <w:rFonts w:eastAsia="Times New Roman" w:cs="Times New Roman"/>
          <w:b/>
          <w:bCs/>
          <w:color w:val="000000"/>
          <w:sz w:val="20"/>
          <w:szCs w:val="20"/>
          <w:lang w:val="en-US"/>
        </w:rPr>
        <w:t>Director of Public Prosecutions, Attorney General of Ontario, Director of Criminal and Penal Prosecutions, Attorney General of British Columbia, Attorney General of Alberta, Samuelson-Glushko Canadian Internet Policy and Public Interest Clinic, Canadian Civil Liberties Association, Criminal Lawyers’ Association and Canadian Association of Chiefs of Police</w:t>
      </w:r>
      <w:r w:rsidR="003538E6" w:rsidRPr="00EB7BB6">
        <w:rPr>
          <w:rFonts w:eastAsia="Times New Roman" w:cs="Times New Roman"/>
          <w:b/>
          <w:bCs/>
          <w:color w:val="000000"/>
          <w:sz w:val="20"/>
          <w:szCs w:val="20"/>
          <w:lang w:val="en-US"/>
        </w:rPr>
        <w:t xml:space="preserve"> </w:t>
      </w:r>
      <w:r w:rsidRPr="00EB7BB6">
        <w:rPr>
          <w:rFonts w:eastAsia="Times New Roman" w:cs="Times New Roman"/>
          <w:color w:val="000000"/>
          <w:sz w:val="20"/>
          <w:szCs w:val="20"/>
          <w:lang w:val="en-US"/>
        </w:rPr>
        <w:t>(</w:t>
      </w:r>
      <w:r w:rsidR="007E0337" w:rsidRPr="00EB7BB6">
        <w:rPr>
          <w:rFonts w:eastAsia="Times New Roman" w:cs="Times New Roman"/>
          <w:color w:val="000000"/>
          <w:sz w:val="20"/>
          <w:szCs w:val="20"/>
          <w:lang w:val="en-US"/>
        </w:rPr>
        <w:t>N</w:t>
      </w:r>
      <w:r w:rsidRPr="00EB7BB6">
        <w:rPr>
          <w:rFonts w:eastAsia="Times New Roman" w:cs="Times New Roman"/>
          <w:color w:val="000000"/>
          <w:sz w:val="20"/>
          <w:szCs w:val="20"/>
          <w:lang w:val="en-US"/>
        </w:rPr>
        <w:t>.</w:t>
      </w:r>
      <w:r w:rsidR="007E0337" w:rsidRPr="00EB7BB6">
        <w:rPr>
          <w:rFonts w:eastAsia="Times New Roman" w:cs="Times New Roman"/>
          <w:color w:val="000000"/>
          <w:sz w:val="20"/>
          <w:szCs w:val="20"/>
          <w:lang w:val="en-US"/>
        </w:rPr>
        <w:t>L</w:t>
      </w:r>
      <w:r w:rsidRPr="00EB7BB6">
        <w:rPr>
          <w:rFonts w:eastAsia="Times New Roman" w:cs="Times New Roman"/>
          <w:color w:val="000000"/>
          <w:sz w:val="20"/>
          <w:szCs w:val="20"/>
          <w:lang w:val="en-US"/>
        </w:rPr>
        <w:t>.)</w:t>
      </w:r>
    </w:p>
    <w:p w:rsidR="00102792" w:rsidRPr="00EB7BB6" w:rsidRDefault="00102792" w:rsidP="000F5C92">
      <w:pPr>
        <w:ind w:left="1440" w:hanging="306"/>
        <w:jc w:val="both"/>
        <w:rPr>
          <w:rFonts w:eastAsia="Times New Roman" w:cs="Times New Roman"/>
          <w:color w:val="000000"/>
          <w:sz w:val="20"/>
          <w:szCs w:val="20"/>
          <w:lang w:val="en-US"/>
        </w:rPr>
      </w:pPr>
      <w:r w:rsidRPr="00EB7BB6">
        <w:rPr>
          <w:rFonts w:eastAsia="Times New Roman" w:cs="Times New Roman"/>
          <w:b/>
          <w:bCs/>
          <w:color w:val="000000"/>
          <w:sz w:val="20"/>
          <w:szCs w:val="20"/>
          <w:lang w:val="en-US"/>
        </w:rPr>
        <w:t>201</w:t>
      </w:r>
      <w:r w:rsidR="007A33E7" w:rsidRPr="00EB7BB6">
        <w:rPr>
          <w:rFonts w:eastAsia="Times New Roman" w:cs="Times New Roman"/>
          <w:b/>
          <w:bCs/>
          <w:color w:val="000000"/>
          <w:sz w:val="20"/>
          <w:szCs w:val="20"/>
          <w:lang w:val="en-US"/>
        </w:rPr>
        <w:t>9</w:t>
      </w:r>
      <w:r w:rsidRPr="00EB7BB6">
        <w:rPr>
          <w:rFonts w:eastAsia="Times New Roman" w:cs="Times New Roman"/>
          <w:b/>
          <w:bCs/>
          <w:color w:val="000000"/>
          <w:sz w:val="20"/>
          <w:szCs w:val="20"/>
          <w:lang w:val="en-US"/>
        </w:rPr>
        <w:t xml:space="preserve"> SCC </w:t>
      </w:r>
      <w:r w:rsidR="007A33E7" w:rsidRPr="00EB7BB6">
        <w:rPr>
          <w:rFonts w:eastAsia="Times New Roman" w:cs="Times New Roman"/>
          <w:b/>
          <w:bCs/>
          <w:color w:val="000000"/>
          <w:sz w:val="20"/>
          <w:szCs w:val="20"/>
          <w:lang w:val="en-US"/>
        </w:rPr>
        <w:t>2</w:t>
      </w:r>
      <w:r w:rsidR="006849D7" w:rsidRPr="00EB7BB6">
        <w:rPr>
          <w:rFonts w:eastAsia="Times New Roman" w:cs="Times New Roman"/>
          <w:b/>
          <w:bCs/>
          <w:color w:val="000000"/>
          <w:sz w:val="20"/>
          <w:szCs w:val="20"/>
          <w:lang w:val="en-US"/>
        </w:rPr>
        <w:t>2</w:t>
      </w:r>
      <w:r w:rsidRPr="00EB7BB6">
        <w:rPr>
          <w:rFonts w:eastAsia="Times New Roman" w:cs="Times New Roman"/>
          <w:b/>
          <w:bCs/>
          <w:color w:val="000000"/>
          <w:sz w:val="20"/>
          <w:szCs w:val="20"/>
          <w:lang w:val="en-US"/>
        </w:rPr>
        <w:t xml:space="preserve"> / 201</w:t>
      </w:r>
      <w:r w:rsidR="007A33E7" w:rsidRPr="00EB7BB6">
        <w:rPr>
          <w:rFonts w:eastAsia="Times New Roman" w:cs="Times New Roman"/>
          <w:b/>
          <w:bCs/>
          <w:color w:val="000000"/>
          <w:sz w:val="20"/>
          <w:szCs w:val="20"/>
          <w:lang w:val="en-US"/>
        </w:rPr>
        <w:t>9</w:t>
      </w:r>
      <w:r w:rsidRPr="00EB7BB6">
        <w:rPr>
          <w:rFonts w:eastAsia="Times New Roman" w:cs="Times New Roman"/>
          <w:b/>
          <w:bCs/>
          <w:color w:val="000000"/>
          <w:sz w:val="20"/>
          <w:szCs w:val="20"/>
          <w:lang w:val="en-US"/>
        </w:rPr>
        <w:t xml:space="preserve"> CSC </w:t>
      </w:r>
      <w:r w:rsidR="007A33E7" w:rsidRPr="00EB7BB6">
        <w:rPr>
          <w:rFonts w:eastAsia="Times New Roman" w:cs="Times New Roman"/>
          <w:b/>
          <w:bCs/>
          <w:color w:val="000000"/>
          <w:sz w:val="20"/>
          <w:szCs w:val="20"/>
          <w:lang w:val="en-US"/>
        </w:rPr>
        <w:t>2</w:t>
      </w:r>
      <w:r w:rsidR="006849D7" w:rsidRPr="00EB7BB6">
        <w:rPr>
          <w:rFonts w:eastAsia="Times New Roman" w:cs="Times New Roman"/>
          <w:b/>
          <w:bCs/>
          <w:color w:val="000000"/>
          <w:sz w:val="20"/>
          <w:szCs w:val="20"/>
          <w:lang w:val="en-US"/>
        </w:rPr>
        <w:t>2</w:t>
      </w:r>
    </w:p>
    <w:p w:rsidR="00102792" w:rsidRPr="00EB7BB6" w:rsidRDefault="00102792" w:rsidP="00102792">
      <w:pPr>
        <w:jc w:val="both"/>
        <w:rPr>
          <w:rFonts w:eastAsia="Times New Roman" w:cs="Times New Roman"/>
          <w:color w:val="000000"/>
          <w:sz w:val="20"/>
          <w:szCs w:val="20"/>
          <w:lang w:val="en-US"/>
        </w:rPr>
      </w:pPr>
    </w:p>
    <w:p w:rsidR="00102792" w:rsidRPr="00EB7BB6" w:rsidRDefault="000F5C92" w:rsidP="000F5C92">
      <w:pPr>
        <w:ind w:left="1134" w:hanging="1134"/>
        <w:rPr>
          <w:rFonts w:eastAsia="Times New Roman" w:cs="Times New Roman"/>
          <w:color w:val="000000"/>
          <w:sz w:val="20"/>
          <w:szCs w:val="20"/>
        </w:rPr>
      </w:pPr>
      <w:r w:rsidRPr="00EB7BB6">
        <w:rPr>
          <w:rFonts w:eastAsia="Times New Roman" w:cs="Times New Roman"/>
          <w:color w:val="000000"/>
          <w:sz w:val="20"/>
          <w:szCs w:val="20"/>
          <w:lang w:val="en-US"/>
        </w:rPr>
        <w:t>Coram:</w:t>
      </w:r>
      <w:r w:rsidRPr="00EB7BB6">
        <w:rPr>
          <w:rFonts w:eastAsia="Times New Roman" w:cs="Times New Roman"/>
          <w:color w:val="000000"/>
          <w:sz w:val="20"/>
          <w:szCs w:val="20"/>
          <w:lang w:val="en-US"/>
        </w:rPr>
        <w:tab/>
      </w:r>
      <w:r w:rsidR="007E0337" w:rsidRPr="00EB7BB6">
        <w:rPr>
          <w:rFonts w:eastAsia="Times New Roman" w:cs="Times New Roman"/>
          <w:color w:val="000000"/>
          <w:sz w:val="20"/>
          <w:szCs w:val="20"/>
          <w:lang w:val="en-US"/>
        </w:rPr>
        <w:t>Wagner C.J. and Abella, Moldaver, Karakatsanis, Gascon, Brown and Martin JJ.</w:t>
      </w:r>
    </w:p>
    <w:p w:rsidR="00102792" w:rsidRPr="00EB7BB6" w:rsidRDefault="00102792" w:rsidP="00102792">
      <w:pPr>
        <w:ind w:left="1440" w:hanging="1440"/>
        <w:rPr>
          <w:rFonts w:eastAsia="Times New Roman" w:cs="Times New Roman"/>
          <w:color w:val="000000"/>
          <w:sz w:val="20"/>
          <w:szCs w:val="20"/>
          <w:lang w:val="en-US"/>
        </w:rPr>
      </w:pPr>
    </w:p>
    <w:p w:rsidR="00102792" w:rsidRPr="00EB7BB6" w:rsidRDefault="00DA2BBE" w:rsidP="00102792">
      <w:pPr>
        <w:jc w:val="both"/>
        <w:rPr>
          <w:rFonts w:eastAsia="Times New Roman" w:cs="Times New Roman"/>
          <w:color w:val="000000"/>
          <w:sz w:val="20"/>
          <w:szCs w:val="20"/>
          <w:lang w:val="en-US"/>
        </w:rPr>
      </w:pPr>
      <w:r w:rsidRPr="00EB7BB6">
        <w:rPr>
          <w:sz w:val="20"/>
          <w:szCs w:val="20"/>
        </w:rPr>
        <w:t>The appeal from the judgment of the Court of Appeal of Newfoundland and Labrador, Number 201501H0025, 2017 NLCA 12, dated February 10, 2017, heard on May 25, 2018, is dismissed.</w:t>
      </w:r>
    </w:p>
    <w:p w:rsidR="00102792" w:rsidRPr="00EB7BB6" w:rsidRDefault="00102792" w:rsidP="00102792">
      <w:pPr>
        <w:tabs>
          <w:tab w:val="left" w:pos="1440"/>
        </w:tabs>
        <w:jc w:val="both"/>
        <w:rPr>
          <w:rFonts w:eastAsia="Times New Roman" w:cs="Times New Roman"/>
          <w:color w:val="000000"/>
          <w:sz w:val="20"/>
          <w:szCs w:val="20"/>
          <w:lang w:val="en-US"/>
        </w:rPr>
      </w:pPr>
    </w:p>
    <w:p w:rsidR="00102792" w:rsidRPr="00EB7BB6" w:rsidRDefault="00DA2BBE" w:rsidP="00102792">
      <w:pPr>
        <w:jc w:val="both"/>
        <w:rPr>
          <w:rFonts w:eastAsia="Times New Roman" w:cs="Times New Roman"/>
          <w:color w:val="000000"/>
          <w:sz w:val="20"/>
          <w:szCs w:val="20"/>
          <w:lang w:val="fr-CA"/>
        </w:rPr>
      </w:pPr>
      <w:r w:rsidRPr="00EB7BB6">
        <w:rPr>
          <w:sz w:val="20"/>
          <w:szCs w:val="20"/>
          <w:lang w:val="fr-CA"/>
        </w:rPr>
        <w:t>L’appel interjeté contre l’arrêt de la Cour d’appel de Terre-Neuve-et-Labrador, numéro 201501H0025, 2017 NLCA 12, daté du 10 février 2017, entendu le 25 mai 2018, est rejeté.</w:t>
      </w:r>
    </w:p>
    <w:p w:rsidR="00102792" w:rsidRPr="00EB7BB6" w:rsidRDefault="00102792" w:rsidP="00102792">
      <w:pPr>
        <w:rPr>
          <w:sz w:val="20"/>
          <w:szCs w:val="20"/>
          <w:lang w:val="fr-CA"/>
        </w:rPr>
      </w:pPr>
    </w:p>
    <w:p w:rsidR="00102792" w:rsidRPr="00EB7BB6" w:rsidRDefault="00EB7BB6" w:rsidP="00102792">
      <w:pPr>
        <w:rPr>
          <w:sz w:val="20"/>
          <w:szCs w:val="20"/>
          <w:lang w:val="fr-CA"/>
        </w:rPr>
      </w:pPr>
      <w:hyperlink r:id="rId100" w:history="1">
        <w:r w:rsidR="00506BE1" w:rsidRPr="00EB7BB6">
          <w:rPr>
            <w:rStyle w:val="Hyperlink"/>
            <w:sz w:val="20"/>
            <w:szCs w:val="20"/>
            <w:lang w:val="fr-CA"/>
          </w:rPr>
          <w:t xml:space="preserve">LINK TO </w:t>
        </w:r>
        <w:r w:rsidR="00D82BFF" w:rsidRPr="00EB7BB6">
          <w:rPr>
            <w:rStyle w:val="Hyperlink"/>
            <w:sz w:val="20"/>
            <w:szCs w:val="20"/>
            <w:lang w:val="fr-CA"/>
          </w:rPr>
          <w:t>REASONS</w:t>
        </w:r>
      </w:hyperlink>
      <w:r w:rsidR="00102792" w:rsidRPr="00EB7BB6">
        <w:rPr>
          <w:sz w:val="20"/>
          <w:szCs w:val="20"/>
          <w:lang w:val="fr-CA"/>
        </w:rPr>
        <w:t xml:space="preserve"> / </w:t>
      </w:r>
      <w:hyperlink r:id="rId101" w:history="1">
        <w:r w:rsidR="00D82BFF" w:rsidRPr="00EB7BB6">
          <w:rPr>
            <w:rStyle w:val="Hyperlink"/>
            <w:sz w:val="20"/>
            <w:szCs w:val="20"/>
            <w:lang w:val="fr-CA"/>
          </w:rPr>
          <w:t>LIEN VERS LES MOTIFS</w:t>
        </w:r>
      </w:hyperlink>
    </w:p>
    <w:p w:rsidR="00102792" w:rsidRPr="00EB7BB6" w:rsidRDefault="00102792" w:rsidP="00102792">
      <w:pPr>
        <w:rPr>
          <w:sz w:val="20"/>
          <w:szCs w:val="20"/>
          <w:lang w:val="fr-CA"/>
        </w:rPr>
      </w:pPr>
    </w:p>
    <w:p w:rsidR="00D004FC" w:rsidRPr="00EB7BB6" w:rsidRDefault="00EB7BB6" w:rsidP="00102792">
      <w:pPr>
        <w:jc w:val="both"/>
        <w:rPr>
          <w:rFonts w:cs="Times New Roman"/>
          <w:b/>
          <w:sz w:val="20"/>
          <w:szCs w:val="20"/>
        </w:rPr>
      </w:pPr>
      <w:r w:rsidRPr="00EB7BB6">
        <w:rPr>
          <w:b/>
          <w:sz w:val="20"/>
          <w:szCs w:val="20"/>
        </w:rPr>
        <w:pict>
          <v:rect id="_x0000_i1097" style="width:144.3pt;height:1pt" o:hrpct="300" o:hralign="center" o:hrstd="t" o:hrnoshade="t" o:hr="t" fillcolor="black [3213]" stroked="f"/>
        </w:pict>
      </w:r>
    </w:p>
    <w:p w:rsidR="00D004FC" w:rsidRPr="00EB7BB6" w:rsidRDefault="00D004FC" w:rsidP="00D004FC">
      <w:pPr>
        <w:jc w:val="both"/>
        <w:rPr>
          <w:rFonts w:cs="Times New Roman"/>
          <w:sz w:val="20"/>
          <w:szCs w:val="20"/>
        </w:rPr>
      </w:pPr>
    </w:p>
    <w:p w:rsidR="00D004FC" w:rsidRPr="00EB7BB6"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EB7BB6" w:rsidRDefault="0056248C" w:rsidP="00091BA6">
      <w:pPr>
        <w:rPr>
          <w:sz w:val="20"/>
          <w:szCs w:val="20"/>
          <w:lang w:val="fr-CA"/>
        </w:rPr>
      </w:pPr>
    </w:p>
    <w:p w:rsidR="00102926" w:rsidRPr="00EB7BB6" w:rsidRDefault="00102926" w:rsidP="00782AE4">
      <w:pPr>
        <w:jc w:val="both"/>
        <w:rPr>
          <w:sz w:val="20"/>
          <w:szCs w:val="20"/>
        </w:rPr>
        <w:sectPr w:rsidR="00102926" w:rsidRPr="00EB7BB6" w:rsidSect="00782AE4">
          <w:headerReference w:type="even" r:id="rId102"/>
          <w:headerReference w:type="default" r:id="rId103"/>
          <w:footerReference w:type="even" r:id="rId104"/>
          <w:footerReference w:type="default" r:id="rId105"/>
          <w:headerReference w:type="first" r:id="rId106"/>
          <w:footerReference w:type="first" r:id="rId107"/>
          <w:pgSz w:w="12240" w:h="15840"/>
          <w:pgMar w:top="720" w:right="965" w:bottom="1080" w:left="1656" w:header="576" w:footer="960" w:gutter="0"/>
          <w:cols w:space="720"/>
          <w:titlePg/>
          <w:docGrid w:linePitch="272"/>
        </w:sectPr>
      </w:pPr>
    </w:p>
    <w:p w:rsidR="00BE34F7" w:rsidRPr="00EB7BB6" w:rsidRDefault="0041245B" w:rsidP="00BE34F7">
      <w:pPr>
        <w:tabs>
          <w:tab w:val="center" w:pos="5220"/>
          <w:tab w:val="right" w:pos="10800"/>
        </w:tabs>
        <w:rPr>
          <w:rFonts w:ascii="Arial" w:hAnsi="Arial" w:cs="Arial"/>
          <w:sz w:val="16"/>
          <w:szCs w:val="18"/>
          <w:lang w:val="fr-CA"/>
        </w:rPr>
      </w:pPr>
      <w:bookmarkStart w:id="11" w:name="1"/>
      <w:bookmarkStart w:id="12" w:name="QuickMark"/>
      <w:bookmarkEnd w:id="11"/>
      <w:bookmarkEnd w:id="12"/>
      <w:r w:rsidRPr="00EB7BB6">
        <w:rPr>
          <w:rFonts w:ascii="Arial" w:hAnsi="Arial" w:cs="Arial"/>
          <w:sz w:val="20"/>
          <w:lang w:val="fr-FR"/>
        </w:rPr>
        <w:lastRenderedPageBreak/>
        <w:tab/>
      </w:r>
      <w:r w:rsidR="00BE34F7" w:rsidRPr="00EB7BB6">
        <w:rPr>
          <w:rFonts w:ascii="Arial" w:hAnsi="Arial" w:cs="Arial"/>
          <w:sz w:val="18"/>
          <w:lang w:val="fr-FR"/>
        </w:rPr>
        <w:t xml:space="preserve">   </w:t>
      </w:r>
      <w:r w:rsidR="00BE34F7" w:rsidRPr="00EB7BB6">
        <w:rPr>
          <w:rFonts w:ascii="Arial" w:hAnsi="Arial" w:cs="Arial"/>
          <w:b/>
          <w:i/>
          <w:szCs w:val="28"/>
          <w:lang w:val="fr-FR"/>
        </w:rPr>
        <w:t>- 2018 -</w:t>
      </w:r>
      <w:r w:rsidR="00BE34F7" w:rsidRPr="00EB7BB6">
        <w:rPr>
          <w:rFonts w:ascii="Arial" w:hAnsi="Arial" w:cs="Arial"/>
          <w:sz w:val="18"/>
          <w:lang w:val="fr-FR"/>
        </w:rPr>
        <w:t xml:space="preserve"> </w:t>
      </w:r>
      <w:r w:rsidR="00BE34F7" w:rsidRPr="00EB7BB6">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RPr="00EB7BB6" w:rsidTr="002323BF">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DECEMBER – DÉCEMBRE</w:t>
            </w:r>
          </w:p>
        </w:tc>
      </w:tr>
      <w:tr w:rsidR="00BE34F7" w:rsidRPr="00EB7BB6" w:rsidTr="002323BF">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4"/>
                <w:szCs w:val="14"/>
                <w:lang w:val="fr-FR"/>
              </w:rPr>
            </w:pPr>
            <w:r w:rsidRPr="00EB7BB6">
              <w:rPr>
                <w:rFonts w:ascii="Arial" w:hAnsi="Arial" w:cs="Arial"/>
                <w:b/>
                <w:sz w:val="14"/>
                <w:szCs w:val="14"/>
                <w:lang w:val="fr-FR"/>
              </w:rPr>
              <w:t>S</w:t>
            </w:r>
          </w:p>
          <w:p w:rsidR="00BE34F7" w:rsidRPr="00EB7BB6" w:rsidRDefault="00BE34F7" w:rsidP="002323BF">
            <w:pPr>
              <w:tabs>
                <w:tab w:val="center" w:pos="5220"/>
                <w:tab w:val="right" w:pos="10440"/>
              </w:tabs>
              <w:jc w:val="center"/>
              <w:rPr>
                <w:rFonts w:ascii="Arial" w:hAnsi="Arial" w:cs="Arial"/>
                <w:b/>
                <w:sz w:val="14"/>
                <w:szCs w:val="14"/>
                <w:lang w:val="fr-FR"/>
              </w:rPr>
            </w:pPr>
            <w:r w:rsidRPr="00EB7BB6">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M</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T</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W</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T</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F</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S</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S</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M</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T</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W</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T</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F</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S</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S</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M</w:t>
            </w:r>
          </w:p>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lang w:val="fr-FR"/>
              </w:rPr>
            </w:pPr>
            <w:r w:rsidRPr="00EB7BB6">
              <w:rPr>
                <w:rFonts w:ascii="Arial" w:hAnsi="Arial" w:cs="Arial"/>
                <w:b/>
                <w:sz w:val="13"/>
                <w:szCs w:val="13"/>
                <w:lang w:val="fr-FR"/>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W</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tc>
      </w:tr>
      <w:tr w:rsidR="00BE34F7" w:rsidRPr="00EB7BB6" w:rsidTr="002323BF">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r>
      <w:tr w:rsidR="00BE34F7" w:rsidRPr="00EB7BB6" w:rsidTr="002323BF">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CC</w:t>
            </w:r>
          </w:p>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CC</w:t>
            </w:r>
          </w:p>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CC</w:t>
            </w:r>
          </w:p>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r>
      <w:tr w:rsidR="00BE34F7" w:rsidRPr="00EB7BB6" w:rsidTr="002323BF">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r>
      <w:tr w:rsidR="00BE34F7" w:rsidRPr="00EB7BB6" w:rsidTr="002323BF">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r>
      <w:tr w:rsidR="00BE34F7" w:rsidRPr="00EB7BB6" w:rsidTr="002323BF">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rPr>
                <w:rFonts w:ascii="Arial" w:hAnsi="Arial" w:cs="Arial"/>
                <w:sz w:val="13"/>
                <w:szCs w:val="13"/>
              </w:rPr>
            </w:pPr>
            <w:r w:rsidRPr="00EB7BB6">
              <w:rPr>
                <w:rFonts w:ascii="Arial" w:hAnsi="Arial" w:cs="Arial"/>
                <w:sz w:val="13"/>
                <w:szCs w:val="13"/>
              </w:rPr>
              <w:t xml:space="preserve"> 23 /</w:t>
            </w:r>
          </w:p>
          <w:p w:rsidR="00BE34F7" w:rsidRPr="00EB7BB6" w:rsidRDefault="00BE34F7" w:rsidP="002323BF">
            <w:pPr>
              <w:rPr>
                <w:rFonts w:ascii="Arial" w:hAnsi="Arial" w:cs="Arial"/>
                <w:sz w:val="13"/>
                <w:szCs w:val="13"/>
              </w:rPr>
            </w:pPr>
            <w:r w:rsidRPr="00EB7BB6">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rPr>
                <w:rFonts w:ascii="Arial" w:hAnsi="Arial" w:cs="Arial"/>
                <w:sz w:val="13"/>
                <w:szCs w:val="13"/>
              </w:rPr>
            </w:pPr>
            <w:r w:rsidRPr="00EB7BB6">
              <w:rPr>
                <w:rFonts w:ascii="Arial" w:hAnsi="Arial" w:cs="Arial"/>
                <w:sz w:val="13"/>
                <w:szCs w:val="13"/>
              </w:rPr>
              <w:t xml:space="preserve"> 24 /</w:t>
            </w:r>
          </w:p>
          <w:p w:rsidR="00BE34F7" w:rsidRPr="00EB7BB6" w:rsidRDefault="00BE34F7" w:rsidP="002323BF">
            <w:pPr>
              <w:rPr>
                <w:rFonts w:ascii="Arial" w:hAnsi="Arial" w:cs="Arial"/>
                <w:sz w:val="13"/>
                <w:szCs w:val="13"/>
              </w:rPr>
            </w:pPr>
            <w:r w:rsidRPr="00EB7BB6">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r>
    </w:tbl>
    <w:p w:rsidR="00BE34F7" w:rsidRPr="00EB7BB6" w:rsidRDefault="00BE34F7" w:rsidP="00BE34F7">
      <w:pPr>
        <w:tabs>
          <w:tab w:val="center" w:pos="5220"/>
          <w:tab w:val="right" w:pos="10440"/>
        </w:tabs>
        <w:jc w:val="center"/>
        <w:rPr>
          <w:rFonts w:ascii="Arial" w:hAnsi="Arial" w:cs="Arial"/>
          <w:szCs w:val="28"/>
        </w:rPr>
      </w:pPr>
      <w:r w:rsidRPr="00EB7BB6">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RPr="00EB7BB6" w:rsidTr="002323BF">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MARCH – MARS</w:t>
            </w:r>
          </w:p>
        </w:tc>
      </w:tr>
      <w:tr w:rsidR="00BE34F7" w:rsidRPr="00EB7BB6" w:rsidTr="002323BF">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W</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W</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W</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tc>
      </w:tr>
      <w:tr w:rsidR="00BE34F7" w:rsidRPr="00EB7BB6" w:rsidTr="002323B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r>
      <w:tr w:rsidR="00BE34F7" w:rsidRPr="00EB7BB6" w:rsidTr="002323B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r>
      <w:tr w:rsidR="00BE34F7" w:rsidRPr="00EB7BB6" w:rsidTr="002323B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CC</w:t>
            </w:r>
          </w:p>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CC</w:t>
            </w:r>
          </w:p>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r>
      <w:tr w:rsidR="00BE34F7" w:rsidRPr="00EB7BB6" w:rsidTr="002323B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CC</w:t>
            </w:r>
          </w:p>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23</w:t>
            </w:r>
          </w:p>
        </w:tc>
      </w:tr>
      <w:tr w:rsidR="00BE34F7" w:rsidRPr="00EB7BB6" w:rsidTr="002323BF">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rPr>
                <w:rFonts w:ascii="Arial" w:hAnsi="Arial" w:cs="Arial"/>
                <w:sz w:val="13"/>
                <w:szCs w:val="13"/>
              </w:rPr>
            </w:pPr>
            <w:r w:rsidRPr="00EB7BB6">
              <w:rPr>
                <w:rFonts w:ascii="Arial" w:hAnsi="Arial" w:cs="Arial"/>
                <w:sz w:val="13"/>
                <w:szCs w:val="13"/>
              </w:rPr>
              <w:t xml:space="preserve"> 24 /</w:t>
            </w:r>
          </w:p>
          <w:p w:rsidR="00BE34F7" w:rsidRPr="00EB7BB6" w:rsidRDefault="00BE34F7" w:rsidP="002323BF">
            <w:pPr>
              <w:rPr>
                <w:rFonts w:ascii="Arial" w:hAnsi="Arial" w:cs="Arial"/>
                <w:sz w:val="13"/>
                <w:szCs w:val="13"/>
              </w:rPr>
            </w:pPr>
            <w:r w:rsidRPr="00EB7BB6">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30</w:t>
            </w:r>
          </w:p>
        </w:tc>
      </w:tr>
      <w:tr w:rsidR="00BE34F7" w:rsidRPr="00EB7BB6" w:rsidTr="002323BF">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JUNE – JUIN</w:t>
            </w:r>
          </w:p>
        </w:tc>
      </w:tr>
      <w:tr w:rsidR="00BE34F7" w:rsidRPr="00EB7BB6" w:rsidTr="002323BF">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W</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W</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W</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tc>
      </w:tr>
      <w:tr w:rsidR="00BE34F7" w:rsidRPr="00EB7BB6" w:rsidTr="002323B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r>
      <w:tr w:rsidR="00BE34F7" w:rsidRPr="00EB7BB6" w:rsidTr="002323B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r>
      <w:tr w:rsidR="00BE34F7" w:rsidRPr="00EB7BB6" w:rsidTr="002323B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CC</w:t>
            </w:r>
          </w:p>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CC</w:t>
            </w:r>
          </w:p>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CC</w:t>
            </w:r>
          </w:p>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r>
      <w:tr w:rsidR="00BE34F7" w:rsidRPr="00EB7BB6" w:rsidTr="002323BF">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r>
      <w:tr w:rsidR="00BE34F7" w:rsidRPr="00EB7BB6" w:rsidTr="002323BF">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both"/>
              <w:rPr>
                <w:rFonts w:ascii="Arial" w:hAnsi="Arial" w:cs="Arial"/>
                <w:sz w:val="13"/>
                <w:szCs w:val="13"/>
              </w:rPr>
            </w:pPr>
            <w:r w:rsidRPr="00EB7BB6">
              <w:rPr>
                <w:rFonts w:ascii="Arial" w:hAnsi="Arial" w:cs="Arial"/>
                <w:sz w:val="13"/>
                <w:szCs w:val="13"/>
              </w:rPr>
              <w:t xml:space="preserve"> 23 /</w:t>
            </w:r>
          </w:p>
          <w:p w:rsidR="00BE34F7" w:rsidRPr="00EB7BB6" w:rsidRDefault="00BE34F7" w:rsidP="002323BF">
            <w:pPr>
              <w:jc w:val="both"/>
              <w:rPr>
                <w:rFonts w:ascii="Arial" w:hAnsi="Arial" w:cs="Arial"/>
                <w:sz w:val="13"/>
                <w:szCs w:val="13"/>
              </w:rPr>
            </w:pPr>
            <w:r w:rsidRPr="00EB7BB6">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r>
      <w:tr w:rsidR="00BE34F7" w:rsidRPr="00EB7BB6" w:rsidTr="002323BF">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SEPTEMBER – SEPTEMBRE</w:t>
            </w:r>
          </w:p>
        </w:tc>
      </w:tr>
      <w:tr w:rsidR="00BE34F7" w:rsidRPr="00EB7BB6" w:rsidTr="002323BF">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6"/>
                <w:szCs w:val="16"/>
              </w:rPr>
            </w:pPr>
            <w:r w:rsidRPr="00EB7BB6">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W</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W</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EB7BB6" w:rsidRDefault="00BE34F7" w:rsidP="002323B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W</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T</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F</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p w:rsidR="00BE34F7" w:rsidRPr="00EB7BB6" w:rsidRDefault="00BE34F7" w:rsidP="002323BF">
            <w:pPr>
              <w:tabs>
                <w:tab w:val="center" w:pos="5220"/>
                <w:tab w:val="right" w:pos="10440"/>
              </w:tabs>
              <w:jc w:val="center"/>
              <w:rPr>
                <w:rFonts w:ascii="Arial" w:hAnsi="Arial" w:cs="Arial"/>
                <w:b/>
                <w:sz w:val="13"/>
                <w:szCs w:val="13"/>
              </w:rPr>
            </w:pPr>
            <w:r w:rsidRPr="00EB7BB6">
              <w:rPr>
                <w:rFonts w:ascii="Arial" w:hAnsi="Arial" w:cs="Arial"/>
                <w:b/>
                <w:sz w:val="13"/>
                <w:szCs w:val="13"/>
              </w:rPr>
              <w:t>S</w:t>
            </w:r>
          </w:p>
        </w:tc>
      </w:tr>
      <w:tr w:rsidR="00BE34F7" w:rsidRPr="00EB7BB6" w:rsidTr="002323BF">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b/>
                <w:sz w:val="13"/>
                <w:szCs w:val="13"/>
              </w:rPr>
            </w:pPr>
            <w:r w:rsidRPr="00EB7BB6">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r>
      <w:tr w:rsidR="00BE34F7" w:rsidRPr="00EB7BB6" w:rsidTr="002323B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H</w:t>
            </w:r>
          </w:p>
          <w:p w:rsidR="00BE34F7" w:rsidRPr="00EB7BB6" w:rsidRDefault="00BE34F7" w:rsidP="002323BF">
            <w:pPr>
              <w:jc w:val="center"/>
              <w:rPr>
                <w:rFonts w:ascii="Arial" w:hAnsi="Arial" w:cs="Arial"/>
                <w:sz w:val="13"/>
                <w:szCs w:val="13"/>
              </w:rPr>
            </w:pPr>
            <w:r w:rsidRPr="00EB7BB6">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r>
      <w:tr w:rsidR="00BE34F7" w:rsidRPr="00EB7BB6" w:rsidTr="002323B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r>
      <w:tr w:rsidR="00BE34F7" w:rsidRPr="00EB7BB6" w:rsidTr="002323B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r>
      <w:tr w:rsidR="00BE34F7" w:rsidRPr="00EB7BB6" w:rsidTr="002323BF">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EB7BB6"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sz w:val="13"/>
                <w:szCs w:val="13"/>
              </w:rPr>
            </w:pPr>
            <w:r w:rsidRPr="00EB7BB6">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EB7BB6" w:rsidRDefault="00BE34F7" w:rsidP="002323BF">
            <w:pPr>
              <w:jc w:val="center"/>
              <w:rPr>
                <w:rFonts w:ascii="Arial" w:hAnsi="Arial" w:cs="Arial"/>
                <w:b/>
                <w:sz w:val="13"/>
                <w:szCs w:val="13"/>
              </w:rPr>
            </w:pPr>
            <w:r w:rsidRPr="00EB7BB6">
              <w:rPr>
                <w:rFonts w:ascii="Arial" w:hAnsi="Arial" w:cs="Arial"/>
                <w:b/>
                <w:sz w:val="13"/>
                <w:szCs w:val="13"/>
              </w:rPr>
              <w:t>RH</w:t>
            </w:r>
          </w:p>
          <w:p w:rsidR="00BE34F7" w:rsidRPr="00EB7BB6" w:rsidRDefault="00BE34F7" w:rsidP="002323BF">
            <w:pPr>
              <w:jc w:val="center"/>
              <w:rPr>
                <w:rFonts w:ascii="Arial" w:hAnsi="Arial" w:cs="Arial"/>
                <w:sz w:val="13"/>
                <w:szCs w:val="13"/>
              </w:rPr>
            </w:pPr>
            <w:r w:rsidRPr="00EB7BB6">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EB7BB6" w:rsidRDefault="00BE34F7" w:rsidP="002323BF">
            <w:pPr>
              <w:jc w:val="center"/>
              <w:rPr>
                <w:rFonts w:ascii="Arial" w:hAnsi="Arial" w:cs="Arial"/>
                <w:sz w:val="13"/>
                <w:szCs w:val="13"/>
              </w:rPr>
            </w:pPr>
          </w:p>
        </w:tc>
      </w:tr>
    </w:tbl>
    <w:p w:rsidR="00BE34F7" w:rsidRPr="00EB7BB6"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RPr="00EB7BB6" w:rsidTr="002323BF">
        <w:tc>
          <w:tcPr>
            <w:tcW w:w="1782" w:type="dxa"/>
            <w:tcBorders>
              <w:top w:val="nil"/>
              <w:left w:val="nil"/>
              <w:bottom w:val="nil"/>
              <w:right w:val="single" w:sz="4" w:space="0" w:color="000000" w:themeColor="text1"/>
            </w:tcBorders>
            <w:vAlign w:val="center"/>
            <w:hideMark/>
          </w:tcPr>
          <w:p w:rsidR="00BE34F7" w:rsidRPr="00EB7BB6" w:rsidRDefault="00BE34F7" w:rsidP="002323BF">
            <w:pPr>
              <w:rPr>
                <w:rFonts w:ascii="Arial" w:hAnsi="Arial" w:cs="Arial"/>
                <w:b/>
                <w:sz w:val="14"/>
                <w:szCs w:val="14"/>
              </w:rPr>
            </w:pPr>
            <w:r w:rsidRPr="00EB7BB6">
              <w:rPr>
                <w:rFonts w:ascii="Arial" w:hAnsi="Arial" w:cs="Arial"/>
                <w:b/>
                <w:sz w:val="14"/>
                <w:szCs w:val="14"/>
              </w:rPr>
              <w:t>Sitting of the Court /</w:t>
            </w:r>
          </w:p>
          <w:p w:rsidR="00BE34F7" w:rsidRPr="00EB7BB6" w:rsidRDefault="00BE34F7" w:rsidP="002323BF">
            <w:pPr>
              <w:rPr>
                <w:rFonts w:ascii="Arial" w:hAnsi="Arial" w:cs="Arial"/>
                <w:b/>
                <w:sz w:val="14"/>
                <w:szCs w:val="14"/>
              </w:rPr>
            </w:pPr>
            <w:r w:rsidRPr="00EB7BB6">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Pr="00EB7BB6" w:rsidRDefault="00BE34F7" w:rsidP="002323BF">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Pr="00EB7BB6" w:rsidRDefault="00BE34F7" w:rsidP="002323BF">
            <w:pPr>
              <w:tabs>
                <w:tab w:val="left" w:pos="203"/>
              </w:tabs>
              <w:spacing w:after="120"/>
              <w:rPr>
                <w:rFonts w:ascii="Arial" w:hAnsi="Arial" w:cs="Arial"/>
                <w:b/>
                <w:sz w:val="14"/>
                <w:szCs w:val="14"/>
                <w:lang w:val="fr-CA"/>
              </w:rPr>
            </w:pPr>
            <w:r w:rsidRPr="00EB7BB6">
              <w:rPr>
                <w:rFonts w:ascii="Arial" w:hAnsi="Arial" w:cs="Arial"/>
                <w:b/>
                <w:sz w:val="14"/>
                <w:szCs w:val="14"/>
                <w:lang w:val="fr-CA"/>
              </w:rPr>
              <w:t>18</w:t>
            </w:r>
            <w:r w:rsidRPr="00EB7BB6">
              <w:rPr>
                <w:rFonts w:ascii="Arial" w:hAnsi="Arial" w:cs="Arial"/>
                <w:b/>
                <w:sz w:val="14"/>
                <w:szCs w:val="14"/>
                <w:lang w:val="fr-CA"/>
              </w:rPr>
              <w:tab/>
              <w:t xml:space="preserve"> sitting weeks / semaines séances de la Cour</w:t>
            </w:r>
          </w:p>
          <w:p w:rsidR="00BE34F7" w:rsidRPr="00EB7BB6" w:rsidRDefault="00BE34F7" w:rsidP="002323BF">
            <w:pPr>
              <w:tabs>
                <w:tab w:val="left" w:pos="203"/>
              </w:tabs>
              <w:rPr>
                <w:rFonts w:ascii="Arial" w:hAnsi="Arial" w:cs="Arial"/>
                <w:b/>
                <w:sz w:val="14"/>
                <w:szCs w:val="14"/>
                <w:lang w:val="fr-CA"/>
              </w:rPr>
            </w:pPr>
            <w:r w:rsidRPr="00EB7BB6">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Pr="00EB7BB6" w:rsidRDefault="00BE34F7" w:rsidP="002323BF">
            <w:pPr>
              <w:spacing w:after="120"/>
              <w:rPr>
                <w:rFonts w:ascii="Arial" w:hAnsi="Arial" w:cs="Arial"/>
                <w:b/>
                <w:sz w:val="14"/>
                <w:szCs w:val="14"/>
              </w:rPr>
            </w:pPr>
            <w:r w:rsidRPr="00EB7BB6">
              <w:rPr>
                <w:rFonts w:ascii="Arial" w:hAnsi="Arial" w:cs="Arial"/>
                <w:b/>
                <w:sz w:val="14"/>
                <w:szCs w:val="14"/>
              </w:rPr>
              <w:t>Rosh Hashanah / Nouvel An juif (2019-09-30 &amp; 2019-10-01)</w:t>
            </w:r>
          </w:p>
          <w:p w:rsidR="00BE34F7" w:rsidRPr="00EB7BB6" w:rsidRDefault="00BE34F7" w:rsidP="002323BF">
            <w:pPr>
              <w:rPr>
                <w:rFonts w:ascii="Arial" w:hAnsi="Arial" w:cs="Arial"/>
                <w:b/>
                <w:sz w:val="14"/>
                <w:szCs w:val="14"/>
                <w:lang w:val="fr-CA"/>
              </w:rPr>
            </w:pPr>
            <w:r w:rsidRPr="00EB7BB6">
              <w:rPr>
                <w:rFonts w:ascii="Arial" w:hAnsi="Arial" w:cs="Arial"/>
                <w:b/>
                <w:sz w:val="14"/>
                <w:szCs w:val="14"/>
              </w:rPr>
              <w:t>Yom Kippur / Yom Kippour (2019-10-09)</w:t>
            </w:r>
          </w:p>
        </w:tc>
        <w:tc>
          <w:tcPr>
            <w:tcW w:w="720" w:type="dxa"/>
            <w:hideMark/>
          </w:tcPr>
          <w:p w:rsidR="00BE34F7" w:rsidRPr="00EB7BB6" w:rsidRDefault="00BE34F7" w:rsidP="002323BF">
            <w:pPr>
              <w:spacing w:after="120"/>
              <w:jc w:val="center"/>
              <w:rPr>
                <w:rFonts w:ascii="Arial" w:hAnsi="Arial" w:cs="Arial"/>
                <w:b/>
                <w:sz w:val="14"/>
                <w:szCs w:val="14"/>
                <w:lang w:val="fr-CA"/>
              </w:rPr>
            </w:pPr>
            <w:r w:rsidRPr="00EB7BB6">
              <w:rPr>
                <w:rFonts w:ascii="Arial" w:hAnsi="Arial" w:cs="Arial"/>
                <w:b/>
                <w:sz w:val="14"/>
                <w:szCs w:val="14"/>
                <w:lang w:val="fr-CA"/>
              </w:rPr>
              <w:t>RH</w:t>
            </w:r>
          </w:p>
          <w:p w:rsidR="00BE34F7" w:rsidRPr="00EB7BB6" w:rsidRDefault="00BE34F7" w:rsidP="002323BF">
            <w:pPr>
              <w:jc w:val="center"/>
              <w:rPr>
                <w:rFonts w:ascii="Arial" w:hAnsi="Arial" w:cs="Arial"/>
                <w:b/>
                <w:sz w:val="14"/>
                <w:szCs w:val="14"/>
                <w:lang w:val="fr-CA"/>
              </w:rPr>
            </w:pPr>
            <w:r w:rsidRPr="00EB7BB6">
              <w:rPr>
                <w:rFonts w:ascii="Arial" w:hAnsi="Arial" w:cs="Arial"/>
                <w:b/>
                <w:sz w:val="14"/>
                <w:szCs w:val="14"/>
                <w:lang w:val="fr-CA"/>
              </w:rPr>
              <w:t>YK</w:t>
            </w:r>
          </w:p>
        </w:tc>
      </w:tr>
      <w:tr w:rsidR="00BE34F7" w:rsidRPr="00EB7BB6" w:rsidTr="002323BF">
        <w:tc>
          <w:tcPr>
            <w:tcW w:w="1782" w:type="dxa"/>
            <w:tcBorders>
              <w:top w:val="nil"/>
              <w:left w:val="nil"/>
              <w:bottom w:val="nil"/>
              <w:right w:val="double" w:sz="4" w:space="0" w:color="auto"/>
            </w:tcBorders>
            <w:vAlign w:val="center"/>
            <w:hideMark/>
          </w:tcPr>
          <w:p w:rsidR="00BE34F7" w:rsidRPr="00EB7BB6" w:rsidRDefault="00BE34F7" w:rsidP="002323BF">
            <w:pPr>
              <w:spacing w:before="60"/>
              <w:rPr>
                <w:rFonts w:ascii="Arial" w:hAnsi="Arial" w:cs="Arial"/>
                <w:b/>
                <w:sz w:val="14"/>
                <w:szCs w:val="14"/>
                <w:lang w:val="fr-CA"/>
              </w:rPr>
            </w:pPr>
            <w:r w:rsidRPr="00EB7BB6">
              <w:rPr>
                <w:rFonts w:ascii="Arial" w:hAnsi="Arial" w:cs="Arial"/>
                <w:b/>
                <w:sz w:val="14"/>
                <w:szCs w:val="14"/>
                <w:lang w:val="fr-CA"/>
              </w:rPr>
              <w:t>Court conference /</w:t>
            </w:r>
          </w:p>
          <w:p w:rsidR="00BE34F7" w:rsidRPr="00EB7BB6" w:rsidRDefault="00BE34F7" w:rsidP="002323BF">
            <w:pPr>
              <w:rPr>
                <w:rFonts w:ascii="Arial" w:hAnsi="Arial" w:cs="Arial"/>
                <w:b/>
                <w:sz w:val="14"/>
                <w:szCs w:val="14"/>
                <w:lang w:val="fr-CA"/>
              </w:rPr>
            </w:pPr>
            <w:r w:rsidRPr="00EB7BB6">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Pr="00EB7BB6" w:rsidRDefault="00BE34F7" w:rsidP="002323BF">
            <w:pPr>
              <w:jc w:val="center"/>
              <w:rPr>
                <w:rFonts w:ascii="Arial" w:hAnsi="Arial" w:cs="Arial"/>
                <w:b/>
                <w:sz w:val="14"/>
                <w:szCs w:val="14"/>
              </w:rPr>
            </w:pPr>
            <w:r w:rsidRPr="00EB7BB6">
              <w:rPr>
                <w:rFonts w:ascii="Arial" w:hAnsi="Arial" w:cs="Arial"/>
                <w:b/>
                <w:sz w:val="14"/>
                <w:szCs w:val="14"/>
              </w:rPr>
              <w:t>CC</w:t>
            </w:r>
          </w:p>
        </w:tc>
        <w:tc>
          <w:tcPr>
            <w:tcW w:w="3580" w:type="dxa"/>
            <w:tcBorders>
              <w:top w:val="nil"/>
              <w:left w:val="double" w:sz="4" w:space="0" w:color="auto"/>
              <w:bottom w:val="nil"/>
              <w:right w:val="nil"/>
            </w:tcBorders>
            <w:hideMark/>
          </w:tcPr>
          <w:p w:rsidR="00BE34F7" w:rsidRPr="00EB7BB6" w:rsidRDefault="00BE34F7" w:rsidP="002323BF">
            <w:pPr>
              <w:tabs>
                <w:tab w:val="left" w:pos="203"/>
              </w:tabs>
              <w:spacing w:before="120"/>
              <w:rPr>
                <w:rFonts w:ascii="Arial" w:hAnsi="Arial" w:cs="Arial"/>
                <w:b/>
                <w:sz w:val="14"/>
                <w:szCs w:val="14"/>
                <w:lang w:val="fr-CA"/>
              </w:rPr>
            </w:pPr>
            <w:r w:rsidRPr="00EB7BB6">
              <w:rPr>
                <w:rFonts w:ascii="Arial" w:hAnsi="Arial" w:cs="Arial"/>
                <w:b/>
                <w:sz w:val="14"/>
                <w:szCs w:val="14"/>
                <w:lang w:val="fr-CA"/>
              </w:rPr>
              <w:t>9</w:t>
            </w:r>
            <w:r w:rsidRPr="00EB7BB6">
              <w:rPr>
                <w:rFonts w:ascii="Arial" w:hAnsi="Arial" w:cs="Arial"/>
                <w:b/>
                <w:sz w:val="14"/>
                <w:szCs w:val="14"/>
                <w:lang w:val="fr-CA"/>
              </w:rPr>
              <w:tab/>
              <w:t>Court conference days /</w:t>
            </w:r>
          </w:p>
          <w:p w:rsidR="00BE34F7" w:rsidRPr="00EB7BB6" w:rsidRDefault="00BE34F7" w:rsidP="002323BF">
            <w:pPr>
              <w:tabs>
                <w:tab w:val="left" w:pos="203"/>
              </w:tabs>
              <w:rPr>
                <w:rFonts w:ascii="Arial" w:hAnsi="Arial" w:cs="Arial"/>
                <w:b/>
                <w:sz w:val="14"/>
                <w:szCs w:val="14"/>
                <w:lang w:val="fr-CA"/>
              </w:rPr>
            </w:pPr>
            <w:r w:rsidRPr="00EB7BB6">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Pr="00EB7BB6" w:rsidRDefault="00BE34F7" w:rsidP="002323BF">
            <w:pPr>
              <w:rPr>
                <w:rFonts w:ascii="Arial" w:hAnsi="Arial" w:cs="Arial"/>
                <w:b/>
                <w:sz w:val="14"/>
                <w:szCs w:val="14"/>
                <w:lang w:val="fr-FR"/>
              </w:rPr>
            </w:pPr>
          </w:p>
        </w:tc>
        <w:tc>
          <w:tcPr>
            <w:tcW w:w="720" w:type="dxa"/>
          </w:tcPr>
          <w:p w:rsidR="00BE34F7" w:rsidRPr="00EB7BB6" w:rsidRDefault="00BE34F7" w:rsidP="002323BF">
            <w:pPr>
              <w:jc w:val="center"/>
              <w:rPr>
                <w:rFonts w:ascii="Arial" w:hAnsi="Arial" w:cs="Arial"/>
                <w:b/>
                <w:sz w:val="14"/>
                <w:szCs w:val="14"/>
                <w:lang w:val="fr-FR"/>
              </w:rPr>
            </w:pPr>
          </w:p>
        </w:tc>
      </w:tr>
      <w:tr w:rsidR="00BE34F7" w:rsidRPr="00EB7BB6" w:rsidTr="002323BF">
        <w:trPr>
          <w:trHeight w:val="528"/>
        </w:trPr>
        <w:tc>
          <w:tcPr>
            <w:tcW w:w="1782" w:type="dxa"/>
            <w:tcBorders>
              <w:top w:val="nil"/>
              <w:left w:val="nil"/>
              <w:bottom w:val="nil"/>
              <w:right w:val="double" w:sz="4" w:space="0" w:color="auto"/>
            </w:tcBorders>
            <w:vAlign w:val="center"/>
            <w:hideMark/>
          </w:tcPr>
          <w:p w:rsidR="00BE34F7" w:rsidRPr="00EB7BB6" w:rsidRDefault="00BE34F7" w:rsidP="002323BF">
            <w:pPr>
              <w:rPr>
                <w:rFonts w:ascii="Arial" w:hAnsi="Arial" w:cs="Arial"/>
                <w:b/>
                <w:sz w:val="14"/>
                <w:szCs w:val="14"/>
              </w:rPr>
            </w:pPr>
            <w:r w:rsidRPr="00EB7BB6">
              <w:rPr>
                <w:rFonts w:ascii="Arial" w:hAnsi="Arial" w:cs="Arial"/>
                <w:b/>
                <w:sz w:val="14"/>
                <w:szCs w:val="14"/>
              </w:rPr>
              <w:t xml:space="preserve">Holiday / </w:t>
            </w:r>
            <w:r w:rsidRPr="00EB7BB6">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Pr="00EB7BB6" w:rsidRDefault="00BE34F7" w:rsidP="002323BF">
            <w:pPr>
              <w:jc w:val="center"/>
              <w:rPr>
                <w:rFonts w:ascii="Arial" w:hAnsi="Arial" w:cs="Arial"/>
                <w:b/>
                <w:sz w:val="14"/>
                <w:szCs w:val="14"/>
              </w:rPr>
            </w:pPr>
            <w:r w:rsidRPr="00EB7BB6">
              <w:rPr>
                <w:rFonts w:ascii="Arial" w:hAnsi="Arial" w:cs="Arial"/>
                <w:b/>
                <w:sz w:val="14"/>
                <w:szCs w:val="14"/>
              </w:rPr>
              <w:t>H</w:t>
            </w:r>
          </w:p>
        </w:tc>
        <w:tc>
          <w:tcPr>
            <w:tcW w:w="3580" w:type="dxa"/>
            <w:tcBorders>
              <w:top w:val="nil"/>
              <w:left w:val="double" w:sz="4" w:space="0" w:color="auto"/>
              <w:bottom w:val="nil"/>
              <w:right w:val="nil"/>
            </w:tcBorders>
            <w:hideMark/>
          </w:tcPr>
          <w:p w:rsidR="00BE34F7" w:rsidRPr="00EB7BB6" w:rsidRDefault="00BE34F7" w:rsidP="002323BF">
            <w:pPr>
              <w:tabs>
                <w:tab w:val="left" w:pos="203"/>
              </w:tabs>
              <w:spacing w:before="120"/>
              <w:rPr>
                <w:rFonts w:ascii="Arial" w:hAnsi="Arial" w:cs="Arial"/>
                <w:b/>
                <w:sz w:val="14"/>
                <w:szCs w:val="14"/>
                <w:lang w:val="fr-CA"/>
              </w:rPr>
            </w:pPr>
            <w:r w:rsidRPr="00EB7BB6">
              <w:rPr>
                <w:rFonts w:ascii="Arial" w:hAnsi="Arial" w:cs="Arial"/>
                <w:b/>
                <w:sz w:val="14"/>
                <w:szCs w:val="14"/>
                <w:lang w:val="fr-FR"/>
              </w:rPr>
              <w:t>5</w:t>
            </w:r>
            <w:r w:rsidRPr="00EB7BB6">
              <w:rPr>
                <w:rFonts w:ascii="Arial" w:hAnsi="Arial" w:cs="Arial"/>
                <w:b/>
                <w:sz w:val="14"/>
                <w:szCs w:val="14"/>
                <w:lang w:val="fr-FR"/>
              </w:rPr>
              <w:tab/>
              <w:t xml:space="preserve">holidays during sitting days / </w:t>
            </w:r>
          </w:p>
          <w:p w:rsidR="00BE34F7" w:rsidRDefault="00BE34F7" w:rsidP="002323BF">
            <w:pPr>
              <w:tabs>
                <w:tab w:val="left" w:pos="203"/>
              </w:tabs>
              <w:rPr>
                <w:rFonts w:ascii="Arial" w:hAnsi="Arial" w:cs="Arial"/>
                <w:b/>
                <w:sz w:val="14"/>
                <w:szCs w:val="14"/>
                <w:lang w:val="fr-CA"/>
              </w:rPr>
            </w:pPr>
            <w:r w:rsidRPr="00EB7BB6">
              <w:rPr>
                <w:rFonts w:ascii="Arial" w:hAnsi="Arial" w:cs="Arial"/>
                <w:b/>
                <w:sz w:val="14"/>
                <w:szCs w:val="14"/>
                <w:lang w:val="fr-CA"/>
              </w:rPr>
              <w:tab/>
              <w:t>jours fériés durant les séances</w:t>
            </w:r>
            <w:bookmarkStart w:id="13" w:name="_GoBack"/>
            <w:bookmarkEnd w:id="13"/>
          </w:p>
        </w:tc>
        <w:tc>
          <w:tcPr>
            <w:tcW w:w="4140" w:type="dxa"/>
            <w:tcMar>
              <w:top w:w="0" w:type="dxa"/>
              <w:left w:w="58" w:type="dxa"/>
              <w:bottom w:w="0" w:type="dxa"/>
              <w:right w:w="58" w:type="dxa"/>
            </w:tcMar>
          </w:tcPr>
          <w:p w:rsidR="00BE34F7" w:rsidRDefault="00BE34F7" w:rsidP="002323BF">
            <w:pPr>
              <w:rPr>
                <w:rFonts w:ascii="Arial" w:hAnsi="Arial" w:cs="Arial"/>
                <w:b/>
                <w:sz w:val="14"/>
                <w:szCs w:val="14"/>
                <w:lang w:val="fr-FR"/>
              </w:rPr>
            </w:pPr>
          </w:p>
        </w:tc>
        <w:tc>
          <w:tcPr>
            <w:tcW w:w="720" w:type="dxa"/>
          </w:tcPr>
          <w:p w:rsidR="00BE34F7" w:rsidRDefault="00BE34F7" w:rsidP="002323BF">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08"/>
      <w:footerReference w:type="default" r:id="rId109"/>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8E" w:rsidRDefault="00CE4B8E" w:rsidP="00A87207">
      <w:r>
        <w:separator/>
      </w:r>
    </w:p>
  </w:endnote>
  <w:endnote w:type="continuationSeparator" w:id="0">
    <w:p w:rsidR="00CE4B8E" w:rsidRDefault="00CE4B8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rsidP="00A87207">
    <w:pPr>
      <w:pStyle w:val="Footer"/>
    </w:pPr>
    <w:r>
      <w:pict>
        <v:rect id="_x0000_i1047" style="width:480.95pt;height:1pt" o:hralign="center" o:hrstd="t" o:hrnoshade="t" o:hr="t" fillcolor="black [3213]" stroked="f"/>
      </w:pict>
    </w:r>
  </w:p>
  <w:p w:rsidR="00CE4B8E" w:rsidRPr="00B7374B" w:rsidRDefault="00CE4B8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B7BB6">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rsidP="00EB2B90">
    <w:pPr>
      <w:tabs>
        <w:tab w:val="center" w:pos="4680"/>
      </w:tabs>
    </w:pPr>
    <w:r>
      <w:pict>
        <v:rect id="_x0000_i1086" style="width:480.95pt;height:1pt" o:hralign="center" o:hrstd="t" o:hrnoshade="t" o:hr="t" fillcolor="black [3213]" stroked="f"/>
      </w:pict>
    </w:r>
  </w:p>
  <w:p w:rsidR="00CE4B8E" w:rsidRPr="0031432F" w:rsidRDefault="00CE4B8E" w:rsidP="00EB2B90">
    <w:pPr>
      <w:tabs>
        <w:tab w:val="center" w:pos="4680"/>
      </w:tabs>
    </w:pPr>
    <w:r>
      <w:tab/>
      <w:t xml:space="preserve">- </w:t>
    </w:r>
    <w:r>
      <w:fldChar w:fldCharType="begin"/>
    </w:r>
    <w:r>
      <w:instrText xml:space="preserve"> PAGE   \* MERGEFORMAT </w:instrText>
    </w:r>
    <w:r>
      <w:fldChar w:fldCharType="separate"/>
    </w:r>
    <w:r w:rsidR="00EB7BB6">
      <w:rPr>
        <w:noProof/>
      </w:rPr>
      <w:t>31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E4B8E" w:rsidRDefault="00CE4B8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9" style="width:480.95pt;height:1pt" o:hralign="center" o:hrstd="t" o:hrnoshade="t" o:hr="t" fillcolor="black [3213]" stroked="f"/>
      </w:pict>
    </w:r>
  </w:p>
  <w:p w:rsidR="00CE4B8E" w:rsidRDefault="00CE4B8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pPr>
      <w:pStyle w:val="Footer"/>
      <w:rPr>
        <w:lang w:val="fr-CA"/>
      </w:rPr>
    </w:pPr>
    <w:r>
      <w:rPr>
        <w:lang w:val="fr-CA"/>
      </w:rPr>
      <w:pict>
        <v:rect id="_x0000_i1090" style="width:480.95pt;height:1pt" o:hralign="center" o:hrstd="t" o:hrnoshade="t" o:hr="t" fillcolor="black [3213]" stroked="f"/>
      </w:pict>
    </w:r>
  </w:p>
  <w:p w:rsidR="00CE4B8E" w:rsidRDefault="00CE4B8E" w:rsidP="00EB2B90">
    <w:pPr>
      <w:tabs>
        <w:tab w:val="center" w:pos="4680"/>
      </w:tabs>
    </w:pPr>
    <w:r>
      <w:tab/>
      <w:t xml:space="preserve">- </w:t>
    </w:r>
    <w:r>
      <w:fldChar w:fldCharType="begin"/>
    </w:r>
    <w:r>
      <w:instrText xml:space="preserve"> PAGE   \* MERGEFORMAT </w:instrText>
    </w:r>
    <w:r>
      <w:fldChar w:fldCharType="separate"/>
    </w:r>
    <w:r w:rsidR="00EB7BB6">
      <w:rPr>
        <w:noProof/>
      </w:rPr>
      <w:t>35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E4B8E" w:rsidRDefault="00CE4B8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rsidP="00732DB7">
    <w:r>
      <w:pict>
        <v:rect id="_x0000_i1095" style="width:480.95pt;height:1pt" o:hralign="center" o:hrstd="t" o:hrnoshade="t" o:hr="t" fillcolor="black" stroked="f"/>
      </w:pict>
    </w:r>
  </w:p>
  <w:p w:rsidR="00CE4B8E" w:rsidRDefault="00CE4B8E">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pPr>
      <w:pStyle w:val="Footer"/>
    </w:pPr>
    <w:r>
      <w:pict>
        <v:rect id="_x0000_i1096" style="width:480.95pt;height:1pt" o:hralign="center" o:hrstd="t" o:hrnoshade="t" o:hr="t" fillcolor="black" stroked="f"/>
      </w:pict>
    </w:r>
  </w:p>
  <w:p w:rsidR="00CE4B8E" w:rsidRPr="00283C52" w:rsidRDefault="00CE4B8E">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E4B8E" w:rsidRDefault="00CE4B8E">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E4B8E" w:rsidRDefault="00EB7B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8" style="width:480.95pt;height:1pt" o:hralign="center" o:hrstd="t" o:hrnoshade="t" o:hr="t" fillcolor="black [3213]" stroked="f"/>
      </w:pict>
    </w:r>
  </w:p>
  <w:p w:rsidR="00CE4B8E" w:rsidRDefault="00CE4B8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rsidP="00782AE4">
    <w:pPr>
      <w:tabs>
        <w:tab w:val="center" w:pos="4680"/>
      </w:tabs>
    </w:pPr>
    <w:r>
      <w:pict>
        <v:rect id="_x0000_i1099" style="width:480.95pt;height:1pt" o:hralign="center" o:hrstd="t" o:hrnoshade="t" o:hr="t" fillcolor="black [3213]" stroked="f"/>
      </w:pict>
    </w:r>
  </w:p>
  <w:p w:rsidR="00CE4B8E" w:rsidRDefault="00CE4B8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B7BB6">
      <w:rPr>
        <w:noProof/>
        <w:szCs w:val="24"/>
      </w:rPr>
      <w:t>39</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rsidP="00755F22">
    <w:pPr>
      <w:tabs>
        <w:tab w:val="left" w:pos="-1440"/>
        <w:tab w:val="left" w:pos="-720"/>
      </w:tabs>
    </w:pPr>
    <w:r>
      <w:pict>
        <v:rect id="_x0000_i1048" style="width:480.95pt;height:1pt" o:hralign="center" o:hrstd="t" o:hrnoshade="t" o:hr="t" fillcolor="black [3213]" stroked="f"/>
      </w:pict>
    </w:r>
  </w:p>
  <w:p w:rsidR="00CE4B8E" w:rsidRPr="00954D22" w:rsidRDefault="00CE4B8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B7BB6">
      <w:rPr>
        <w:noProof/>
        <w:szCs w:val="24"/>
      </w:rPr>
      <w:t>1</w:t>
    </w:r>
    <w:r>
      <w:rPr>
        <w:szCs w:val="24"/>
      </w:rPr>
      <w:fldChar w:fldCharType="end"/>
    </w:r>
    <w:r w:rsidRPr="00954D22">
      <w:rPr>
        <w:szCs w:val="24"/>
      </w:rPr>
      <w:t xml:space="preserve"> -</w:t>
    </w:r>
  </w:p>
  <w:p w:rsidR="00CE4B8E" w:rsidRDefault="00CE4B8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Pr="00924065" w:rsidRDefault="00CE4B8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rsidP="00A87207">
    <w:pPr>
      <w:pStyle w:val="Footer"/>
    </w:pPr>
    <w:r>
      <w:pict>
        <v:rect id="_x0000_i1050" style="width:480.95pt;height:1pt" o:hralign="center" o:hrstd="t" o:hrnoshade="t" o:hr="t" fillcolor="black [3213]" stroked="f"/>
      </w:pict>
    </w:r>
  </w:p>
  <w:p w:rsidR="00CE4B8E" w:rsidRPr="00B7374B" w:rsidRDefault="00CE4B8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1" style="width:480.95pt;height:1pt" o:hralign="center" o:hrstd="t" o:hrnoshade="t" o:hr="t" fillcolor="black [3213]" stroked="f"/>
      </w:pict>
    </w:r>
  </w:p>
  <w:p w:rsidR="00CE4B8E" w:rsidRPr="00954D22" w:rsidRDefault="00CE4B8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B7BB6">
      <w:rPr>
        <w:noProof/>
        <w:szCs w:val="24"/>
      </w:rPr>
      <w:t>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E4B8E" w:rsidRDefault="00CE4B8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CE4B8E" w:rsidRPr="0009648D" w:rsidRDefault="00CE4B8E" w:rsidP="00ED7E83">
    <w:pPr>
      <w:tabs>
        <w:tab w:val="center" w:pos="4680"/>
      </w:tabs>
    </w:pPr>
    <w:r>
      <w:tab/>
    </w:r>
    <w:r w:rsidRPr="0009648D">
      <w:t xml:space="preserve">- </w:t>
    </w:r>
    <w:r>
      <w:fldChar w:fldCharType="begin"/>
    </w:r>
    <w:r>
      <w:instrText xml:space="preserve"> PAGE   \* MERGEFORMAT </w:instrText>
    </w:r>
    <w:r>
      <w:fldChar w:fldCharType="separate"/>
    </w:r>
    <w:r w:rsidR="00EB7BB6">
      <w:rPr>
        <w:noProof/>
      </w:rPr>
      <w:t>19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pPr>
      <w:pStyle w:val="Footer"/>
      <w:rPr>
        <w:lang w:val="fr-CA"/>
      </w:rPr>
    </w:pPr>
    <w:r>
      <w:rPr>
        <w:lang w:val="fr-CA"/>
      </w:rPr>
      <w:pict>
        <v:rect id="_x0000_i1081" style="width:480.95pt;height:1pt" o:hralign="center" o:hrstd="t" o:hrnoshade="t" o:hr="t" fillcolor="black [3213]" stroked="f"/>
      </w:pict>
    </w:r>
  </w:p>
  <w:p w:rsidR="00CE4B8E" w:rsidRDefault="00CE4B8E" w:rsidP="00245129">
    <w:pPr>
      <w:tabs>
        <w:tab w:val="center" w:pos="4680"/>
      </w:tabs>
    </w:pPr>
    <w:r>
      <w:tab/>
    </w:r>
    <w:r w:rsidRPr="0009648D">
      <w:t xml:space="preserve">- </w:t>
    </w:r>
    <w:r>
      <w:fldChar w:fldCharType="begin"/>
    </w:r>
    <w:r>
      <w:instrText xml:space="preserve"> PAGE   \* MERGEFORMAT </w:instrText>
    </w:r>
    <w:r>
      <w:fldChar w:fldCharType="separate"/>
    </w:r>
    <w:r w:rsidR="00EB7BB6">
      <w:rPr>
        <w:noProof/>
      </w:rPr>
      <w:t>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E4B8E" w:rsidRDefault="00CE4B8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EB7BB6" w:rsidP="00755F22">
    <w:pPr>
      <w:tabs>
        <w:tab w:val="left" w:pos="-1440"/>
        <w:tab w:val="left" w:pos="-720"/>
      </w:tabs>
    </w:pPr>
    <w:r>
      <w:pict>
        <v:rect id="_x0000_i1085" style="width:480.95pt;height:1pt" o:hralign="center" o:hrstd="t" o:hrnoshade="t" o:hr="t" fillcolor="black [3213]" stroked="f"/>
      </w:pict>
    </w:r>
  </w:p>
  <w:p w:rsidR="00CE4B8E" w:rsidRDefault="00CE4B8E" w:rsidP="00EB2B90">
    <w:pPr>
      <w:tabs>
        <w:tab w:val="center" w:pos="4680"/>
      </w:tabs>
    </w:pPr>
    <w:r>
      <w:tab/>
      <w:t xml:space="preserve">- </w:t>
    </w:r>
    <w:r>
      <w:fldChar w:fldCharType="begin"/>
    </w:r>
    <w:r>
      <w:instrText xml:space="preserve"> PAGE   \* MERGEFORMAT </w:instrText>
    </w:r>
    <w:r>
      <w:fldChar w:fldCharType="separate"/>
    </w:r>
    <w:r w:rsidR="00EB7BB6">
      <w:rPr>
        <w:noProof/>
      </w:rPr>
      <w:t>34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8E" w:rsidRDefault="00CE4B8E" w:rsidP="00A87207">
      <w:r>
        <w:separator/>
      </w:r>
    </w:p>
  </w:footnote>
  <w:footnote w:type="continuationSeparator" w:id="0">
    <w:p w:rsidR="00CE4B8E" w:rsidRDefault="00CE4B8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E4B8E" w:rsidRPr="0044776A" w:rsidTr="00245129">
      <w:tc>
        <w:tcPr>
          <w:tcW w:w="4290" w:type="dxa"/>
          <w:tcMar>
            <w:left w:w="0" w:type="dxa"/>
            <w:right w:w="0" w:type="dxa"/>
          </w:tcMar>
        </w:tcPr>
        <w:p w:rsidR="00CE4B8E" w:rsidRPr="0044776A" w:rsidRDefault="00CE4B8E" w:rsidP="002E2327">
          <w:pPr>
            <w:keepNext/>
            <w:keepLines/>
            <w:rPr>
              <w:sz w:val="20"/>
              <w:szCs w:val="20"/>
            </w:rPr>
          </w:pPr>
          <w:r>
            <w:rPr>
              <w:sz w:val="20"/>
              <w:szCs w:val="20"/>
            </w:rPr>
            <w:t>A</w:t>
          </w:r>
          <w:r w:rsidRPr="0044776A">
            <w:rPr>
              <w:sz w:val="20"/>
              <w:szCs w:val="20"/>
            </w:rPr>
            <w:t>pplications for leave to appeal filed</w:t>
          </w:r>
        </w:p>
      </w:tc>
      <w:tc>
        <w:tcPr>
          <w:tcW w:w="1200" w:type="dxa"/>
          <w:tcMar>
            <w:left w:w="0" w:type="dxa"/>
            <w:right w:w="0" w:type="dxa"/>
          </w:tcMar>
        </w:tcPr>
        <w:p w:rsidR="00CE4B8E" w:rsidRPr="0044776A" w:rsidRDefault="00CE4B8E" w:rsidP="002E2327">
          <w:pPr>
            <w:keepNext/>
            <w:keepLines/>
            <w:tabs>
              <w:tab w:val="left" w:pos="-1440"/>
              <w:tab w:val="left" w:pos="-720"/>
            </w:tabs>
            <w:jc w:val="center"/>
            <w:rPr>
              <w:sz w:val="20"/>
              <w:szCs w:val="20"/>
            </w:rPr>
          </w:pPr>
        </w:p>
        <w:p w:rsidR="00CE4B8E" w:rsidRPr="0044776A" w:rsidRDefault="00CE4B8E" w:rsidP="002E2327">
          <w:pPr>
            <w:keepNext/>
            <w:keepLines/>
            <w:tabs>
              <w:tab w:val="left" w:pos="-1440"/>
              <w:tab w:val="left" w:pos="-720"/>
            </w:tabs>
            <w:jc w:val="center"/>
            <w:rPr>
              <w:sz w:val="20"/>
              <w:szCs w:val="20"/>
            </w:rPr>
          </w:pPr>
        </w:p>
        <w:p w:rsidR="00CE4B8E" w:rsidRPr="0044776A" w:rsidRDefault="00CE4B8E" w:rsidP="002E2327">
          <w:pPr>
            <w:keepNext/>
            <w:keepLines/>
            <w:tabs>
              <w:tab w:val="left" w:pos="-1440"/>
              <w:tab w:val="left" w:pos="-720"/>
            </w:tabs>
            <w:jc w:val="center"/>
            <w:rPr>
              <w:sz w:val="20"/>
              <w:szCs w:val="20"/>
            </w:rPr>
          </w:pPr>
        </w:p>
      </w:tc>
      <w:tc>
        <w:tcPr>
          <w:tcW w:w="4320" w:type="dxa"/>
          <w:tcMar>
            <w:left w:w="0" w:type="dxa"/>
            <w:right w:w="0" w:type="dxa"/>
          </w:tcMar>
        </w:tcPr>
        <w:p w:rsidR="00CE4B8E" w:rsidRPr="0044776A" w:rsidRDefault="00CE4B8E" w:rsidP="002E2327">
          <w:pPr>
            <w:keepLines/>
            <w:rPr>
              <w:sz w:val="20"/>
              <w:szCs w:val="20"/>
              <w:lang w:val="fr-CA"/>
            </w:rPr>
          </w:pPr>
          <w:r>
            <w:rPr>
              <w:sz w:val="20"/>
              <w:szCs w:val="20"/>
              <w:lang w:val="fr-CA"/>
            </w:rPr>
            <w:t>D</w:t>
          </w:r>
          <w:r w:rsidRPr="0044776A">
            <w:rPr>
              <w:sz w:val="20"/>
              <w:szCs w:val="20"/>
              <w:lang w:val="fr-CA"/>
            </w:rPr>
            <w:t>emandes d'autorisation d'appel déposées</w:t>
          </w:r>
        </w:p>
      </w:tc>
    </w:tr>
  </w:tbl>
  <w:p w:rsidR="00CE4B8E" w:rsidRDefault="00CE4B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E4B8E" w:rsidRPr="00DA5B84">
      <w:tc>
        <w:tcPr>
          <w:tcW w:w="4200" w:type="dxa"/>
          <w:tcMar>
            <w:left w:w="0" w:type="dxa"/>
            <w:right w:w="0" w:type="dxa"/>
          </w:tcMar>
        </w:tcPr>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E4B8E" w:rsidRPr="00B01A03" w:rsidRDefault="00CE4B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E4B8E" w:rsidRPr="00B01A03"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E4B8E" w:rsidRPr="00B01A03"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E4B8E" w:rsidRPr="00DA5B84" w:rsidTr="00245129">
      <w:tc>
        <w:tcPr>
          <w:tcW w:w="4200" w:type="dxa"/>
          <w:tcMar>
            <w:left w:w="0" w:type="dxa"/>
            <w:right w:w="0" w:type="dxa"/>
          </w:tcMar>
        </w:tcPr>
        <w:p w:rsidR="00CE4B8E" w:rsidRPr="00F40249" w:rsidRDefault="00CE4B8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E4B8E" w:rsidRDefault="00CE4B8E" w:rsidP="00102926">
          <w:pPr>
            <w:keepNext/>
            <w:keepLines/>
            <w:tabs>
              <w:tab w:val="left" w:pos="-1440"/>
              <w:tab w:val="left" w:pos="-720"/>
            </w:tabs>
            <w:jc w:val="center"/>
            <w:rPr>
              <w:sz w:val="20"/>
              <w:szCs w:val="20"/>
            </w:rPr>
          </w:pPr>
        </w:p>
        <w:p w:rsidR="00CE4B8E" w:rsidRDefault="00CE4B8E" w:rsidP="00102926">
          <w:pPr>
            <w:keepNext/>
            <w:keepLines/>
            <w:tabs>
              <w:tab w:val="left" w:pos="-1440"/>
              <w:tab w:val="left" w:pos="-720"/>
            </w:tabs>
            <w:jc w:val="center"/>
            <w:rPr>
              <w:sz w:val="20"/>
              <w:szCs w:val="20"/>
            </w:rPr>
          </w:pPr>
        </w:p>
        <w:p w:rsidR="00CE4B8E" w:rsidRPr="00F40249" w:rsidRDefault="00CE4B8E" w:rsidP="00102926">
          <w:pPr>
            <w:keepNext/>
            <w:keepLines/>
            <w:tabs>
              <w:tab w:val="left" w:pos="-1440"/>
              <w:tab w:val="left" w:pos="-720"/>
            </w:tabs>
            <w:jc w:val="center"/>
            <w:rPr>
              <w:sz w:val="20"/>
              <w:szCs w:val="20"/>
            </w:rPr>
          </w:pPr>
        </w:p>
      </w:tc>
      <w:tc>
        <w:tcPr>
          <w:tcW w:w="4230" w:type="dxa"/>
          <w:tcMar>
            <w:left w:w="0" w:type="dxa"/>
            <w:right w:w="0" w:type="dxa"/>
          </w:tcMar>
        </w:tcPr>
        <w:p w:rsidR="00CE4B8E" w:rsidRPr="00F40249" w:rsidRDefault="00CE4B8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E4B8E" w:rsidRPr="00B01A03" w:rsidRDefault="00CE4B8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E4B8E" w:rsidRPr="00DA5B84">
      <w:tc>
        <w:tcPr>
          <w:tcW w:w="4200" w:type="dxa"/>
          <w:tcMar>
            <w:left w:w="0" w:type="dxa"/>
            <w:right w:w="0" w:type="dxa"/>
          </w:tcMar>
        </w:tcPr>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E4B8E" w:rsidRPr="00283C52" w:rsidRDefault="00CE4B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CE4B8E" w:rsidRPr="00283C52"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E4B8E" w:rsidRPr="00283C52"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E4B8E" w:rsidRPr="00DA5B84" w:rsidTr="00245129">
      <w:tc>
        <w:tcPr>
          <w:tcW w:w="4200" w:type="dxa"/>
          <w:tcMar>
            <w:left w:w="0" w:type="dxa"/>
            <w:right w:w="0" w:type="dxa"/>
          </w:tcMar>
        </w:tcPr>
        <w:p w:rsidR="00CE4B8E" w:rsidRPr="00732DB7" w:rsidRDefault="00CE4B8E" w:rsidP="00732DB7">
          <w:pPr>
            <w:keepNext/>
            <w:keepLines/>
            <w:tabs>
              <w:tab w:val="left" w:pos="-1440"/>
              <w:tab w:val="left" w:pos="-720"/>
            </w:tabs>
            <w:rPr>
              <w:sz w:val="20"/>
              <w:szCs w:val="20"/>
            </w:rPr>
          </w:pPr>
          <w:r>
            <w:rPr>
              <w:sz w:val="20"/>
              <w:szCs w:val="20"/>
            </w:rPr>
            <w:t>A</w:t>
          </w:r>
          <w:r w:rsidRPr="00732DB7">
            <w:rPr>
              <w:sz w:val="20"/>
              <w:szCs w:val="20"/>
            </w:rPr>
            <w:t>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CE4B8E" w:rsidRPr="00732DB7" w:rsidRDefault="00CE4B8E" w:rsidP="00732DB7">
          <w:pPr>
            <w:keepNext/>
            <w:keepLines/>
            <w:tabs>
              <w:tab w:val="left" w:pos="-1440"/>
              <w:tab w:val="left" w:pos="-720"/>
            </w:tabs>
            <w:jc w:val="center"/>
            <w:rPr>
              <w:sz w:val="20"/>
              <w:szCs w:val="20"/>
            </w:rPr>
          </w:pPr>
        </w:p>
        <w:p w:rsidR="00CE4B8E" w:rsidRPr="00732DB7" w:rsidRDefault="00CE4B8E" w:rsidP="00732DB7">
          <w:pPr>
            <w:keepNext/>
            <w:keepLines/>
            <w:tabs>
              <w:tab w:val="left" w:pos="-1440"/>
              <w:tab w:val="left" w:pos="-720"/>
            </w:tabs>
            <w:jc w:val="center"/>
            <w:rPr>
              <w:sz w:val="20"/>
              <w:szCs w:val="20"/>
            </w:rPr>
          </w:pPr>
        </w:p>
        <w:p w:rsidR="00CE4B8E" w:rsidRPr="00732DB7" w:rsidRDefault="00CE4B8E" w:rsidP="00732DB7">
          <w:pPr>
            <w:keepNext/>
            <w:keepLines/>
            <w:tabs>
              <w:tab w:val="left" w:pos="-1440"/>
              <w:tab w:val="left" w:pos="-720"/>
            </w:tabs>
            <w:jc w:val="center"/>
            <w:rPr>
              <w:sz w:val="20"/>
              <w:szCs w:val="20"/>
            </w:rPr>
          </w:pPr>
        </w:p>
      </w:tc>
      <w:tc>
        <w:tcPr>
          <w:tcW w:w="4080" w:type="dxa"/>
          <w:tcMar>
            <w:left w:w="0" w:type="dxa"/>
            <w:right w:w="0" w:type="dxa"/>
          </w:tcMar>
        </w:tcPr>
        <w:p w:rsidR="00CE4B8E" w:rsidRPr="00732DB7" w:rsidRDefault="00CE4B8E" w:rsidP="00732DB7">
          <w:pPr>
            <w:keepLines/>
            <w:tabs>
              <w:tab w:val="left" w:pos="-1440"/>
              <w:tab w:val="left" w:pos="-720"/>
            </w:tabs>
            <w:rPr>
              <w:sz w:val="20"/>
              <w:szCs w:val="20"/>
              <w:lang w:val="fr-CA"/>
            </w:rPr>
          </w:pPr>
          <w:r>
            <w:rPr>
              <w:sz w:val="20"/>
              <w:szCs w:val="20"/>
              <w:lang w:val="fr-CA"/>
            </w:rPr>
            <w:t>A</w:t>
          </w:r>
          <w:r w:rsidRPr="00732DB7">
            <w:rPr>
              <w:sz w:val="20"/>
              <w:szCs w:val="20"/>
              <w:lang w:val="fr-CA"/>
            </w:rPr>
            <w:t>ppels entendus depuis la dernière parution et résultat</w:t>
          </w:r>
        </w:p>
      </w:tc>
    </w:tr>
  </w:tbl>
  <w:p w:rsidR="00CE4B8E" w:rsidRPr="00283C52" w:rsidRDefault="00CE4B8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E4B8E">
      <w:tc>
        <w:tcPr>
          <w:tcW w:w="4230" w:type="dxa"/>
          <w:tcMar>
            <w:left w:w="0" w:type="dxa"/>
            <w:right w:w="0" w:type="dxa"/>
          </w:tcMar>
        </w:tcPr>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E4B8E" w:rsidRDefault="00CE4B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E4B8E" w:rsidRPr="00782AE4" w:rsidTr="00245129">
      <w:tc>
        <w:tcPr>
          <w:tcW w:w="4230" w:type="dxa"/>
          <w:tcMar>
            <w:left w:w="0" w:type="dxa"/>
            <w:right w:w="0" w:type="dxa"/>
          </w:tcMar>
        </w:tcPr>
        <w:p w:rsidR="00CE4B8E" w:rsidRPr="00782AE4" w:rsidRDefault="00CE4B8E" w:rsidP="00102926">
          <w:pPr>
            <w:keepNext/>
            <w:keepLines/>
            <w:tabs>
              <w:tab w:val="left" w:pos="-1440"/>
              <w:tab w:val="left" w:pos="-720"/>
            </w:tabs>
            <w:rPr>
              <w:sz w:val="20"/>
              <w:szCs w:val="20"/>
            </w:rPr>
          </w:pPr>
          <w:r w:rsidRPr="00782AE4">
            <w:rPr>
              <w:sz w:val="20"/>
              <w:szCs w:val="20"/>
            </w:rPr>
            <w:t xml:space="preserve">HEADNOTES OF RECENT </w:t>
          </w:r>
        </w:p>
        <w:p w:rsidR="00CE4B8E" w:rsidRPr="00782AE4"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E4B8E" w:rsidRDefault="00CE4B8E" w:rsidP="00102926">
          <w:pPr>
            <w:keepNext/>
            <w:keepLines/>
            <w:tabs>
              <w:tab w:val="left" w:pos="-1440"/>
              <w:tab w:val="left" w:pos="-720"/>
            </w:tabs>
            <w:jc w:val="center"/>
            <w:rPr>
              <w:sz w:val="20"/>
              <w:szCs w:val="20"/>
            </w:rPr>
          </w:pPr>
        </w:p>
        <w:p w:rsidR="00CE4B8E" w:rsidRDefault="00CE4B8E" w:rsidP="00102926">
          <w:pPr>
            <w:keepNext/>
            <w:keepLines/>
            <w:tabs>
              <w:tab w:val="left" w:pos="-1440"/>
              <w:tab w:val="left" w:pos="-720"/>
            </w:tabs>
            <w:jc w:val="center"/>
            <w:rPr>
              <w:sz w:val="20"/>
              <w:szCs w:val="20"/>
            </w:rPr>
          </w:pPr>
        </w:p>
        <w:p w:rsidR="00CE4B8E" w:rsidRPr="00782AE4" w:rsidRDefault="00CE4B8E" w:rsidP="00102926">
          <w:pPr>
            <w:keepNext/>
            <w:keepLines/>
            <w:tabs>
              <w:tab w:val="left" w:pos="-1440"/>
              <w:tab w:val="left" w:pos="-720"/>
            </w:tabs>
            <w:jc w:val="center"/>
            <w:rPr>
              <w:sz w:val="20"/>
              <w:szCs w:val="20"/>
            </w:rPr>
          </w:pPr>
        </w:p>
      </w:tc>
      <w:tc>
        <w:tcPr>
          <w:tcW w:w="4080" w:type="dxa"/>
          <w:tcMar>
            <w:left w:w="0" w:type="dxa"/>
            <w:right w:w="0" w:type="dxa"/>
          </w:tcMar>
        </w:tcPr>
        <w:p w:rsidR="00CE4B8E" w:rsidRPr="00102926"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E4B8E" w:rsidRPr="00782AE4" w:rsidRDefault="00CE4B8E" w:rsidP="00102926">
          <w:pPr>
            <w:keepLines/>
            <w:tabs>
              <w:tab w:val="left" w:pos="-1440"/>
              <w:tab w:val="left" w:pos="-720"/>
            </w:tabs>
            <w:rPr>
              <w:sz w:val="20"/>
              <w:szCs w:val="20"/>
            </w:rPr>
          </w:pPr>
          <w:r w:rsidRPr="00102926">
            <w:rPr>
              <w:sz w:val="20"/>
              <w:szCs w:val="20"/>
              <w:lang w:val="fr-CA"/>
            </w:rPr>
            <w:t>RÉCENTS</w:t>
          </w:r>
        </w:p>
      </w:tc>
    </w:tr>
  </w:tbl>
  <w:p w:rsidR="00CE4B8E" w:rsidRDefault="00CE4B8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E4B8E" w:rsidRPr="00DA5B84" w:rsidTr="00245129">
      <w:tc>
        <w:tcPr>
          <w:tcW w:w="4200" w:type="dxa"/>
          <w:tcMar>
            <w:left w:w="0" w:type="dxa"/>
            <w:right w:w="0" w:type="dxa"/>
          </w:tcMar>
        </w:tcPr>
        <w:p w:rsidR="00CE4B8E" w:rsidRPr="0044776A" w:rsidRDefault="00CE4B8E" w:rsidP="0044776A">
          <w:pPr>
            <w:keepNext/>
            <w:keepLines/>
            <w:widowControl w:val="0"/>
            <w:rPr>
              <w:sz w:val="20"/>
              <w:szCs w:val="20"/>
            </w:rPr>
          </w:pPr>
          <w:r>
            <w:rPr>
              <w:sz w:val="20"/>
              <w:szCs w:val="20"/>
            </w:rPr>
            <w:t>APPLICATIONS FOR LEAVE</w:t>
          </w:r>
        </w:p>
        <w:p w:rsidR="00CE4B8E" w:rsidRPr="0044776A" w:rsidRDefault="00CE4B8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E4B8E" w:rsidRPr="0044776A" w:rsidRDefault="00CE4B8E" w:rsidP="0044776A">
          <w:pPr>
            <w:keepNext/>
            <w:keepLines/>
            <w:widowControl w:val="0"/>
            <w:jc w:val="center"/>
            <w:rPr>
              <w:sz w:val="20"/>
              <w:szCs w:val="20"/>
            </w:rPr>
          </w:pPr>
        </w:p>
        <w:p w:rsidR="00CE4B8E" w:rsidRPr="0044776A" w:rsidRDefault="00CE4B8E" w:rsidP="0044776A">
          <w:pPr>
            <w:keepNext/>
            <w:keepLines/>
            <w:widowControl w:val="0"/>
            <w:jc w:val="center"/>
            <w:rPr>
              <w:sz w:val="20"/>
              <w:szCs w:val="20"/>
            </w:rPr>
          </w:pPr>
        </w:p>
        <w:p w:rsidR="00CE4B8E" w:rsidRPr="0044776A" w:rsidRDefault="00CE4B8E" w:rsidP="0044776A">
          <w:pPr>
            <w:keepNext/>
            <w:keepLines/>
            <w:widowControl w:val="0"/>
            <w:jc w:val="center"/>
            <w:rPr>
              <w:sz w:val="20"/>
              <w:szCs w:val="20"/>
            </w:rPr>
          </w:pPr>
        </w:p>
      </w:tc>
      <w:tc>
        <w:tcPr>
          <w:tcW w:w="4080" w:type="dxa"/>
          <w:tcMar>
            <w:left w:w="0" w:type="dxa"/>
            <w:right w:w="0" w:type="dxa"/>
          </w:tcMar>
        </w:tcPr>
        <w:p w:rsidR="00CE4B8E" w:rsidRPr="0044776A" w:rsidRDefault="00CE4B8E" w:rsidP="0044776A">
          <w:pPr>
            <w:keepLines/>
            <w:widowControl w:val="0"/>
            <w:rPr>
              <w:sz w:val="20"/>
              <w:szCs w:val="20"/>
              <w:lang w:val="fr-CA"/>
            </w:rPr>
          </w:pPr>
          <w:r w:rsidRPr="0044776A">
            <w:rPr>
              <w:sz w:val="20"/>
              <w:szCs w:val="20"/>
              <w:lang w:val="fr-CA"/>
            </w:rPr>
            <w:t>DEMANDES SOUMISES À LA COUR DEPUIS LA DERNIÈRE PARUTION</w:t>
          </w:r>
        </w:p>
        <w:p w:rsidR="00CE4B8E" w:rsidRPr="0044776A" w:rsidRDefault="00CE4B8E" w:rsidP="0044776A">
          <w:pPr>
            <w:widowControl w:val="0"/>
            <w:rPr>
              <w:sz w:val="20"/>
              <w:szCs w:val="20"/>
              <w:lang w:val="fr-CA"/>
            </w:rPr>
          </w:pPr>
        </w:p>
      </w:tc>
    </w:tr>
  </w:tbl>
  <w:p w:rsidR="00CE4B8E" w:rsidRPr="002E2327" w:rsidRDefault="00CE4B8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E4B8E" w:rsidRPr="00DA5B84">
      <w:tc>
        <w:tcPr>
          <w:tcW w:w="4200" w:type="dxa"/>
          <w:tcMar>
            <w:left w:w="0" w:type="dxa"/>
            <w:right w:w="0" w:type="dxa"/>
          </w:tcMar>
        </w:tcPr>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E4B8E" w:rsidRDefault="00CE4B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E4B8E" w:rsidRPr="00FF6BA5" w:rsidRDefault="00CE4B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E4B8E" w:rsidRPr="00FF6BA5"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E4B8E" w:rsidRPr="00FF6BA5"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E4B8E" w:rsidRPr="00FF6BA5"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E4B8E" w:rsidRPr="00DA5B84" w:rsidTr="00245129">
      <w:tc>
        <w:tcPr>
          <w:tcW w:w="4200" w:type="dxa"/>
          <w:tcMar>
            <w:left w:w="0" w:type="dxa"/>
            <w:right w:w="0" w:type="dxa"/>
          </w:tcMar>
        </w:tcPr>
        <w:p w:rsidR="00CE4B8E" w:rsidRPr="00634F42" w:rsidRDefault="00CE4B8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E4B8E" w:rsidRPr="00755F22" w:rsidRDefault="00CE4B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E4B8E" w:rsidRPr="00755F22" w:rsidRDefault="00CE4B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E4B8E" w:rsidRPr="00755F22" w:rsidRDefault="00CE4B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E4B8E" w:rsidRPr="00755F22" w:rsidRDefault="00CE4B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E4B8E" w:rsidRPr="00FF6BA5" w:rsidRDefault="00CE4B8E"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8E" w:rsidRDefault="00CE4B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E4B8E">
      <w:tc>
        <w:tcPr>
          <w:tcW w:w="4230" w:type="dxa"/>
          <w:tcMar>
            <w:left w:w="0" w:type="dxa"/>
            <w:right w:w="0" w:type="dxa"/>
          </w:tcMar>
        </w:tcPr>
        <w:p w:rsidR="00CE4B8E" w:rsidRDefault="00CE4B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E4B8E" w:rsidRDefault="00CE4B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E4B8E" w:rsidRDefault="00CE4B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E4B8E">
      <w:trPr>
        <w:gridAfter w:val="2"/>
        <w:wAfter w:w="5250" w:type="dxa"/>
      </w:trPr>
      <w:tc>
        <w:tcPr>
          <w:tcW w:w="4230" w:type="dxa"/>
          <w:tcMar>
            <w:left w:w="0" w:type="dxa"/>
            <w:right w:w="0" w:type="dxa"/>
          </w:tcMar>
        </w:tcPr>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E4B8E" w:rsidRDefault="00CE4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E4B8E" w:rsidRPr="00755F22" w:rsidTr="00245129">
      <w:tc>
        <w:tcPr>
          <w:tcW w:w="4230" w:type="dxa"/>
          <w:tcMar>
            <w:left w:w="0" w:type="dxa"/>
            <w:right w:w="0" w:type="dxa"/>
          </w:tcMar>
        </w:tcPr>
        <w:p w:rsidR="00CE4B8E" w:rsidRPr="00755F22" w:rsidRDefault="00CE4B8E" w:rsidP="00CE4B8E">
          <w:pPr>
            <w:keepNext/>
            <w:keepLines/>
            <w:tabs>
              <w:tab w:val="center" w:pos="2115"/>
            </w:tabs>
            <w:rPr>
              <w:sz w:val="20"/>
              <w:szCs w:val="20"/>
            </w:rPr>
          </w:pPr>
          <w:r w:rsidRPr="00755F22">
            <w:rPr>
              <w:sz w:val="20"/>
              <w:szCs w:val="20"/>
            </w:rPr>
            <w:t>Motions</w:t>
          </w:r>
          <w:r>
            <w:rPr>
              <w:sz w:val="20"/>
              <w:szCs w:val="20"/>
            </w:rPr>
            <w:tab/>
          </w:r>
        </w:p>
      </w:tc>
      <w:tc>
        <w:tcPr>
          <w:tcW w:w="1170" w:type="dxa"/>
          <w:tcMar>
            <w:left w:w="0" w:type="dxa"/>
            <w:right w:w="0" w:type="dxa"/>
          </w:tcMar>
        </w:tcPr>
        <w:p w:rsidR="00CE4B8E" w:rsidRPr="00755F22" w:rsidRDefault="00CE4B8E" w:rsidP="00831CA9">
          <w:pPr>
            <w:keepLines/>
            <w:jc w:val="center"/>
            <w:rPr>
              <w:sz w:val="20"/>
              <w:szCs w:val="20"/>
            </w:rPr>
          </w:pPr>
        </w:p>
        <w:p w:rsidR="00CE4B8E" w:rsidRPr="00755F22" w:rsidRDefault="00CE4B8E" w:rsidP="00831CA9">
          <w:pPr>
            <w:keepLines/>
            <w:tabs>
              <w:tab w:val="left" w:pos="-1440"/>
              <w:tab w:val="left" w:pos="-720"/>
            </w:tabs>
            <w:jc w:val="center"/>
            <w:rPr>
              <w:sz w:val="20"/>
              <w:szCs w:val="20"/>
            </w:rPr>
          </w:pPr>
        </w:p>
      </w:tc>
      <w:tc>
        <w:tcPr>
          <w:tcW w:w="4080" w:type="dxa"/>
          <w:tcMar>
            <w:left w:w="0" w:type="dxa"/>
            <w:right w:w="0" w:type="dxa"/>
          </w:tcMar>
        </w:tcPr>
        <w:p w:rsidR="00CE4B8E" w:rsidRPr="00BA6468" w:rsidRDefault="00CE4B8E" w:rsidP="00BA6468">
          <w:pPr>
            <w:keepLines/>
            <w:rPr>
              <w:sz w:val="20"/>
              <w:szCs w:val="20"/>
              <w:lang w:val="fr-CA"/>
            </w:rPr>
          </w:pPr>
          <w:r w:rsidRPr="00BA6468">
            <w:rPr>
              <w:sz w:val="20"/>
              <w:szCs w:val="20"/>
              <w:lang w:val="fr-CA"/>
            </w:rPr>
            <w:t>Requêtes</w:t>
          </w:r>
        </w:p>
      </w:tc>
    </w:tr>
  </w:tbl>
  <w:p w:rsidR="00CE4B8E" w:rsidRDefault="00CE4B8E"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5"/>
  </w:num>
  <w:num w:numId="10">
    <w:abstractNumId w:val="25"/>
  </w:num>
  <w:num w:numId="11">
    <w:abstractNumId w:val="21"/>
  </w:num>
  <w:num w:numId="12">
    <w:abstractNumId w:val="3"/>
  </w:num>
  <w:num w:numId="13">
    <w:abstractNumId w:val="22"/>
  </w:num>
  <w:num w:numId="14">
    <w:abstractNumId w:val="14"/>
  </w:num>
  <w:num w:numId="15">
    <w:abstractNumId w:val="10"/>
  </w:num>
  <w:num w:numId="16">
    <w:abstractNumId w:val="9"/>
  </w:num>
  <w:num w:numId="17">
    <w:abstractNumId w:val="8"/>
  </w:num>
  <w:num w:numId="18">
    <w:abstractNumId w:val="26"/>
  </w:num>
  <w:num w:numId="19">
    <w:abstractNumId w:val="6"/>
  </w:num>
  <w:num w:numId="20">
    <w:abstractNumId w:val="16"/>
  </w:num>
  <w:num w:numId="21">
    <w:abstractNumId w:val="23"/>
  </w:num>
  <w:num w:numId="22">
    <w:abstractNumId w:val="24"/>
  </w:num>
  <w:num w:numId="23">
    <w:abstractNumId w:val="11"/>
  </w:num>
  <w:num w:numId="24">
    <w:abstractNumId w:val="20"/>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286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4A"/>
    <w:rsid w:val="00002704"/>
    <w:rsid w:val="000038F7"/>
    <w:rsid w:val="00004454"/>
    <w:rsid w:val="000072F0"/>
    <w:rsid w:val="00020DC3"/>
    <w:rsid w:val="0003223B"/>
    <w:rsid w:val="000327B2"/>
    <w:rsid w:val="000337B5"/>
    <w:rsid w:val="00033A57"/>
    <w:rsid w:val="000441E7"/>
    <w:rsid w:val="0004528B"/>
    <w:rsid w:val="00054FF4"/>
    <w:rsid w:val="00064FBA"/>
    <w:rsid w:val="00090205"/>
    <w:rsid w:val="00090621"/>
    <w:rsid w:val="00091BA6"/>
    <w:rsid w:val="00091FA6"/>
    <w:rsid w:val="000933D9"/>
    <w:rsid w:val="0009686C"/>
    <w:rsid w:val="00096BD9"/>
    <w:rsid w:val="0009740F"/>
    <w:rsid w:val="000A634C"/>
    <w:rsid w:val="000B2C85"/>
    <w:rsid w:val="000B3C9A"/>
    <w:rsid w:val="000B40A2"/>
    <w:rsid w:val="000B4624"/>
    <w:rsid w:val="000C0ACD"/>
    <w:rsid w:val="000C0D2A"/>
    <w:rsid w:val="000C1D9D"/>
    <w:rsid w:val="000C5CE8"/>
    <w:rsid w:val="000D1619"/>
    <w:rsid w:val="000D36C5"/>
    <w:rsid w:val="000E026C"/>
    <w:rsid w:val="000E27A5"/>
    <w:rsid w:val="000E2959"/>
    <w:rsid w:val="000F0B60"/>
    <w:rsid w:val="000F2973"/>
    <w:rsid w:val="000F2CA3"/>
    <w:rsid w:val="000F30B3"/>
    <w:rsid w:val="000F5C92"/>
    <w:rsid w:val="000F5DCD"/>
    <w:rsid w:val="00102792"/>
    <w:rsid w:val="00102926"/>
    <w:rsid w:val="0010587F"/>
    <w:rsid w:val="00111C6B"/>
    <w:rsid w:val="0012102B"/>
    <w:rsid w:val="00124D41"/>
    <w:rsid w:val="0013369E"/>
    <w:rsid w:val="00134989"/>
    <w:rsid w:val="0013595D"/>
    <w:rsid w:val="00137865"/>
    <w:rsid w:val="0014166A"/>
    <w:rsid w:val="001434B9"/>
    <w:rsid w:val="00143EF6"/>
    <w:rsid w:val="00152E76"/>
    <w:rsid w:val="0015626F"/>
    <w:rsid w:val="00164E6D"/>
    <w:rsid w:val="0016538E"/>
    <w:rsid w:val="001733B7"/>
    <w:rsid w:val="00183454"/>
    <w:rsid w:val="0019165D"/>
    <w:rsid w:val="0019203D"/>
    <w:rsid w:val="00193512"/>
    <w:rsid w:val="00195F99"/>
    <w:rsid w:val="001A5248"/>
    <w:rsid w:val="001A7CAA"/>
    <w:rsid w:val="001B157C"/>
    <w:rsid w:val="001B1994"/>
    <w:rsid w:val="001B4006"/>
    <w:rsid w:val="001B5C23"/>
    <w:rsid w:val="001D0D5F"/>
    <w:rsid w:val="001D0DD7"/>
    <w:rsid w:val="001D6B8C"/>
    <w:rsid w:val="001D7350"/>
    <w:rsid w:val="001F1F83"/>
    <w:rsid w:val="001F2366"/>
    <w:rsid w:val="001F40DF"/>
    <w:rsid w:val="001F43F8"/>
    <w:rsid w:val="001F6B2D"/>
    <w:rsid w:val="002021A9"/>
    <w:rsid w:val="002139A7"/>
    <w:rsid w:val="00215574"/>
    <w:rsid w:val="00215F7C"/>
    <w:rsid w:val="0021666B"/>
    <w:rsid w:val="00221DEF"/>
    <w:rsid w:val="0022323B"/>
    <w:rsid w:val="002323BF"/>
    <w:rsid w:val="002410B8"/>
    <w:rsid w:val="00242AEE"/>
    <w:rsid w:val="00245129"/>
    <w:rsid w:val="00245879"/>
    <w:rsid w:val="00253236"/>
    <w:rsid w:val="002534CE"/>
    <w:rsid w:val="00257F92"/>
    <w:rsid w:val="00267FD5"/>
    <w:rsid w:val="00271E1E"/>
    <w:rsid w:val="00274D34"/>
    <w:rsid w:val="00283AFF"/>
    <w:rsid w:val="00283ED8"/>
    <w:rsid w:val="002868D0"/>
    <w:rsid w:val="0028760B"/>
    <w:rsid w:val="002A008C"/>
    <w:rsid w:val="002A27D1"/>
    <w:rsid w:val="002A4AFA"/>
    <w:rsid w:val="002B2610"/>
    <w:rsid w:val="002B516C"/>
    <w:rsid w:val="002B5D82"/>
    <w:rsid w:val="002C2338"/>
    <w:rsid w:val="002C4FA4"/>
    <w:rsid w:val="002C50F7"/>
    <w:rsid w:val="002C7E85"/>
    <w:rsid w:val="002D72EB"/>
    <w:rsid w:val="002E2327"/>
    <w:rsid w:val="002E3583"/>
    <w:rsid w:val="002E49EC"/>
    <w:rsid w:val="002E5444"/>
    <w:rsid w:val="002E5576"/>
    <w:rsid w:val="002F56AF"/>
    <w:rsid w:val="0030050B"/>
    <w:rsid w:val="003008F5"/>
    <w:rsid w:val="00304081"/>
    <w:rsid w:val="00304744"/>
    <w:rsid w:val="00306B33"/>
    <w:rsid w:val="00317B28"/>
    <w:rsid w:val="003308AA"/>
    <w:rsid w:val="00331B52"/>
    <w:rsid w:val="00333403"/>
    <w:rsid w:val="003359D3"/>
    <w:rsid w:val="00345DAD"/>
    <w:rsid w:val="0034657E"/>
    <w:rsid w:val="00351475"/>
    <w:rsid w:val="003538E6"/>
    <w:rsid w:val="00355967"/>
    <w:rsid w:val="00361A0A"/>
    <w:rsid w:val="00365F76"/>
    <w:rsid w:val="003673F0"/>
    <w:rsid w:val="00382C47"/>
    <w:rsid w:val="00384384"/>
    <w:rsid w:val="003866AE"/>
    <w:rsid w:val="00397B41"/>
    <w:rsid w:val="003A27A8"/>
    <w:rsid w:val="003B3977"/>
    <w:rsid w:val="003C127D"/>
    <w:rsid w:val="003C559D"/>
    <w:rsid w:val="003D49B1"/>
    <w:rsid w:val="003D70D9"/>
    <w:rsid w:val="003E1D4C"/>
    <w:rsid w:val="003E2B10"/>
    <w:rsid w:val="003E5F3E"/>
    <w:rsid w:val="00403C0D"/>
    <w:rsid w:val="00407C5D"/>
    <w:rsid w:val="0041245B"/>
    <w:rsid w:val="004137A0"/>
    <w:rsid w:val="00414F50"/>
    <w:rsid w:val="00422D9A"/>
    <w:rsid w:val="004317DE"/>
    <w:rsid w:val="00432989"/>
    <w:rsid w:val="004342A0"/>
    <w:rsid w:val="00436ED6"/>
    <w:rsid w:val="00440E24"/>
    <w:rsid w:val="0044776A"/>
    <w:rsid w:val="00460AFC"/>
    <w:rsid w:val="00461513"/>
    <w:rsid w:val="0047471F"/>
    <w:rsid w:val="00481302"/>
    <w:rsid w:val="0048376A"/>
    <w:rsid w:val="004A167A"/>
    <w:rsid w:val="004A42CF"/>
    <w:rsid w:val="004A7888"/>
    <w:rsid w:val="004B195E"/>
    <w:rsid w:val="004B1BDC"/>
    <w:rsid w:val="004B66B4"/>
    <w:rsid w:val="004B7F60"/>
    <w:rsid w:val="004C1AAC"/>
    <w:rsid w:val="004C1C35"/>
    <w:rsid w:val="004C2D55"/>
    <w:rsid w:val="004E1E0A"/>
    <w:rsid w:val="004E44A7"/>
    <w:rsid w:val="004E5524"/>
    <w:rsid w:val="004F090E"/>
    <w:rsid w:val="00501F3C"/>
    <w:rsid w:val="00506BE1"/>
    <w:rsid w:val="00520F9E"/>
    <w:rsid w:val="0052229C"/>
    <w:rsid w:val="00527CC7"/>
    <w:rsid w:val="0053723E"/>
    <w:rsid w:val="005501DD"/>
    <w:rsid w:val="00560DF1"/>
    <w:rsid w:val="00561CEE"/>
    <w:rsid w:val="0056248C"/>
    <w:rsid w:val="00564B09"/>
    <w:rsid w:val="00567602"/>
    <w:rsid w:val="00567680"/>
    <w:rsid w:val="0056772A"/>
    <w:rsid w:val="00571CA4"/>
    <w:rsid w:val="00573AF2"/>
    <w:rsid w:val="00582136"/>
    <w:rsid w:val="005B50CC"/>
    <w:rsid w:val="005C6840"/>
    <w:rsid w:val="005D658B"/>
    <w:rsid w:val="005F1ED8"/>
    <w:rsid w:val="005F263E"/>
    <w:rsid w:val="005F726F"/>
    <w:rsid w:val="00600252"/>
    <w:rsid w:val="00612A40"/>
    <w:rsid w:val="00615003"/>
    <w:rsid w:val="0062714A"/>
    <w:rsid w:val="00634F42"/>
    <w:rsid w:val="006615F4"/>
    <w:rsid w:val="00664F8B"/>
    <w:rsid w:val="00675479"/>
    <w:rsid w:val="00680709"/>
    <w:rsid w:val="00681F61"/>
    <w:rsid w:val="006849D7"/>
    <w:rsid w:val="00684F23"/>
    <w:rsid w:val="00693C38"/>
    <w:rsid w:val="006960C1"/>
    <w:rsid w:val="00696BF9"/>
    <w:rsid w:val="00697C62"/>
    <w:rsid w:val="006A329B"/>
    <w:rsid w:val="006A7EB8"/>
    <w:rsid w:val="006B6926"/>
    <w:rsid w:val="006B78CC"/>
    <w:rsid w:val="006C3F47"/>
    <w:rsid w:val="006C5F7A"/>
    <w:rsid w:val="006D5A53"/>
    <w:rsid w:val="006D7FD9"/>
    <w:rsid w:val="006E06AF"/>
    <w:rsid w:val="006E1CB0"/>
    <w:rsid w:val="006E2A18"/>
    <w:rsid w:val="006F350F"/>
    <w:rsid w:val="00702148"/>
    <w:rsid w:val="00717608"/>
    <w:rsid w:val="00727571"/>
    <w:rsid w:val="00732DB7"/>
    <w:rsid w:val="00733089"/>
    <w:rsid w:val="0074238B"/>
    <w:rsid w:val="007456D0"/>
    <w:rsid w:val="00745EF7"/>
    <w:rsid w:val="0074607C"/>
    <w:rsid w:val="0074734A"/>
    <w:rsid w:val="00755F22"/>
    <w:rsid w:val="00762FB8"/>
    <w:rsid w:val="00766E4A"/>
    <w:rsid w:val="00774C3A"/>
    <w:rsid w:val="007820CE"/>
    <w:rsid w:val="00782AE4"/>
    <w:rsid w:val="00790C49"/>
    <w:rsid w:val="0079724F"/>
    <w:rsid w:val="007A1945"/>
    <w:rsid w:val="007A33E7"/>
    <w:rsid w:val="007A3EAE"/>
    <w:rsid w:val="007A4FD3"/>
    <w:rsid w:val="007B4DFF"/>
    <w:rsid w:val="007C04FC"/>
    <w:rsid w:val="007C3D5F"/>
    <w:rsid w:val="007C3DB0"/>
    <w:rsid w:val="007C47C2"/>
    <w:rsid w:val="007D3E0F"/>
    <w:rsid w:val="007E0337"/>
    <w:rsid w:val="007E4282"/>
    <w:rsid w:val="007F015F"/>
    <w:rsid w:val="007F289F"/>
    <w:rsid w:val="007F387B"/>
    <w:rsid w:val="00802863"/>
    <w:rsid w:val="00804F63"/>
    <w:rsid w:val="008112A9"/>
    <w:rsid w:val="0081473A"/>
    <w:rsid w:val="00815B3C"/>
    <w:rsid w:val="0081610A"/>
    <w:rsid w:val="008271AD"/>
    <w:rsid w:val="008277C4"/>
    <w:rsid w:val="0082783A"/>
    <w:rsid w:val="00831CA9"/>
    <w:rsid w:val="00842B6B"/>
    <w:rsid w:val="00843F62"/>
    <w:rsid w:val="008446E2"/>
    <w:rsid w:val="00844E40"/>
    <w:rsid w:val="00845C2A"/>
    <w:rsid w:val="00850E1F"/>
    <w:rsid w:val="0085476B"/>
    <w:rsid w:val="00855913"/>
    <w:rsid w:val="00856A43"/>
    <w:rsid w:val="0086340B"/>
    <w:rsid w:val="008859F1"/>
    <w:rsid w:val="008902B1"/>
    <w:rsid w:val="00890FEB"/>
    <w:rsid w:val="00891E2A"/>
    <w:rsid w:val="00893449"/>
    <w:rsid w:val="00895E7E"/>
    <w:rsid w:val="008961FD"/>
    <w:rsid w:val="008A4907"/>
    <w:rsid w:val="008A5C1A"/>
    <w:rsid w:val="008C2318"/>
    <w:rsid w:val="008C626C"/>
    <w:rsid w:val="008C752E"/>
    <w:rsid w:val="008C7852"/>
    <w:rsid w:val="008D085E"/>
    <w:rsid w:val="008D292F"/>
    <w:rsid w:val="008D3D4B"/>
    <w:rsid w:val="008E03DC"/>
    <w:rsid w:val="008E7F35"/>
    <w:rsid w:val="008F2482"/>
    <w:rsid w:val="00902E51"/>
    <w:rsid w:val="009118B6"/>
    <w:rsid w:val="009205EA"/>
    <w:rsid w:val="00923683"/>
    <w:rsid w:val="00924065"/>
    <w:rsid w:val="00930B8A"/>
    <w:rsid w:val="00930D68"/>
    <w:rsid w:val="00932DB4"/>
    <w:rsid w:val="0094170F"/>
    <w:rsid w:val="00941A4B"/>
    <w:rsid w:val="0094292A"/>
    <w:rsid w:val="00943F7C"/>
    <w:rsid w:val="00944772"/>
    <w:rsid w:val="00946242"/>
    <w:rsid w:val="009505F2"/>
    <w:rsid w:val="0095096B"/>
    <w:rsid w:val="009557D8"/>
    <w:rsid w:val="00955827"/>
    <w:rsid w:val="00957556"/>
    <w:rsid w:val="009634AA"/>
    <w:rsid w:val="00970CD3"/>
    <w:rsid w:val="009723FA"/>
    <w:rsid w:val="009842DB"/>
    <w:rsid w:val="00984546"/>
    <w:rsid w:val="00996510"/>
    <w:rsid w:val="009A75CF"/>
    <w:rsid w:val="009C1AEC"/>
    <w:rsid w:val="009C26F0"/>
    <w:rsid w:val="009C4E23"/>
    <w:rsid w:val="009D1F15"/>
    <w:rsid w:val="009D555E"/>
    <w:rsid w:val="009F3024"/>
    <w:rsid w:val="009F39BA"/>
    <w:rsid w:val="00A0355E"/>
    <w:rsid w:val="00A234E1"/>
    <w:rsid w:val="00A242F4"/>
    <w:rsid w:val="00A375D1"/>
    <w:rsid w:val="00A41D2B"/>
    <w:rsid w:val="00A41F15"/>
    <w:rsid w:val="00A51D10"/>
    <w:rsid w:val="00A52A83"/>
    <w:rsid w:val="00A57C53"/>
    <w:rsid w:val="00A61252"/>
    <w:rsid w:val="00A6552C"/>
    <w:rsid w:val="00A6799E"/>
    <w:rsid w:val="00A744AF"/>
    <w:rsid w:val="00A760C7"/>
    <w:rsid w:val="00A87207"/>
    <w:rsid w:val="00A935AA"/>
    <w:rsid w:val="00A94265"/>
    <w:rsid w:val="00A956D3"/>
    <w:rsid w:val="00AB2201"/>
    <w:rsid w:val="00AB343C"/>
    <w:rsid w:val="00AC3CBD"/>
    <w:rsid w:val="00AC3DC6"/>
    <w:rsid w:val="00AD1D34"/>
    <w:rsid w:val="00AD3259"/>
    <w:rsid w:val="00AE043C"/>
    <w:rsid w:val="00AF1715"/>
    <w:rsid w:val="00AF3904"/>
    <w:rsid w:val="00B010C0"/>
    <w:rsid w:val="00B14FDF"/>
    <w:rsid w:val="00B15CBE"/>
    <w:rsid w:val="00B20BB9"/>
    <w:rsid w:val="00B33122"/>
    <w:rsid w:val="00B40FD9"/>
    <w:rsid w:val="00B43905"/>
    <w:rsid w:val="00B44797"/>
    <w:rsid w:val="00B45552"/>
    <w:rsid w:val="00B4740D"/>
    <w:rsid w:val="00B5495F"/>
    <w:rsid w:val="00B5593F"/>
    <w:rsid w:val="00B61629"/>
    <w:rsid w:val="00B635E0"/>
    <w:rsid w:val="00B70AC4"/>
    <w:rsid w:val="00B7374B"/>
    <w:rsid w:val="00B83681"/>
    <w:rsid w:val="00B86C17"/>
    <w:rsid w:val="00B90DC0"/>
    <w:rsid w:val="00B91975"/>
    <w:rsid w:val="00BA116A"/>
    <w:rsid w:val="00BA31DD"/>
    <w:rsid w:val="00BA5582"/>
    <w:rsid w:val="00BA6468"/>
    <w:rsid w:val="00BB15A8"/>
    <w:rsid w:val="00BB1D44"/>
    <w:rsid w:val="00BC680C"/>
    <w:rsid w:val="00BD06DA"/>
    <w:rsid w:val="00BD264E"/>
    <w:rsid w:val="00BD4217"/>
    <w:rsid w:val="00BE34F7"/>
    <w:rsid w:val="00BF0672"/>
    <w:rsid w:val="00BF25F3"/>
    <w:rsid w:val="00BF5AEC"/>
    <w:rsid w:val="00BF742B"/>
    <w:rsid w:val="00C008D5"/>
    <w:rsid w:val="00C01FCB"/>
    <w:rsid w:val="00C1599D"/>
    <w:rsid w:val="00C1697B"/>
    <w:rsid w:val="00C21644"/>
    <w:rsid w:val="00C21CB5"/>
    <w:rsid w:val="00C256CF"/>
    <w:rsid w:val="00C257CD"/>
    <w:rsid w:val="00C27015"/>
    <w:rsid w:val="00C31209"/>
    <w:rsid w:val="00C406CA"/>
    <w:rsid w:val="00C46376"/>
    <w:rsid w:val="00C50A5C"/>
    <w:rsid w:val="00C50FDF"/>
    <w:rsid w:val="00C5471F"/>
    <w:rsid w:val="00C63381"/>
    <w:rsid w:val="00C71906"/>
    <w:rsid w:val="00C73D06"/>
    <w:rsid w:val="00C73E1B"/>
    <w:rsid w:val="00C73EE8"/>
    <w:rsid w:val="00C7556C"/>
    <w:rsid w:val="00C759B4"/>
    <w:rsid w:val="00C77713"/>
    <w:rsid w:val="00C8528C"/>
    <w:rsid w:val="00C85ADC"/>
    <w:rsid w:val="00C85BB7"/>
    <w:rsid w:val="00C86E0F"/>
    <w:rsid w:val="00CA21BE"/>
    <w:rsid w:val="00CA2DEA"/>
    <w:rsid w:val="00CA7C5D"/>
    <w:rsid w:val="00CB3520"/>
    <w:rsid w:val="00CB43D5"/>
    <w:rsid w:val="00CB5125"/>
    <w:rsid w:val="00CB6812"/>
    <w:rsid w:val="00CC4D84"/>
    <w:rsid w:val="00CD503D"/>
    <w:rsid w:val="00CE198A"/>
    <w:rsid w:val="00CE4B8E"/>
    <w:rsid w:val="00CF08C8"/>
    <w:rsid w:val="00D004FC"/>
    <w:rsid w:val="00D07A7C"/>
    <w:rsid w:val="00D1257E"/>
    <w:rsid w:val="00D22BC0"/>
    <w:rsid w:val="00D22E96"/>
    <w:rsid w:val="00D45512"/>
    <w:rsid w:val="00D6331A"/>
    <w:rsid w:val="00D64901"/>
    <w:rsid w:val="00D70FBC"/>
    <w:rsid w:val="00D73DA3"/>
    <w:rsid w:val="00D76BDF"/>
    <w:rsid w:val="00D818B6"/>
    <w:rsid w:val="00D82A57"/>
    <w:rsid w:val="00D82BFF"/>
    <w:rsid w:val="00D8443D"/>
    <w:rsid w:val="00D862C1"/>
    <w:rsid w:val="00D93B50"/>
    <w:rsid w:val="00D94028"/>
    <w:rsid w:val="00D94670"/>
    <w:rsid w:val="00DA2BBE"/>
    <w:rsid w:val="00DA46F6"/>
    <w:rsid w:val="00DA4D14"/>
    <w:rsid w:val="00DA5B84"/>
    <w:rsid w:val="00DA756F"/>
    <w:rsid w:val="00DB5C47"/>
    <w:rsid w:val="00DC0577"/>
    <w:rsid w:val="00DC59C0"/>
    <w:rsid w:val="00DC6B2E"/>
    <w:rsid w:val="00DD0B49"/>
    <w:rsid w:val="00DD0BDC"/>
    <w:rsid w:val="00DE0502"/>
    <w:rsid w:val="00DE349D"/>
    <w:rsid w:val="00DF6819"/>
    <w:rsid w:val="00DF6D04"/>
    <w:rsid w:val="00E0270C"/>
    <w:rsid w:val="00E06DFA"/>
    <w:rsid w:val="00E14193"/>
    <w:rsid w:val="00E20A0A"/>
    <w:rsid w:val="00E240C2"/>
    <w:rsid w:val="00E27859"/>
    <w:rsid w:val="00E30619"/>
    <w:rsid w:val="00E356C7"/>
    <w:rsid w:val="00E36EED"/>
    <w:rsid w:val="00E40DEC"/>
    <w:rsid w:val="00E414CA"/>
    <w:rsid w:val="00E41A5A"/>
    <w:rsid w:val="00E41F5F"/>
    <w:rsid w:val="00E45FE4"/>
    <w:rsid w:val="00E64FA7"/>
    <w:rsid w:val="00E65960"/>
    <w:rsid w:val="00E664DA"/>
    <w:rsid w:val="00E670F7"/>
    <w:rsid w:val="00E7222D"/>
    <w:rsid w:val="00E75CFD"/>
    <w:rsid w:val="00E770CB"/>
    <w:rsid w:val="00E8544A"/>
    <w:rsid w:val="00E8730C"/>
    <w:rsid w:val="00E903A1"/>
    <w:rsid w:val="00E9135F"/>
    <w:rsid w:val="00E92A37"/>
    <w:rsid w:val="00E93A39"/>
    <w:rsid w:val="00E940EB"/>
    <w:rsid w:val="00E942C2"/>
    <w:rsid w:val="00E9703F"/>
    <w:rsid w:val="00E97984"/>
    <w:rsid w:val="00EB2B90"/>
    <w:rsid w:val="00EB7BB6"/>
    <w:rsid w:val="00EC16C8"/>
    <w:rsid w:val="00ED078F"/>
    <w:rsid w:val="00ED7E83"/>
    <w:rsid w:val="00EE091F"/>
    <w:rsid w:val="00EE0FD4"/>
    <w:rsid w:val="00EF4B63"/>
    <w:rsid w:val="00EF60DC"/>
    <w:rsid w:val="00F0068D"/>
    <w:rsid w:val="00F0576D"/>
    <w:rsid w:val="00F130D2"/>
    <w:rsid w:val="00F14E6D"/>
    <w:rsid w:val="00F15EA8"/>
    <w:rsid w:val="00F16063"/>
    <w:rsid w:val="00F16C8D"/>
    <w:rsid w:val="00F17EB3"/>
    <w:rsid w:val="00F253CC"/>
    <w:rsid w:val="00F26C61"/>
    <w:rsid w:val="00F3059C"/>
    <w:rsid w:val="00F33CCE"/>
    <w:rsid w:val="00F40249"/>
    <w:rsid w:val="00F44D23"/>
    <w:rsid w:val="00F526C8"/>
    <w:rsid w:val="00F554B5"/>
    <w:rsid w:val="00F603DA"/>
    <w:rsid w:val="00F62DA8"/>
    <w:rsid w:val="00F663FF"/>
    <w:rsid w:val="00F74F17"/>
    <w:rsid w:val="00F75954"/>
    <w:rsid w:val="00F761A3"/>
    <w:rsid w:val="00F8315A"/>
    <w:rsid w:val="00F85D2B"/>
    <w:rsid w:val="00F9272D"/>
    <w:rsid w:val="00F9518C"/>
    <w:rsid w:val="00FA316E"/>
    <w:rsid w:val="00FA3373"/>
    <w:rsid w:val="00FA59EF"/>
    <w:rsid w:val="00FB19A2"/>
    <w:rsid w:val="00FB1DB6"/>
    <w:rsid w:val="00FB4A2E"/>
    <w:rsid w:val="00FD053D"/>
    <w:rsid w:val="00FD39B6"/>
    <w:rsid w:val="00FF6EEC"/>
    <w:rsid w:val="00FF78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SectionTitle">
    <w:name w:val="SCC.AppellantInfo.SectionTitle"/>
    <w:basedOn w:val="Normal"/>
    <w:next w:val="Normal"/>
    <w:link w:val="SCCAppellantInfoSectionTitleChar"/>
    <w:rsid w:val="000072F0"/>
    <w:pPr>
      <w:jc w:val="center"/>
    </w:pPr>
    <w:rPr>
      <w:b/>
      <w:szCs w:val="24"/>
      <w:u w:val="single"/>
    </w:rPr>
  </w:style>
  <w:style w:type="character" w:customStyle="1" w:styleId="SCCAppellantInfoSectionTitleChar">
    <w:name w:val="SCC.AppellantInfo.SectionTitle Char"/>
    <w:basedOn w:val="DefaultParagraphFont"/>
    <w:link w:val="SCCAppellantInfoSectionTitle"/>
    <w:rsid w:val="000072F0"/>
    <w:rPr>
      <w:b/>
      <w:szCs w:val="24"/>
      <w:u w:val="single"/>
      <w:lang w:val="en-CA"/>
    </w:rPr>
  </w:style>
  <w:style w:type="paragraph" w:customStyle="1" w:styleId="SCCAppellantInfoSectionText">
    <w:name w:val="SCC.AppellantInfo.SectionText"/>
    <w:basedOn w:val="Normal"/>
    <w:next w:val="Normal"/>
    <w:link w:val="SCCAppellantInfoSectionTextChar"/>
    <w:rsid w:val="000072F0"/>
    <w:pPr>
      <w:jc w:val="both"/>
    </w:pPr>
    <w:rPr>
      <w:szCs w:val="24"/>
    </w:rPr>
  </w:style>
  <w:style w:type="character" w:customStyle="1" w:styleId="SCCAppellantInfoSectionTextChar">
    <w:name w:val="SCC.AppellantInfo.SectionText Char"/>
    <w:basedOn w:val="DefaultParagraphFont"/>
    <w:link w:val="SCCAppellantInfoSectionText"/>
    <w:rsid w:val="000072F0"/>
    <w:rPr>
      <w:szCs w:val="24"/>
      <w:lang w:val="en-CA"/>
    </w:rPr>
  </w:style>
  <w:style w:type="paragraph" w:customStyle="1" w:styleId="SCCAppellantInfoCoram">
    <w:name w:val="SCC.AppellantInfo.Coram"/>
    <w:basedOn w:val="Normal"/>
    <w:next w:val="Normal"/>
    <w:link w:val="SCCAppellantInfoCoramChar"/>
    <w:rsid w:val="000072F0"/>
    <w:rPr>
      <w:b/>
      <w:szCs w:val="24"/>
    </w:rPr>
  </w:style>
  <w:style w:type="character" w:customStyle="1" w:styleId="SCCAppellantInfoCoramChar">
    <w:name w:val="SCC.AppellantInfo.Coram Char"/>
    <w:basedOn w:val="DefaultParagraphFont"/>
    <w:link w:val="SCCAppellantInfoCoram"/>
    <w:rsid w:val="000072F0"/>
    <w:rPr>
      <w:b/>
      <w:szCs w:val="24"/>
      <w:lang w:val="en-CA"/>
    </w:rPr>
  </w:style>
  <w:style w:type="paragraph" w:customStyle="1" w:styleId="SCCAppellantInfoTypeOfCase">
    <w:name w:val="SCC.AppellantInfo.TypeOfCase"/>
    <w:basedOn w:val="Normal"/>
    <w:next w:val="Normal"/>
    <w:link w:val="SCCAppellantInfoTypeOfCaseChar"/>
    <w:rsid w:val="000072F0"/>
    <w:rPr>
      <w:b/>
      <w:szCs w:val="24"/>
    </w:rPr>
  </w:style>
  <w:style w:type="character" w:customStyle="1" w:styleId="SCCAppellantInfoTypeOfCaseChar">
    <w:name w:val="SCC.AppellantInfo.TypeOfCase Char"/>
    <w:basedOn w:val="DefaultParagraphFont"/>
    <w:link w:val="SCCAppellantInfoTypeOfCase"/>
    <w:rsid w:val="000072F0"/>
    <w:rPr>
      <w:b/>
      <w:szCs w:val="24"/>
      <w:lang w:val="en-CA"/>
    </w:rPr>
  </w:style>
  <w:style w:type="paragraph" w:customStyle="1" w:styleId="SCCAppellantInfoAppellantInfo">
    <w:name w:val="SCC.AppellantInfo.AppellantInfo"/>
    <w:basedOn w:val="Normal"/>
    <w:next w:val="Normal"/>
    <w:link w:val="SCCAppellantInfoAppellantInfoChar"/>
    <w:rsid w:val="000072F0"/>
    <w:rPr>
      <w:szCs w:val="24"/>
    </w:rPr>
  </w:style>
  <w:style w:type="character" w:customStyle="1" w:styleId="SCCAppellantInfoAppellantInfoChar">
    <w:name w:val="SCC.AppellantInfo.AppellantInfo Char"/>
    <w:basedOn w:val="DefaultParagraphFont"/>
    <w:link w:val="SCCAppellantInfoAppellantInfo"/>
    <w:rsid w:val="000072F0"/>
    <w:rPr>
      <w:szCs w:val="24"/>
      <w:lang w:val="en-CA"/>
    </w:rPr>
  </w:style>
  <w:style w:type="paragraph" w:customStyle="1" w:styleId="SCCBanSummary0">
    <w:name w:val="SCC.BanSummary"/>
    <w:basedOn w:val="Normal"/>
    <w:next w:val="Normal"/>
    <w:link w:val="SCCBanSummaryChar"/>
    <w:rsid w:val="001D0DD7"/>
    <w:pPr>
      <w:jc w:val="both"/>
    </w:pPr>
    <w:rPr>
      <w:rFonts w:eastAsia="Calibri" w:cs="Times New Roman"/>
      <w:smallCaps/>
    </w:rPr>
  </w:style>
  <w:style w:type="character" w:customStyle="1" w:styleId="SCCBanSummaryChar">
    <w:name w:val="SCC.BanSummary Char"/>
    <w:basedOn w:val="DefaultParagraphFont"/>
    <w:link w:val="SCCBanSummary0"/>
    <w:rsid w:val="001D0DD7"/>
    <w:rPr>
      <w:rFonts w:eastAsia="Calibri" w:cs="Times New Roman"/>
      <w:smallCaps/>
      <w:lang w:val="en-CA"/>
    </w:rPr>
  </w:style>
  <w:style w:type="paragraph" w:styleId="NoSpacing">
    <w:name w:val="No Spacing"/>
    <w:uiPriority w:val="1"/>
    <w:qFormat/>
    <w:rsid w:val="001D0DD7"/>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1D0DD7"/>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D0DD7"/>
    <w:rPr>
      <w:rFonts w:ascii="Tahoma" w:eastAsia="Times New Roman" w:hAnsi="Tahoma" w:cs="Tahoma"/>
      <w:sz w:val="16"/>
      <w:szCs w:val="16"/>
    </w:rPr>
  </w:style>
  <w:style w:type="paragraph" w:customStyle="1" w:styleId="Style268435469">
    <w:name w:val="Style268435469"/>
    <w:rsid w:val="001D0DD7"/>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1D0DD7"/>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1D0DD7"/>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1D0DD7"/>
    <w:rPr>
      <w:sz w:val="16"/>
      <w:szCs w:val="16"/>
    </w:rPr>
  </w:style>
  <w:style w:type="paragraph" w:styleId="CommentText">
    <w:name w:val="annotation text"/>
    <w:basedOn w:val="Normal"/>
    <w:link w:val="CommentTextChar"/>
    <w:uiPriority w:val="99"/>
    <w:semiHidden/>
    <w:unhideWhenUsed/>
    <w:rsid w:val="001D0DD7"/>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D0DD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0DD7"/>
    <w:rPr>
      <w:b/>
      <w:bCs/>
    </w:rPr>
  </w:style>
  <w:style w:type="character" w:customStyle="1" w:styleId="CommentSubjectChar">
    <w:name w:val="Comment Subject Char"/>
    <w:basedOn w:val="CommentTextChar"/>
    <w:link w:val="CommentSubject"/>
    <w:uiPriority w:val="99"/>
    <w:semiHidden/>
    <w:rsid w:val="001D0DD7"/>
    <w:rPr>
      <w:rFonts w:eastAsia="Times New Roman" w:cs="Times New Roman"/>
      <w:b/>
      <w:bCs/>
      <w:sz w:val="20"/>
      <w:szCs w:val="20"/>
    </w:rPr>
  </w:style>
  <w:style w:type="character" w:customStyle="1" w:styleId="nowrap">
    <w:name w:val="nowrap"/>
    <w:basedOn w:val="DefaultParagraphFont"/>
    <w:rsid w:val="001D0DD7"/>
  </w:style>
  <w:style w:type="paragraph" w:customStyle="1" w:styleId="felskynumbering121">
    <w:name w:val="felskynumbering121"/>
    <w:basedOn w:val="Normal"/>
    <w:rsid w:val="001D0DD7"/>
    <w:pPr>
      <w:spacing w:after="240"/>
      <w:jc w:val="both"/>
    </w:pPr>
    <w:rPr>
      <w:rFonts w:eastAsia="Times New Roman" w:cs="Times New Roman"/>
      <w:szCs w:val="24"/>
      <w:lang w:val="en-US"/>
    </w:rPr>
  </w:style>
  <w:style w:type="paragraph" w:customStyle="1" w:styleId="SCCLsocSubfileSeparator0">
    <w:name w:val="SCC.Lsoc.SubfileSeparator"/>
    <w:basedOn w:val="Normal"/>
    <w:next w:val="Normal"/>
    <w:link w:val="SCCLsocSubfileSeparatorChar"/>
    <w:rsid w:val="001D0DD7"/>
    <w:pPr>
      <w:jc w:val="both"/>
    </w:pPr>
    <w:rPr>
      <w:rFonts w:cs="Times New Roman"/>
      <w:b/>
      <w:szCs w:val="24"/>
    </w:rPr>
  </w:style>
  <w:style w:type="character" w:customStyle="1" w:styleId="SCCLsocSubfileSeparatorChar">
    <w:name w:val="SCC.Lsoc.SubfileSeparator Char"/>
    <w:basedOn w:val="DefaultParagraphFont"/>
    <w:link w:val="SCCLsocSubfileSeparator0"/>
    <w:rsid w:val="001D0DD7"/>
    <w:rPr>
      <w:rFonts w:cs="Times New Roman"/>
      <w:b/>
      <w:szCs w:val="24"/>
      <w:lang w:val="en-CA"/>
    </w:rPr>
  </w:style>
  <w:style w:type="paragraph" w:customStyle="1" w:styleId="citation1">
    <w:name w:val="citation1"/>
    <w:basedOn w:val="Normal"/>
    <w:rsid w:val="001D0DD7"/>
    <w:pPr>
      <w:jc w:val="right"/>
    </w:pPr>
    <w:rPr>
      <w:rFonts w:ascii="Arial" w:eastAsia="Times New Roman" w:hAnsi="Arial" w:cs="Arial"/>
      <w:sz w:val="26"/>
      <w:szCs w:val="26"/>
      <w:lang w:val="en-US"/>
    </w:rPr>
  </w:style>
  <w:style w:type="character" w:customStyle="1" w:styleId="solexhl">
    <w:name w:val="solexhl"/>
    <w:basedOn w:val="DefaultParagraphFont"/>
    <w:rsid w:val="0019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13890602">
      <w:bodyDiv w:val="1"/>
      <w:marLeft w:val="0"/>
      <w:marRight w:val="0"/>
      <w:marTop w:val="0"/>
      <w:marBottom w:val="0"/>
      <w:divBdr>
        <w:top w:val="none" w:sz="0" w:space="0" w:color="auto"/>
        <w:left w:val="none" w:sz="0" w:space="0" w:color="auto"/>
        <w:bottom w:val="none" w:sz="0" w:space="0" w:color="auto"/>
        <w:right w:val="none" w:sz="0" w:space="0" w:color="auto"/>
      </w:divBdr>
      <w:divsChild>
        <w:div w:id="1611815411">
          <w:marLeft w:val="0"/>
          <w:marRight w:val="0"/>
          <w:marTop w:val="0"/>
          <w:marBottom w:val="0"/>
          <w:divBdr>
            <w:top w:val="none" w:sz="0" w:space="0" w:color="auto"/>
            <w:left w:val="none" w:sz="0" w:space="0" w:color="auto"/>
            <w:bottom w:val="none" w:sz="0" w:space="0" w:color="auto"/>
            <w:right w:val="none" w:sz="0" w:space="0" w:color="auto"/>
          </w:divBdr>
          <w:divsChild>
            <w:div w:id="930046962">
              <w:marLeft w:val="-225"/>
              <w:marRight w:val="-225"/>
              <w:marTop w:val="0"/>
              <w:marBottom w:val="0"/>
              <w:divBdr>
                <w:top w:val="none" w:sz="0" w:space="0" w:color="auto"/>
                <w:left w:val="none" w:sz="0" w:space="0" w:color="auto"/>
                <w:bottom w:val="none" w:sz="0" w:space="0" w:color="auto"/>
                <w:right w:val="none" w:sz="0" w:space="0" w:color="auto"/>
              </w:divBdr>
              <w:divsChild>
                <w:div w:id="489253156">
                  <w:marLeft w:val="0"/>
                  <w:marRight w:val="0"/>
                  <w:marTop w:val="0"/>
                  <w:marBottom w:val="0"/>
                  <w:divBdr>
                    <w:top w:val="none" w:sz="0" w:space="0" w:color="auto"/>
                    <w:left w:val="none" w:sz="0" w:space="0" w:color="auto"/>
                    <w:bottom w:val="none" w:sz="0" w:space="0" w:color="auto"/>
                    <w:right w:val="none" w:sz="0" w:space="0" w:color="auto"/>
                  </w:divBdr>
                  <w:divsChild>
                    <w:div w:id="325285437">
                      <w:marLeft w:val="0"/>
                      <w:marRight w:val="0"/>
                      <w:marTop w:val="0"/>
                      <w:marBottom w:val="0"/>
                      <w:divBdr>
                        <w:top w:val="none" w:sz="0" w:space="0" w:color="auto"/>
                        <w:left w:val="none" w:sz="0" w:space="0" w:color="auto"/>
                        <w:bottom w:val="none" w:sz="0" w:space="0" w:color="auto"/>
                        <w:right w:val="none" w:sz="0" w:space="0" w:color="auto"/>
                      </w:divBdr>
                      <w:divsChild>
                        <w:div w:id="247083492">
                          <w:marLeft w:val="0"/>
                          <w:marRight w:val="0"/>
                          <w:marTop w:val="0"/>
                          <w:marBottom w:val="0"/>
                          <w:divBdr>
                            <w:top w:val="none" w:sz="0" w:space="0" w:color="auto"/>
                            <w:left w:val="none" w:sz="0" w:space="0" w:color="auto"/>
                            <w:bottom w:val="none" w:sz="0" w:space="0" w:color="auto"/>
                            <w:right w:val="none" w:sz="0" w:space="0" w:color="auto"/>
                          </w:divBdr>
                          <w:divsChild>
                            <w:div w:id="1269197708">
                              <w:marLeft w:val="0"/>
                              <w:marRight w:val="0"/>
                              <w:marTop w:val="0"/>
                              <w:marBottom w:val="0"/>
                              <w:divBdr>
                                <w:top w:val="none" w:sz="0" w:space="0" w:color="auto"/>
                                <w:left w:val="none" w:sz="0" w:space="0" w:color="auto"/>
                                <w:bottom w:val="none" w:sz="0" w:space="0" w:color="auto"/>
                                <w:right w:val="none" w:sz="0" w:space="0" w:color="auto"/>
                              </w:divBdr>
                              <w:divsChild>
                                <w:div w:id="1303734274">
                                  <w:marLeft w:val="0"/>
                                  <w:marRight w:val="0"/>
                                  <w:marTop w:val="0"/>
                                  <w:marBottom w:val="0"/>
                                  <w:divBdr>
                                    <w:top w:val="none" w:sz="0" w:space="0" w:color="auto"/>
                                    <w:left w:val="none" w:sz="0" w:space="0" w:color="auto"/>
                                    <w:bottom w:val="none" w:sz="0" w:space="0" w:color="auto"/>
                                    <w:right w:val="none" w:sz="0" w:space="0" w:color="auto"/>
                                  </w:divBdr>
                                  <w:divsChild>
                                    <w:div w:id="773860103">
                                      <w:marLeft w:val="0"/>
                                      <w:marRight w:val="0"/>
                                      <w:marTop w:val="0"/>
                                      <w:marBottom w:val="0"/>
                                      <w:divBdr>
                                        <w:top w:val="none" w:sz="0" w:space="0" w:color="auto"/>
                                        <w:left w:val="none" w:sz="0" w:space="0" w:color="auto"/>
                                        <w:bottom w:val="none" w:sz="0" w:space="0" w:color="auto"/>
                                        <w:right w:val="none" w:sz="0" w:space="0" w:color="auto"/>
                                      </w:divBdr>
                                      <w:divsChild>
                                        <w:div w:id="1559317741">
                                          <w:marLeft w:val="225"/>
                                          <w:marRight w:val="0"/>
                                          <w:marTop w:val="0"/>
                                          <w:marBottom w:val="0"/>
                                          <w:divBdr>
                                            <w:top w:val="none" w:sz="0" w:space="0" w:color="auto"/>
                                            <w:left w:val="none" w:sz="0" w:space="0" w:color="auto"/>
                                            <w:bottom w:val="none" w:sz="0" w:space="0" w:color="auto"/>
                                            <w:right w:val="none" w:sz="0" w:space="0" w:color="auto"/>
                                          </w:divBdr>
                                          <w:divsChild>
                                            <w:div w:id="68313434">
                                              <w:marLeft w:val="0"/>
                                              <w:marRight w:val="0"/>
                                              <w:marTop w:val="60"/>
                                              <w:marBottom w:val="60"/>
                                              <w:divBdr>
                                                <w:top w:val="none" w:sz="0" w:space="0" w:color="auto"/>
                                                <w:left w:val="none" w:sz="0" w:space="0" w:color="auto"/>
                                                <w:bottom w:val="none" w:sz="0" w:space="0" w:color="auto"/>
                                                <w:right w:val="none" w:sz="0" w:space="0" w:color="auto"/>
                                              </w:divBdr>
                                              <w:divsChild>
                                                <w:div w:id="6465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946031513">
      <w:bodyDiv w:val="1"/>
      <w:marLeft w:val="0"/>
      <w:marRight w:val="0"/>
      <w:marTop w:val="0"/>
      <w:marBottom w:val="0"/>
      <w:divBdr>
        <w:top w:val="none" w:sz="0" w:space="0" w:color="auto"/>
        <w:left w:val="none" w:sz="0" w:space="0" w:color="auto"/>
        <w:bottom w:val="none" w:sz="0" w:space="0" w:color="auto"/>
        <w:right w:val="none" w:sz="0" w:space="0" w:color="auto"/>
      </w:divBdr>
      <w:divsChild>
        <w:div w:id="563299232">
          <w:marLeft w:val="0"/>
          <w:marRight w:val="0"/>
          <w:marTop w:val="0"/>
          <w:marBottom w:val="0"/>
          <w:divBdr>
            <w:top w:val="none" w:sz="0" w:space="0" w:color="auto"/>
            <w:left w:val="none" w:sz="0" w:space="0" w:color="auto"/>
            <w:bottom w:val="none" w:sz="0" w:space="0" w:color="auto"/>
            <w:right w:val="none" w:sz="0" w:space="0" w:color="auto"/>
          </w:divBdr>
          <w:divsChild>
            <w:div w:id="1959797166">
              <w:marLeft w:val="-225"/>
              <w:marRight w:val="-225"/>
              <w:marTop w:val="0"/>
              <w:marBottom w:val="0"/>
              <w:divBdr>
                <w:top w:val="none" w:sz="0" w:space="0" w:color="auto"/>
                <w:left w:val="none" w:sz="0" w:space="0" w:color="auto"/>
                <w:bottom w:val="none" w:sz="0" w:space="0" w:color="auto"/>
                <w:right w:val="none" w:sz="0" w:space="0" w:color="auto"/>
              </w:divBdr>
              <w:divsChild>
                <w:div w:id="619460858">
                  <w:marLeft w:val="0"/>
                  <w:marRight w:val="0"/>
                  <w:marTop w:val="0"/>
                  <w:marBottom w:val="0"/>
                  <w:divBdr>
                    <w:top w:val="none" w:sz="0" w:space="0" w:color="auto"/>
                    <w:left w:val="none" w:sz="0" w:space="0" w:color="auto"/>
                    <w:bottom w:val="none" w:sz="0" w:space="0" w:color="auto"/>
                    <w:right w:val="none" w:sz="0" w:space="0" w:color="auto"/>
                  </w:divBdr>
                  <w:divsChild>
                    <w:div w:id="465044818">
                      <w:marLeft w:val="0"/>
                      <w:marRight w:val="0"/>
                      <w:marTop w:val="0"/>
                      <w:marBottom w:val="0"/>
                      <w:divBdr>
                        <w:top w:val="none" w:sz="0" w:space="0" w:color="auto"/>
                        <w:left w:val="none" w:sz="0" w:space="0" w:color="auto"/>
                        <w:bottom w:val="none" w:sz="0" w:space="0" w:color="auto"/>
                        <w:right w:val="none" w:sz="0" w:space="0" w:color="auto"/>
                      </w:divBdr>
                      <w:divsChild>
                        <w:div w:id="154733106">
                          <w:marLeft w:val="0"/>
                          <w:marRight w:val="0"/>
                          <w:marTop w:val="0"/>
                          <w:marBottom w:val="0"/>
                          <w:divBdr>
                            <w:top w:val="none" w:sz="0" w:space="0" w:color="auto"/>
                            <w:left w:val="none" w:sz="0" w:space="0" w:color="auto"/>
                            <w:bottom w:val="none" w:sz="0" w:space="0" w:color="auto"/>
                            <w:right w:val="none" w:sz="0" w:space="0" w:color="auto"/>
                          </w:divBdr>
                          <w:divsChild>
                            <w:div w:id="239027011">
                              <w:marLeft w:val="0"/>
                              <w:marRight w:val="0"/>
                              <w:marTop w:val="0"/>
                              <w:marBottom w:val="0"/>
                              <w:divBdr>
                                <w:top w:val="none" w:sz="0" w:space="0" w:color="auto"/>
                                <w:left w:val="none" w:sz="0" w:space="0" w:color="auto"/>
                                <w:bottom w:val="none" w:sz="0" w:space="0" w:color="auto"/>
                                <w:right w:val="none" w:sz="0" w:space="0" w:color="auto"/>
                              </w:divBdr>
                              <w:divsChild>
                                <w:div w:id="1235968084">
                                  <w:marLeft w:val="0"/>
                                  <w:marRight w:val="0"/>
                                  <w:marTop w:val="0"/>
                                  <w:marBottom w:val="0"/>
                                  <w:divBdr>
                                    <w:top w:val="none" w:sz="0" w:space="0" w:color="auto"/>
                                    <w:left w:val="none" w:sz="0" w:space="0" w:color="auto"/>
                                    <w:bottom w:val="none" w:sz="0" w:space="0" w:color="auto"/>
                                    <w:right w:val="none" w:sz="0" w:space="0" w:color="auto"/>
                                  </w:divBdr>
                                  <w:divsChild>
                                    <w:div w:id="1353872711">
                                      <w:marLeft w:val="0"/>
                                      <w:marRight w:val="0"/>
                                      <w:marTop w:val="0"/>
                                      <w:marBottom w:val="0"/>
                                      <w:divBdr>
                                        <w:top w:val="none" w:sz="0" w:space="0" w:color="auto"/>
                                        <w:left w:val="none" w:sz="0" w:space="0" w:color="auto"/>
                                        <w:bottom w:val="none" w:sz="0" w:space="0" w:color="auto"/>
                                        <w:right w:val="none" w:sz="0" w:space="0" w:color="auto"/>
                                      </w:divBdr>
                                      <w:divsChild>
                                        <w:div w:id="376204137">
                                          <w:marLeft w:val="225"/>
                                          <w:marRight w:val="0"/>
                                          <w:marTop w:val="0"/>
                                          <w:marBottom w:val="0"/>
                                          <w:divBdr>
                                            <w:top w:val="none" w:sz="0" w:space="0" w:color="auto"/>
                                            <w:left w:val="none" w:sz="0" w:space="0" w:color="auto"/>
                                            <w:bottom w:val="none" w:sz="0" w:space="0" w:color="auto"/>
                                            <w:right w:val="none" w:sz="0" w:space="0" w:color="auto"/>
                                          </w:divBdr>
                                          <w:divsChild>
                                            <w:div w:id="1653177039">
                                              <w:marLeft w:val="0"/>
                                              <w:marRight w:val="0"/>
                                              <w:marTop w:val="60"/>
                                              <w:marBottom w:val="60"/>
                                              <w:divBdr>
                                                <w:top w:val="none" w:sz="0" w:space="0" w:color="auto"/>
                                                <w:left w:val="none" w:sz="0" w:space="0" w:color="auto"/>
                                                <w:bottom w:val="none" w:sz="0" w:space="0" w:color="auto"/>
                                                <w:right w:val="none" w:sz="0" w:space="0" w:color="auto"/>
                                              </w:divBdr>
                                              <w:divsChild>
                                                <w:div w:id="2119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qc/qcca/doc/2018/2018qcca1067/2018qcca1067.html?autocompleteStr=2018%20qcca%201067&amp;autocompletePos=1" TargetMode="External"/><Relationship Id="rId21" Type="http://schemas.openxmlformats.org/officeDocument/2006/relationships/hyperlink" Target="https://www.canlii.org/fr/qc/qccs/doc/2016/2016qccs497/2016qccs497.html?resultIndex=1" TargetMode="External"/><Relationship Id="rId42" Type="http://schemas.openxmlformats.org/officeDocument/2006/relationships/hyperlink" Target="https://www.canlii.org/en/on/onca/doc/2018/2018onca758/2018onca758.html?autocompleteStr=2018%20ONCA%20758&amp;autocompletePos=1" TargetMode="External"/><Relationship Id="rId47" Type="http://schemas.openxmlformats.org/officeDocument/2006/relationships/hyperlink" Target="http://canlii.ca/t/htrbz" TargetMode="External"/><Relationship Id="rId63" Type="http://schemas.openxmlformats.org/officeDocument/2006/relationships/hyperlink" Target="https://www.canlii.org/en/ab/abca/doc/2018/2018abca340/2018abca340.html?resultIndex=1" TargetMode="External"/><Relationship Id="rId68" Type="http://schemas.openxmlformats.org/officeDocument/2006/relationships/hyperlink" Target="https://www.canlii.org/en/on/onsc/doc/2018/2018onsc14/2018onsc14.html?resultIndex=1" TargetMode="External"/><Relationship Id="rId84" Type="http://schemas.openxmlformats.org/officeDocument/2006/relationships/header" Target="header11.xml"/><Relationship Id="rId89"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fr/qc/qccs/doc/2017/2017qccs2528/2017qccs2528.html?autocompleteStr=2017%20QCCS%202528&amp;autocompletePos=1" TargetMode="External"/><Relationship Id="rId107" Type="http://schemas.openxmlformats.org/officeDocument/2006/relationships/footer" Target="footer19.xml"/><Relationship Id="rId11" Type="http://schemas.openxmlformats.org/officeDocument/2006/relationships/header" Target="header1.xml"/><Relationship Id="rId24" Type="http://schemas.openxmlformats.org/officeDocument/2006/relationships/hyperlink" Target="https://www.canlii.org/fr/qc/qcca/doc/2018/2018qcca875/2018qcca875.html?autocompleteStr=2018%20QCCA%20875&amp;autocompletePos=1" TargetMode="External"/><Relationship Id="rId32" Type="http://schemas.openxmlformats.org/officeDocument/2006/relationships/hyperlink" Target="https://www.canlii.org/fr/qc/qcca/doc/2018/2018qcca1828/2018qcca1828.html" TargetMode="External"/><Relationship Id="rId37" Type="http://schemas.openxmlformats.org/officeDocument/2006/relationships/hyperlink" Target="https://www.canlii.org/en/ca/fct/doc/2016/2016fc1295/2016fc1295.html" TargetMode="External"/><Relationship Id="rId40" Type="http://schemas.openxmlformats.org/officeDocument/2006/relationships/hyperlink" Target="https://www.canlii.org/fr/ca/caf/doc/2018/2018caf145/2018caf145.html?autocompleteStr=2018%20CAF%20145&amp;autocompletePos=1" TargetMode="External"/><Relationship Id="rId45" Type="http://schemas.openxmlformats.org/officeDocument/2006/relationships/hyperlink" Target="http://canlii.ca/t/gt5bl" TargetMode="External"/><Relationship Id="rId53" Type="http://schemas.openxmlformats.org/officeDocument/2006/relationships/hyperlink" Target="https://www.canlii.org/en/ca/fca/doc/2018/2018fca181/2018fca181.html" TargetMode="External"/><Relationship Id="rId58" Type="http://schemas.openxmlformats.org/officeDocument/2006/relationships/hyperlink" Target="https://www.canlii.org/en/ab/abca/doc/2018/2018abca340/2018abca340.html?resultIndex=1" TargetMode="External"/><Relationship Id="rId66" Type="http://schemas.openxmlformats.org/officeDocument/2006/relationships/hyperlink" Target="http://canlii.ca/t/gv9tk" TargetMode="External"/><Relationship Id="rId74" Type="http://schemas.openxmlformats.org/officeDocument/2006/relationships/footer" Target="footer5.xml"/><Relationship Id="rId79" Type="http://schemas.openxmlformats.org/officeDocument/2006/relationships/header" Target="header9.xml"/><Relationship Id="rId87" Type="http://schemas.openxmlformats.org/officeDocument/2006/relationships/footer" Target="footer12.xml"/><Relationship Id="rId102" Type="http://schemas.openxmlformats.org/officeDocument/2006/relationships/header" Target="header17.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ab/laws/stat/rsa-2000-c-p-17/latest/rsa-2000-c-p-17.html" TargetMode="External"/><Relationship Id="rId82" Type="http://schemas.openxmlformats.org/officeDocument/2006/relationships/header" Target="header10.xml"/><Relationship Id="rId90" Type="http://schemas.openxmlformats.org/officeDocument/2006/relationships/hyperlink" Target="https://www.scc-csc.ca/case-dossier/info/sum-som-eng.aspx?cas=38129" TargetMode="External"/><Relationship Id="rId95" Type="http://schemas.openxmlformats.org/officeDocument/2006/relationships/header" Target="header15.xml"/><Relationship Id="rId19" Type="http://schemas.openxmlformats.org/officeDocument/2006/relationships/hyperlink" Target="https://www.canlii.org/en/on/onscdc/doc/2018/2018onsc2179/2018onsc2179.html?autocompleteStr=2018%20onsc%202179&amp;autocompletePos=1" TargetMode="External"/><Relationship Id="rId14" Type="http://schemas.openxmlformats.org/officeDocument/2006/relationships/footer" Target="footer2.xml"/><Relationship Id="rId22" Type="http://schemas.openxmlformats.org/officeDocument/2006/relationships/hyperlink" Target="https://www.canlii.org/fr/qc/qcca/doc/2018/2018qcca875/2018qcca875.html?autocompleteStr=2018%20QCCA%20875&amp;autocompletePos=1" TargetMode="External"/><Relationship Id="rId27" Type="http://schemas.openxmlformats.org/officeDocument/2006/relationships/hyperlink" Target="https://www.canlii.org/fr/qc/qccs/doc/2016/2016qccs3470/2016qccs3470.html?autocompleteStr=2016%20QCCS%203470&amp;autocompletePos=1" TargetMode="External"/><Relationship Id="rId30" Type="http://schemas.openxmlformats.org/officeDocument/2006/relationships/hyperlink" Target="https://www.canlii.org/fr/qc/qcca/doc/2018/2018qcca1828/2018qcca1828.html" TargetMode="External"/><Relationship Id="rId35" Type="http://schemas.openxmlformats.org/officeDocument/2006/relationships/hyperlink" Target="https://www.canlii.org/en/mb/mbca/doc/2018/2018mbca37/2018mbca37.html?autocompleteStr=2018%20MBCA%2037&amp;autocompletePos=1" TargetMode="External"/><Relationship Id="rId43" Type="http://schemas.openxmlformats.org/officeDocument/2006/relationships/hyperlink" Target="https://www.canlii.org/en/on/onsc/doc/2017/2017onsc5695/2017onsc5695.html?autocompleteStr=2017%20ONSC%205695&amp;autocompletePos=1" TargetMode="External"/><Relationship Id="rId48" Type="http://schemas.openxmlformats.org/officeDocument/2006/relationships/hyperlink" Target="http://canlii.ca/t/gt5bl" TargetMode="External"/><Relationship Id="rId56" Type="http://schemas.openxmlformats.org/officeDocument/2006/relationships/hyperlink" Target="https://www.canlii.org/fr/ca/caf/doc/2018/2018caf181/2018caf181.html" TargetMode="External"/><Relationship Id="rId64" Type="http://schemas.openxmlformats.org/officeDocument/2006/relationships/hyperlink" Target="http://canlii.ca/t/gv9tk" TargetMode="External"/><Relationship Id="rId69" Type="http://schemas.openxmlformats.org/officeDocument/2006/relationships/hyperlink" Target="https://www.canlii.org/en/on/onca/doc/2018/2018onca871/2018onca871.html?resultIndex=1" TargetMode="External"/><Relationship Id="rId77" Type="http://schemas.openxmlformats.org/officeDocument/2006/relationships/footer" Target="footer7.xml"/><Relationship Id="rId100" Type="http://schemas.openxmlformats.org/officeDocument/2006/relationships/hyperlink" Target="https://scc-csc.lexum.com/scc-csc/scc-csc/en/item/17683/index.do" TargetMode="External"/><Relationship Id="rId105" Type="http://schemas.openxmlformats.org/officeDocument/2006/relationships/footer" Target="footer18.xml"/><Relationship Id="rId8" Type="http://schemas.openxmlformats.org/officeDocument/2006/relationships/image" Target="media/image1.wmf"/><Relationship Id="rId51" Type="http://schemas.openxmlformats.org/officeDocument/2006/relationships/hyperlink" Target="https://www.canlii.org/en/ca/irb/doc/2016/2016canlii73712/2016canlii73712.html" TargetMode="External"/><Relationship Id="rId72" Type="http://schemas.openxmlformats.org/officeDocument/2006/relationships/header" Target="header5.xml"/><Relationship Id="rId80" Type="http://schemas.openxmlformats.org/officeDocument/2006/relationships/footer" Target="footer8.xml"/><Relationship Id="rId85" Type="http://schemas.openxmlformats.org/officeDocument/2006/relationships/header" Target="header12.xml"/><Relationship Id="rId93" Type="http://schemas.openxmlformats.org/officeDocument/2006/relationships/hyperlink" Target="http://www.scc-csc.ca/case-dossier/info/sum-som-eng.aspx?cas=38483" TargetMode="External"/><Relationship Id="rId98"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s/doc/2016/2016qccs3470/2016qccs3470.html?autocompleteStr=2016%20QCCS%203470&amp;autocompletePos=1" TargetMode="External"/><Relationship Id="rId33" Type="http://schemas.openxmlformats.org/officeDocument/2006/relationships/hyperlink" Target="https://www.canlii.org/en/mb/mbca/doc/2018/2018mbca38/2018mbca38.html" TargetMode="External"/><Relationship Id="rId38" Type="http://schemas.openxmlformats.org/officeDocument/2006/relationships/hyperlink" Target="https://www.canlii.org/fr/ca/caf/doc/2018/2018caf145/2018caf145.html?autocompleteStr=2018%20CAF%20145&amp;autocompletePos=1" TargetMode="External"/><Relationship Id="rId46" Type="http://schemas.openxmlformats.org/officeDocument/2006/relationships/hyperlink" Target="http://canlii.ca/t/gwqc4" TargetMode="External"/><Relationship Id="rId59" Type="http://schemas.openxmlformats.org/officeDocument/2006/relationships/hyperlink" Target="https://www.canlii.org/en/ab/laws/stat/rsa-2000-c-p-17/latest/rsa-2000-c-p-17.html" TargetMode="External"/><Relationship Id="rId67" Type="http://schemas.openxmlformats.org/officeDocument/2006/relationships/hyperlink" Target="http://canlii.ca/t/hvrs9" TargetMode="External"/><Relationship Id="rId103" Type="http://schemas.openxmlformats.org/officeDocument/2006/relationships/header" Target="header18.xml"/><Relationship Id="rId108" Type="http://schemas.openxmlformats.org/officeDocument/2006/relationships/header" Target="header20.xml"/><Relationship Id="rId20" Type="http://schemas.openxmlformats.org/officeDocument/2006/relationships/hyperlink" Target="https://www.canlii.org/en/on/onscdc/doc/2018/2018onsc2179/2018onsc2179.html?autocompleteStr=2018%20onsc%202179&amp;autocompletePos=1" TargetMode="External"/><Relationship Id="rId41" Type="http://schemas.openxmlformats.org/officeDocument/2006/relationships/hyperlink" Target="https://www.canlii.org/en/on/onsc/doc/2017/2017onsc5695/2017onsc5695.html?autocompleteStr=2017%20ONSC%205695&amp;autocompletePos=1" TargetMode="External"/><Relationship Id="rId54" Type="http://schemas.openxmlformats.org/officeDocument/2006/relationships/hyperlink" Target="https://www.canlii.org/fr/ca/cisr/doc/2016/2016canlii73712/2016canlii73712.html" TargetMode="External"/><Relationship Id="rId62" Type="http://schemas.openxmlformats.org/officeDocument/2006/relationships/hyperlink" Target="https://www.canlii.org/en/ab/abca/doc/2018/2018abca340/2018abca340.html?resultIndex=1" TargetMode="External"/><Relationship Id="rId70" Type="http://schemas.openxmlformats.org/officeDocument/2006/relationships/hyperlink" Target="https://www.canlii.org/en/on/onsc/doc/2018/2018onsc14/2018onsc14.html?resultIndex=1" TargetMode="External"/><Relationship Id="rId75" Type="http://schemas.openxmlformats.org/officeDocument/2006/relationships/footer" Target="footer6.xml"/><Relationship Id="rId83" Type="http://schemas.openxmlformats.org/officeDocument/2006/relationships/footer" Target="footer10.xml"/><Relationship Id="rId88" Type="http://schemas.openxmlformats.org/officeDocument/2006/relationships/header" Target="header13.xml"/><Relationship Id="rId91" Type="http://schemas.openxmlformats.org/officeDocument/2006/relationships/hyperlink" Target="http://www.scc-csc.ca/case-dossier/info/sum-som-fra.aspx?cas=38012" TargetMode="External"/><Relationship Id="rId96" Type="http://schemas.openxmlformats.org/officeDocument/2006/relationships/footer" Target="footer14.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s/doc/2016/2016qccs497/2016qccs497.html?resultIndex=1" TargetMode="External"/><Relationship Id="rId28" Type="http://schemas.openxmlformats.org/officeDocument/2006/relationships/hyperlink" Target="https://www.canlii.org/en/qc/qcca/doc/2018/2018qcca1067/2018qcca1067.html?autocompleteStr=2018%20qcca%201067&amp;autocompletePos=1" TargetMode="External"/><Relationship Id="rId36" Type="http://schemas.openxmlformats.org/officeDocument/2006/relationships/hyperlink" Target="https://www.canlii.org/en/mb/mbca/doc/2018/2018mbca37/2018mbca37.html?autocompleteStr=2018%20MBCA%2037&amp;autocompletePos=1" TargetMode="External"/><Relationship Id="rId49" Type="http://schemas.openxmlformats.org/officeDocument/2006/relationships/hyperlink" Target="http://canlii.ca/t/gwqc4" TargetMode="External"/><Relationship Id="rId57" Type="http://schemas.openxmlformats.org/officeDocument/2006/relationships/hyperlink" Target="https://www.canlii.org/en/ab/laws/stat/rsa-2000-c-p-17/latest/rsa-2000-c-p-17.html" TargetMode="External"/><Relationship Id="rId106" Type="http://schemas.openxmlformats.org/officeDocument/2006/relationships/header" Target="header19.xml"/><Relationship Id="rId10" Type="http://schemas.openxmlformats.org/officeDocument/2006/relationships/hyperlink" Target="http://www.scc-csc.ca" TargetMode="External"/><Relationship Id="rId31" Type="http://schemas.openxmlformats.org/officeDocument/2006/relationships/hyperlink" Target="https://www.canlii.org/fr/qc/qccs/doc/2017/2017qccs2528/2017qccs2528.html?autocompleteStr=2017%20QCCS%202528&amp;autocompletePos=1" TargetMode="External"/><Relationship Id="rId44" Type="http://schemas.openxmlformats.org/officeDocument/2006/relationships/hyperlink" Target="https://www.canlii.org/en/on/onca/doc/2018/2018onca758/2018onca758.html?autocompleteStr=2018%20ONCA%20758&amp;autocompletePos=1" TargetMode="External"/><Relationship Id="rId52" Type="http://schemas.openxmlformats.org/officeDocument/2006/relationships/hyperlink" Target="https://www.canlii.org/en/ca/fct/doc/2017/2017fc409/2017fc409.html" TargetMode="External"/><Relationship Id="rId60" Type="http://schemas.openxmlformats.org/officeDocument/2006/relationships/hyperlink" Target="https://www.canlii.org/en/ab/abca/doc/2018/2018abca340/2018abca340.html?resultIndex=1" TargetMode="External"/><Relationship Id="rId65" Type="http://schemas.openxmlformats.org/officeDocument/2006/relationships/hyperlink" Target="http://canlii.ca/t/hvrs9" TargetMode="External"/><Relationship Id="rId73" Type="http://schemas.openxmlformats.org/officeDocument/2006/relationships/header" Target="header6.xml"/><Relationship Id="rId78" Type="http://schemas.openxmlformats.org/officeDocument/2006/relationships/header" Target="header8.xml"/><Relationship Id="rId81" Type="http://schemas.openxmlformats.org/officeDocument/2006/relationships/footer" Target="footer9.xml"/><Relationship Id="rId86" Type="http://schemas.openxmlformats.org/officeDocument/2006/relationships/footer" Target="footer11.xml"/><Relationship Id="rId94" Type="http://schemas.openxmlformats.org/officeDocument/2006/relationships/header" Target="header14.xml"/><Relationship Id="rId99" Type="http://schemas.openxmlformats.org/officeDocument/2006/relationships/footer" Target="footer16.xml"/><Relationship Id="rId101" Type="http://schemas.openxmlformats.org/officeDocument/2006/relationships/hyperlink" Target="https://scc-csc.lexum.com/scc-csc/scc-csc/fr/item/17683/index.do"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ca/cfpi/doc/2016/2016cf1295/2016cf1295.html" TargetMode="External"/><Relationship Id="rId109" Type="http://schemas.openxmlformats.org/officeDocument/2006/relationships/footer" Target="footer20.xml"/><Relationship Id="rId34" Type="http://schemas.openxmlformats.org/officeDocument/2006/relationships/hyperlink" Target="https://www.canlii.org/en/mb/mbca/doc/2018/2018mbca38/2018mbca38.html" TargetMode="External"/><Relationship Id="rId50" Type="http://schemas.openxmlformats.org/officeDocument/2006/relationships/hyperlink" Target="http://canlii.ca/t/htrbz" TargetMode="External"/><Relationship Id="rId55" Type="http://schemas.openxmlformats.org/officeDocument/2006/relationships/hyperlink" Target="https://www.canlii.org/fr/ca/cfpi/doc/2017/2017cf409/2017cf409.html" TargetMode="External"/><Relationship Id="rId76" Type="http://schemas.openxmlformats.org/officeDocument/2006/relationships/header" Target="header7.xml"/><Relationship Id="rId97" Type="http://schemas.openxmlformats.org/officeDocument/2006/relationships/footer" Target="footer15.xml"/><Relationship Id="rId104"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s://www.canlii.org/en/on/onca/doc/2018/2018onca871/2018onca871.html?resultIndex=1" TargetMode="External"/><Relationship Id="rId92" Type="http://schemas.openxmlformats.org/officeDocument/2006/relationships/hyperlink" Target="http://www.scc-csc.ca/case-dossier/info/sum-som-fra.aspx?cas=379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66FD-3937-4DC5-BB68-EEC4B30C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42</Pages>
  <Words>16050</Words>
  <Characters>91486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2019-04-10T17:56:00Z</dcterms:created>
  <dcterms:modified xsi:type="dcterms:W3CDTF">2019-04-18T18:40:00Z</dcterms:modified>
</cp:coreProperties>
</file>