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8847EB" w:rsidRDefault="00382C47" w:rsidP="00C7556C">
      <w:pPr>
        <w:jc w:val="center"/>
      </w:pPr>
      <w:r w:rsidRPr="008847EB">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8847EB"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8847EB" w:rsidTr="002E5576">
        <w:tc>
          <w:tcPr>
            <w:tcW w:w="4518" w:type="dxa"/>
          </w:tcPr>
          <w:p w:rsidR="00BF25F3" w:rsidRPr="008847EB" w:rsidRDefault="00BF25F3" w:rsidP="00BF25F3">
            <w:pPr>
              <w:tabs>
                <w:tab w:val="left" w:pos="6075"/>
              </w:tabs>
              <w:jc w:val="center"/>
              <w:rPr>
                <w:b/>
                <w:sz w:val="32"/>
                <w:szCs w:val="32"/>
              </w:rPr>
            </w:pPr>
            <w:r w:rsidRPr="008847EB">
              <w:rPr>
                <w:b/>
                <w:sz w:val="32"/>
                <w:szCs w:val="32"/>
              </w:rPr>
              <w:t>SUPREME COURT OF CANADA</w:t>
            </w:r>
          </w:p>
        </w:tc>
        <w:tc>
          <w:tcPr>
            <w:tcW w:w="630" w:type="dxa"/>
          </w:tcPr>
          <w:p w:rsidR="00BF25F3" w:rsidRPr="008847EB" w:rsidRDefault="00BF25F3" w:rsidP="00BF25F3">
            <w:pPr>
              <w:tabs>
                <w:tab w:val="left" w:pos="6075"/>
              </w:tabs>
              <w:jc w:val="center"/>
              <w:rPr>
                <w:sz w:val="32"/>
                <w:szCs w:val="32"/>
              </w:rPr>
            </w:pPr>
          </w:p>
        </w:tc>
        <w:tc>
          <w:tcPr>
            <w:tcW w:w="4428" w:type="dxa"/>
          </w:tcPr>
          <w:p w:rsidR="00BF25F3" w:rsidRPr="008847EB" w:rsidRDefault="00BF25F3" w:rsidP="00BF25F3">
            <w:pPr>
              <w:tabs>
                <w:tab w:val="left" w:pos="6075"/>
              </w:tabs>
              <w:jc w:val="center"/>
              <w:rPr>
                <w:b/>
                <w:sz w:val="32"/>
                <w:szCs w:val="32"/>
                <w:lang w:val="fr-CA"/>
              </w:rPr>
            </w:pPr>
            <w:r w:rsidRPr="008847EB">
              <w:rPr>
                <w:b/>
                <w:sz w:val="32"/>
                <w:szCs w:val="32"/>
                <w:lang w:val="fr-CA"/>
              </w:rPr>
              <w:t>COUR SUPRÊME DU CANADA</w:t>
            </w:r>
          </w:p>
        </w:tc>
      </w:tr>
      <w:tr w:rsidR="00BF25F3" w:rsidRPr="008847EB" w:rsidTr="002E5576">
        <w:tc>
          <w:tcPr>
            <w:tcW w:w="4518" w:type="dxa"/>
          </w:tcPr>
          <w:p w:rsidR="00BF25F3" w:rsidRPr="008847EB" w:rsidRDefault="00BF25F3" w:rsidP="00BF25F3">
            <w:pPr>
              <w:tabs>
                <w:tab w:val="left" w:pos="6075"/>
              </w:tabs>
            </w:pPr>
          </w:p>
          <w:p w:rsidR="001B5C23" w:rsidRPr="008847EB" w:rsidRDefault="001B5C23" w:rsidP="00BF25F3">
            <w:pPr>
              <w:tabs>
                <w:tab w:val="left" w:pos="6075"/>
              </w:tabs>
            </w:pPr>
          </w:p>
          <w:p w:rsidR="001B5C23" w:rsidRPr="008847EB" w:rsidRDefault="001B5C23" w:rsidP="00BF25F3">
            <w:pPr>
              <w:tabs>
                <w:tab w:val="left" w:pos="6075"/>
              </w:tabs>
            </w:pPr>
          </w:p>
        </w:tc>
        <w:tc>
          <w:tcPr>
            <w:tcW w:w="630" w:type="dxa"/>
          </w:tcPr>
          <w:p w:rsidR="00BF25F3" w:rsidRPr="008847EB" w:rsidRDefault="00BF25F3" w:rsidP="00BF25F3">
            <w:pPr>
              <w:tabs>
                <w:tab w:val="left" w:pos="6075"/>
              </w:tabs>
            </w:pPr>
          </w:p>
        </w:tc>
        <w:tc>
          <w:tcPr>
            <w:tcW w:w="4428" w:type="dxa"/>
          </w:tcPr>
          <w:p w:rsidR="00BF25F3" w:rsidRPr="008847EB" w:rsidRDefault="00BF25F3" w:rsidP="00BF25F3">
            <w:pPr>
              <w:tabs>
                <w:tab w:val="left" w:pos="6075"/>
              </w:tabs>
              <w:rPr>
                <w:lang w:val="fr-CA"/>
              </w:rPr>
            </w:pPr>
          </w:p>
        </w:tc>
      </w:tr>
      <w:tr w:rsidR="00BF25F3" w:rsidRPr="008847EB" w:rsidTr="002E5576">
        <w:tc>
          <w:tcPr>
            <w:tcW w:w="4518" w:type="dxa"/>
          </w:tcPr>
          <w:p w:rsidR="001B5C23" w:rsidRPr="008847EB" w:rsidRDefault="00BF25F3" w:rsidP="00BF25F3">
            <w:pPr>
              <w:tabs>
                <w:tab w:val="left" w:pos="6075"/>
              </w:tabs>
              <w:jc w:val="center"/>
              <w:rPr>
                <w:sz w:val="28"/>
                <w:szCs w:val="28"/>
              </w:rPr>
            </w:pPr>
            <w:r w:rsidRPr="008847EB">
              <w:rPr>
                <w:sz w:val="28"/>
                <w:szCs w:val="28"/>
              </w:rPr>
              <w:t>BULLETIN OF</w:t>
            </w:r>
          </w:p>
          <w:p w:rsidR="00BF25F3" w:rsidRPr="008847EB" w:rsidRDefault="00BF25F3" w:rsidP="00BF25F3">
            <w:pPr>
              <w:tabs>
                <w:tab w:val="left" w:pos="6075"/>
              </w:tabs>
              <w:jc w:val="center"/>
              <w:rPr>
                <w:sz w:val="28"/>
                <w:szCs w:val="28"/>
              </w:rPr>
            </w:pPr>
            <w:r w:rsidRPr="008847EB">
              <w:rPr>
                <w:sz w:val="28"/>
                <w:szCs w:val="28"/>
              </w:rPr>
              <w:t xml:space="preserve"> PROCEEDINGS</w:t>
            </w:r>
          </w:p>
        </w:tc>
        <w:tc>
          <w:tcPr>
            <w:tcW w:w="630" w:type="dxa"/>
          </w:tcPr>
          <w:p w:rsidR="00BF25F3" w:rsidRPr="008847EB" w:rsidRDefault="00BF25F3" w:rsidP="00BF25F3">
            <w:pPr>
              <w:tabs>
                <w:tab w:val="left" w:pos="6075"/>
              </w:tabs>
            </w:pPr>
          </w:p>
        </w:tc>
        <w:tc>
          <w:tcPr>
            <w:tcW w:w="4428" w:type="dxa"/>
          </w:tcPr>
          <w:p w:rsidR="001B5C23" w:rsidRPr="008847EB" w:rsidRDefault="00BF25F3" w:rsidP="00BF25F3">
            <w:pPr>
              <w:tabs>
                <w:tab w:val="left" w:pos="6075"/>
              </w:tabs>
              <w:jc w:val="center"/>
              <w:rPr>
                <w:sz w:val="28"/>
                <w:szCs w:val="28"/>
                <w:lang w:val="fr-CA"/>
              </w:rPr>
            </w:pPr>
            <w:r w:rsidRPr="008847EB">
              <w:rPr>
                <w:sz w:val="28"/>
                <w:szCs w:val="28"/>
                <w:lang w:val="fr-CA"/>
              </w:rPr>
              <w:t>BULLETIN DES</w:t>
            </w:r>
          </w:p>
          <w:p w:rsidR="00BF25F3" w:rsidRPr="008847EB" w:rsidRDefault="00BF25F3" w:rsidP="00BF25F3">
            <w:pPr>
              <w:tabs>
                <w:tab w:val="left" w:pos="6075"/>
              </w:tabs>
              <w:jc w:val="center"/>
              <w:rPr>
                <w:sz w:val="28"/>
                <w:szCs w:val="28"/>
                <w:lang w:val="fr-CA"/>
              </w:rPr>
            </w:pPr>
            <w:r w:rsidRPr="008847EB">
              <w:rPr>
                <w:sz w:val="28"/>
                <w:szCs w:val="28"/>
                <w:lang w:val="fr-CA"/>
              </w:rPr>
              <w:t xml:space="preserve"> PROCÉDURES</w:t>
            </w:r>
          </w:p>
        </w:tc>
      </w:tr>
      <w:tr w:rsidR="00BF25F3" w:rsidRPr="008847EB" w:rsidTr="002E5576">
        <w:tc>
          <w:tcPr>
            <w:tcW w:w="4518" w:type="dxa"/>
          </w:tcPr>
          <w:p w:rsidR="00BF25F3" w:rsidRPr="008847EB" w:rsidRDefault="00BF25F3" w:rsidP="00BF25F3">
            <w:pPr>
              <w:tabs>
                <w:tab w:val="left" w:pos="6075"/>
              </w:tabs>
            </w:pPr>
          </w:p>
          <w:p w:rsidR="001B5C23" w:rsidRPr="008847EB" w:rsidRDefault="001B5C23" w:rsidP="00BF25F3">
            <w:pPr>
              <w:tabs>
                <w:tab w:val="left" w:pos="6075"/>
              </w:tabs>
            </w:pPr>
          </w:p>
        </w:tc>
        <w:tc>
          <w:tcPr>
            <w:tcW w:w="630" w:type="dxa"/>
          </w:tcPr>
          <w:p w:rsidR="00BF25F3" w:rsidRPr="008847EB" w:rsidRDefault="00BF25F3" w:rsidP="00BF25F3">
            <w:pPr>
              <w:tabs>
                <w:tab w:val="left" w:pos="6075"/>
              </w:tabs>
            </w:pPr>
          </w:p>
        </w:tc>
        <w:tc>
          <w:tcPr>
            <w:tcW w:w="4428" w:type="dxa"/>
          </w:tcPr>
          <w:p w:rsidR="00BF25F3" w:rsidRPr="008847EB" w:rsidRDefault="00BF25F3" w:rsidP="00BF25F3">
            <w:pPr>
              <w:tabs>
                <w:tab w:val="left" w:pos="6075"/>
              </w:tabs>
              <w:rPr>
                <w:lang w:val="fr-CA"/>
              </w:rPr>
            </w:pPr>
          </w:p>
        </w:tc>
      </w:tr>
      <w:tr w:rsidR="00BF25F3" w:rsidRPr="00684C75" w:rsidTr="002E5576">
        <w:tc>
          <w:tcPr>
            <w:tcW w:w="4518" w:type="dxa"/>
          </w:tcPr>
          <w:p w:rsidR="00BF25F3" w:rsidRPr="008847EB" w:rsidRDefault="00BF25F3" w:rsidP="00BF25F3">
            <w:pPr>
              <w:tabs>
                <w:tab w:val="left" w:pos="6075"/>
              </w:tabs>
              <w:jc w:val="both"/>
              <w:rPr>
                <w:rFonts w:ascii="Arial" w:hAnsi="Arial" w:cs="Arial"/>
                <w:i/>
                <w:sz w:val="20"/>
                <w:szCs w:val="20"/>
              </w:rPr>
            </w:pPr>
            <w:r w:rsidRPr="008847E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8847EB" w:rsidRDefault="00BF25F3" w:rsidP="00BF25F3">
            <w:pPr>
              <w:tabs>
                <w:tab w:val="left" w:pos="6075"/>
              </w:tabs>
              <w:jc w:val="both"/>
              <w:rPr>
                <w:rFonts w:ascii="Arial" w:hAnsi="Arial" w:cs="Arial"/>
                <w:i/>
                <w:sz w:val="20"/>
                <w:szCs w:val="20"/>
              </w:rPr>
            </w:pPr>
          </w:p>
        </w:tc>
        <w:tc>
          <w:tcPr>
            <w:tcW w:w="4428" w:type="dxa"/>
          </w:tcPr>
          <w:p w:rsidR="00BF25F3" w:rsidRPr="008847EB" w:rsidRDefault="00BF25F3" w:rsidP="00BF25F3">
            <w:pPr>
              <w:tabs>
                <w:tab w:val="left" w:pos="6075"/>
              </w:tabs>
              <w:jc w:val="both"/>
              <w:rPr>
                <w:rFonts w:ascii="Arial" w:hAnsi="Arial" w:cs="Arial"/>
                <w:i/>
                <w:sz w:val="20"/>
                <w:szCs w:val="20"/>
                <w:lang w:val="fr-CA"/>
              </w:rPr>
            </w:pPr>
            <w:r w:rsidRPr="008847E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84C75" w:rsidTr="002E5576">
        <w:tc>
          <w:tcPr>
            <w:tcW w:w="4518" w:type="dxa"/>
          </w:tcPr>
          <w:p w:rsidR="00BF25F3" w:rsidRPr="008847EB" w:rsidRDefault="00BF25F3" w:rsidP="00BF25F3">
            <w:pPr>
              <w:tabs>
                <w:tab w:val="left" w:pos="6075"/>
              </w:tabs>
              <w:rPr>
                <w:lang w:val="fr-CA"/>
              </w:rPr>
            </w:pPr>
          </w:p>
          <w:p w:rsidR="00D862C1" w:rsidRPr="008847EB" w:rsidRDefault="00D862C1" w:rsidP="00BF25F3">
            <w:pPr>
              <w:tabs>
                <w:tab w:val="left" w:pos="6075"/>
              </w:tabs>
              <w:rPr>
                <w:lang w:val="fr-CA"/>
              </w:rPr>
            </w:pPr>
          </w:p>
        </w:tc>
        <w:tc>
          <w:tcPr>
            <w:tcW w:w="630" w:type="dxa"/>
          </w:tcPr>
          <w:p w:rsidR="00BF25F3" w:rsidRPr="008847EB" w:rsidRDefault="00BF25F3" w:rsidP="00BF25F3">
            <w:pPr>
              <w:tabs>
                <w:tab w:val="left" w:pos="6075"/>
              </w:tabs>
              <w:rPr>
                <w:lang w:val="fr-CA"/>
              </w:rPr>
            </w:pPr>
          </w:p>
        </w:tc>
        <w:tc>
          <w:tcPr>
            <w:tcW w:w="4428" w:type="dxa"/>
          </w:tcPr>
          <w:p w:rsidR="00BF25F3" w:rsidRPr="008847EB" w:rsidRDefault="00BF25F3" w:rsidP="00BF25F3">
            <w:pPr>
              <w:tabs>
                <w:tab w:val="left" w:pos="6075"/>
              </w:tabs>
              <w:rPr>
                <w:lang w:val="fr-CA"/>
              </w:rPr>
            </w:pPr>
          </w:p>
        </w:tc>
      </w:tr>
      <w:tr w:rsidR="00BF25F3" w:rsidRPr="00684C75" w:rsidTr="002E5576">
        <w:tc>
          <w:tcPr>
            <w:tcW w:w="4518" w:type="dxa"/>
          </w:tcPr>
          <w:p w:rsidR="00BF25F3" w:rsidRPr="008847EB" w:rsidRDefault="00BF25F3" w:rsidP="009F3024">
            <w:pPr>
              <w:tabs>
                <w:tab w:val="left" w:pos="6075"/>
              </w:tabs>
              <w:jc w:val="both"/>
              <w:rPr>
                <w:rFonts w:ascii="Arial" w:hAnsi="Arial" w:cs="Arial"/>
                <w:i/>
                <w:sz w:val="20"/>
                <w:szCs w:val="20"/>
              </w:rPr>
            </w:pPr>
            <w:r w:rsidRPr="008847EB">
              <w:rPr>
                <w:rFonts w:ascii="Arial" w:hAnsi="Arial" w:cs="Arial"/>
                <w:i/>
                <w:sz w:val="20"/>
                <w:szCs w:val="20"/>
              </w:rPr>
              <w:t>During Court sessions</w:t>
            </w:r>
            <w:r w:rsidR="00845C2A" w:rsidRPr="008847EB">
              <w:rPr>
                <w:rFonts w:ascii="Arial" w:hAnsi="Arial" w:cs="Arial"/>
                <w:i/>
                <w:sz w:val="20"/>
                <w:szCs w:val="20"/>
              </w:rPr>
              <w:t>,</w:t>
            </w:r>
            <w:r w:rsidRPr="008847EB">
              <w:rPr>
                <w:rFonts w:ascii="Arial" w:hAnsi="Arial" w:cs="Arial"/>
                <w:i/>
                <w:sz w:val="20"/>
                <w:szCs w:val="20"/>
              </w:rPr>
              <w:t xml:space="preserve"> </w:t>
            </w:r>
            <w:r w:rsidR="009F3024" w:rsidRPr="008847EB">
              <w:rPr>
                <w:rFonts w:ascii="Arial" w:hAnsi="Arial" w:cs="Arial"/>
                <w:i/>
                <w:sz w:val="20"/>
                <w:szCs w:val="20"/>
              </w:rPr>
              <w:t xml:space="preserve">the Bulletin </w:t>
            </w:r>
            <w:r w:rsidRPr="008847EB">
              <w:rPr>
                <w:rFonts w:ascii="Arial" w:hAnsi="Arial" w:cs="Arial"/>
                <w:i/>
                <w:sz w:val="20"/>
                <w:szCs w:val="20"/>
              </w:rPr>
              <w:t>is usually issued weekly.</w:t>
            </w:r>
          </w:p>
        </w:tc>
        <w:tc>
          <w:tcPr>
            <w:tcW w:w="630" w:type="dxa"/>
          </w:tcPr>
          <w:p w:rsidR="00BF25F3" w:rsidRPr="008847EB" w:rsidRDefault="00BF25F3" w:rsidP="00BF25F3">
            <w:pPr>
              <w:tabs>
                <w:tab w:val="left" w:pos="6075"/>
              </w:tabs>
              <w:jc w:val="both"/>
              <w:rPr>
                <w:rFonts w:ascii="Arial" w:hAnsi="Arial" w:cs="Arial"/>
                <w:i/>
                <w:sz w:val="20"/>
                <w:szCs w:val="20"/>
              </w:rPr>
            </w:pPr>
          </w:p>
        </w:tc>
        <w:tc>
          <w:tcPr>
            <w:tcW w:w="4428" w:type="dxa"/>
          </w:tcPr>
          <w:p w:rsidR="00BF25F3" w:rsidRPr="008847EB" w:rsidRDefault="00BF25F3" w:rsidP="00BF25F3">
            <w:pPr>
              <w:tabs>
                <w:tab w:val="left" w:pos="6075"/>
              </w:tabs>
              <w:jc w:val="both"/>
              <w:rPr>
                <w:rFonts w:ascii="Arial" w:hAnsi="Arial" w:cs="Arial"/>
                <w:i/>
                <w:sz w:val="20"/>
                <w:szCs w:val="20"/>
                <w:lang w:val="fr-CA"/>
              </w:rPr>
            </w:pPr>
            <w:r w:rsidRPr="008847EB">
              <w:rPr>
                <w:rFonts w:ascii="Arial" w:hAnsi="Arial" w:cs="Arial"/>
                <w:i/>
                <w:sz w:val="20"/>
                <w:szCs w:val="20"/>
                <w:lang w:val="fr-CA"/>
              </w:rPr>
              <w:t>Le Bulletin paraît en principe toutes les semaines pendant les sessions de la Cour.</w:t>
            </w:r>
          </w:p>
        </w:tc>
      </w:tr>
      <w:tr w:rsidR="00BF25F3" w:rsidRPr="00684C75" w:rsidTr="002E5576">
        <w:tc>
          <w:tcPr>
            <w:tcW w:w="4518" w:type="dxa"/>
          </w:tcPr>
          <w:p w:rsidR="00BF25F3" w:rsidRPr="008847EB" w:rsidRDefault="00BF25F3" w:rsidP="00BF25F3">
            <w:pPr>
              <w:tabs>
                <w:tab w:val="left" w:pos="6075"/>
              </w:tabs>
              <w:rPr>
                <w:lang w:val="fr-CA"/>
              </w:rPr>
            </w:pPr>
          </w:p>
          <w:p w:rsidR="00D862C1" w:rsidRPr="008847EB" w:rsidRDefault="00D862C1" w:rsidP="00BF25F3">
            <w:pPr>
              <w:tabs>
                <w:tab w:val="left" w:pos="6075"/>
              </w:tabs>
              <w:rPr>
                <w:lang w:val="fr-CA"/>
              </w:rPr>
            </w:pPr>
          </w:p>
        </w:tc>
        <w:tc>
          <w:tcPr>
            <w:tcW w:w="630" w:type="dxa"/>
          </w:tcPr>
          <w:p w:rsidR="00BF25F3" w:rsidRPr="008847EB" w:rsidRDefault="00BF25F3" w:rsidP="00BF25F3">
            <w:pPr>
              <w:tabs>
                <w:tab w:val="left" w:pos="6075"/>
              </w:tabs>
              <w:rPr>
                <w:lang w:val="fr-CA"/>
              </w:rPr>
            </w:pPr>
          </w:p>
        </w:tc>
        <w:tc>
          <w:tcPr>
            <w:tcW w:w="4428" w:type="dxa"/>
          </w:tcPr>
          <w:p w:rsidR="00BF25F3" w:rsidRPr="008847EB" w:rsidRDefault="00BF25F3" w:rsidP="00BF25F3">
            <w:pPr>
              <w:tabs>
                <w:tab w:val="left" w:pos="6075"/>
              </w:tabs>
              <w:rPr>
                <w:lang w:val="fr-CA"/>
              </w:rPr>
            </w:pPr>
          </w:p>
        </w:tc>
      </w:tr>
      <w:tr w:rsidR="00BF25F3" w:rsidRPr="00684C75" w:rsidTr="002E5576">
        <w:tc>
          <w:tcPr>
            <w:tcW w:w="4518" w:type="dxa"/>
          </w:tcPr>
          <w:p w:rsidR="00BF25F3" w:rsidRPr="008847EB" w:rsidRDefault="000E27A5" w:rsidP="00BF25F3">
            <w:pPr>
              <w:tabs>
                <w:tab w:val="left" w:pos="6075"/>
              </w:tabs>
              <w:jc w:val="both"/>
              <w:rPr>
                <w:rFonts w:ascii="Arial" w:hAnsi="Arial" w:cs="Arial"/>
                <w:i/>
                <w:sz w:val="20"/>
                <w:szCs w:val="20"/>
              </w:rPr>
            </w:pPr>
            <w:r w:rsidRPr="008847EB">
              <w:rPr>
                <w:rFonts w:ascii="Arial" w:hAnsi="Arial" w:cs="Arial"/>
                <w:i/>
                <w:sz w:val="20"/>
                <w:szCs w:val="20"/>
              </w:rPr>
              <w:fldChar w:fldCharType="begin"/>
            </w:r>
            <w:r w:rsidR="00BF25F3" w:rsidRPr="008847EB">
              <w:rPr>
                <w:rFonts w:ascii="Arial" w:hAnsi="Arial" w:cs="Arial"/>
                <w:i/>
                <w:sz w:val="20"/>
                <w:szCs w:val="20"/>
              </w:rPr>
              <w:instrText xml:space="preserve"> SEQ CHAPTER \h \r 1</w:instrText>
            </w:r>
            <w:r w:rsidRPr="008847EB">
              <w:rPr>
                <w:rFonts w:ascii="Arial" w:hAnsi="Arial" w:cs="Arial"/>
                <w:i/>
                <w:sz w:val="20"/>
                <w:szCs w:val="20"/>
              </w:rPr>
              <w:fldChar w:fldCharType="end"/>
            </w:r>
            <w:r w:rsidR="00BF25F3" w:rsidRPr="008847E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8847EB" w:rsidRDefault="00BF25F3" w:rsidP="00BF25F3">
            <w:pPr>
              <w:tabs>
                <w:tab w:val="left" w:pos="6075"/>
              </w:tabs>
              <w:jc w:val="both"/>
              <w:rPr>
                <w:rFonts w:ascii="Arial" w:hAnsi="Arial" w:cs="Arial"/>
                <w:i/>
                <w:sz w:val="20"/>
                <w:szCs w:val="20"/>
              </w:rPr>
            </w:pPr>
          </w:p>
        </w:tc>
        <w:tc>
          <w:tcPr>
            <w:tcW w:w="4428" w:type="dxa"/>
          </w:tcPr>
          <w:p w:rsidR="00BF25F3" w:rsidRPr="008847EB" w:rsidRDefault="000E27A5" w:rsidP="00BF25F3">
            <w:pPr>
              <w:tabs>
                <w:tab w:val="left" w:pos="6075"/>
              </w:tabs>
              <w:jc w:val="both"/>
              <w:rPr>
                <w:rFonts w:ascii="Arial" w:hAnsi="Arial" w:cs="Arial"/>
                <w:i/>
                <w:sz w:val="20"/>
                <w:szCs w:val="20"/>
                <w:lang w:val="fr-CA"/>
              </w:rPr>
            </w:pPr>
            <w:r w:rsidRPr="008847EB">
              <w:rPr>
                <w:rFonts w:ascii="Arial" w:hAnsi="Arial" w:cs="Arial"/>
                <w:i/>
                <w:sz w:val="20"/>
                <w:szCs w:val="20"/>
                <w:lang w:val="fr-CA"/>
              </w:rPr>
              <w:fldChar w:fldCharType="begin"/>
            </w:r>
            <w:r w:rsidR="00BF25F3" w:rsidRPr="008847EB">
              <w:rPr>
                <w:rFonts w:ascii="Arial" w:hAnsi="Arial" w:cs="Arial"/>
                <w:i/>
                <w:sz w:val="20"/>
                <w:szCs w:val="20"/>
                <w:lang w:val="fr-CA"/>
              </w:rPr>
              <w:instrText xml:space="preserve"> SEQ CHAPTER \h \r 1</w:instrText>
            </w:r>
            <w:r w:rsidRPr="008847EB">
              <w:rPr>
                <w:rFonts w:ascii="Arial" w:hAnsi="Arial" w:cs="Arial"/>
                <w:i/>
                <w:sz w:val="20"/>
                <w:szCs w:val="20"/>
                <w:lang w:val="fr-CA"/>
              </w:rPr>
              <w:fldChar w:fldCharType="end"/>
            </w:r>
            <w:r w:rsidR="00BF25F3" w:rsidRPr="008847E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84C75" w:rsidTr="002E5576">
        <w:tc>
          <w:tcPr>
            <w:tcW w:w="4518" w:type="dxa"/>
          </w:tcPr>
          <w:p w:rsidR="009F3024" w:rsidRPr="008847EB" w:rsidRDefault="009F3024" w:rsidP="009F3024">
            <w:pPr>
              <w:tabs>
                <w:tab w:val="left" w:pos="6075"/>
              </w:tabs>
              <w:rPr>
                <w:rFonts w:cs="Times New Roman"/>
                <w:szCs w:val="24"/>
                <w:lang w:val="fr-CA"/>
              </w:rPr>
            </w:pPr>
          </w:p>
          <w:p w:rsidR="009F3024" w:rsidRPr="008847EB" w:rsidRDefault="009F3024" w:rsidP="009F3024">
            <w:pPr>
              <w:tabs>
                <w:tab w:val="left" w:pos="6075"/>
              </w:tabs>
              <w:rPr>
                <w:rFonts w:cs="Times New Roman"/>
                <w:szCs w:val="24"/>
                <w:lang w:val="fr-CA"/>
              </w:rPr>
            </w:pPr>
          </w:p>
        </w:tc>
        <w:tc>
          <w:tcPr>
            <w:tcW w:w="630" w:type="dxa"/>
          </w:tcPr>
          <w:p w:rsidR="009F3024" w:rsidRPr="008847EB" w:rsidRDefault="009F3024" w:rsidP="009F3024">
            <w:pPr>
              <w:tabs>
                <w:tab w:val="left" w:pos="6075"/>
              </w:tabs>
              <w:rPr>
                <w:rFonts w:cs="Times New Roman"/>
                <w:szCs w:val="24"/>
                <w:lang w:val="fr-CA"/>
              </w:rPr>
            </w:pPr>
          </w:p>
        </w:tc>
        <w:tc>
          <w:tcPr>
            <w:tcW w:w="4428" w:type="dxa"/>
          </w:tcPr>
          <w:p w:rsidR="009F3024" w:rsidRPr="008847EB" w:rsidRDefault="009F3024" w:rsidP="009F3024">
            <w:pPr>
              <w:tabs>
                <w:tab w:val="left" w:pos="6075"/>
              </w:tabs>
              <w:rPr>
                <w:rFonts w:cs="Times New Roman"/>
                <w:szCs w:val="24"/>
                <w:lang w:val="fr-CA"/>
              </w:rPr>
            </w:pPr>
          </w:p>
        </w:tc>
      </w:tr>
      <w:tr w:rsidR="009F3024" w:rsidRPr="00684C75" w:rsidTr="002E5576">
        <w:tc>
          <w:tcPr>
            <w:tcW w:w="4518" w:type="dxa"/>
          </w:tcPr>
          <w:p w:rsidR="009F3024" w:rsidRPr="008847EB" w:rsidRDefault="00845C2A" w:rsidP="00845C2A">
            <w:pPr>
              <w:tabs>
                <w:tab w:val="left" w:pos="6075"/>
              </w:tabs>
              <w:jc w:val="both"/>
              <w:rPr>
                <w:rFonts w:ascii="Arial" w:hAnsi="Arial" w:cs="Arial"/>
                <w:i/>
                <w:sz w:val="20"/>
                <w:szCs w:val="20"/>
              </w:rPr>
            </w:pPr>
            <w:r w:rsidRPr="008847EB">
              <w:rPr>
                <w:rFonts w:ascii="Arial" w:hAnsi="Arial" w:cs="Arial"/>
                <w:i/>
                <w:sz w:val="20"/>
                <w:szCs w:val="20"/>
                <w:lang w:val="en-US"/>
              </w:rPr>
              <w:t>Please c</w:t>
            </w:r>
            <w:proofErr w:type="spellStart"/>
            <w:r w:rsidR="009F3024" w:rsidRPr="008847EB">
              <w:rPr>
                <w:rFonts w:ascii="Arial" w:hAnsi="Arial" w:cs="Arial"/>
                <w:i/>
                <w:sz w:val="20"/>
                <w:szCs w:val="20"/>
              </w:rPr>
              <w:t>onsult</w:t>
            </w:r>
            <w:proofErr w:type="spellEnd"/>
            <w:r w:rsidR="009F3024" w:rsidRPr="008847EB">
              <w:rPr>
                <w:rFonts w:ascii="Arial" w:hAnsi="Arial" w:cs="Arial"/>
                <w:i/>
                <w:sz w:val="20"/>
                <w:szCs w:val="20"/>
              </w:rPr>
              <w:t xml:space="preserve"> the Supreme Court of Canada website at </w:t>
            </w:r>
            <w:hyperlink r:id="rId9" w:history="1">
              <w:r w:rsidR="00E414CA" w:rsidRPr="008847EB">
                <w:rPr>
                  <w:rStyle w:val="Hyperlink"/>
                  <w:rFonts w:ascii="Arial" w:hAnsi="Arial" w:cs="Arial"/>
                  <w:i/>
                  <w:sz w:val="20"/>
                  <w:szCs w:val="20"/>
                </w:rPr>
                <w:t>www.scc-csc.ca</w:t>
              </w:r>
            </w:hyperlink>
            <w:r w:rsidR="009F3024" w:rsidRPr="008847EB">
              <w:rPr>
                <w:rFonts w:ascii="Arial" w:hAnsi="Arial" w:cs="Arial"/>
                <w:i/>
                <w:sz w:val="20"/>
                <w:szCs w:val="20"/>
              </w:rPr>
              <w:t xml:space="preserve"> for more information.</w:t>
            </w:r>
          </w:p>
        </w:tc>
        <w:tc>
          <w:tcPr>
            <w:tcW w:w="630" w:type="dxa"/>
          </w:tcPr>
          <w:p w:rsidR="009F3024" w:rsidRPr="008847EB" w:rsidRDefault="009F3024" w:rsidP="00BF25F3">
            <w:pPr>
              <w:tabs>
                <w:tab w:val="left" w:pos="6075"/>
              </w:tabs>
              <w:jc w:val="both"/>
              <w:rPr>
                <w:rFonts w:ascii="Arial" w:hAnsi="Arial" w:cs="Arial"/>
                <w:i/>
                <w:sz w:val="20"/>
                <w:szCs w:val="20"/>
              </w:rPr>
            </w:pPr>
          </w:p>
        </w:tc>
        <w:tc>
          <w:tcPr>
            <w:tcW w:w="4428" w:type="dxa"/>
          </w:tcPr>
          <w:p w:rsidR="009F3024" w:rsidRPr="008847EB" w:rsidRDefault="009F3024" w:rsidP="00E414CA">
            <w:pPr>
              <w:tabs>
                <w:tab w:val="left" w:pos="6075"/>
              </w:tabs>
              <w:jc w:val="both"/>
              <w:rPr>
                <w:rFonts w:ascii="Arial" w:hAnsi="Arial" w:cs="Arial"/>
                <w:i/>
                <w:sz w:val="20"/>
                <w:szCs w:val="20"/>
                <w:lang w:val="fr-CA"/>
              </w:rPr>
            </w:pPr>
            <w:r w:rsidRPr="008847EB">
              <w:rPr>
                <w:rFonts w:ascii="Arial" w:hAnsi="Arial" w:cs="Arial"/>
                <w:i/>
                <w:sz w:val="20"/>
                <w:szCs w:val="20"/>
                <w:lang w:val="fr-CA"/>
              </w:rPr>
              <w:t xml:space="preserve">Pour de plus amples informations, </w:t>
            </w:r>
            <w:r w:rsidR="00845C2A" w:rsidRPr="008847EB">
              <w:rPr>
                <w:rFonts w:ascii="Arial" w:hAnsi="Arial" w:cs="Arial"/>
                <w:i/>
                <w:sz w:val="20"/>
                <w:szCs w:val="20"/>
                <w:lang w:val="fr-CA"/>
              </w:rPr>
              <w:t xml:space="preserve">veuillez </w:t>
            </w:r>
            <w:r w:rsidRPr="008847EB">
              <w:rPr>
                <w:rFonts w:ascii="Arial" w:hAnsi="Arial" w:cs="Arial"/>
                <w:i/>
                <w:sz w:val="20"/>
                <w:szCs w:val="20"/>
                <w:lang w:val="fr-CA"/>
              </w:rPr>
              <w:t xml:space="preserve">consulter le site Web de la Cour suprême du Canada à l’adresse suivante : </w:t>
            </w:r>
            <w:hyperlink r:id="rId10" w:history="1">
              <w:r w:rsidR="0081473A" w:rsidRPr="008847EB">
                <w:rPr>
                  <w:rStyle w:val="Hyperlink"/>
                  <w:rFonts w:ascii="Arial" w:hAnsi="Arial" w:cs="Arial"/>
                  <w:i/>
                  <w:sz w:val="20"/>
                  <w:szCs w:val="20"/>
                  <w:lang w:val="fr-CA"/>
                </w:rPr>
                <w:t>www.scc-csc.ca</w:t>
              </w:r>
            </w:hyperlink>
            <w:r w:rsidRPr="008847EB">
              <w:rPr>
                <w:rFonts w:ascii="Arial" w:hAnsi="Arial" w:cs="Arial"/>
                <w:i/>
                <w:sz w:val="20"/>
                <w:szCs w:val="20"/>
                <w:lang w:val="fr-CA"/>
              </w:rPr>
              <w:t xml:space="preserve"> </w:t>
            </w:r>
          </w:p>
        </w:tc>
      </w:tr>
    </w:tbl>
    <w:p w:rsidR="00BF25F3" w:rsidRPr="008847EB" w:rsidRDefault="00BF25F3" w:rsidP="00BF25F3">
      <w:pPr>
        <w:tabs>
          <w:tab w:val="left" w:pos="6075"/>
        </w:tabs>
        <w:rPr>
          <w:lang w:val="fr-CA"/>
        </w:rPr>
      </w:pPr>
    </w:p>
    <w:p w:rsidR="00440E24" w:rsidRPr="008847EB" w:rsidRDefault="00440E24" w:rsidP="00440E24">
      <w:pPr>
        <w:pBdr>
          <w:bottom w:val="single" w:sz="6" w:space="1" w:color="auto"/>
        </w:pBdr>
        <w:tabs>
          <w:tab w:val="left" w:pos="6075"/>
        </w:tabs>
        <w:rPr>
          <w:lang w:val="fr-CA"/>
        </w:rPr>
      </w:pPr>
    </w:p>
    <w:p w:rsidR="00440E24" w:rsidRPr="008847EB" w:rsidRDefault="00440E24" w:rsidP="00440E24">
      <w:pPr>
        <w:rPr>
          <w:lang w:val="fr-CA"/>
        </w:rPr>
      </w:pPr>
    </w:p>
    <w:p w:rsidR="00600252" w:rsidRPr="008847EB" w:rsidRDefault="00617D32" w:rsidP="00F0068D">
      <w:pPr>
        <w:pBdr>
          <w:bottom w:val="single" w:sz="6" w:space="1" w:color="auto"/>
        </w:pBdr>
        <w:tabs>
          <w:tab w:val="center" w:pos="4680"/>
          <w:tab w:val="right" w:pos="9360"/>
        </w:tabs>
        <w:rPr>
          <w:lang w:val="fr-CA"/>
        </w:rPr>
      </w:pPr>
      <w:r w:rsidRPr="008847EB">
        <w:rPr>
          <w:lang w:val="fr-CA"/>
        </w:rPr>
        <w:t>November</w:t>
      </w:r>
      <w:r w:rsidR="00440E24" w:rsidRPr="008847EB">
        <w:rPr>
          <w:lang w:val="fr-CA"/>
        </w:rPr>
        <w:t xml:space="preserve"> </w:t>
      </w:r>
      <w:r w:rsidRPr="008847EB">
        <w:rPr>
          <w:lang w:val="fr-CA"/>
        </w:rPr>
        <w:t>22</w:t>
      </w:r>
      <w:r w:rsidR="00440E24" w:rsidRPr="008847EB">
        <w:rPr>
          <w:lang w:val="fr-CA"/>
        </w:rPr>
        <w:t>, 201</w:t>
      </w:r>
      <w:r w:rsidR="004317DE" w:rsidRPr="008847EB">
        <w:rPr>
          <w:lang w:val="fr-CA"/>
        </w:rPr>
        <w:t>9</w:t>
      </w:r>
      <w:r w:rsidR="00F0068D" w:rsidRPr="008847EB">
        <w:rPr>
          <w:lang w:val="fr-CA"/>
        </w:rPr>
        <w:tab/>
        <w:t>1 -</w:t>
      </w:r>
      <w:r w:rsidR="00046BA4" w:rsidRPr="008847EB">
        <w:rPr>
          <w:lang w:val="fr-CA"/>
        </w:rPr>
        <w:t xml:space="preserve"> </w:t>
      </w:r>
      <w:r w:rsidR="0056120C" w:rsidRPr="008847EB">
        <w:rPr>
          <w:lang w:val="fr-CA"/>
        </w:rPr>
        <w:t>2</w:t>
      </w:r>
      <w:r w:rsidR="0011194E">
        <w:rPr>
          <w:lang w:val="fr-CA"/>
        </w:rPr>
        <w:t>7</w:t>
      </w:r>
      <w:r w:rsidR="00440E24" w:rsidRPr="008847EB">
        <w:rPr>
          <w:lang w:val="fr-CA"/>
        </w:rPr>
        <w:tab/>
        <w:t>Le</w:t>
      </w:r>
      <w:r w:rsidR="00C73D06" w:rsidRPr="008847EB">
        <w:rPr>
          <w:lang w:val="fr-CA"/>
        </w:rPr>
        <w:t xml:space="preserve"> </w:t>
      </w:r>
      <w:r w:rsidRPr="008847EB">
        <w:rPr>
          <w:lang w:val="fr-CA"/>
        </w:rPr>
        <w:t>22</w:t>
      </w:r>
      <w:r w:rsidR="00C73D06" w:rsidRPr="008847EB">
        <w:rPr>
          <w:lang w:val="fr-CA"/>
        </w:rPr>
        <w:t xml:space="preserve"> </w:t>
      </w:r>
      <w:r w:rsidRPr="008847EB">
        <w:rPr>
          <w:lang w:val="fr-CA"/>
        </w:rPr>
        <w:t xml:space="preserve">novembre </w:t>
      </w:r>
      <w:r w:rsidR="00440E24" w:rsidRPr="008847EB">
        <w:rPr>
          <w:lang w:val="fr-CA"/>
        </w:rPr>
        <w:t>201</w:t>
      </w:r>
      <w:r w:rsidR="004317DE" w:rsidRPr="008847EB">
        <w:rPr>
          <w:lang w:val="fr-CA"/>
        </w:rPr>
        <w:t>9</w:t>
      </w:r>
    </w:p>
    <w:p w:rsidR="00440E24" w:rsidRPr="008847EB" w:rsidRDefault="00440E24" w:rsidP="00440E24">
      <w:pPr>
        <w:pBdr>
          <w:bottom w:val="single" w:sz="6" w:space="1" w:color="auto"/>
        </w:pBdr>
        <w:tabs>
          <w:tab w:val="right" w:pos="9360"/>
        </w:tabs>
        <w:rPr>
          <w:lang w:val="fr-CA"/>
        </w:rPr>
      </w:pPr>
    </w:p>
    <w:p w:rsidR="00440E24" w:rsidRPr="008847EB" w:rsidRDefault="00440E24" w:rsidP="00440E24">
      <w:pPr>
        <w:pBdr>
          <w:bottom w:val="single" w:sz="6" w:space="1" w:color="auto"/>
        </w:pBdr>
        <w:tabs>
          <w:tab w:val="right" w:pos="9360"/>
        </w:tabs>
        <w:rPr>
          <w:sz w:val="18"/>
          <w:szCs w:val="18"/>
          <w:lang w:val="fr-CA"/>
        </w:rPr>
      </w:pPr>
      <w:r w:rsidRPr="008847EB">
        <w:rPr>
          <w:sz w:val="18"/>
          <w:szCs w:val="18"/>
          <w:lang w:val="fr-CA"/>
        </w:rPr>
        <w:t>© Supreme Court of Canada (</w:t>
      </w:r>
      <w:r w:rsidR="0030050B" w:rsidRPr="008847EB">
        <w:rPr>
          <w:sz w:val="18"/>
          <w:szCs w:val="18"/>
          <w:lang w:val="fr-CA"/>
        </w:rPr>
        <w:t>201</w:t>
      </w:r>
      <w:r w:rsidR="004317DE" w:rsidRPr="008847EB">
        <w:rPr>
          <w:sz w:val="18"/>
          <w:szCs w:val="18"/>
          <w:lang w:val="fr-CA"/>
        </w:rPr>
        <w:t>9</w:t>
      </w:r>
      <w:r w:rsidRPr="008847EB">
        <w:rPr>
          <w:sz w:val="18"/>
          <w:szCs w:val="18"/>
          <w:lang w:val="fr-CA"/>
        </w:rPr>
        <w:t>)</w:t>
      </w:r>
      <w:r w:rsidRPr="008847EB">
        <w:rPr>
          <w:sz w:val="18"/>
          <w:szCs w:val="18"/>
          <w:lang w:val="fr-CA"/>
        </w:rPr>
        <w:tab/>
        <w:t>© Cour suprême du Canada (</w:t>
      </w:r>
      <w:r w:rsidR="0030050B" w:rsidRPr="008847EB">
        <w:rPr>
          <w:sz w:val="18"/>
          <w:szCs w:val="18"/>
          <w:lang w:val="fr-CA"/>
        </w:rPr>
        <w:t>201</w:t>
      </w:r>
      <w:r w:rsidR="004317DE" w:rsidRPr="008847EB">
        <w:rPr>
          <w:sz w:val="18"/>
          <w:szCs w:val="18"/>
          <w:lang w:val="fr-CA"/>
        </w:rPr>
        <w:t>9</w:t>
      </w:r>
      <w:r w:rsidRPr="008847EB">
        <w:rPr>
          <w:sz w:val="18"/>
          <w:szCs w:val="18"/>
          <w:lang w:val="fr-CA"/>
        </w:rPr>
        <w:t>)</w:t>
      </w:r>
    </w:p>
    <w:p w:rsidR="00440E24" w:rsidRPr="008847EB" w:rsidRDefault="00440E24" w:rsidP="00440E24">
      <w:pPr>
        <w:pBdr>
          <w:bottom w:val="single" w:sz="6" w:space="1" w:color="auto"/>
        </w:pBdr>
        <w:tabs>
          <w:tab w:val="right" w:pos="9360"/>
        </w:tabs>
        <w:rPr>
          <w:sz w:val="18"/>
          <w:szCs w:val="18"/>
          <w:lang w:val="fr-CA"/>
        </w:rPr>
      </w:pPr>
      <w:r w:rsidRPr="008847EB">
        <w:rPr>
          <w:sz w:val="18"/>
          <w:szCs w:val="18"/>
          <w:lang w:val="fr-CA"/>
        </w:rPr>
        <w:t>ISSN 1918-8358 (Online)</w:t>
      </w:r>
      <w:r w:rsidRPr="008847EB">
        <w:rPr>
          <w:sz w:val="18"/>
          <w:szCs w:val="18"/>
          <w:lang w:val="fr-CA"/>
        </w:rPr>
        <w:tab/>
        <w:t>ISSN 1918-8358 (En ligne)</w:t>
      </w:r>
    </w:p>
    <w:p w:rsidR="00600252" w:rsidRPr="008847EB" w:rsidRDefault="00600252" w:rsidP="00BF25F3">
      <w:pPr>
        <w:pBdr>
          <w:bottom w:val="single" w:sz="6" w:space="1" w:color="auto"/>
        </w:pBdr>
        <w:tabs>
          <w:tab w:val="left" w:pos="6075"/>
        </w:tabs>
        <w:rPr>
          <w:lang w:val="fr-CA"/>
        </w:rPr>
      </w:pPr>
    </w:p>
    <w:p w:rsidR="0030050B" w:rsidRPr="008847EB" w:rsidRDefault="0030050B" w:rsidP="00BF25F3">
      <w:pPr>
        <w:pBdr>
          <w:bottom w:val="single" w:sz="6" w:space="1" w:color="auto"/>
        </w:pBdr>
        <w:tabs>
          <w:tab w:val="left" w:pos="6075"/>
        </w:tabs>
        <w:rPr>
          <w:lang w:val="fr-CA"/>
        </w:rPr>
      </w:pPr>
    </w:p>
    <w:p w:rsidR="00560DF1" w:rsidRPr="008847EB"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8847EB" w:rsidRDefault="00DC6B2E" w:rsidP="00693C38">
          <w:pPr>
            <w:pStyle w:val="Title"/>
            <w:jc w:val="center"/>
            <w:rPr>
              <w:rFonts w:ascii="Times New Roman" w:hAnsi="Times New Roman" w:cs="Times New Roman"/>
              <w:b/>
              <w:sz w:val="24"/>
              <w:szCs w:val="28"/>
              <w:lang w:val="fr-CA"/>
            </w:rPr>
          </w:pPr>
          <w:r w:rsidRPr="008847EB">
            <w:rPr>
              <w:rFonts w:ascii="Times New Roman" w:hAnsi="Times New Roman" w:cs="Times New Roman"/>
              <w:b/>
              <w:sz w:val="24"/>
              <w:szCs w:val="28"/>
              <w:lang w:val="fr-CA"/>
            </w:rPr>
            <w:t>Contents</w:t>
          </w:r>
        </w:p>
        <w:p w:rsidR="00693C38" w:rsidRPr="008847EB" w:rsidRDefault="00DC6B2E" w:rsidP="00693C38">
          <w:pPr>
            <w:jc w:val="center"/>
            <w:rPr>
              <w:b/>
              <w:szCs w:val="28"/>
              <w:lang w:val="fr-CA"/>
            </w:rPr>
          </w:pPr>
          <w:r w:rsidRPr="008847EB">
            <w:rPr>
              <w:b/>
              <w:szCs w:val="28"/>
              <w:lang w:val="fr-CA"/>
            </w:rPr>
            <w:t>Table des matières</w:t>
          </w:r>
        </w:p>
        <w:p w:rsidR="00693C38" w:rsidRPr="008847EB" w:rsidRDefault="00693C38" w:rsidP="00693C38">
          <w:pPr>
            <w:rPr>
              <w:lang w:val="fr-CA"/>
            </w:rPr>
          </w:pPr>
        </w:p>
        <w:p w:rsidR="00F77354" w:rsidRPr="008847EB" w:rsidRDefault="00DC6B2E">
          <w:pPr>
            <w:pStyle w:val="TOC1"/>
            <w:tabs>
              <w:tab w:val="right" w:leader="dot" w:pos="9638"/>
            </w:tabs>
            <w:rPr>
              <w:rFonts w:asciiTheme="minorHAnsi" w:eastAsiaTheme="minorEastAsia" w:hAnsiTheme="minorHAnsi"/>
              <w:noProof/>
              <w:sz w:val="22"/>
              <w:lang w:val="en-US"/>
            </w:rPr>
          </w:pPr>
          <w:r w:rsidRPr="008847EB">
            <w:rPr>
              <w:b/>
              <w:bCs/>
              <w:noProof/>
            </w:rPr>
            <w:fldChar w:fldCharType="begin"/>
          </w:r>
          <w:r w:rsidRPr="008847EB">
            <w:rPr>
              <w:b/>
              <w:bCs/>
              <w:noProof/>
            </w:rPr>
            <w:instrText xml:space="preserve"> TOC \o "1-3" \h \z \u </w:instrText>
          </w:r>
          <w:r w:rsidRPr="008847EB">
            <w:rPr>
              <w:b/>
              <w:bCs/>
              <w:noProof/>
            </w:rPr>
            <w:fldChar w:fldCharType="separate"/>
          </w:r>
          <w:r w:rsidR="0011194E">
            <w:rPr>
              <w:rStyle w:val="Hyperlink"/>
              <w:noProof/>
              <w:lang w:val="fr-CA"/>
            </w:rPr>
            <w:fldChar w:fldCharType="begin"/>
          </w:r>
          <w:r w:rsidR="0011194E">
            <w:rPr>
              <w:rStyle w:val="Hyperlink"/>
              <w:noProof/>
              <w:lang w:val="fr-CA"/>
            </w:rPr>
            <w:instrText xml:space="preserve"> HYPERLINK \l "_Toc24980672" </w:instrText>
          </w:r>
          <w:r w:rsidR="0011194E">
            <w:rPr>
              <w:rStyle w:val="Hyperlink"/>
              <w:noProof/>
              <w:lang w:val="fr-CA"/>
            </w:rPr>
          </w:r>
          <w:r w:rsidR="0011194E">
            <w:rPr>
              <w:rStyle w:val="Hyperlink"/>
              <w:noProof/>
              <w:lang w:val="fr-CA"/>
            </w:rPr>
            <w:fldChar w:fldCharType="separate"/>
          </w:r>
          <w:r w:rsidR="00F77354" w:rsidRPr="008847EB">
            <w:rPr>
              <w:rStyle w:val="Hyperlink"/>
              <w:noProof/>
              <w:lang w:val="fr-CA"/>
            </w:rPr>
            <w:t>Applications for leave to appeal filed /  Demandes d’autorisation d’appel déposées</w:t>
          </w:r>
          <w:r w:rsidR="00F77354" w:rsidRPr="008847EB">
            <w:rPr>
              <w:noProof/>
              <w:webHidden/>
            </w:rPr>
            <w:tab/>
          </w:r>
          <w:r w:rsidR="00F77354" w:rsidRPr="008847EB">
            <w:rPr>
              <w:noProof/>
              <w:webHidden/>
            </w:rPr>
            <w:fldChar w:fldCharType="begin"/>
          </w:r>
          <w:r w:rsidR="00F77354" w:rsidRPr="008847EB">
            <w:rPr>
              <w:noProof/>
              <w:webHidden/>
            </w:rPr>
            <w:instrText xml:space="preserve"> PAGEREF _Toc24980672 \h </w:instrText>
          </w:r>
          <w:r w:rsidR="00F77354" w:rsidRPr="008847EB">
            <w:rPr>
              <w:noProof/>
              <w:webHidden/>
            </w:rPr>
          </w:r>
          <w:r w:rsidR="00F77354" w:rsidRPr="008847EB">
            <w:rPr>
              <w:noProof/>
              <w:webHidden/>
            </w:rPr>
            <w:fldChar w:fldCharType="separate"/>
          </w:r>
          <w:r w:rsidR="0011194E">
            <w:rPr>
              <w:noProof/>
              <w:webHidden/>
            </w:rPr>
            <w:t>1</w:t>
          </w:r>
          <w:r w:rsidR="00F77354" w:rsidRPr="008847EB">
            <w:rPr>
              <w:noProof/>
              <w:webHidden/>
            </w:rPr>
            <w:fldChar w:fldCharType="end"/>
          </w:r>
          <w:r w:rsidR="0011194E">
            <w:rPr>
              <w:noProof/>
            </w:rPr>
            <w:fldChar w:fldCharType="end"/>
          </w:r>
        </w:p>
        <w:p w:rsidR="00F77354" w:rsidRPr="008847EB" w:rsidRDefault="0011194E">
          <w:pPr>
            <w:pStyle w:val="TOC1"/>
            <w:tabs>
              <w:tab w:val="right" w:leader="dot" w:pos="9638"/>
            </w:tabs>
            <w:rPr>
              <w:rFonts w:asciiTheme="minorHAnsi" w:eastAsiaTheme="minorEastAsia" w:hAnsiTheme="minorHAnsi"/>
              <w:noProof/>
              <w:sz w:val="22"/>
              <w:lang w:val="en-US"/>
            </w:rPr>
          </w:pPr>
          <w:r>
            <w:rPr>
              <w:rStyle w:val="Hyperlink"/>
              <w:noProof/>
              <w:lang w:val="fr-CA"/>
            </w:rPr>
            <w:fldChar w:fldCharType="begin"/>
          </w:r>
          <w:r>
            <w:rPr>
              <w:rStyle w:val="Hyperlink"/>
              <w:noProof/>
              <w:lang w:val="fr-CA"/>
            </w:rPr>
            <w:instrText xml:space="preserve"> HYPERLINK \l "_Toc24980673" </w:instrText>
          </w:r>
          <w:r>
            <w:rPr>
              <w:rStyle w:val="Hyperlink"/>
              <w:noProof/>
              <w:lang w:val="fr-CA"/>
            </w:rPr>
          </w:r>
          <w:r>
            <w:rPr>
              <w:rStyle w:val="Hyperlink"/>
              <w:noProof/>
              <w:lang w:val="fr-CA"/>
            </w:rPr>
            <w:fldChar w:fldCharType="separate"/>
          </w:r>
          <w:r w:rsidR="00F77354" w:rsidRPr="008847EB">
            <w:rPr>
              <w:rStyle w:val="Hyperlink"/>
              <w:noProof/>
              <w:lang w:val="fr-CA"/>
            </w:rPr>
            <w:t>Applications for leave submitted to the Court since the last issue /  Demandes soumises à la Cour depuis la dernière parution</w:t>
          </w:r>
          <w:r w:rsidR="00F77354" w:rsidRPr="008847EB">
            <w:rPr>
              <w:noProof/>
              <w:webHidden/>
            </w:rPr>
            <w:tab/>
          </w:r>
          <w:r w:rsidR="00F77354" w:rsidRPr="008847EB">
            <w:rPr>
              <w:noProof/>
              <w:webHidden/>
            </w:rPr>
            <w:fldChar w:fldCharType="begin"/>
          </w:r>
          <w:r w:rsidR="00F77354" w:rsidRPr="008847EB">
            <w:rPr>
              <w:noProof/>
              <w:webHidden/>
            </w:rPr>
            <w:instrText xml:space="preserve"> PAGEREF _Toc24980673 \h </w:instrText>
          </w:r>
          <w:r w:rsidR="00F77354" w:rsidRPr="008847EB">
            <w:rPr>
              <w:noProof/>
              <w:webHidden/>
            </w:rPr>
          </w:r>
          <w:r w:rsidR="00F77354" w:rsidRPr="008847EB">
            <w:rPr>
              <w:noProof/>
              <w:webHidden/>
            </w:rPr>
            <w:fldChar w:fldCharType="separate"/>
          </w:r>
          <w:r>
            <w:rPr>
              <w:noProof/>
              <w:webHidden/>
            </w:rPr>
            <w:t>3</w:t>
          </w:r>
          <w:r w:rsidR="00F77354" w:rsidRPr="008847EB">
            <w:rPr>
              <w:noProof/>
              <w:webHidden/>
            </w:rPr>
            <w:fldChar w:fldCharType="end"/>
          </w:r>
          <w:r>
            <w:rPr>
              <w:noProof/>
            </w:rPr>
            <w:fldChar w:fldCharType="end"/>
          </w:r>
        </w:p>
        <w:p w:rsidR="00F77354" w:rsidRPr="008847EB" w:rsidRDefault="0011194E">
          <w:pPr>
            <w:pStyle w:val="TOC1"/>
            <w:tabs>
              <w:tab w:val="right" w:leader="dot" w:pos="9638"/>
            </w:tabs>
            <w:rPr>
              <w:rFonts w:asciiTheme="minorHAnsi" w:eastAsiaTheme="minorEastAsia" w:hAnsiTheme="minorHAnsi"/>
              <w:noProof/>
              <w:sz w:val="22"/>
              <w:lang w:val="en-US"/>
            </w:rPr>
          </w:pPr>
          <w:r>
            <w:rPr>
              <w:rStyle w:val="Hyperlink"/>
              <w:noProof/>
              <w:lang w:val="fr-CA"/>
            </w:rPr>
            <w:fldChar w:fldCharType="begin"/>
          </w:r>
          <w:r>
            <w:rPr>
              <w:rStyle w:val="Hyperlink"/>
              <w:noProof/>
              <w:lang w:val="fr-CA"/>
            </w:rPr>
            <w:instrText xml:space="preserve"> HYPERLINK \l "_Toc24980674" </w:instrText>
          </w:r>
          <w:r>
            <w:rPr>
              <w:rStyle w:val="Hyperlink"/>
              <w:noProof/>
              <w:lang w:val="fr-CA"/>
            </w:rPr>
          </w:r>
          <w:r>
            <w:rPr>
              <w:rStyle w:val="Hyperlink"/>
              <w:noProof/>
              <w:lang w:val="fr-CA"/>
            </w:rPr>
            <w:fldChar w:fldCharType="separate"/>
          </w:r>
          <w:r w:rsidR="00F77354" w:rsidRPr="008847EB">
            <w:rPr>
              <w:rStyle w:val="Hyperlink"/>
              <w:noProof/>
              <w:lang w:val="fr-CA"/>
            </w:rPr>
            <w:t>Judgments on applications for leav</w:t>
          </w:r>
          <w:bookmarkStart w:id="0" w:name="_GoBack"/>
          <w:bookmarkEnd w:id="0"/>
          <w:r w:rsidR="00F77354" w:rsidRPr="008847EB">
            <w:rPr>
              <w:rStyle w:val="Hyperlink"/>
              <w:noProof/>
              <w:lang w:val="fr-CA"/>
            </w:rPr>
            <w:t>e /  Jugements rendus sur les demandes d’autorisation</w:t>
          </w:r>
          <w:r w:rsidR="00F77354" w:rsidRPr="008847EB">
            <w:rPr>
              <w:noProof/>
              <w:webHidden/>
            </w:rPr>
            <w:tab/>
          </w:r>
          <w:r w:rsidR="00F77354" w:rsidRPr="008847EB">
            <w:rPr>
              <w:noProof/>
              <w:webHidden/>
            </w:rPr>
            <w:fldChar w:fldCharType="begin"/>
          </w:r>
          <w:r w:rsidR="00F77354" w:rsidRPr="008847EB">
            <w:rPr>
              <w:noProof/>
              <w:webHidden/>
            </w:rPr>
            <w:instrText xml:space="preserve"> PAGEREF _Toc24980674 \h </w:instrText>
          </w:r>
          <w:r w:rsidR="00F77354" w:rsidRPr="008847EB">
            <w:rPr>
              <w:noProof/>
              <w:webHidden/>
            </w:rPr>
          </w:r>
          <w:r w:rsidR="00F77354" w:rsidRPr="008847EB">
            <w:rPr>
              <w:noProof/>
              <w:webHidden/>
            </w:rPr>
            <w:fldChar w:fldCharType="separate"/>
          </w:r>
          <w:r>
            <w:rPr>
              <w:noProof/>
              <w:webHidden/>
            </w:rPr>
            <w:t>4</w:t>
          </w:r>
          <w:r w:rsidR="00F77354" w:rsidRPr="008847EB">
            <w:rPr>
              <w:noProof/>
              <w:webHidden/>
            </w:rPr>
            <w:fldChar w:fldCharType="end"/>
          </w:r>
          <w:r>
            <w:rPr>
              <w:noProof/>
            </w:rPr>
            <w:fldChar w:fldCharType="end"/>
          </w:r>
        </w:p>
        <w:p w:rsidR="00F77354" w:rsidRPr="008847EB" w:rsidRDefault="0011194E">
          <w:pPr>
            <w:pStyle w:val="TOC1"/>
            <w:tabs>
              <w:tab w:val="right" w:leader="dot" w:pos="9638"/>
            </w:tabs>
            <w:rPr>
              <w:rFonts w:asciiTheme="minorHAnsi" w:eastAsiaTheme="minorEastAsia" w:hAnsiTheme="minorHAnsi"/>
              <w:noProof/>
              <w:sz w:val="22"/>
              <w:lang w:val="en-US"/>
            </w:rPr>
          </w:pPr>
          <w:hyperlink w:anchor="_Toc24980675" w:history="1">
            <w:r w:rsidR="00F77354" w:rsidRPr="008847EB">
              <w:rPr>
                <w:rStyle w:val="Hyperlink"/>
                <w:noProof/>
                <w:lang w:val="fr-CA"/>
              </w:rPr>
              <w:t>Motions /  Requêtes</w:t>
            </w:r>
            <w:r w:rsidR="00F77354" w:rsidRPr="008847EB">
              <w:rPr>
                <w:noProof/>
                <w:webHidden/>
              </w:rPr>
              <w:tab/>
            </w:r>
            <w:r w:rsidR="00F77354" w:rsidRPr="008847EB">
              <w:rPr>
                <w:noProof/>
                <w:webHidden/>
              </w:rPr>
              <w:fldChar w:fldCharType="begin"/>
            </w:r>
            <w:r w:rsidR="00F77354" w:rsidRPr="008847EB">
              <w:rPr>
                <w:noProof/>
                <w:webHidden/>
              </w:rPr>
              <w:instrText xml:space="preserve"> PAGEREF _Toc24980675 \h </w:instrText>
            </w:r>
            <w:r w:rsidR="00F77354" w:rsidRPr="008847EB">
              <w:rPr>
                <w:noProof/>
                <w:webHidden/>
              </w:rPr>
            </w:r>
            <w:r w:rsidR="00F77354" w:rsidRPr="008847EB">
              <w:rPr>
                <w:noProof/>
                <w:webHidden/>
              </w:rPr>
              <w:fldChar w:fldCharType="separate"/>
            </w:r>
            <w:r>
              <w:rPr>
                <w:noProof/>
                <w:webHidden/>
              </w:rPr>
              <w:t>9</w:t>
            </w:r>
            <w:r w:rsidR="00F77354" w:rsidRPr="008847EB">
              <w:rPr>
                <w:noProof/>
                <w:webHidden/>
              </w:rPr>
              <w:fldChar w:fldCharType="end"/>
            </w:r>
          </w:hyperlink>
        </w:p>
        <w:p w:rsidR="00F77354" w:rsidRPr="008847EB" w:rsidRDefault="0011194E">
          <w:pPr>
            <w:pStyle w:val="TOC1"/>
            <w:tabs>
              <w:tab w:val="right" w:leader="dot" w:pos="9638"/>
            </w:tabs>
            <w:rPr>
              <w:rFonts w:asciiTheme="minorHAnsi" w:eastAsiaTheme="minorEastAsia" w:hAnsiTheme="minorHAnsi"/>
              <w:noProof/>
              <w:sz w:val="22"/>
              <w:lang w:val="en-US"/>
            </w:rPr>
          </w:pPr>
          <w:hyperlink w:anchor="_Toc24980676" w:history="1">
            <w:r w:rsidR="00F77354" w:rsidRPr="008847EB">
              <w:rPr>
                <w:rStyle w:val="Hyperlink"/>
                <w:noProof/>
              </w:rPr>
              <w:t xml:space="preserve">Notices of appeal filed since the last issue /  </w:t>
            </w:r>
            <w:r w:rsidR="00F77354" w:rsidRPr="008847EB">
              <w:rPr>
                <w:rStyle w:val="Hyperlink"/>
                <w:noProof/>
                <w:lang w:val="fr-CA"/>
              </w:rPr>
              <w:t>Avis d’appel déposés depuis la dernière parution</w:t>
            </w:r>
            <w:r w:rsidR="00F77354" w:rsidRPr="008847EB">
              <w:rPr>
                <w:noProof/>
                <w:webHidden/>
              </w:rPr>
              <w:tab/>
            </w:r>
            <w:r w:rsidR="00F77354" w:rsidRPr="008847EB">
              <w:rPr>
                <w:noProof/>
                <w:webHidden/>
              </w:rPr>
              <w:fldChar w:fldCharType="begin"/>
            </w:r>
            <w:r w:rsidR="00F77354" w:rsidRPr="008847EB">
              <w:rPr>
                <w:noProof/>
                <w:webHidden/>
              </w:rPr>
              <w:instrText xml:space="preserve"> PAGEREF _Toc24980676 \h </w:instrText>
            </w:r>
            <w:r w:rsidR="00F77354" w:rsidRPr="008847EB">
              <w:rPr>
                <w:noProof/>
                <w:webHidden/>
              </w:rPr>
            </w:r>
            <w:r w:rsidR="00F77354" w:rsidRPr="008847EB">
              <w:rPr>
                <w:noProof/>
                <w:webHidden/>
              </w:rPr>
              <w:fldChar w:fldCharType="separate"/>
            </w:r>
            <w:r>
              <w:rPr>
                <w:noProof/>
                <w:webHidden/>
              </w:rPr>
              <w:t>11</w:t>
            </w:r>
            <w:r w:rsidR="00F77354" w:rsidRPr="008847EB">
              <w:rPr>
                <w:noProof/>
                <w:webHidden/>
              </w:rPr>
              <w:fldChar w:fldCharType="end"/>
            </w:r>
          </w:hyperlink>
        </w:p>
        <w:p w:rsidR="00F77354" w:rsidRPr="008847EB" w:rsidRDefault="0011194E">
          <w:pPr>
            <w:pStyle w:val="TOC1"/>
            <w:tabs>
              <w:tab w:val="right" w:leader="dot" w:pos="9638"/>
            </w:tabs>
            <w:rPr>
              <w:rFonts w:asciiTheme="minorHAnsi" w:eastAsiaTheme="minorEastAsia" w:hAnsiTheme="minorHAnsi"/>
              <w:noProof/>
              <w:sz w:val="22"/>
              <w:lang w:val="en-US"/>
            </w:rPr>
          </w:pPr>
          <w:hyperlink w:anchor="_Toc24980677" w:history="1">
            <w:r w:rsidR="00F77354" w:rsidRPr="008847EB">
              <w:rPr>
                <w:rStyle w:val="Hyperlink"/>
                <w:noProof/>
                <w:lang w:val="fr-CA"/>
              </w:rPr>
              <w:t>Notices of discontinuance filed since the last issue /  Avis de désistement déposés depuis la dernière parution</w:t>
            </w:r>
            <w:r w:rsidR="00F77354" w:rsidRPr="008847EB">
              <w:rPr>
                <w:noProof/>
                <w:webHidden/>
              </w:rPr>
              <w:tab/>
            </w:r>
            <w:r w:rsidR="00F77354" w:rsidRPr="008847EB">
              <w:rPr>
                <w:noProof/>
                <w:webHidden/>
              </w:rPr>
              <w:fldChar w:fldCharType="begin"/>
            </w:r>
            <w:r w:rsidR="00F77354" w:rsidRPr="008847EB">
              <w:rPr>
                <w:noProof/>
                <w:webHidden/>
              </w:rPr>
              <w:instrText xml:space="preserve"> PAGEREF _Toc24980677 \h </w:instrText>
            </w:r>
            <w:r w:rsidR="00F77354" w:rsidRPr="008847EB">
              <w:rPr>
                <w:noProof/>
                <w:webHidden/>
              </w:rPr>
            </w:r>
            <w:r w:rsidR="00F77354" w:rsidRPr="008847EB">
              <w:rPr>
                <w:noProof/>
                <w:webHidden/>
              </w:rPr>
              <w:fldChar w:fldCharType="separate"/>
            </w:r>
            <w:r>
              <w:rPr>
                <w:noProof/>
                <w:webHidden/>
              </w:rPr>
              <w:t>12</w:t>
            </w:r>
            <w:r w:rsidR="00F77354" w:rsidRPr="008847EB">
              <w:rPr>
                <w:noProof/>
                <w:webHidden/>
              </w:rPr>
              <w:fldChar w:fldCharType="end"/>
            </w:r>
          </w:hyperlink>
        </w:p>
        <w:p w:rsidR="00F77354" w:rsidRPr="008847EB" w:rsidRDefault="0011194E">
          <w:pPr>
            <w:pStyle w:val="TOC1"/>
            <w:tabs>
              <w:tab w:val="right" w:leader="dot" w:pos="9638"/>
            </w:tabs>
            <w:rPr>
              <w:rFonts w:asciiTheme="minorHAnsi" w:eastAsiaTheme="minorEastAsia" w:hAnsiTheme="minorHAnsi"/>
              <w:noProof/>
              <w:sz w:val="22"/>
              <w:lang w:val="en-US"/>
            </w:rPr>
          </w:pPr>
          <w:hyperlink w:anchor="_Toc24980678" w:history="1">
            <w:r w:rsidR="00F77354" w:rsidRPr="008847EB">
              <w:rPr>
                <w:rStyle w:val="Hyperlink"/>
                <w:noProof/>
                <w:lang w:val="fr-CA"/>
              </w:rPr>
              <w:t>Pronouncements of reserved appeals /  Jugements rendus sur les appels en délibéré</w:t>
            </w:r>
            <w:r w:rsidR="00F77354" w:rsidRPr="008847EB">
              <w:rPr>
                <w:noProof/>
                <w:webHidden/>
              </w:rPr>
              <w:tab/>
            </w:r>
            <w:r w:rsidR="00F77354" w:rsidRPr="008847EB">
              <w:rPr>
                <w:noProof/>
                <w:webHidden/>
              </w:rPr>
              <w:fldChar w:fldCharType="begin"/>
            </w:r>
            <w:r w:rsidR="00F77354" w:rsidRPr="008847EB">
              <w:rPr>
                <w:noProof/>
                <w:webHidden/>
              </w:rPr>
              <w:instrText xml:space="preserve"> PAGEREF _Toc24980678 \h </w:instrText>
            </w:r>
            <w:r w:rsidR="00F77354" w:rsidRPr="008847EB">
              <w:rPr>
                <w:noProof/>
                <w:webHidden/>
              </w:rPr>
            </w:r>
            <w:r w:rsidR="00F77354" w:rsidRPr="008847EB">
              <w:rPr>
                <w:noProof/>
                <w:webHidden/>
              </w:rPr>
              <w:fldChar w:fldCharType="separate"/>
            </w:r>
            <w:r>
              <w:rPr>
                <w:noProof/>
                <w:webHidden/>
              </w:rPr>
              <w:t>13</w:t>
            </w:r>
            <w:r w:rsidR="00F77354" w:rsidRPr="008847EB">
              <w:rPr>
                <w:noProof/>
                <w:webHidden/>
              </w:rPr>
              <w:fldChar w:fldCharType="end"/>
            </w:r>
          </w:hyperlink>
        </w:p>
        <w:p w:rsidR="00F77354" w:rsidRPr="008847EB" w:rsidRDefault="0011194E">
          <w:pPr>
            <w:pStyle w:val="TOC1"/>
            <w:tabs>
              <w:tab w:val="right" w:leader="dot" w:pos="9638"/>
            </w:tabs>
            <w:rPr>
              <w:rFonts w:asciiTheme="minorHAnsi" w:eastAsiaTheme="minorEastAsia" w:hAnsiTheme="minorHAnsi"/>
              <w:noProof/>
              <w:sz w:val="22"/>
              <w:lang w:val="en-US"/>
            </w:rPr>
          </w:pPr>
          <w:hyperlink w:anchor="_Toc24980679" w:history="1">
            <w:r w:rsidR="00F77354" w:rsidRPr="008847EB">
              <w:rPr>
                <w:rStyle w:val="Hyperlink"/>
                <w:noProof/>
                <w:lang w:val="fr-CA"/>
              </w:rPr>
              <w:t>Agenda and case summaries for December 2019 /  Calendrier et sommaires des causes de décembre 2019</w:t>
            </w:r>
            <w:r w:rsidR="00F77354" w:rsidRPr="008847EB">
              <w:rPr>
                <w:noProof/>
                <w:webHidden/>
              </w:rPr>
              <w:tab/>
            </w:r>
            <w:r w:rsidR="00F77354" w:rsidRPr="008847EB">
              <w:rPr>
                <w:noProof/>
                <w:webHidden/>
              </w:rPr>
              <w:fldChar w:fldCharType="begin"/>
            </w:r>
            <w:r w:rsidR="00F77354" w:rsidRPr="008847EB">
              <w:rPr>
                <w:noProof/>
                <w:webHidden/>
              </w:rPr>
              <w:instrText xml:space="preserve"> PAGEREF _Toc24980679 \h </w:instrText>
            </w:r>
            <w:r w:rsidR="00F77354" w:rsidRPr="008847EB">
              <w:rPr>
                <w:noProof/>
                <w:webHidden/>
              </w:rPr>
            </w:r>
            <w:r w:rsidR="00F77354" w:rsidRPr="008847EB">
              <w:rPr>
                <w:noProof/>
                <w:webHidden/>
              </w:rPr>
              <w:fldChar w:fldCharType="separate"/>
            </w:r>
            <w:r>
              <w:rPr>
                <w:noProof/>
                <w:webHidden/>
              </w:rPr>
              <w:t>14</w:t>
            </w:r>
            <w:r w:rsidR="00F77354" w:rsidRPr="008847EB">
              <w:rPr>
                <w:noProof/>
                <w:webHidden/>
              </w:rPr>
              <w:fldChar w:fldCharType="end"/>
            </w:r>
          </w:hyperlink>
        </w:p>
        <w:p w:rsidR="00560DF1" w:rsidRPr="008847EB" w:rsidRDefault="00DC6B2E">
          <w:r w:rsidRPr="008847EB">
            <w:rPr>
              <w:b/>
              <w:bCs/>
              <w:noProof/>
              <w:sz w:val="20"/>
            </w:rPr>
            <w:fldChar w:fldCharType="end"/>
          </w:r>
        </w:p>
      </w:sdtContent>
    </w:sdt>
    <w:p w:rsidR="00560DF1" w:rsidRPr="008847EB"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684C75" w:rsidTr="0079724F">
        <w:tc>
          <w:tcPr>
            <w:tcW w:w="9576" w:type="dxa"/>
          </w:tcPr>
          <w:p w:rsidR="0079724F" w:rsidRPr="008847EB" w:rsidRDefault="0079724F" w:rsidP="00215F7C">
            <w:pPr>
              <w:keepNext/>
              <w:tabs>
                <w:tab w:val="right" w:pos="9360"/>
              </w:tabs>
              <w:jc w:val="center"/>
              <w:rPr>
                <w:szCs w:val="24"/>
              </w:rPr>
            </w:pPr>
            <w:r w:rsidRPr="008847EB">
              <w:rPr>
                <w:szCs w:val="24"/>
              </w:rPr>
              <w:t>NOTICE</w:t>
            </w:r>
          </w:p>
          <w:p w:rsidR="0079724F" w:rsidRPr="008847EB" w:rsidRDefault="0079724F" w:rsidP="00215F7C">
            <w:pPr>
              <w:keepNext/>
              <w:tabs>
                <w:tab w:val="right" w:pos="9360"/>
              </w:tabs>
              <w:rPr>
                <w:szCs w:val="24"/>
              </w:rPr>
            </w:pPr>
          </w:p>
          <w:p w:rsidR="0079724F" w:rsidRPr="008847EB" w:rsidRDefault="0079724F" w:rsidP="00215F7C">
            <w:pPr>
              <w:keepNext/>
              <w:tabs>
                <w:tab w:val="right" w:pos="9360"/>
              </w:tabs>
              <w:jc w:val="both"/>
              <w:rPr>
                <w:szCs w:val="24"/>
              </w:rPr>
            </w:pPr>
            <w:r w:rsidRPr="008847EB">
              <w:rPr>
                <w:szCs w:val="24"/>
              </w:rPr>
              <w:t>Case summaries included in the Bulletin are prepared by the Office of the Registrar of the Supreme Court of Canada (Law Branch) for information purposes only.</w:t>
            </w:r>
          </w:p>
          <w:p w:rsidR="0079724F" w:rsidRPr="008847EB" w:rsidRDefault="0079724F" w:rsidP="00215F7C">
            <w:pPr>
              <w:keepNext/>
              <w:tabs>
                <w:tab w:val="right" w:pos="9360"/>
              </w:tabs>
              <w:rPr>
                <w:szCs w:val="24"/>
              </w:rPr>
            </w:pPr>
          </w:p>
          <w:p w:rsidR="0079724F" w:rsidRPr="008847EB" w:rsidRDefault="0079724F" w:rsidP="00215F7C">
            <w:pPr>
              <w:keepNext/>
              <w:tabs>
                <w:tab w:val="right" w:pos="9360"/>
              </w:tabs>
              <w:rPr>
                <w:szCs w:val="24"/>
              </w:rPr>
            </w:pPr>
          </w:p>
          <w:p w:rsidR="0079724F" w:rsidRPr="008847EB" w:rsidRDefault="0079724F" w:rsidP="00215F7C">
            <w:pPr>
              <w:keepNext/>
              <w:tabs>
                <w:tab w:val="right" w:pos="9360"/>
              </w:tabs>
              <w:jc w:val="center"/>
              <w:rPr>
                <w:szCs w:val="24"/>
                <w:lang w:val="fr-CA"/>
              </w:rPr>
            </w:pPr>
            <w:r w:rsidRPr="008847EB">
              <w:rPr>
                <w:szCs w:val="24"/>
                <w:lang w:val="fr-CA"/>
              </w:rPr>
              <w:t>AVIS</w:t>
            </w:r>
          </w:p>
          <w:p w:rsidR="0079724F" w:rsidRPr="008847EB" w:rsidRDefault="0079724F" w:rsidP="00215F7C">
            <w:pPr>
              <w:keepNext/>
              <w:tabs>
                <w:tab w:val="right" w:pos="9360"/>
              </w:tabs>
              <w:rPr>
                <w:szCs w:val="24"/>
                <w:lang w:val="fr-CA"/>
              </w:rPr>
            </w:pPr>
          </w:p>
          <w:p w:rsidR="0079724F" w:rsidRPr="008847EB" w:rsidRDefault="0079724F" w:rsidP="004E44A7">
            <w:pPr>
              <w:keepNext/>
              <w:tabs>
                <w:tab w:val="right" w:pos="9360"/>
              </w:tabs>
              <w:jc w:val="both"/>
              <w:rPr>
                <w:sz w:val="20"/>
                <w:szCs w:val="20"/>
                <w:lang w:val="fr-CA"/>
              </w:rPr>
            </w:pPr>
            <w:r w:rsidRPr="008847EB">
              <w:rPr>
                <w:szCs w:val="24"/>
                <w:lang w:val="fr-CA"/>
              </w:rPr>
              <w:t>Les résumés de</w:t>
            </w:r>
            <w:r w:rsidR="004E44A7" w:rsidRPr="008847EB">
              <w:rPr>
                <w:szCs w:val="24"/>
                <w:lang w:val="fr-CA"/>
              </w:rPr>
              <w:t>s</w:t>
            </w:r>
            <w:r w:rsidRPr="008847EB">
              <w:rPr>
                <w:szCs w:val="24"/>
                <w:lang w:val="fr-CA"/>
              </w:rPr>
              <w:t xml:space="preserve"> </w:t>
            </w:r>
            <w:r w:rsidR="004E44A7" w:rsidRPr="008847EB">
              <w:rPr>
                <w:szCs w:val="24"/>
                <w:lang w:val="fr-CA"/>
              </w:rPr>
              <w:t>causes</w:t>
            </w:r>
            <w:r w:rsidRPr="008847EB">
              <w:rPr>
                <w:szCs w:val="24"/>
                <w:lang w:val="fr-CA"/>
              </w:rPr>
              <w:t xml:space="preserve"> publiés dans le bulletin sont préparés par le Bureau du registraire (Direction générale du droit) uniquement à titre d’information.</w:t>
            </w:r>
          </w:p>
        </w:tc>
      </w:tr>
    </w:tbl>
    <w:p w:rsidR="0095096B" w:rsidRPr="008847EB" w:rsidRDefault="0095096B" w:rsidP="0095096B">
      <w:pPr>
        <w:tabs>
          <w:tab w:val="right" w:pos="9360"/>
        </w:tabs>
        <w:rPr>
          <w:lang w:val="fr-CA"/>
        </w:rPr>
      </w:pPr>
    </w:p>
    <w:p w:rsidR="00C01FCB" w:rsidRPr="008847EB" w:rsidRDefault="00C01FCB" w:rsidP="0095096B">
      <w:pPr>
        <w:tabs>
          <w:tab w:val="right" w:pos="9360"/>
        </w:tabs>
        <w:rPr>
          <w:lang w:val="fr-CA"/>
        </w:rPr>
      </w:pPr>
    </w:p>
    <w:p w:rsidR="00A87207" w:rsidRPr="008847EB" w:rsidRDefault="00A87207" w:rsidP="0095096B">
      <w:pPr>
        <w:tabs>
          <w:tab w:val="right" w:pos="9360"/>
        </w:tabs>
        <w:rPr>
          <w:lang w:val="fr-CA"/>
        </w:rPr>
        <w:sectPr w:rsidR="00A87207" w:rsidRPr="008847EB" w:rsidSect="0044776A">
          <w:pgSz w:w="12240" w:h="15840"/>
          <w:pgMar w:top="720" w:right="1152" w:bottom="1080" w:left="1440" w:header="706" w:footer="706" w:gutter="0"/>
          <w:cols w:space="708"/>
          <w:titlePg/>
          <w:docGrid w:linePitch="360"/>
        </w:sectPr>
      </w:pPr>
    </w:p>
    <w:p w:rsidR="00560DF1" w:rsidRPr="008847EB" w:rsidRDefault="00DD0BDC" w:rsidP="00567602">
      <w:pPr>
        <w:pStyle w:val="Header1StyleE"/>
        <w:pBdr>
          <w:bottom w:val="single" w:sz="12" w:space="1" w:color="auto"/>
        </w:pBdr>
        <w:rPr>
          <w:lang w:val="fr-CA"/>
        </w:rPr>
      </w:pPr>
      <w:bookmarkStart w:id="1" w:name="_Toc24980672"/>
      <w:r w:rsidRPr="008847EB">
        <w:rPr>
          <w:lang w:val="fr-CA"/>
        </w:rPr>
        <w:lastRenderedPageBreak/>
        <w:t>Applications for leave to appeal filed</w:t>
      </w:r>
      <w:r w:rsidR="00271E1E" w:rsidRPr="008847EB">
        <w:rPr>
          <w:lang w:val="fr-CA"/>
        </w:rPr>
        <w:t xml:space="preserve"> / </w:t>
      </w:r>
      <w:r w:rsidR="00727571" w:rsidRPr="008847EB">
        <w:rPr>
          <w:lang w:val="fr-CA"/>
        </w:rPr>
        <w:br/>
      </w:r>
      <w:r w:rsidRPr="008847EB">
        <w:rPr>
          <w:lang w:val="fr-CA"/>
        </w:rPr>
        <w:t>Demandes d’autorisation d’appel déposées</w:t>
      </w:r>
      <w:bookmarkEnd w:id="1"/>
    </w:p>
    <w:p w:rsidR="00FB1DB6" w:rsidRPr="008847EB"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5A6243" w:rsidRPr="008847EB" w:rsidTr="003B3977">
        <w:tc>
          <w:tcPr>
            <w:tcW w:w="4320" w:type="dxa"/>
            <w:shd w:val="clear" w:color="auto" w:fill="auto"/>
          </w:tcPr>
          <w:p w:rsidR="005A6243" w:rsidRPr="008847EB" w:rsidRDefault="00BA7004" w:rsidP="005A6243">
            <w:pPr>
              <w:rPr>
                <w:b/>
                <w:sz w:val="20"/>
                <w:szCs w:val="20"/>
                <w:lang w:val="en-US"/>
              </w:rPr>
            </w:pPr>
            <w:r w:rsidRPr="008847EB">
              <w:rPr>
                <w:b/>
                <w:sz w:val="20"/>
                <w:szCs w:val="20"/>
                <w:lang w:val="en-US"/>
              </w:rPr>
              <w:t>Kim Kevin Hunt c/o Bradley James Hunt and Justin Abraham Hunt</w:t>
            </w:r>
          </w:p>
          <w:p w:rsidR="005A6243" w:rsidRPr="008847EB" w:rsidRDefault="005A6243" w:rsidP="005A6243">
            <w:pPr>
              <w:tabs>
                <w:tab w:val="left" w:pos="-1440"/>
                <w:tab w:val="left" w:pos="-720"/>
              </w:tabs>
              <w:rPr>
                <w:sz w:val="20"/>
                <w:szCs w:val="20"/>
                <w:lang w:val="en-US"/>
              </w:rPr>
            </w:pPr>
            <w:r w:rsidRPr="008847EB">
              <w:rPr>
                <w:sz w:val="20"/>
                <w:szCs w:val="20"/>
                <w:lang w:val="en-US"/>
              </w:rPr>
              <w:tab/>
            </w:r>
            <w:r w:rsidR="003C6840" w:rsidRPr="008847EB">
              <w:rPr>
                <w:sz w:val="20"/>
                <w:szCs w:val="20"/>
                <w:lang w:val="en-US"/>
              </w:rPr>
              <w:t>Whaley, Kim</w:t>
            </w:r>
          </w:p>
          <w:p w:rsidR="005A6243" w:rsidRPr="008847EB" w:rsidRDefault="005A6243" w:rsidP="005A6243">
            <w:pPr>
              <w:tabs>
                <w:tab w:val="left" w:pos="-1440"/>
                <w:tab w:val="left" w:pos="-720"/>
              </w:tabs>
              <w:rPr>
                <w:sz w:val="20"/>
                <w:szCs w:val="20"/>
                <w:lang w:val="en-US"/>
              </w:rPr>
            </w:pPr>
            <w:r w:rsidRPr="008847EB">
              <w:rPr>
                <w:sz w:val="20"/>
                <w:szCs w:val="20"/>
                <w:lang w:val="en-US"/>
              </w:rPr>
              <w:tab/>
            </w:r>
            <w:r w:rsidR="003C6840" w:rsidRPr="008847EB">
              <w:rPr>
                <w:sz w:val="20"/>
                <w:szCs w:val="20"/>
                <w:lang w:val="en-US"/>
              </w:rPr>
              <w:t>WEL Partners</w:t>
            </w:r>
          </w:p>
          <w:p w:rsidR="005A6243" w:rsidRPr="008847EB" w:rsidRDefault="005A6243" w:rsidP="005A6243">
            <w:pPr>
              <w:tabs>
                <w:tab w:val="left" w:pos="-1440"/>
                <w:tab w:val="left" w:pos="-720"/>
              </w:tabs>
              <w:rPr>
                <w:sz w:val="20"/>
                <w:szCs w:val="20"/>
                <w:lang w:val="en-US"/>
              </w:rPr>
            </w:pPr>
          </w:p>
          <w:p w:rsidR="005A6243" w:rsidRPr="008847EB" w:rsidRDefault="005A6243" w:rsidP="005A6243">
            <w:pPr>
              <w:tabs>
                <w:tab w:val="left" w:pos="-1440"/>
                <w:tab w:val="left" w:pos="-720"/>
              </w:tabs>
              <w:rPr>
                <w:sz w:val="20"/>
                <w:szCs w:val="20"/>
                <w:lang w:val="en-US"/>
              </w:rPr>
            </w:pPr>
            <w:r w:rsidRPr="008847EB">
              <w:rPr>
                <w:sz w:val="20"/>
                <w:szCs w:val="20"/>
                <w:lang w:val="en-US"/>
              </w:rPr>
              <w:tab/>
              <w:t>v. (3</w:t>
            </w:r>
            <w:r w:rsidR="003A59F3" w:rsidRPr="008847EB">
              <w:rPr>
                <w:sz w:val="20"/>
                <w:szCs w:val="20"/>
                <w:lang w:val="en-US"/>
              </w:rPr>
              <w:t>8822</w:t>
            </w:r>
            <w:r w:rsidRPr="008847EB">
              <w:rPr>
                <w:sz w:val="20"/>
                <w:szCs w:val="20"/>
                <w:lang w:val="en-US"/>
              </w:rPr>
              <w:t>)</w:t>
            </w:r>
          </w:p>
          <w:p w:rsidR="005A6243" w:rsidRPr="008847EB" w:rsidRDefault="005A6243" w:rsidP="005A6243">
            <w:pPr>
              <w:tabs>
                <w:tab w:val="left" w:pos="-1440"/>
                <w:tab w:val="left" w:pos="-720"/>
              </w:tabs>
              <w:rPr>
                <w:sz w:val="20"/>
                <w:szCs w:val="20"/>
                <w:lang w:val="en-US"/>
              </w:rPr>
            </w:pPr>
          </w:p>
          <w:p w:rsidR="005A6243" w:rsidRPr="008847EB" w:rsidRDefault="00BA7004" w:rsidP="005A6243">
            <w:pPr>
              <w:tabs>
                <w:tab w:val="left" w:pos="-1440"/>
                <w:tab w:val="left" w:pos="-720"/>
              </w:tabs>
              <w:rPr>
                <w:b/>
                <w:sz w:val="20"/>
                <w:szCs w:val="20"/>
                <w:lang w:val="en-US"/>
              </w:rPr>
            </w:pPr>
            <w:r w:rsidRPr="008847EB">
              <w:rPr>
                <w:b/>
                <w:sz w:val="20"/>
                <w:szCs w:val="20"/>
                <w:lang w:val="en-US"/>
              </w:rPr>
              <w:t>Kathleen A. Worrod, et al.</w:t>
            </w:r>
            <w:r w:rsidR="005A6243" w:rsidRPr="008847EB">
              <w:rPr>
                <w:sz w:val="20"/>
                <w:szCs w:val="20"/>
                <w:lang w:val="en-US"/>
              </w:rPr>
              <w:t xml:space="preserve"> </w:t>
            </w:r>
            <w:r w:rsidR="005A6243" w:rsidRPr="008847EB">
              <w:rPr>
                <w:b/>
                <w:sz w:val="20"/>
                <w:szCs w:val="20"/>
                <w:lang w:val="en-US"/>
              </w:rPr>
              <w:t>(Ont.)</w:t>
            </w:r>
          </w:p>
          <w:p w:rsidR="005A6243" w:rsidRPr="008847EB" w:rsidRDefault="005A6243" w:rsidP="005A6243">
            <w:pPr>
              <w:tabs>
                <w:tab w:val="left" w:pos="-1440"/>
                <w:tab w:val="left" w:pos="-720"/>
              </w:tabs>
              <w:rPr>
                <w:sz w:val="20"/>
                <w:szCs w:val="20"/>
              </w:rPr>
            </w:pPr>
            <w:r w:rsidRPr="008847EB">
              <w:rPr>
                <w:sz w:val="20"/>
                <w:szCs w:val="20"/>
                <w:lang w:val="en-US"/>
              </w:rPr>
              <w:tab/>
            </w:r>
            <w:r w:rsidR="003C6840" w:rsidRPr="008847EB">
              <w:rPr>
                <w:sz w:val="20"/>
                <w:szCs w:val="20"/>
                <w:lang w:val="en-US"/>
              </w:rPr>
              <w:t>Kathleen A. Worrod, et al.</w:t>
            </w:r>
          </w:p>
          <w:p w:rsidR="005A6243" w:rsidRPr="008847EB" w:rsidRDefault="005A6243" w:rsidP="005A6243">
            <w:pPr>
              <w:tabs>
                <w:tab w:val="left" w:pos="-1440"/>
                <w:tab w:val="left" w:pos="-720"/>
              </w:tabs>
              <w:rPr>
                <w:sz w:val="20"/>
                <w:szCs w:val="20"/>
              </w:rPr>
            </w:pPr>
          </w:p>
          <w:p w:rsidR="005A6243" w:rsidRPr="008847EB" w:rsidRDefault="005A6243" w:rsidP="005A6243">
            <w:pPr>
              <w:rPr>
                <w:sz w:val="20"/>
                <w:szCs w:val="20"/>
              </w:rPr>
            </w:pPr>
            <w:r w:rsidRPr="008847EB">
              <w:rPr>
                <w:sz w:val="20"/>
                <w:szCs w:val="20"/>
              </w:rPr>
              <w:t xml:space="preserve">FILING DATE: </w:t>
            </w:r>
            <w:r w:rsidR="003A59F3" w:rsidRPr="008847EB">
              <w:rPr>
                <w:sz w:val="20"/>
                <w:szCs w:val="20"/>
              </w:rPr>
              <w:t>September</w:t>
            </w:r>
            <w:r w:rsidRPr="008847EB">
              <w:rPr>
                <w:sz w:val="20"/>
                <w:szCs w:val="20"/>
              </w:rPr>
              <w:t xml:space="preserve"> 2</w:t>
            </w:r>
            <w:r w:rsidR="003A59F3" w:rsidRPr="008847EB">
              <w:rPr>
                <w:sz w:val="20"/>
                <w:szCs w:val="20"/>
              </w:rPr>
              <w:t>6</w:t>
            </w:r>
            <w:r w:rsidRPr="008847EB">
              <w:rPr>
                <w:sz w:val="20"/>
                <w:szCs w:val="20"/>
              </w:rPr>
              <w:t>, 2019</w:t>
            </w:r>
          </w:p>
          <w:p w:rsidR="005A6243" w:rsidRPr="008847EB" w:rsidRDefault="0011194E" w:rsidP="005A6243">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5A6243" w:rsidRPr="008847EB" w:rsidRDefault="005A6243" w:rsidP="005A6243">
            <w:pPr>
              <w:jc w:val="center"/>
              <w:rPr>
                <w:sz w:val="20"/>
                <w:szCs w:val="20"/>
              </w:rPr>
            </w:pPr>
          </w:p>
          <w:p w:rsidR="005A6243" w:rsidRPr="008847EB" w:rsidRDefault="005A6243" w:rsidP="005A6243">
            <w:pPr>
              <w:jc w:val="center"/>
              <w:rPr>
                <w:sz w:val="20"/>
                <w:szCs w:val="20"/>
              </w:rPr>
            </w:pPr>
          </w:p>
          <w:p w:rsidR="005A6243" w:rsidRPr="008847EB" w:rsidRDefault="005A6243" w:rsidP="005A6243">
            <w:pPr>
              <w:jc w:val="center"/>
              <w:rPr>
                <w:sz w:val="20"/>
                <w:szCs w:val="20"/>
              </w:rPr>
            </w:pPr>
          </w:p>
          <w:p w:rsidR="005A6243" w:rsidRPr="008847EB" w:rsidRDefault="005A6243" w:rsidP="005A6243">
            <w:pPr>
              <w:jc w:val="center"/>
              <w:rPr>
                <w:sz w:val="20"/>
                <w:szCs w:val="20"/>
              </w:rPr>
            </w:pPr>
          </w:p>
          <w:p w:rsidR="005A6243" w:rsidRPr="008847EB" w:rsidRDefault="005A6243" w:rsidP="005A6243">
            <w:pPr>
              <w:jc w:val="center"/>
              <w:rPr>
                <w:sz w:val="20"/>
                <w:szCs w:val="20"/>
              </w:rPr>
            </w:pPr>
          </w:p>
          <w:p w:rsidR="005A6243" w:rsidRPr="008847EB" w:rsidRDefault="005A6243" w:rsidP="005A6243">
            <w:pPr>
              <w:jc w:val="center"/>
              <w:rPr>
                <w:sz w:val="20"/>
                <w:szCs w:val="20"/>
              </w:rPr>
            </w:pPr>
          </w:p>
          <w:p w:rsidR="005A6243" w:rsidRPr="008847EB" w:rsidRDefault="005A6243" w:rsidP="005A6243">
            <w:pPr>
              <w:jc w:val="center"/>
              <w:rPr>
                <w:sz w:val="20"/>
                <w:szCs w:val="20"/>
              </w:rPr>
            </w:pPr>
          </w:p>
          <w:p w:rsidR="005A6243" w:rsidRPr="008847EB" w:rsidRDefault="005A6243" w:rsidP="005A6243">
            <w:pPr>
              <w:jc w:val="center"/>
              <w:rPr>
                <w:sz w:val="20"/>
                <w:szCs w:val="20"/>
              </w:rPr>
            </w:pPr>
          </w:p>
          <w:p w:rsidR="005A6243" w:rsidRPr="008847EB" w:rsidRDefault="005A6243" w:rsidP="005A6243">
            <w:pPr>
              <w:jc w:val="center"/>
              <w:rPr>
                <w:sz w:val="20"/>
                <w:szCs w:val="20"/>
              </w:rPr>
            </w:pPr>
          </w:p>
          <w:p w:rsidR="005A6243" w:rsidRPr="008847EB" w:rsidRDefault="005A6243" w:rsidP="005A6243">
            <w:pPr>
              <w:jc w:val="center"/>
              <w:rPr>
                <w:sz w:val="20"/>
                <w:szCs w:val="20"/>
              </w:rPr>
            </w:pPr>
          </w:p>
          <w:p w:rsidR="005A6243" w:rsidRPr="008847EB" w:rsidRDefault="005A6243" w:rsidP="005A6243">
            <w:pPr>
              <w:jc w:val="center"/>
              <w:rPr>
                <w:sz w:val="20"/>
                <w:szCs w:val="20"/>
              </w:rPr>
            </w:pPr>
          </w:p>
          <w:p w:rsidR="005A6243" w:rsidRPr="008847EB" w:rsidRDefault="005A6243" w:rsidP="005A6243">
            <w:pPr>
              <w:jc w:val="center"/>
              <w:rPr>
                <w:sz w:val="20"/>
                <w:szCs w:val="20"/>
              </w:rPr>
            </w:pPr>
          </w:p>
          <w:p w:rsidR="005A6243" w:rsidRPr="008847EB" w:rsidRDefault="005A6243" w:rsidP="005A6243">
            <w:pPr>
              <w:jc w:val="center"/>
              <w:rPr>
                <w:sz w:val="20"/>
                <w:szCs w:val="20"/>
              </w:rPr>
            </w:pPr>
          </w:p>
        </w:tc>
        <w:tc>
          <w:tcPr>
            <w:tcW w:w="4320" w:type="dxa"/>
            <w:shd w:val="clear" w:color="auto" w:fill="auto"/>
          </w:tcPr>
          <w:p w:rsidR="005A6243" w:rsidRPr="008847EB" w:rsidRDefault="0091087C" w:rsidP="005A6243">
            <w:pPr>
              <w:rPr>
                <w:b/>
                <w:sz w:val="20"/>
                <w:szCs w:val="20"/>
                <w:lang w:val="en-US"/>
              </w:rPr>
            </w:pPr>
            <w:r w:rsidRPr="008847EB">
              <w:rPr>
                <w:b/>
                <w:sz w:val="20"/>
                <w:szCs w:val="20"/>
                <w:lang w:val="en-US"/>
              </w:rPr>
              <w:t>Bayer Inc., et al.</w:t>
            </w:r>
          </w:p>
          <w:p w:rsidR="005A6243" w:rsidRPr="008847EB" w:rsidRDefault="005A6243" w:rsidP="005A6243">
            <w:pPr>
              <w:tabs>
                <w:tab w:val="left" w:pos="-1440"/>
                <w:tab w:val="left" w:pos="-720"/>
              </w:tabs>
              <w:rPr>
                <w:sz w:val="20"/>
                <w:szCs w:val="20"/>
                <w:lang w:val="en-US"/>
              </w:rPr>
            </w:pPr>
            <w:r w:rsidRPr="008847EB">
              <w:rPr>
                <w:sz w:val="20"/>
                <w:szCs w:val="20"/>
                <w:lang w:val="en-US"/>
              </w:rPr>
              <w:tab/>
            </w:r>
            <w:r w:rsidR="0091087C" w:rsidRPr="008847EB">
              <w:rPr>
                <w:sz w:val="20"/>
                <w:szCs w:val="20"/>
                <w:lang w:val="en-US"/>
              </w:rPr>
              <w:t>McLaughlin, Frank J.</w:t>
            </w:r>
          </w:p>
          <w:p w:rsidR="005A6243" w:rsidRPr="008847EB" w:rsidRDefault="005A6243" w:rsidP="005A6243">
            <w:pPr>
              <w:tabs>
                <w:tab w:val="left" w:pos="-1440"/>
                <w:tab w:val="left" w:pos="-720"/>
              </w:tabs>
              <w:rPr>
                <w:sz w:val="20"/>
                <w:szCs w:val="20"/>
                <w:lang w:val="en-US"/>
              </w:rPr>
            </w:pPr>
            <w:r w:rsidRPr="008847EB">
              <w:rPr>
                <w:sz w:val="20"/>
                <w:szCs w:val="20"/>
                <w:lang w:val="en-US"/>
              </w:rPr>
              <w:tab/>
            </w:r>
            <w:r w:rsidR="0091087C" w:rsidRPr="008847EB">
              <w:rPr>
                <w:sz w:val="20"/>
                <w:szCs w:val="20"/>
                <w:lang w:val="en-US"/>
              </w:rPr>
              <w:t>McCarthy Tétrault LLP</w:t>
            </w:r>
          </w:p>
          <w:p w:rsidR="005A6243" w:rsidRPr="008847EB" w:rsidRDefault="005A6243" w:rsidP="005A6243">
            <w:pPr>
              <w:tabs>
                <w:tab w:val="left" w:pos="-1440"/>
                <w:tab w:val="left" w:pos="-720"/>
              </w:tabs>
              <w:rPr>
                <w:sz w:val="20"/>
                <w:szCs w:val="20"/>
                <w:lang w:val="en-US"/>
              </w:rPr>
            </w:pPr>
          </w:p>
          <w:p w:rsidR="005A6243" w:rsidRPr="008847EB" w:rsidRDefault="005A6243" w:rsidP="005A6243">
            <w:pPr>
              <w:tabs>
                <w:tab w:val="left" w:pos="-1440"/>
                <w:tab w:val="left" w:pos="-720"/>
              </w:tabs>
              <w:rPr>
                <w:sz w:val="20"/>
                <w:szCs w:val="20"/>
                <w:lang w:val="en-US"/>
              </w:rPr>
            </w:pPr>
            <w:r w:rsidRPr="008847EB">
              <w:rPr>
                <w:sz w:val="20"/>
                <w:szCs w:val="20"/>
                <w:lang w:val="en-US"/>
              </w:rPr>
              <w:tab/>
              <w:t>v. (3</w:t>
            </w:r>
            <w:r w:rsidR="0091087C" w:rsidRPr="008847EB">
              <w:rPr>
                <w:sz w:val="20"/>
                <w:szCs w:val="20"/>
                <w:lang w:val="en-US"/>
              </w:rPr>
              <w:t>8825</w:t>
            </w:r>
            <w:r w:rsidRPr="008847EB">
              <w:rPr>
                <w:sz w:val="20"/>
                <w:szCs w:val="20"/>
                <w:lang w:val="en-US"/>
              </w:rPr>
              <w:t>)</w:t>
            </w:r>
          </w:p>
          <w:p w:rsidR="005A6243" w:rsidRPr="008847EB" w:rsidRDefault="005A6243" w:rsidP="005A6243">
            <w:pPr>
              <w:tabs>
                <w:tab w:val="left" w:pos="-1440"/>
                <w:tab w:val="left" w:pos="-720"/>
              </w:tabs>
              <w:rPr>
                <w:sz w:val="20"/>
                <w:szCs w:val="20"/>
                <w:lang w:val="en-US"/>
              </w:rPr>
            </w:pPr>
          </w:p>
          <w:p w:rsidR="005A6243" w:rsidRPr="008847EB" w:rsidRDefault="0091087C" w:rsidP="005A6243">
            <w:pPr>
              <w:tabs>
                <w:tab w:val="left" w:pos="-1440"/>
                <w:tab w:val="left" w:pos="-720"/>
              </w:tabs>
              <w:rPr>
                <w:b/>
                <w:sz w:val="20"/>
                <w:szCs w:val="20"/>
                <w:lang w:val="en-US"/>
              </w:rPr>
            </w:pPr>
            <w:r w:rsidRPr="008847EB">
              <w:rPr>
                <w:b/>
                <w:sz w:val="20"/>
                <w:szCs w:val="20"/>
                <w:lang w:val="en-US"/>
              </w:rPr>
              <w:t>The Estate of Mike Tluchak, et al.</w:t>
            </w:r>
            <w:r w:rsidR="005A6243" w:rsidRPr="008847EB">
              <w:rPr>
                <w:sz w:val="20"/>
                <w:szCs w:val="20"/>
                <w:lang w:val="en-US"/>
              </w:rPr>
              <w:t xml:space="preserve"> </w:t>
            </w:r>
            <w:r w:rsidR="005A6243" w:rsidRPr="008847EB">
              <w:rPr>
                <w:b/>
                <w:sz w:val="20"/>
                <w:szCs w:val="20"/>
                <w:lang w:val="en-US"/>
              </w:rPr>
              <w:t>(</w:t>
            </w:r>
            <w:r w:rsidRPr="008847EB">
              <w:rPr>
                <w:b/>
                <w:sz w:val="20"/>
                <w:szCs w:val="20"/>
                <w:lang w:val="en-US"/>
              </w:rPr>
              <w:t>Sask</w:t>
            </w:r>
            <w:r w:rsidR="005A6243" w:rsidRPr="008847EB">
              <w:rPr>
                <w:b/>
                <w:sz w:val="20"/>
                <w:szCs w:val="20"/>
                <w:lang w:val="en-US"/>
              </w:rPr>
              <w:t>.)</w:t>
            </w:r>
          </w:p>
          <w:p w:rsidR="005A6243" w:rsidRPr="008847EB" w:rsidRDefault="005A6243" w:rsidP="005A6243">
            <w:pPr>
              <w:tabs>
                <w:tab w:val="left" w:pos="-1440"/>
                <w:tab w:val="left" w:pos="-720"/>
              </w:tabs>
              <w:rPr>
                <w:sz w:val="20"/>
                <w:szCs w:val="20"/>
              </w:rPr>
            </w:pPr>
            <w:r w:rsidRPr="008847EB">
              <w:rPr>
                <w:sz w:val="20"/>
                <w:szCs w:val="20"/>
                <w:lang w:val="en-US"/>
              </w:rPr>
              <w:tab/>
            </w:r>
            <w:r w:rsidR="0091087C" w:rsidRPr="008847EB">
              <w:rPr>
                <w:sz w:val="20"/>
                <w:szCs w:val="20"/>
                <w:lang w:val="en-US"/>
              </w:rPr>
              <w:t>Merchant, Q.C., Evatt F. Anthony</w:t>
            </w:r>
          </w:p>
          <w:p w:rsidR="005A6243" w:rsidRPr="008847EB" w:rsidRDefault="005A6243" w:rsidP="005A6243">
            <w:pPr>
              <w:tabs>
                <w:tab w:val="left" w:pos="-1440"/>
                <w:tab w:val="left" w:pos="-720"/>
              </w:tabs>
              <w:rPr>
                <w:sz w:val="20"/>
                <w:szCs w:val="20"/>
              </w:rPr>
            </w:pPr>
            <w:r w:rsidRPr="008847EB">
              <w:rPr>
                <w:sz w:val="20"/>
                <w:szCs w:val="20"/>
              </w:rPr>
              <w:tab/>
            </w:r>
            <w:r w:rsidR="0091087C" w:rsidRPr="008847EB">
              <w:rPr>
                <w:sz w:val="20"/>
                <w:szCs w:val="20"/>
              </w:rPr>
              <w:t>Merchant Law Group</w:t>
            </w:r>
          </w:p>
          <w:p w:rsidR="005A6243" w:rsidRPr="008847EB" w:rsidRDefault="005A6243" w:rsidP="005A6243">
            <w:pPr>
              <w:tabs>
                <w:tab w:val="left" w:pos="-1440"/>
                <w:tab w:val="left" w:pos="-720"/>
              </w:tabs>
              <w:rPr>
                <w:sz w:val="20"/>
                <w:szCs w:val="20"/>
              </w:rPr>
            </w:pPr>
          </w:p>
          <w:p w:rsidR="005A6243" w:rsidRPr="008847EB" w:rsidRDefault="005A6243" w:rsidP="005A6243">
            <w:pPr>
              <w:rPr>
                <w:sz w:val="20"/>
                <w:szCs w:val="20"/>
              </w:rPr>
            </w:pPr>
            <w:r w:rsidRPr="008847EB">
              <w:rPr>
                <w:sz w:val="20"/>
                <w:szCs w:val="20"/>
              </w:rPr>
              <w:t xml:space="preserve">FILING DATE: </w:t>
            </w:r>
            <w:r w:rsidR="0091087C" w:rsidRPr="008847EB">
              <w:rPr>
                <w:sz w:val="20"/>
                <w:szCs w:val="20"/>
              </w:rPr>
              <w:t>September</w:t>
            </w:r>
            <w:r w:rsidRPr="008847EB">
              <w:rPr>
                <w:sz w:val="20"/>
                <w:szCs w:val="20"/>
              </w:rPr>
              <w:t xml:space="preserve"> 2</w:t>
            </w:r>
            <w:r w:rsidR="0091087C" w:rsidRPr="008847EB">
              <w:rPr>
                <w:sz w:val="20"/>
                <w:szCs w:val="20"/>
              </w:rPr>
              <w:t>7</w:t>
            </w:r>
            <w:r w:rsidRPr="008847EB">
              <w:rPr>
                <w:sz w:val="20"/>
                <w:szCs w:val="20"/>
              </w:rPr>
              <w:t>, 2019</w:t>
            </w:r>
          </w:p>
          <w:p w:rsidR="005A6243" w:rsidRPr="008847EB" w:rsidRDefault="0011194E" w:rsidP="005A6243">
            <w:pPr>
              <w:rPr>
                <w:sz w:val="20"/>
                <w:szCs w:val="20"/>
              </w:rPr>
            </w:pPr>
            <w:r>
              <w:rPr>
                <w:sz w:val="20"/>
                <w:szCs w:val="20"/>
                <w:lang w:val="fr-CA"/>
              </w:rPr>
              <w:pict w14:anchorId="3E27FFB6">
                <v:rect id="_x0000_i1026" style="width:108pt;height:1pt" o:hrpct="0" o:hralign="center" o:hrstd="t" o:hrnoshade="t" o:hr="t" fillcolor="black [3213]" stroked="f"/>
              </w:pict>
            </w:r>
          </w:p>
        </w:tc>
      </w:tr>
      <w:tr w:rsidR="005A6243" w:rsidRPr="008847EB" w:rsidTr="003B3977">
        <w:tc>
          <w:tcPr>
            <w:tcW w:w="4320" w:type="dxa"/>
            <w:shd w:val="clear" w:color="auto" w:fill="auto"/>
          </w:tcPr>
          <w:p w:rsidR="005A6243" w:rsidRPr="008847EB" w:rsidRDefault="00A03156" w:rsidP="005A6243">
            <w:pPr>
              <w:keepNext/>
              <w:keepLines/>
              <w:tabs>
                <w:tab w:val="left" w:pos="-1440"/>
                <w:tab w:val="left" w:pos="-720"/>
              </w:tabs>
              <w:rPr>
                <w:b/>
                <w:sz w:val="20"/>
                <w:szCs w:val="20"/>
                <w:lang w:val="en-US"/>
              </w:rPr>
            </w:pPr>
            <w:r w:rsidRPr="008847EB">
              <w:rPr>
                <w:b/>
                <w:sz w:val="20"/>
                <w:szCs w:val="20"/>
                <w:lang w:val="en-US"/>
              </w:rPr>
              <w:t>Bakorp Management Ltd.</w:t>
            </w:r>
          </w:p>
          <w:p w:rsidR="005A6243" w:rsidRPr="008847EB" w:rsidRDefault="005A6243" w:rsidP="005A6243">
            <w:pPr>
              <w:keepNext/>
              <w:keepLines/>
              <w:tabs>
                <w:tab w:val="left" w:pos="-1440"/>
                <w:tab w:val="left" w:pos="-720"/>
              </w:tabs>
              <w:rPr>
                <w:sz w:val="20"/>
                <w:szCs w:val="20"/>
                <w:lang w:val="en-US"/>
              </w:rPr>
            </w:pPr>
            <w:r w:rsidRPr="008847EB">
              <w:rPr>
                <w:sz w:val="20"/>
                <w:szCs w:val="20"/>
                <w:lang w:val="en-US"/>
              </w:rPr>
              <w:tab/>
            </w:r>
            <w:r w:rsidR="00DF3DFE" w:rsidRPr="008847EB">
              <w:rPr>
                <w:sz w:val="20"/>
                <w:szCs w:val="20"/>
                <w:lang w:val="en-US"/>
              </w:rPr>
              <w:t>Potter, E. Rebbeca</w:t>
            </w:r>
          </w:p>
          <w:p w:rsidR="005A6243" w:rsidRPr="008847EB" w:rsidRDefault="005A6243" w:rsidP="005A6243">
            <w:pPr>
              <w:keepNext/>
              <w:keepLines/>
              <w:tabs>
                <w:tab w:val="left" w:pos="-1440"/>
                <w:tab w:val="left" w:pos="-720"/>
              </w:tabs>
              <w:rPr>
                <w:sz w:val="20"/>
                <w:szCs w:val="20"/>
                <w:lang w:val="en-US"/>
              </w:rPr>
            </w:pPr>
            <w:r w:rsidRPr="008847EB">
              <w:rPr>
                <w:sz w:val="20"/>
                <w:szCs w:val="20"/>
                <w:lang w:val="en-US"/>
              </w:rPr>
              <w:tab/>
            </w:r>
            <w:r w:rsidR="00DF3DFE" w:rsidRPr="008847EB">
              <w:rPr>
                <w:sz w:val="20"/>
                <w:szCs w:val="20"/>
                <w:lang w:val="en-US"/>
              </w:rPr>
              <w:t>Thorsteinssons LLP</w:t>
            </w:r>
          </w:p>
          <w:p w:rsidR="005A6243" w:rsidRPr="008847EB" w:rsidRDefault="005A6243" w:rsidP="005A6243">
            <w:pPr>
              <w:keepNext/>
              <w:keepLines/>
              <w:tabs>
                <w:tab w:val="left" w:pos="-1440"/>
                <w:tab w:val="left" w:pos="-720"/>
              </w:tabs>
              <w:rPr>
                <w:sz w:val="20"/>
                <w:szCs w:val="20"/>
                <w:lang w:val="en-US"/>
              </w:rPr>
            </w:pPr>
          </w:p>
          <w:p w:rsidR="005A6243" w:rsidRPr="008847EB" w:rsidRDefault="005A6243" w:rsidP="005A6243">
            <w:pPr>
              <w:keepNext/>
              <w:keepLines/>
              <w:tabs>
                <w:tab w:val="left" w:pos="-1440"/>
                <w:tab w:val="left" w:pos="-720"/>
              </w:tabs>
              <w:rPr>
                <w:sz w:val="20"/>
                <w:szCs w:val="20"/>
                <w:lang w:val="en-US"/>
              </w:rPr>
            </w:pPr>
            <w:r w:rsidRPr="008847EB">
              <w:rPr>
                <w:sz w:val="20"/>
                <w:szCs w:val="20"/>
                <w:lang w:val="en-US"/>
              </w:rPr>
              <w:tab/>
            </w:r>
            <w:r w:rsidR="00A03156" w:rsidRPr="008847EB">
              <w:rPr>
                <w:sz w:val="20"/>
                <w:szCs w:val="20"/>
                <w:lang w:val="en-US"/>
              </w:rPr>
              <w:t>v</w:t>
            </w:r>
            <w:r w:rsidRPr="008847EB">
              <w:rPr>
                <w:sz w:val="20"/>
                <w:szCs w:val="20"/>
                <w:lang w:val="en-US"/>
              </w:rPr>
              <w:t>. (3</w:t>
            </w:r>
            <w:r w:rsidR="00A03156" w:rsidRPr="008847EB">
              <w:rPr>
                <w:sz w:val="20"/>
                <w:szCs w:val="20"/>
                <w:lang w:val="en-US"/>
              </w:rPr>
              <w:t>8826</w:t>
            </w:r>
            <w:r w:rsidRPr="008847EB">
              <w:rPr>
                <w:sz w:val="20"/>
                <w:szCs w:val="20"/>
                <w:lang w:val="en-US"/>
              </w:rPr>
              <w:t>)</w:t>
            </w:r>
          </w:p>
          <w:p w:rsidR="005A6243" w:rsidRPr="008847EB" w:rsidRDefault="005A6243" w:rsidP="005A6243">
            <w:pPr>
              <w:keepNext/>
              <w:keepLines/>
              <w:tabs>
                <w:tab w:val="left" w:pos="-1440"/>
                <w:tab w:val="left" w:pos="-720"/>
              </w:tabs>
              <w:rPr>
                <w:sz w:val="20"/>
                <w:szCs w:val="20"/>
                <w:lang w:val="en-US"/>
              </w:rPr>
            </w:pPr>
          </w:p>
          <w:p w:rsidR="005A6243" w:rsidRPr="008847EB" w:rsidRDefault="00A03156" w:rsidP="005A6243">
            <w:pPr>
              <w:keepNext/>
              <w:keepLines/>
              <w:tabs>
                <w:tab w:val="left" w:pos="-1440"/>
                <w:tab w:val="left" w:pos="-720"/>
              </w:tabs>
              <w:rPr>
                <w:b/>
                <w:sz w:val="20"/>
                <w:szCs w:val="20"/>
                <w:lang w:val="en-US"/>
              </w:rPr>
            </w:pPr>
            <w:r w:rsidRPr="008847EB">
              <w:rPr>
                <w:b/>
                <w:sz w:val="20"/>
                <w:szCs w:val="20"/>
                <w:lang w:val="en-US"/>
              </w:rPr>
              <w:t>Her Majesty the Queen</w:t>
            </w:r>
            <w:r w:rsidR="005A6243" w:rsidRPr="008847EB">
              <w:rPr>
                <w:b/>
                <w:sz w:val="20"/>
                <w:szCs w:val="20"/>
                <w:lang w:val="en-US"/>
              </w:rPr>
              <w:t xml:space="preserve"> (</w:t>
            </w:r>
            <w:r w:rsidRPr="008847EB">
              <w:rPr>
                <w:b/>
                <w:sz w:val="20"/>
                <w:szCs w:val="20"/>
                <w:lang w:val="en-US"/>
              </w:rPr>
              <w:t>F.C.</w:t>
            </w:r>
            <w:r w:rsidR="005A6243" w:rsidRPr="008847EB">
              <w:rPr>
                <w:b/>
                <w:sz w:val="20"/>
                <w:szCs w:val="20"/>
                <w:lang w:val="en-US"/>
              </w:rPr>
              <w:t>)</w:t>
            </w:r>
          </w:p>
          <w:p w:rsidR="005A6243" w:rsidRPr="008847EB" w:rsidRDefault="005A6243" w:rsidP="005A6243">
            <w:pPr>
              <w:keepNext/>
              <w:keepLines/>
              <w:tabs>
                <w:tab w:val="left" w:pos="-1440"/>
                <w:tab w:val="left" w:pos="-720"/>
              </w:tabs>
              <w:rPr>
                <w:sz w:val="20"/>
                <w:szCs w:val="20"/>
                <w:lang w:val="en-US"/>
              </w:rPr>
            </w:pPr>
            <w:r w:rsidRPr="008847EB">
              <w:rPr>
                <w:sz w:val="20"/>
                <w:szCs w:val="20"/>
                <w:lang w:val="en-US"/>
              </w:rPr>
              <w:tab/>
            </w:r>
            <w:r w:rsidR="00DF3DFE" w:rsidRPr="008847EB">
              <w:rPr>
                <w:sz w:val="20"/>
                <w:szCs w:val="20"/>
                <w:lang w:val="en-US"/>
              </w:rPr>
              <w:t>Cuddy, Brent</w:t>
            </w:r>
          </w:p>
          <w:p w:rsidR="005A6243" w:rsidRPr="008847EB" w:rsidRDefault="005A6243" w:rsidP="005A6243">
            <w:pPr>
              <w:keepNext/>
              <w:keepLines/>
              <w:tabs>
                <w:tab w:val="left" w:pos="-1440"/>
                <w:tab w:val="left" w:pos="-720"/>
              </w:tabs>
              <w:rPr>
                <w:sz w:val="20"/>
                <w:szCs w:val="20"/>
                <w:lang w:val="en-US"/>
              </w:rPr>
            </w:pPr>
            <w:r w:rsidRPr="008847EB">
              <w:rPr>
                <w:sz w:val="20"/>
                <w:szCs w:val="20"/>
                <w:lang w:val="en-US"/>
              </w:rPr>
              <w:tab/>
            </w:r>
            <w:r w:rsidR="00DF3DFE" w:rsidRPr="008847EB">
              <w:rPr>
                <w:sz w:val="20"/>
                <w:szCs w:val="20"/>
                <w:lang w:val="en-US"/>
              </w:rPr>
              <w:t>Attorney General of Canada</w:t>
            </w:r>
          </w:p>
          <w:p w:rsidR="005A6243" w:rsidRPr="008847EB" w:rsidRDefault="005A6243" w:rsidP="005A6243">
            <w:pPr>
              <w:keepNext/>
              <w:keepLines/>
              <w:tabs>
                <w:tab w:val="left" w:pos="-1440"/>
                <w:tab w:val="left" w:pos="-720"/>
              </w:tabs>
              <w:rPr>
                <w:sz w:val="20"/>
                <w:szCs w:val="20"/>
                <w:lang w:val="en-US"/>
              </w:rPr>
            </w:pPr>
          </w:p>
          <w:p w:rsidR="005A6243" w:rsidRPr="008847EB" w:rsidRDefault="00A03156" w:rsidP="00A03156">
            <w:pPr>
              <w:rPr>
                <w:sz w:val="20"/>
                <w:szCs w:val="20"/>
                <w:lang w:val="fr-CA"/>
              </w:rPr>
            </w:pPr>
            <w:r w:rsidRPr="008847EB">
              <w:rPr>
                <w:sz w:val="20"/>
                <w:szCs w:val="20"/>
                <w:lang w:val="fr-CA"/>
              </w:rPr>
              <w:t xml:space="preserve">FILING </w:t>
            </w:r>
            <w:r w:rsidR="005A6243" w:rsidRPr="008847EB">
              <w:rPr>
                <w:sz w:val="20"/>
                <w:szCs w:val="20"/>
                <w:lang w:val="fr-CA"/>
              </w:rPr>
              <w:t xml:space="preserve">DATE: </w:t>
            </w:r>
            <w:r w:rsidRPr="008847EB">
              <w:rPr>
                <w:sz w:val="20"/>
                <w:szCs w:val="20"/>
                <w:lang w:val="fr-CA"/>
              </w:rPr>
              <w:t>September</w:t>
            </w:r>
            <w:r w:rsidR="005A6243" w:rsidRPr="008847EB">
              <w:rPr>
                <w:sz w:val="20"/>
                <w:szCs w:val="20"/>
                <w:lang w:val="fr-CA"/>
              </w:rPr>
              <w:t xml:space="preserve"> 2</w:t>
            </w:r>
            <w:r w:rsidRPr="008847EB">
              <w:rPr>
                <w:sz w:val="20"/>
                <w:szCs w:val="20"/>
                <w:lang w:val="fr-CA"/>
              </w:rPr>
              <w:t>7.</w:t>
            </w:r>
            <w:r w:rsidR="005A6243" w:rsidRPr="008847EB">
              <w:rPr>
                <w:sz w:val="20"/>
                <w:szCs w:val="20"/>
                <w:lang w:val="fr-CA"/>
              </w:rPr>
              <w:t xml:space="preserve"> 2019</w:t>
            </w:r>
            <w:r w:rsidR="0011194E">
              <w:rPr>
                <w:sz w:val="20"/>
                <w:szCs w:val="20"/>
                <w:lang w:val="fr-CA"/>
              </w:rPr>
              <w:pict>
                <v:rect id="_x0000_i1027" style="width:108pt;height:1pt" o:hrpct="0" o:hralign="center" o:hrstd="t" o:hrnoshade="t" o:hr="t" fillcolor="black [3213]" stroked="f"/>
              </w:pict>
            </w:r>
          </w:p>
        </w:tc>
        <w:tc>
          <w:tcPr>
            <w:tcW w:w="1181" w:type="dxa"/>
            <w:shd w:val="clear" w:color="auto" w:fill="auto"/>
          </w:tcPr>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tc>
        <w:tc>
          <w:tcPr>
            <w:tcW w:w="4320" w:type="dxa"/>
            <w:shd w:val="clear" w:color="auto" w:fill="auto"/>
          </w:tcPr>
          <w:p w:rsidR="005A6243" w:rsidRPr="008847EB" w:rsidRDefault="007C43C9" w:rsidP="005A6243">
            <w:pPr>
              <w:rPr>
                <w:b/>
                <w:sz w:val="20"/>
                <w:szCs w:val="20"/>
                <w:lang w:val="en-US"/>
              </w:rPr>
            </w:pPr>
            <w:r w:rsidRPr="008847EB">
              <w:rPr>
                <w:b/>
                <w:sz w:val="20"/>
                <w:szCs w:val="20"/>
                <w:lang w:val="en-US"/>
              </w:rPr>
              <w:t>Human Care Canada Inc.</w:t>
            </w:r>
          </w:p>
          <w:p w:rsidR="005A6243" w:rsidRPr="008847EB" w:rsidRDefault="005A6243" w:rsidP="005A6243">
            <w:pPr>
              <w:tabs>
                <w:tab w:val="left" w:pos="-1440"/>
                <w:tab w:val="left" w:pos="-720"/>
              </w:tabs>
              <w:rPr>
                <w:sz w:val="20"/>
                <w:szCs w:val="20"/>
                <w:lang w:val="en-US"/>
              </w:rPr>
            </w:pPr>
            <w:r w:rsidRPr="008847EB">
              <w:rPr>
                <w:sz w:val="20"/>
                <w:szCs w:val="20"/>
                <w:lang w:val="en-US"/>
              </w:rPr>
              <w:tab/>
            </w:r>
            <w:r w:rsidR="00662327" w:rsidRPr="008847EB">
              <w:rPr>
                <w:sz w:val="20"/>
                <w:szCs w:val="20"/>
                <w:lang w:val="en-US"/>
              </w:rPr>
              <w:t>Wall, Kristin</w:t>
            </w:r>
          </w:p>
          <w:p w:rsidR="005A6243" w:rsidRPr="008847EB" w:rsidRDefault="005A6243" w:rsidP="005A6243">
            <w:pPr>
              <w:tabs>
                <w:tab w:val="left" w:pos="-1440"/>
                <w:tab w:val="left" w:pos="-720"/>
              </w:tabs>
              <w:rPr>
                <w:sz w:val="20"/>
                <w:szCs w:val="20"/>
                <w:lang w:val="en-US"/>
              </w:rPr>
            </w:pPr>
            <w:r w:rsidRPr="008847EB">
              <w:rPr>
                <w:sz w:val="20"/>
                <w:szCs w:val="20"/>
                <w:lang w:val="en-US"/>
              </w:rPr>
              <w:tab/>
            </w:r>
            <w:r w:rsidR="00662327" w:rsidRPr="008847EB">
              <w:rPr>
                <w:sz w:val="20"/>
                <w:szCs w:val="20"/>
                <w:lang w:val="en-US"/>
              </w:rPr>
              <w:t>Norton Rose Fulbright Canada LLP</w:t>
            </w:r>
          </w:p>
          <w:p w:rsidR="005A6243" w:rsidRPr="008847EB" w:rsidRDefault="005A6243" w:rsidP="005A6243">
            <w:pPr>
              <w:tabs>
                <w:tab w:val="left" w:pos="-1440"/>
                <w:tab w:val="left" w:pos="-720"/>
              </w:tabs>
              <w:rPr>
                <w:sz w:val="20"/>
                <w:szCs w:val="20"/>
                <w:lang w:val="en-US"/>
              </w:rPr>
            </w:pPr>
          </w:p>
          <w:p w:rsidR="005A6243" w:rsidRPr="008847EB" w:rsidRDefault="005A6243" w:rsidP="005A6243">
            <w:pPr>
              <w:tabs>
                <w:tab w:val="left" w:pos="-1440"/>
                <w:tab w:val="left" w:pos="-720"/>
              </w:tabs>
              <w:rPr>
                <w:sz w:val="20"/>
                <w:szCs w:val="20"/>
                <w:lang w:val="en-US"/>
              </w:rPr>
            </w:pPr>
            <w:r w:rsidRPr="008847EB">
              <w:rPr>
                <w:sz w:val="20"/>
                <w:szCs w:val="20"/>
                <w:lang w:val="en-US"/>
              </w:rPr>
              <w:tab/>
              <w:t>v. (3</w:t>
            </w:r>
            <w:r w:rsidR="007C43C9" w:rsidRPr="008847EB">
              <w:rPr>
                <w:sz w:val="20"/>
                <w:szCs w:val="20"/>
                <w:lang w:val="en-US"/>
              </w:rPr>
              <w:t>8846</w:t>
            </w:r>
            <w:r w:rsidRPr="008847EB">
              <w:rPr>
                <w:sz w:val="20"/>
                <w:szCs w:val="20"/>
                <w:lang w:val="en-US"/>
              </w:rPr>
              <w:t>)</w:t>
            </w:r>
          </w:p>
          <w:p w:rsidR="005A6243" w:rsidRPr="008847EB" w:rsidRDefault="005A6243" w:rsidP="005A6243">
            <w:pPr>
              <w:tabs>
                <w:tab w:val="left" w:pos="-1440"/>
                <w:tab w:val="left" w:pos="-720"/>
              </w:tabs>
              <w:rPr>
                <w:sz w:val="20"/>
                <w:szCs w:val="20"/>
                <w:lang w:val="en-US"/>
              </w:rPr>
            </w:pPr>
          </w:p>
          <w:p w:rsidR="005A6243" w:rsidRPr="008847EB" w:rsidRDefault="007C43C9" w:rsidP="005A6243">
            <w:pPr>
              <w:tabs>
                <w:tab w:val="left" w:pos="-1440"/>
                <w:tab w:val="left" w:pos="-720"/>
              </w:tabs>
              <w:rPr>
                <w:b/>
                <w:sz w:val="20"/>
                <w:szCs w:val="20"/>
                <w:lang w:val="fr-CA"/>
              </w:rPr>
            </w:pPr>
            <w:r w:rsidRPr="008847EB">
              <w:rPr>
                <w:b/>
                <w:sz w:val="20"/>
                <w:szCs w:val="20"/>
                <w:lang w:val="fr-CA"/>
              </w:rPr>
              <w:t>Evolution Technologies Inc.</w:t>
            </w:r>
            <w:r w:rsidR="005A6243" w:rsidRPr="008847EB">
              <w:rPr>
                <w:sz w:val="20"/>
                <w:szCs w:val="20"/>
                <w:lang w:val="fr-CA"/>
              </w:rPr>
              <w:t xml:space="preserve"> </w:t>
            </w:r>
            <w:r w:rsidR="005A6243" w:rsidRPr="008847EB">
              <w:rPr>
                <w:b/>
                <w:sz w:val="20"/>
                <w:szCs w:val="20"/>
                <w:lang w:val="fr-CA"/>
              </w:rPr>
              <w:t>(</w:t>
            </w:r>
            <w:r w:rsidRPr="008847EB">
              <w:rPr>
                <w:b/>
                <w:sz w:val="20"/>
                <w:szCs w:val="20"/>
                <w:lang w:val="fr-CA"/>
              </w:rPr>
              <w:t>F.C</w:t>
            </w:r>
            <w:r w:rsidR="005A6243" w:rsidRPr="008847EB">
              <w:rPr>
                <w:b/>
                <w:sz w:val="20"/>
                <w:szCs w:val="20"/>
                <w:lang w:val="fr-CA"/>
              </w:rPr>
              <w:t>.)</w:t>
            </w:r>
          </w:p>
          <w:p w:rsidR="005A6243" w:rsidRPr="008847EB" w:rsidRDefault="005A6243" w:rsidP="005A6243">
            <w:pPr>
              <w:tabs>
                <w:tab w:val="left" w:pos="-1440"/>
                <w:tab w:val="left" w:pos="-720"/>
              </w:tabs>
              <w:rPr>
                <w:sz w:val="20"/>
                <w:szCs w:val="20"/>
              </w:rPr>
            </w:pPr>
            <w:r w:rsidRPr="008847EB">
              <w:rPr>
                <w:sz w:val="20"/>
                <w:szCs w:val="20"/>
                <w:lang w:val="fr-CA"/>
              </w:rPr>
              <w:tab/>
            </w:r>
            <w:r w:rsidR="00246F51" w:rsidRPr="008847EB">
              <w:rPr>
                <w:sz w:val="20"/>
                <w:szCs w:val="20"/>
                <w:lang w:val="en-US"/>
              </w:rPr>
              <w:t>Brodkin, Andrew R. – Principal Counsel</w:t>
            </w:r>
          </w:p>
          <w:p w:rsidR="005A6243" w:rsidRPr="008847EB" w:rsidRDefault="005A6243" w:rsidP="005A6243">
            <w:pPr>
              <w:tabs>
                <w:tab w:val="left" w:pos="-1440"/>
                <w:tab w:val="left" w:pos="-720"/>
              </w:tabs>
              <w:rPr>
                <w:sz w:val="20"/>
                <w:szCs w:val="20"/>
              </w:rPr>
            </w:pPr>
            <w:r w:rsidRPr="008847EB">
              <w:rPr>
                <w:sz w:val="20"/>
                <w:szCs w:val="20"/>
              </w:rPr>
              <w:tab/>
            </w:r>
            <w:r w:rsidR="00246F51" w:rsidRPr="008847EB">
              <w:rPr>
                <w:sz w:val="20"/>
                <w:szCs w:val="20"/>
              </w:rPr>
              <w:t>Goodmans LLP</w:t>
            </w:r>
          </w:p>
          <w:p w:rsidR="005A6243" w:rsidRPr="008847EB" w:rsidRDefault="005A6243" w:rsidP="005A6243">
            <w:pPr>
              <w:tabs>
                <w:tab w:val="left" w:pos="-1440"/>
                <w:tab w:val="left" w:pos="-720"/>
              </w:tabs>
              <w:rPr>
                <w:sz w:val="20"/>
                <w:szCs w:val="20"/>
              </w:rPr>
            </w:pPr>
          </w:p>
          <w:p w:rsidR="005A6243" w:rsidRPr="008847EB" w:rsidRDefault="005A6243" w:rsidP="005A6243">
            <w:pPr>
              <w:rPr>
                <w:sz w:val="20"/>
                <w:szCs w:val="20"/>
              </w:rPr>
            </w:pPr>
            <w:r w:rsidRPr="008847EB">
              <w:rPr>
                <w:sz w:val="20"/>
                <w:szCs w:val="20"/>
              </w:rPr>
              <w:t xml:space="preserve">FILING DATE: </w:t>
            </w:r>
            <w:r w:rsidR="007C43C9" w:rsidRPr="008847EB">
              <w:rPr>
                <w:sz w:val="20"/>
                <w:szCs w:val="20"/>
              </w:rPr>
              <w:t>September</w:t>
            </w:r>
            <w:r w:rsidRPr="008847EB">
              <w:rPr>
                <w:sz w:val="20"/>
                <w:szCs w:val="20"/>
              </w:rPr>
              <w:t xml:space="preserve"> </w:t>
            </w:r>
            <w:r w:rsidR="007C43C9" w:rsidRPr="008847EB">
              <w:rPr>
                <w:sz w:val="20"/>
                <w:szCs w:val="20"/>
              </w:rPr>
              <w:t>30</w:t>
            </w:r>
            <w:r w:rsidRPr="008847EB">
              <w:rPr>
                <w:sz w:val="20"/>
                <w:szCs w:val="20"/>
              </w:rPr>
              <w:t>, 2019</w:t>
            </w:r>
          </w:p>
          <w:p w:rsidR="005A6243" w:rsidRPr="008847EB" w:rsidRDefault="0011194E" w:rsidP="005A6243">
            <w:pPr>
              <w:rPr>
                <w:sz w:val="20"/>
                <w:szCs w:val="20"/>
              </w:rPr>
            </w:pPr>
            <w:r>
              <w:rPr>
                <w:sz w:val="20"/>
                <w:szCs w:val="20"/>
                <w:lang w:val="fr-CA"/>
              </w:rPr>
              <w:pict w14:anchorId="094A9E84">
                <v:rect id="_x0000_i1028" style="width:108pt;height:1pt" o:hrpct="0" o:hralign="center" o:hrstd="t" o:hrnoshade="t" o:hr="t" fillcolor="black [3213]" stroked="f"/>
              </w:pict>
            </w:r>
          </w:p>
        </w:tc>
      </w:tr>
      <w:tr w:rsidR="005A6243" w:rsidRPr="008847EB" w:rsidTr="003B3977">
        <w:tc>
          <w:tcPr>
            <w:tcW w:w="4320" w:type="dxa"/>
            <w:shd w:val="clear" w:color="auto" w:fill="auto"/>
          </w:tcPr>
          <w:p w:rsidR="005A6243" w:rsidRPr="008847EB" w:rsidRDefault="00EA0DA8" w:rsidP="005A6243">
            <w:pPr>
              <w:rPr>
                <w:b/>
                <w:sz w:val="20"/>
                <w:szCs w:val="20"/>
                <w:lang w:val="en-US"/>
              </w:rPr>
            </w:pPr>
            <w:r w:rsidRPr="008847EB">
              <w:rPr>
                <w:b/>
                <w:sz w:val="20"/>
                <w:szCs w:val="20"/>
                <w:lang w:val="en-US"/>
              </w:rPr>
              <w:t>Glacier Resorts Ltd.</w:t>
            </w:r>
          </w:p>
          <w:p w:rsidR="005A6243" w:rsidRPr="008847EB" w:rsidRDefault="005A6243" w:rsidP="005A6243">
            <w:pPr>
              <w:tabs>
                <w:tab w:val="left" w:pos="-1440"/>
                <w:tab w:val="left" w:pos="-720"/>
              </w:tabs>
              <w:rPr>
                <w:sz w:val="20"/>
                <w:szCs w:val="20"/>
                <w:lang w:val="en-US"/>
              </w:rPr>
            </w:pPr>
            <w:r w:rsidRPr="008847EB">
              <w:rPr>
                <w:sz w:val="20"/>
                <w:szCs w:val="20"/>
                <w:lang w:val="en-US"/>
              </w:rPr>
              <w:tab/>
            </w:r>
            <w:r w:rsidR="00EA0DA8" w:rsidRPr="008847EB">
              <w:rPr>
                <w:sz w:val="20"/>
                <w:szCs w:val="20"/>
                <w:lang w:val="en-US"/>
              </w:rPr>
              <w:t>Tucker, Q.C., Gregory J.</w:t>
            </w:r>
          </w:p>
          <w:p w:rsidR="005A6243" w:rsidRPr="008847EB" w:rsidRDefault="005A6243" w:rsidP="005A6243">
            <w:pPr>
              <w:tabs>
                <w:tab w:val="left" w:pos="-1440"/>
                <w:tab w:val="left" w:pos="-720"/>
              </w:tabs>
              <w:rPr>
                <w:sz w:val="20"/>
                <w:szCs w:val="20"/>
                <w:lang w:val="en-US"/>
              </w:rPr>
            </w:pPr>
            <w:r w:rsidRPr="008847EB">
              <w:rPr>
                <w:sz w:val="20"/>
                <w:szCs w:val="20"/>
                <w:lang w:val="en-US"/>
              </w:rPr>
              <w:tab/>
            </w:r>
            <w:r w:rsidR="00EA0DA8" w:rsidRPr="008847EB">
              <w:rPr>
                <w:sz w:val="20"/>
                <w:szCs w:val="20"/>
                <w:lang w:val="en-US"/>
              </w:rPr>
              <w:t>Owen Bird Law Corporation</w:t>
            </w:r>
          </w:p>
          <w:p w:rsidR="005A6243" w:rsidRPr="008847EB" w:rsidRDefault="005A6243" w:rsidP="005A6243">
            <w:pPr>
              <w:tabs>
                <w:tab w:val="left" w:pos="-1440"/>
                <w:tab w:val="left" w:pos="-720"/>
              </w:tabs>
              <w:rPr>
                <w:sz w:val="20"/>
                <w:szCs w:val="20"/>
                <w:lang w:val="en-US"/>
              </w:rPr>
            </w:pPr>
          </w:p>
          <w:p w:rsidR="005A6243" w:rsidRPr="008847EB" w:rsidRDefault="005A6243" w:rsidP="005A6243">
            <w:pPr>
              <w:tabs>
                <w:tab w:val="left" w:pos="-1440"/>
                <w:tab w:val="left" w:pos="-720"/>
              </w:tabs>
              <w:rPr>
                <w:sz w:val="20"/>
                <w:szCs w:val="20"/>
                <w:lang w:val="en-US"/>
              </w:rPr>
            </w:pPr>
            <w:r w:rsidRPr="008847EB">
              <w:rPr>
                <w:sz w:val="20"/>
                <w:szCs w:val="20"/>
                <w:lang w:val="en-US"/>
              </w:rPr>
              <w:tab/>
              <w:t>v. (3</w:t>
            </w:r>
            <w:r w:rsidR="00EA0DA8" w:rsidRPr="008847EB">
              <w:rPr>
                <w:sz w:val="20"/>
                <w:szCs w:val="20"/>
                <w:lang w:val="en-US"/>
              </w:rPr>
              <w:t>8848</w:t>
            </w:r>
            <w:r w:rsidRPr="008847EB">
              <w:rPr>
                <w:sz w:val="20"/>
                <w:szCs w:val="20"/>
                <w:lang w:val="en-US"/>
              </w:rPr>
              <w:t>)</w:t>
            </w:r>
          </w:p>
          <w:p w:rsidR="005A6243" w:rsidRPr="008847EB" w:rsidRDefault="005A6243" w:rsidP="005A6243">
            <w:pPr>
              <w:tabs>
                <w:tab w:val="left" w:pos="-1440"/>
                <w:tab w:val="left" w:pos="-720"/>
              </w:tabs>
              <w:rPr>
                <w:sz w:val="20"/>
                <w:szCs w:val="20"/>
                <w:lang w:val="en-US"/>
              </w:rPr>
            </w:pPr>
          </w:p>
          <w:p w:rsidR="005A6243" w:rsidRPr="008847EB" w:rsidRDefault="00EA0DA8" w:rsidP="005A6243">
            <w:pPr>
              <w:tabs>
                <w:tab w:val="left" w:pos="-1440"/>
                <w:tab w:val="left" w:pos="-720"/>
              </w:tabs>
              <w:rPr>
                <w:b/>
                <w:sz w:val="20"/>
                <w:szCs w:val="20"/>
                <w:lang w:val="en-US"/>
              </w:rPr>
            </w:pPr>
            <w:r w:rsidRPr="008847EB">
              <w:rPr>
                <w:b/>
                <w:sz w:val="20"/>
                <w:szCs w:val="20"/>
                <w:lang w:val="en-US"/>
              </w:rPr>
              <w:t>Minister of Environment</w:t>
            </w:r>
            <w:r w:rsidR="005A6243" w:rsidRPr="008847EB">
              <w:rPr>
                <w:sz w:val="20"/>
                <w:szCs w:val="20"/>
                <w:lang w:val="en-US"/>
              </w:rPr>
              <w:t xml:space="preserve"> </w:t>
            </w:r>
            <w:r w:rsidR="005A6243" w:rsidRPr="008847EB">
              <w:rPr>
                <w:b/>
                <w:sz w:val="20"/>
                <w:szCs w:val="20"/>
                <w:lang w:val="en-US"/>
              </w:rPr>
              <w:t>(</w:t>
            </w:r>
            <w:r w:rsidRPr="008847EB">
              <w:rPr>
                <w:b/>
                <w:sz w:val="20"/>
                <w:szCs w:val="20"/>
                <w:lang w:val="en-US"/>
              </w:rPr>
              <w:t>B.C</w:t>
            </w:r>
            <w:r w:rsidR="005A6243" w:rsidRPr="008847EB">
              <w:rPr>
                <w:b/>
                <w:sz w:val="20"/>
                <w:szCs w:val="20"/>
                <w:lang w:val="en-US"/>
              </w:rPr>
              <w:t>.)</w:t>
            </w:r>
          </w:p>
          <w:p w:rsidR="005A6243" w:rsidRPr="008847EB" w:rsidRDefault="005A6243" w:rsidP="005A6243">
            <w:pPr>
              <w:tabs>
                <w:tab w:val="left" w:pos="-1440"/>
                <w:tab w:val="left" w:pos="-720"/>
              </w:tabs>
              <w:rPr>
                <w:sz w:val="20"/>
                <w:szCs w:val="20"/>
              </w:rPr>
            </w:pPr>
            <w:r w:rsidRPr="008847EB">
              <w:rPr>
                <w:sz w:val="20"/>
                <w:szCs w:val="20"/>
                <w:lang w:val="en-US"/>
              </w:rPr>
              <w:tab/>
            </w:r>
            <w:r w:rsidR="00EA0DA8" w:rsidRPr="008847EB">
              <w:rPr>
                <w:sz w:val="20"/>
                <w:szCs w:val="20"/>
                <w:lang w:val="en-US"/>
              </w:rPr>
              <w:t>Cowie, David</w:t>
            </w:r>
          </w:p>
          <w:p w:rsidR="005A6243" w:rsidRPr="008847EB" w:rsidRDefault="005A6243" w:rsidP="005A6243">
            <w:pPr>
              <w:tabs>
                <w:tab w:val="left" w:pos="-1440"/>
                <w:tab w:val="left" w:pos="-720"/>
              </w:tabs>
              <w:rPr>
                <w:sz w:val="20"/>
                <w:szCs w:val="20"/>
              </w:rPr>
            </w:pPr>
            <w:r w:rsidRPr="008847EB">
              <w:rPr>
                <w:sz w:val="20"/>
                <w:szCs w:val="20"/>
              </w:rPr>
              <w:tab/>
            </w:r>
            <w:r w:rsidR="00EA0DA8" w:rsidRPr="008847EB">
              <w:rPr>
                <w:sz w:val="20"/>
                <w:szCs w:val="20"/>
              </w:rPr>
              <w:t>Attorney General of British Columbia</w:t>
            </w:r>
          </w:p>
          <w:p w:rsidR="005A6243" w:rsidRPr="008847EB" w:rsidRDefault="005A6243" w:rsidP="005A6243">
            <w:pPr>
              <w:tabs>
                <w:tab w:val="left" w:pos="-1440"/>
                <w:tab w:val="left" w:pos="-720"/>
              </w:tabs>
              <w:rPr>
                <w:sz w:val="20"/>
                <w:szCs w:val="20"/>
              </w:rPr>
            </w:pPr>
          </w:p>
          <w:p w:rsidR="005A6243" w:rsidRPr="008847EB" w:rsidRDefault="005A6243" w:rsidP="005A6243">
            <w:pPr>
              <w:rPr>
                <w:sz w:val="20"/>
                <w:szCs w:val="20"/>
              </w:rPr>
            </w:pPr>
            <w:r w:rsidRPr="008847EB">
              <w:rPr>
                <w:sz w:val="20"/>
                <w:szCs w:val="20"/>
              </w:rPr>
              <w:t xml:space="preserve">FILING DATE: </w:t>
            </w:r>
            <w:r w:rsidR="00EA0DA8" w:rsidRPr="008847EB">
              <w:rPr>
                <w:sz w:val="20"/>
                <w:szCs w:val="20"/>
              </w:rPr>
              <w:t>October</w:t>
            </w:r>
            <w:r w:rsidRPr="008847EB">
              <w:rPr>
                <w:sz w:val="20"/>
                <w:szCs w:val="20"/>
              </w:rPr>
              <w:t xml:space="preserve"> </w:t>
            </w:r>
            <w:r w:rsidR="00EA0DA8" w:rsidRPr="008847EB">
              <w:rPr>
                <w:sz w:val="20"/>
                <w:szCs w:val="20"/>
              </w:rPr>
              <w:t>4</w:t>
            </w:r>
            <w:r w:rsidRPr="008847EB">
              <w:rPr>
                <w:sz w:val="20"/>
                <w:szCs w:val="20"/>
              </w:rPr>
              <w:t>, 2019</w:t>
            </w:r>
          </w:p>
          <w:p w:rsidR="005A6243" w:rsidRPr="008847EB" w:rsidRDefault="0011194E" w:rsidP="005A6243">
            <w:pPr>
              <w:rPr>
                <w:sz w:val="20"/>
                <w:szCs w:val="20"/>
              </w:rPr>
            </w:pPr>
            <w:r>
              <w:rPr>
                <w:sz w:val="20"/>
                <w:szCs w:val="20"/>
                <w:lang w:val="fr-CA"/>
              </w:rPr>
              <w:pict w14:anchorId="58A6C625">
                <v:rect id="_x0000_i1029" style="width:108pt;height:1pt" o:hrpct="0" o:hralign="center" o:hrstd="t" o:hrnoshade="t" o:hr="t" fillcolor="black [3213]" stroked="f"/>
              </w:pict>
            </w:r>
          </w:p>
        </w:tc>
        <w:tc>
          <w:tcPr>
            <w:tcW w:w="1181" w:type="dxa"/>
            <w:shd w:val="clear" w:color="auto" w:fill="auto"/>
          </w:tcPr>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p w:rsidR="005A6243" w:rsidRPr="008847EB" w:rsidRDefault="005A6243" w:rsidP="005A6243">
            <w:pPr>
              <w:jc w:val="center"/>
              <w:rPr>
                <w:sz w:val="20"/>
                <w:szCs w:val="20"/>
                <w:lang w:val="fr-CA"/>
              </w:rPr>
            </w:pPr>
          </w:p>
        </w:tc>
        <w:tc>
          <w:tcPr>
            <w:tcW w:w="4320" w:type="dxa"/>
            <w:shd w:val="clear" w:color="auto" w:fill="auto"/>
          </w:tcPr>
          <w:p w:rsidR="008A355A" w:rsidRPr="008847EB" w:rsidRDefault="00A373F4" w:rsidP="008A355A">
            <w:pPr>
              <w:rPr>
                <w:b/>
                <w:sz w:val="20"/>
                <w:szCs w:val="20"/>
                <w:lang w:val="fr-CA"/>
              </w:rPr>
            </w:pPr>
            <w:r w:rsidRPr="008847EB">
              <w:rPr>
                <w:b/>
                <w:sz w:val="20"/>
                <w:szCs w:val="20"/>
                <w:lang w:val="fr-CA"/>
              </w:rPr>
              <w:t>Autorité des marchés financiers</w:t>
            </w:r>
          </w:p>
          <w:p w:rsidR="008A355A" w:rsidRPr="008847EB" w:rsidRDefault="008A355A" w:rsidP="008A355A">
            <w:pPr>
              <w:tabs>
                <w:tab w:val="left" w:pos="-1440"/>
                <w:tab w:val="left" w:pos="-720"/>
              </w:tabs>
              <w:rPr>
                <w:sz w:val="20"/>
                <w:szCs w:val="20"/>
                <w:lang w:val="fr-CA"/>
              </w:rPr>
            </w:pPr>
            <w:r w:rsidRPr="008847EB">
              <w:rPr>
                <w:sz w:val="20"/>
                <w:szCs w:val="20"/>
                <w:lang w:val="fr-CA"/>
              </w:rPr>
              <w:tab/>
            </w:r>
            <w:r w:rsidR="00423978" w:rsidRPr="008847EB">
              <w:rPr>
                <w:sz w:val="20"/>
                <w:szCs w:val="20"/>
                <w:lang w:val="fr-CA"/>
              </w:rPr>
              <w:t>Desjardins, Tristan</w:t>
            </w:r>
          </w:p>
          <w:p w:rsidR="008A355A" w:rsidRPr="008847EB" w:rsidRDefault="008A355A" w:rsidP="008A355A">
            <w:pPr>
              <w:tabs>
                <w:tab w:val="left" w:pos="-1440"/>
                <w:tab w:val="left" w:pos="-720"/>
              </w:tabs>
              <w:rPr>
                <w:sz w:val="20"/>
                <w:szCs w:val="20"/>
                <w:lang w:val="fr-CA"/>
              </w:rPr>
            </w:pPr>
            <w:r w:rsidRPr="008847EB">
              <w:rPr>
                <w:sz w:val="20"/>
                <w:szCs w:val="20"/>
                <w:lang w:val="fr-CA"/>
              </w:rPr>
              <w:tab/>
            </w:r>
            <w:r w:rsidR="00423978" w:rsidRPr="008847EB">
              <w:rPr>
                <w:sz w:val="20"/>
                <w:szCs w:val="20"/>
                <w:lang w:val="fr-CA"/>
              </w:rPr>
              <w:t>Carette Desjardins</w:t>
            </w:r>
          </w:p>
          <w:p w:rsidR="008A355A" w:rsidRPr="008847EB" w:rsidRDefault="008A355A" w:rsidP="008A355A">
            <w:pPr>
              <w:tabs>
                <w:tab w:val="left" w:pos="-1440"/>
                <w:tab w:val="left" w:pos="-720"/>
              </w:tabs>
              <w:rPr>
                <w:sz w:val="20"/>
                <w:szCs w:val="20"/>
                <w:lang w:val="fr-CA"/>
              </w:rPr>
            </w:pPr>
          </w:p>
          <w:p w:rsidR="008A355A" w:rsidRPr="008847EB" w:rsidRDefault="008A355A" w:rsidP="008A355A">
            <w:pPr>
              <w:tabs>
                <w:tab w:val="left" w:pos="-1440"/>
                <w:tab w:val="left" w:pos="-720"/>
              </w:tabs>
              <w:rPr>
                <w:sz w:val="20"/>
                <w:szCs w:val="20"/>
                <w:lang w:val="fr-CA"/>
              </w:rPr>
            </w:pPr>
            <w:r w:rsidRPr="008847EB">
              <w:rPr>
                <w:sz w:val="20"/>
                <w:szCs w:val="20"/>
                <w:lang w:val="fr-CA"/>
              </w:rPr>
              <w:tab/>
            </w:r>
            <w:r w:rsidR="00A373F4" w:rsidRPr="008847EB">
              <w:rPr>
                <w:sz w:val="20"/>
                <w:szCs w:val="20"/>
                <w:lang w:val="fr-CA"/>
              </w:rPr>
              <w:t>c</w:t>
            </w:r>
            <w:r w:rsidRPr="008847EB">
              <w:rPr>
                <w:sz w:val="20"/>
                <w:szCs w:val="20"/>
                <w:lang w:val="fr-CA"/>
              </w:rPr>
              <w:t>. (388</w:t>
            </w:r>
            <w:r w:rsidR="00A373F4" w:rsidRPr="008847EB">
              <w:rPr>
                <w:sz w:val="20"/>
                <w:szCs w:val="20"/>
                <w:lang w:val="fr-CA"/>
              </w:rPr>
              <w:t>03</w:t>
            </w:r>
            <w:r w:rsidRPr="008847EB">
              <w:rPr>
                <w:sz w:val="20"/>
                <w:szCs w:val="20"/>
                <w:lang w:val="fr-CA"/>
              </w:rPr>
              <w:t>)</w:t>
            </w:r>
          </w:p>
          <w:p w:rsidR="008A355A" w:rsidRPr="008847EB" w:rsidRDefault="008A355A" w:rsidP="008A355A">
            <w:pPr>
              <w:tabs>
                <w:tab w:val="left" w:pos="-1440"/>
                <w:tab w:val="left" w:pos="-720"/>
              </w:tabs>
              <w:rPr>
                <w:sz w:val="20"/>
                <w:szCs w:val="20"/>
                <w:lang w:val="fr-CA"/>
              </w:rPr>
            </w:pPr>
          </w:p>
          <w:p w:rsidR="008A355A" w:rsidRPr="008847EB" w:rsidRDefault="00A373F4" w:rsidP="008A355A">
            <w:pPr>
              <w:tabs>
                <w:tab w:val="left" w:pos="-1440"/>
                <w:tab w:val="left" w:pos="-720"/>
              </w:tabs>
              <w:rPr>
                <w:b/>
                <w:sz w:val="20"/>
                <w:szCs w:val="20"/>
                <w:lang w:val="fr-CA"/>
              </w:rPr>
            </w:pPr>
            <w:r w:rsidRPr="008847EB">
              <w:rPr>
                <w:b/>
                <w:sz w:val="20"/>
                <w:szCs w:val="20"/>
                <w:lang w:val="fr-CA"/>
              </w:rPr>
              <w:t>Jean-Pierre Desmarais</w:t>
            </w:r>
            <w:r w:rsidR="008A355A" w:rsidRPr="008847EB">
              <w:rPr>
                <w:sz w:val="20"/>
                <w:szCs w:val="20"/>
                <w:lang w:val="fr-CA"/>
              </w:rPr>
              <w:t xml:space="preserve"> </w:t>
            </w:r>
            <w:r w:rsidR="008A355A" w:rsidRPr="008847EB">
              <w:rPr>
                <w:b/>
                <w:sz w:val="20"/>
                <w:szCs w:val="20"/>
                <w:lang w:val="fr-CA"/>
              </w:rPr>
              <w:t>(</w:t>
            </w:r>
            <w:r w:rsidRPr="008847EB">
              <w:rPr>
                <w:b/>
                <w:sz w:val="20"/>
                <w:szCs w:val="20"/>
                <w:lang w:val="fr-CA"/>
              </w:rPr>
              <w:t>Qc</w:t>
            </w:r>
            <w:r w:rsidR="008A355A" w:rsidRPr="008847EB">
              <w:rPr>
                <w:b/>
                <w:sz w:val="20"/>
                <w:szCs w:val="20"/>
                <w:lang w:val="fr-CA"/>
              </w:rPr>
              <w:t>)</w:t>
            </w:r>
          </w:p>
          <w:p w:rsidR="008A355A" w:rsidRPr="008847EB" w:rsidRDefault="008A355A" w:rsidP="008A355A">
            <w:pPr>
              <w:tabs>
                <w:tab w:val="left" w:pos="-1440"/>
                <w:tab w:val="left" w:pos="-720"/>
              </w:tabs>
              <w:rPr>
                <w:sz w:val="20"/>
                <w:szCs w:val="20"/>
                <w:lang w:val="en-US"/>
              </w:rPr>
            </w:pPr>
            <w:r w:rsidRPr="008847EB">
              <w:rPr>
                <w:sz w:val="20"/>
                <w:szCs w:val="20"/>
                <w:lang w:val="fr-CA"/>
              </w:rPr>
              <w:tab/>
            </w:r>
            <w:r w:rsidR="00423978" w:rsidRPr="008847EB">
              <w:rPr>
                <w:sz w:val="20"/>
                <w:szCs w:val="20"/>
                <w:lang w:val="en-US"/>
              </w:rPr>
              <w:t>Schurman, Isabel J.</w:t>
            </w:r>
          </w:p>
          <w:p w:rsidR="008A355A" w:rsidRPr="008847EB" w:rsidRDefault="008A355A" w:rsidP="008A355A">
            <w:pPr>
              <w:tabs>
                <w:tab w:val="left" w:pos="-1440"/>
                <w:tab w:val="left" w:pos="-720"/>
              </w:tabs>
              <w:rPr>
                <w:sz w:val="20"/>
                <w:szCs w:val="20"/>
              </w:rPr>
            </w:pPr>
            <w:r w:rsidRPr="008847EB">
              <w:rPr>
                <w:sz w:val="20"/>
                <w:szCs w:val="20"/>
                <w:lang w:val="en-US"/>
              </w:rPr>
              <w:tab/>
            </w:r>
            <w:r w:rsidR="00423978" w:rsidRPr="008847EB">
              <w:rPr>
                <w:sz w:val="20"/>
                <w:szCs w:val="20"/>
              </w:rPr>
              <w:t>Schurman Grenier Strapatsas</w:t>
            </w:r>
          </w:p>
          <w:p w:rsidR="008A355A" w:rsidRPr="008847EB" w:rsidRDefault="008A355A" w:rsidP="008A355A">
            <w:pPr>
              <w:tabs>
                <w:tab w:val="left" w:pos="-1440"/>
                <w:tab w:val="left" w:pos="-720"/>
              </w:tabs>
              <w:rPr>
                <w:sz w:val="20"/>
                <w:szCs w:val="20"/>
              </w:rPr>
            </w:pPr>
          </w:p>
          <w:p w:rsidR="008A355A" w:rsidRPr="008847EB" w:rsidRDefault="008A355A" w:rsidP="008A355A">
            <w:pPr>
              <w:rPr>
                <w:sz w:val="20"/>
                <w:szCs w:val="20"/>
                <w:lang w:val="fr-CA"/>
              </w:rPr>
            </w:pPr>
            <w:r w:rsidRPr="008847EB">
              <w:rPr>
                <w:sz w:val="20"/>
                <w:szCs w:val="20"/>
                <w:lang w:val="fr-CA"/>
              </w:rPr>
              <w:t>DATE</w:t>
            </w:r>
            <w:r w:rsidR="00A373F4" w:rsidRPr="008847EB">
              <w:rPr>
                <w:sz w:val="20"/>
                <w:szCs w:val="20"/>
                <w:lang w:val="fr-CA"/>
              </w:rPr>
              <w:t xml:space="preserve"> DE PRODUCTION</w:t>
            </w:r>
            <w:r w:rsidRPr="008847EB">
              <w:rPr>
                <w:sz w:val="20"/>
                <w:szCs w:val="20"/>
                <w:lang w:val="fr-CA"/>
              </w:rPr>
              <w:t xml:space="preserve">: </w:t>
            </w:r>
            <w:r w:rsidR="00A373F4" w:rsidRPr="008847EB">
              <w:rPr>
                <w:sz w:val="20"/>
                <w:szCs w:val="20"/>
                <w:lang w:val="fr-CA"/>
              </w:rPr>
              <w:t>le 26 août</w:t>
            </w:r>
            <w:r w:rsidRPr="008847EB">
              <w:rPr>
                <w:sz w:val="20"/>
                <w:szCs w:val="20"/>
                <w:lang w:val="fr-CA"/>
              </w:rPr>
              <w:t xml:space="preserve"> 2019</w:t>
            </w:r>
          </w:p>
          <w:p w:rsidR="005A6243" w:rsidRPr="008847EB" w:rsidRDefault="0011194E" w:rsidP="008A355A">
            <w:pPr>
              <w:rPr>
                <w:sz w:val="20"/>
                <w:szCs w:val="20"/>
                <w:lang w:val="fr-CA"/>
              </w:rPr>
            </w:pPr>
            <w:r>
              <w:rPr>
                <w:sz w:val="20"/>
                <w:szCs w:val="20"/>
                <w:lang w:val="fr-CA"/>
              </w:rPr>
              <w:pict>
                <v:rect id="_x0000_i1030" style="width:108pt;height:1pt" o:hrpct="0" o:hralign="center" o:hrstd="t" o:hrnoshade="t" o:hr="t" fillcolor="black [3213]" stroked="f"/>
              </w:pict>
            </w:r>
          </w:p>
        </w:tc>
      </w:tr>
      <w:tr w:rsidR="008A355A" w:rsidRPr="008847EB" w:rsidTr="003B3977">
        <w:tc>
          <w:tcPr>
            <w:tcW w:w="4320" w:type="dxa"/>
            <w:shd w:val="clear" w:color="auto" w:fill="auto"/>
          </w:tcPr>
          <w:p w:rsidR="008A355A" w:rsidRPr="008847EB" w:rsidRDefault="00AC01CE" w:rsidP="008A355A">
            <w:pPr>
              <w:rPr>
                <w:b/>
                <w:sz w:val="20"/>
                <w:szCs w:val="20"/>
                <w:lang w:val="fr-CA"/>
              </w:rPr>
            </w:pPr>
            <w:r w:rsidRPr="008847EB">
              <w:rPr>
                <w:b/>
                <w:sz w:val="20"/>
                <w:szCs w:val="20"/>
                <w:lang w:val="fr-CA"/>
              </w:rPr>
              <w:t>Ville de Dieppe</w:t>
            </w:r>
          </w:p>
          <w:p w:rsidR="008A355A" w:rsidRPr="008847EB" w:rsidRDefault="008A355A" w:rsidP="008A355A">
            <w:pPr>
              <w:tabs>
                <w:tab w:val="left" w:pos="-1440"/>
                <w:tab w:val="left" w:pos="-720"/>
              </w:tabs>
              <w:rPr>
                <w:sz w:val="20"/>
                <w:szCs w:val="20"/>
                <w:lang w:val="fr-CA"/>
              </w:rPr>
            </w:pPr>
            <w:r w:rsidRPr="008847EB">
              <w:rPr>
                <w:sz w:val="20"/>
                <w:szCs w:val="20"/>
                <w:lang w:val="fr-CA"/>
              </w:rPr>
              <w:tab/>
            </w:r>
            <w:proofErr w:type="spellStart"/>
            <w:r w:rsidR="002F2196" w:rsidRPr="008847EB">
              <w:rPr>
                <w:sz w:val="20"/>
                <w:szCs w:val="20"/>
                <w:lang w:val="fr-CA"/>
              </w:rPr>
              <w:t>Tomkins</w:t>
            </w:r>
            <w:proofErr w:type="spellEnd"/>
            <w:r w:rsidR="002F2196" w:rsidRPr="008847EB">
              <w:rPr>
                <w:sz w:val="20"/>
                <w:szCs w:val="20"/>
                <w:lang w:val="fr-CA"/>
              </w:rPr>
              <w:t>, Alyssa</w:t>
            </w:r>
          </w:p>
          <w:p w:rsidR="008A355A" w:rsidRPr="008847EB" w:rsidRDefault="008A355A" w:rsidP="008A355A">
            <w:pPr>
              <w:tabs>
                <w:tab w:val="left" w:pos="-1440"/>
                <w:tab w:val="left" w:pos="-720"/>
              </w:tabs>
              <w:rPr>
                <w:sz w:val="20"/>
                <w:szCs w:val="20"/>
                <w:lang w:val="fr-CA"/>
              </w:rPr>
            </w:pPr>
            <w:r w:rsidRPr="008847EB">
              <w:rPr>
                <w:sz w:val="20"/>
                <w:szCs w:val="20"/>
                <w:lang w:val="fr-CA"/>
              </w:rPr>
              <w:tab/>
            </w:r>
            <w:r w:rsidR="002F2196" w:rsidRPr="008847EB">
              <w:rPr>
                <w:sz w:val="20"/>
                <w:szCs w:val="20"/>
                <w:lang w:val="fr-CA"/>
              </w:rPr>
              <w:t>CazaSaikaley LLP</w:t>
            </w:r>
          </w:p>
          <w:p w:rsidR="008A355A" w:rsidRPr="008847EB" w:rsidRDefault="008A355A" w:rsidP="008A355A">
            <w:pPr>
              <w:tabs>
                <w:tab w:val="left" w:pos="-1440"/>
                <w:tab w:val="left" w:pos="-720"/>
              </w:tabs>
              <w:rPr>
                <w:sz w:val="20"/>
                <w:szCs w:val="20"/>
                <w:lang w:val="fr-CA"/>
              </w:rPr>
            </w:pPr>
          </w:p>
          <w:p w:rsidR="008A355A" w:rsidRPr="008847EB" w:rsidRDefault="008A355A" w:rsidP="008A355A">
            <w:pPr>
              <w:tabs>
                <w:tab w:val="left" w:pos="-1440"/>
                <w:tab w:val="left" w:pos="-720"/>
              </w:tabs>
              <w:rPr>
                <w:sz w:val="20"/>
                <w:szCs w:val="20"/>
                <w:lang w:val="en-US"/>
              </w:rPr>
            </w:pPr>
            <w:r w:rsidRPr="008847EB">
              <w:rPr>
                <w:sz w:val="20"/>
                <w:szCs w:val="20"/>
                <w:lang w:val="fr-CA"/>
              </w:rPr>
              <w:tab/>
            </w:r>
            <w:r w:rsidR="00AC01CE" w:rsidRPr="008847EB">
              <w:rPr>
                <w:sz w:val="20"/>
                <w:szCs w:val="20"/>
                <w:lang w:val="en-US"/>
              </w:rPr>
              <w:t>c</w:t>
            </w:r>
            <w:r w:rsidRPr="008847EB">
              <w:rPr>
                <w:sz w:val="20"/>
                <w:szCs w:val="20"/>
                <w:lang w:val="en-US"/>
              </w:rPr>
              <w:t>. (38</w:t>
            </w:r>
            <w:r w:rsidR="00AC01CE" w:rsidRPr="008847EB">
              <w:rPr>
                <w:sz w:val="20"/>
                <w:szCs w:val="20"/>
                <w:lang w:val="en-US"/>
              </w:rPr>
              <w:t>799</w:t>
            </w:r>
            <w:r w:rsidRPr="008847EB">
              <w:rPr>
                <w:sz w:val="20"/>
                <w:szCs w:val="20"/>
                <w:lang w:val="en-US"/>
              </w:rPr>
              <w:t>)</w:t>
            </w:r>
          </w:p>
          <w:p w:rsidR="008A355A" w:rsidRPr="008847EB" w:rsidRDefault="008A355A" w:rsidP="008A355A">
            <w:pPr>
              <w:tabs>
                <w:tab w:val="left" w:pos="-1440"/>
                <w:tab w:val="left" w:pos="-720"/>
              </w:tabs>
              <w:rPr>
                <w:sz w:val="20"/>
                <w:szCs w:val="20"/>
                <w:lang w:val="en-US"/>
              </w:rPr>
            </w:pPr>
          </w:p>
          <w:p w:rsidR="008A355A" w:rsidRPr="008847EB" w:rsidRDefault="00CA13BE" w:rsidP="008A355A">
            <w:pPr>
              <w:tabs>
                <w:tab w:val="left" w:pos="-1440"/>
                <w:tab w:val="left" w:pos="-720"/>
              </w:tabs>
              <w:rPr>
                <w:b/>
                <w:sz w:val="20"/>
                <w:szCs w:val="20"/>
                <w:lang w:val="en-US"/>
              </w:rPr>
            </w:pPr>
            <w:r w:rsidRPr="008847EB">
              <w:rPr>
                <w:b/>
                <w:sz w:val="20"/>
                <w:szCs w:val="20"/>
                <w:lang w:val="en-US"/>
              </w:rPr>
              <w:t xml:space="preserve">Noron Inc. </w:t>
            </w:r>
            <w:r w:rsidR="008A355A" w:rsidRPr="008847EB">
              <w:rPr>
                <w:b/>
                <w:sz w:val="20"/>
                <w:szCs w:val="20"/>
                <w:lang w:val="en-US"/>
              </w:rPr>
              <w:t>(</w:t>
            </w:r>
            <w:r w:rsidRPr="008847EB">
              <w:rPr>
                <w:b/>
                <w:sz w:val="20"/>
                <w:szCs w:val="20"/>
                <w:lang w:val="en-US"/>
              </w:rPr>
              <w:t>N</w:t>
            </w:r>
            <w:r w:rsidR="008A355A" w:rsidRPr="008847EB">
              <w:rPr>
                <w:b/>
                <w:sz w:val="20"/>
                <w:szCs w:val="20"/>
                <w:lang w:val="en-US"/>
              </w:rPr>
              <w:t>.</w:t>
            </w:r>
            <w:r w:rsidRPr="008847EB">
              <w:rPr>
                <w:b/>
                <w:sz w:val="20"/>
                <w:szCs w:val="20"/>
                <w:lang w:val="en-US"/>
              </w:rPr>
              <w:t>-B.</w:t>
            </w:r>
            <w:r w:rsidR="008A355A" w:rsidRPr="008847EB">
              <w:rPr>
                <w:b/>
                <w:sz w:val="20"/>
                <w:szCs w:val="20"/>
                <w:lang w:val="en-US"/>
              </w:rPr>
              <w:t>)</w:t>
            </w:r>
          </w:p>
          <w:p w:rsidR="008A355A" w:rsidRPr="008847EB" w:rsidRDefault="008A355A" w:rsidP="008A355A">
            <w:pPr>
              <w:tabs>
                <w:tab w:val="left" w:pos="-1440"/>
                <w:tab w:val="left" w:pos="-720"/>
              </w:tabs>
              <w:rPr>
                <w:sz w:val="20"/>
                <w:szCs w:val="20"/>
                <w:lang w:val="en-US"/>
              </w:rPr>
            </w:pPr>
            <w:r w:rsidRPr="008847EB">
              <w:rPr>
                <w:sz w:val="20"/>
                <w:szCs w:val="20"/>
                <w:lang w:val="en-US"/>
              </w:rPr>
              <w:tab/>
            </w:r>
            <w:r w:rsidR="007D5390" w:rsidRPr="008847EB">
              <w:rPr>
                <w:sz w:val="20"/>
                <w:szCs w:val="20"/>
                <w:lang w:val="en-US"/>
              </w:rPr>
              <w:t>Marks, Josie H.</w:t>
            </w:r>
          </w:p>
          <w:p w:rsidR="008A355A" w:rsidRPr="008847EB" w:rsidRDefault="008A355A" w:rsidP="008A355A">
            <w:pPr>
              <w:tabs>
                <w:tab w:val="left" w:pos="-1440"/>
                <w:tab w:val="left" w:pos="-720"/>
              </w:tabs>
              <w:rPr>
                <w:sz w:val="20"/>
                <w:szCs w:val="20"/>
              </w:rPr>
            </w:pPr>
            <w:r w:rsidRPr="008847EB">
              <w:rPr>
                <w:sz w:val="20"/>
                <w:szCs w:val="20"/>
                <w:lang w:val="en-US"/>
              </w:rPr>
              <w:tab/>
            </w:r>
            <w:r w:rsidR="007D5390" w:rsidRPr="008847EB">
              <w:rPr>
                <w:sz w:val="20"/>
                <w:szCs w:val="20"/>
              </w:rPr>
              <w:t>Stewart McKelvey</w:t>
            </w:r>
          </w:p>
          <w:p w:rsidR="008A355A" w:rsidRPr="008847EB" w:rsidRDefault="008A355A" w:rsidP="008A355A">
            <w:pPr>
              <w:tabs>
                <w:tab w:val="left" w:pos="-1440"/>
                <w:tab w:val="left" w:pos="-720"/>
              </w:tabs>
              <w:rPr>
                <w:sz w:val="20"/>
                <w:szCs w:val="20"/>
              </w:rPr>
            </w:pPr>
          </w:p>
          <w:p w:rsidR="008A355A" w:rsidRPr="008847EB" w:rsidRDefault="008A355A" w:rsidP="008A355A">
            <w:pPr>
              <w:rPr>
                <w:sz w:val="20"/>
                <w:szCs w:val="20"/>
                <w:lang w:val="fr-CA"/>
              </w:rPr>
            </w:pPr>
            <w:r w:rsidRPr="008847EB">
              <w:rPr>
                <w:sz w:val="20"/>
                <w:szCs w:val="20"/>
                <w:lang w:val="fr-CA"/>
              </w:rPr>
              <w:t>DATE</w:t>
            </w:r>
            <w:r w:rsidR="00AC01CE" w:rsidRPr="008847EB">
              <w:rPr>
                <w:sz w:val="20"/>
                <w:szCs w:val="20"/>
                <w:lang w:val="fr-CA"/>
              </w:rPr>
              <w:t xml:space="preserve"> DE PRODUCTION</w:t>
            </w:r>
            <w:r w:rsidRPr="008847EB">
              <w:rPr>
                <w:sz w:val="20"/>
                <w:szCs w:val="20"/>
                <w:lang w:val="fr-CA"/>
              </w:rPr>
              <w:t xml:space="preserve">: </w:t>
            </w:r>
            <w:r w:rsidR="00AC01CE" w:rsidRPr="008847EB">
              <w:rPr>
                <w:sz w:val="20"/>
                <w:szCs w:val="20"/>
                <w:lang w:val="fr-CA"/>
              </w:rPr>
              <w:t>le 12 septembre</w:t>
            </w:r>
            <w:r w:rsidRPr="008847EB">
              <w:rPr>
                <w:sz w:val="20"/>
                <w:szCs w:val="20"/>
                <w:lang w:val="fr-CA"/>
              </w:rPr>
              <w:t xml:space="preserve"> 2019</w:t>
            </w:r>
          </w:p>
          <w:p w:rsidR="008A355A" w:rsidRPr="008847EB" w:rsidRDefault="0011194E" w:rsidP="008A355A">
            <w:pPr>
              <w:rPr>
                <w:b/>
                <w:sz w:val="20"/>
                <w:szCs w:val="20"/>
                <w:lang w:val="en-US"/>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8A355A" w:rsidRPr="008847EB" w:rsidRDefault="008A355A" w:rsidP="005A6243">
            <w:pPr>
              <w:jc w:val="center"/>
              <w:rPr>
                <w:sz w:val="20"/>
                <w:szCs w:val="20"/>
                <w:lang w:val="en-US"/>
              </w:rPr>
            </w:pPr>
          </w:p>
          <w:p w:rsidR="008A355A" w:rsidRPr="008847EB" w:rsidRDefault="008A355A" w:rsidP="005A6243">
            <w:pPr>
              <w:jc w:val="center"/>
              <w:rPr>
                <w:sz w:val="20"/>
                <w:szCs w:val="20"/>
                <w:lang w:val="en-US"/>
              </w:rPr>
            </w:pPr>
          </w:p>
          <w:p w:rsidR="008A355A" w:rsidRPr="008847EB" w:rsidRDefault="008A355A" w:rsidP="005A6243">
            <w:pPr>
              <w:jc w:val="center"/>
              <w:rPr>
                <w:sz w:val="20"/>
                <w:szCs w:val="20"/>
                <w:lang w:val="en-US"/>
              </w:rPr>
            </w:pPr>
          </w:p>
          <w:p w:rsidR="008A355A" w:rsidRPr="008847EB" w:rsidRDefault="008A355A" w:rsidP="005A6243">
            <w:pPr>
              <w:jc w:val="center"/>
              <w:rPr>
                <w:sz w:val="20"/>
                <w:szCs w:val="20"/>
                <w:lang w:val="en-US"/>
              </w:rPr>
            </w:pPr>
          </w:p>
          <w:p w:rsidR="008A355A" w:rsidRPr="008847EB" w:rsidRDefault="008A355A" w:rsidP="005A6243">
            <w:pPr>
              <w:jc w:val="center"/>
              <w:rPr>
                <w:sz w:val="20"/>
                <w:szCs w:val="20"/>
                <w:lang w:val="en-US"/>
              </w:rPr>
            </w:pPr>
          </w:p>
          <w:p w:rsidR="008A355A" w:rsidRPr="008847EB" w:rsidRDefault="008A355A" w:rsidP="005A6243">
            <w:pPr>
              <w:jc w:val="center"/>
              <w:rPr>
                <w:sz w:val="20"/>
                <w:szCs w:val="20"/>
                <w:lang w:val="en-US"/>
              </w:rPr>
            </w:pPr>
          </w:p>
          <w:p w:rsidR="008A355A" w:rsidRPr="008847EB" w:rsidRDefault="008A355A" w:rsidP="005A6243">
            <w:pPr>
              <w:jc w:val="center"/>
              <w:rPr>
                <w:sz w:val="20"/>
                <w:szCs w:val="20"/>
                <w:lang w:val="en-US"/>
              </w:rPr>
            </w:pPr>
          </w:p>
          <w:p w:rsidR="008A355A" w:rsidRPr="008847EB" w:rsidRDefault="008A355A" w:rsidP="005A6243">
            <w:pPr>
              <w:jc w:val="center"/>
              <w:rPr>
                <w:sz w:val="20"/>
                <w:szCs w:val="20"/>
                <w:lang w:val="en-US"/>
              </w:rPr>
            </w:pPr>
          </w:p>
          <w:p w:rsidR="008A355A" w:rsidRPr="008847EB" w:rsidRDefault="008A355A" w:rsidP="005A6243">
            <w:pPr>
              <w:jc w:val="center"/>
              <w:rPr>
                <w:sz w:val="20"/>
                <w:szCs w:val="20"/>
                <w:lang w:val="en-US"/>
              </w:rPr>
            </w:pPr>
          </w:p>
          <w:p w:rsidR="008A355A" w:rsidRPr="008847EB" w:rsidRDefault="008A355A" w:rsidP="005A6243">
            <w:pPr>
              <w:jc w:val="center"/>
              <w:rPr>
                <w:sz w:val="20"/>
                <w:szCs w:val="20"/>
                <w:lang w:val="en-US"/>
              </w:rPr>
            </w:pPr>
          </w:p>
          <w:p w:rsidR="008A355A" w:rsidRPr="008847EB" w:rsidRDefault="008A355A" w:rsidP="005A6243">
            <w:pPr>
              <w:jc w:val="center"/>
              <w:rPr>
                <w:sz w:val="20"/>
                <w:szCs w:val="20"/>
                <w:lang w:val="en-US"/>
              </w:rPr>
            </w:pPr>
          </w:p>
          <w:p w:rsidR="008A355A" w:rsidRPr="008847EB" w:rsidRDefault="008A355A" w:rsidP="005A6243">
            <w:pPr>
              <w:jc w:val="center"/>
              <w:rPr>
                <w:sz w:val="20"/>
                <w:szCs w:val="20"/>
                <w:lang w:val="en-US"/>
              </w:rPr>
            </w:pPr>
          </w:p>
          <w:p w:rsidR="008A355A" w:rsidRPr="008847EB" w:rsidRDefault="008A355A" w:rsidP="005A6243">
            <w:pPr>
              <w:jc w:val="center"/>
              <w:rPr>
                <w:sz w:val="20"/>
                <w:szCs w:val="20"/>
                <w:lang w:val="en-US"/>
              </w:rPr>
            </w:pPr>
          </w:p>
        </w:tc>
        <w:tc>
          <w:tcPr>
            <w:tcW w:w="4320" w:type="dxa"/>
            <w:shd w:val="clear" w:color="auto" w:fill="auto"/>
          </w:tcPr>
          <w:p w:rsidR="008A355A" w:rsidRPr="008847EB" w:rsidRDefault="001B2A6C" w:rsidP="008A355A">
            <w:pPr>
              <w:rPr>
                <w:b/>
                <w:sz w:val="20"/>
                <w:szCs w:val="20"/>
                <w:lang w:val="en-US"/>
              </w:rPr>
            </w:pPr>
            <w:r w:rsidRPr="008847EB">
              <w:rPr>
                <w:b/>
                <w:sz w:val="20"/>
                <w:szCs w:val="20"/>
                <w:lang w:val="en-US"/>
              </w:rPr>
              <w:t>John Breen</w:t>
            </w:r>
          </w:p>
          <w:p w:rsidR="008A355A" w:rsidRPr="008847EB" w:rsidRDefault="008A355A" w:rsidP="008A355A">
            <w:pPr>
              <w:tabs>
                <w:tab w:val="left" w:pos="-1440"/>
                <w:tab w:val="left" w:pos="-720"/>
              </w:tabs>
              <w:rPr>
                <w:sz w:val="20"/>
                <w:szCs w:val="20"/>
                <w:lang w:val="en-US"/>
              </w:rPr>
            </w:pPr>
            <w:r w:rsidRPr="008847EB">
              <w:rPr>
                <w:sz w:val="20"/>
                <w:szCs w:val="20"/>
                <w:lang w:val="en-US"/>
              </w:rPr>
              <w:tab/>
            </w:r>
            <w:r w:rsidR="002A5D3F" w:rsidRPr="008847EB">
              <w:rPr>
                <w:sz w:val="20"/>
                <w:szCs w:val="20"/>
                <w:lang w:val="en-US"/>
              </w:rPr>
              <w:t>Morin, David A.</w:t>
            </w:r>
          </w:p>
          <w:p w:rsidR="008A355A" w:rsidRPr="008847EB" w:rsidRDefault="008A355A" w:rsidP="008A355A">
            <w:pPr>
              <w:tabs>
                <w:tab w:val="left" w:pos="-1440"/>
                <w:tab w:val="left" w:pos="-720"/>
              </w:tabs>
              <w:rPr>
                <w:sz w:val="20"/>
                <w:szCs w:val="20"/>
                <w:lang w:val="en-US"/>
              </w:rPr>
            </w:pPr>
            <w:r w:rsidRPr="008847EB">
              <w:rPr>
                <w:sz w:val="20"/>
                <w:szCs w:val="20"/>
                <w:lang w:val="en-US"/>
              </w:rPr>
              <w:tab/>
            </w:r>
            <w:r w:rsidR="002A5D3F" w:rsidRPr="008847EB">
              <w:rPr>
                <w:sz w:val="20"/>
                <w:szCs w:val="20"/>
                <w:lang w:val="en-US"/>
              </w:rPr>
              <w:t>Will Davidson LLP</w:t>
            </w:r>
          </w:p>
          <w:p w:rsidR="008A355A" w:rsidRPr="008847EB" w:rsidRDefault="008A355A" w:rsidP="008A355A">
            <w:pPr>
              <w:tabs>
                <w:tab w:val="left" w:pos="-1440"/>
                <w:tab w:val="left" w:pos="-720"/>
              </w:tabs>
              <w:rPr>
                <w:sz w:val="20"/>
                <w:szCs w:val="20"/>
                <w:lang w:val="en-US"/>
              </w:rPr>
            </w:pPr>
          </w:p>
          <w:p w:rsidR="008A355A" w:rsidRPr="008847EB" w:rsidRDefault="008A355A" w:rsidP="008A355A">
            <w:pPr>
              <w:tabs>
                <w:tab w:val="left" w:pos="-1440"/>
                <w:tab w:val="left" w:pos="-720"/>
              </w:tabs>
              <w:rPr>
                <w:sz w:val="20"/>
                <w:szCs w:val="20"/>
                <w:lang w:val="en-US"/>
              </w:rPr>
            </w:pPr>
            <w:r w:rsidRPr="008847EB">
              <w:rPr>
                <w:sz w:val="20"/>
                <w:szCs w:val="20"/>
                <w:lang w:val="en-US"/>
              </w:rPr>
              <w:tab/>
              <w:t>v. (388</w:t>
            </w:r>
            <w:r w:rsidR="00B62317" w:rsidRPr="008847EB">
              <w:rPr>
                <w:sz w:val="20"/>
                <w:szCs w:val="20"/>
                <w:lang w:val="en-US"/>
              </w:rPr>
              <w:t>02</w:t>
            </w:r>
            <w:r w:rsidRPr="008847EB">
              <w:rPr>
                <w:sz w:val="20"/>
                <w:szCs w:val="20"/>
                <w:lang w:val="en-US"/>
              </w:rPr>
              <w:t>)</w:t>
            </w:r>
          </w:p>
          <w:p w:rsidR="008A355A" w:rsidRPr="008847EB" w:rsidRDefault="008A355A" w:rsidP="008A355A">
            <w:pPr>
              <w:tabs>
                <w:tab w:val="left" w:pos="-1440"/>
                <w:tab w:val="left" w:pos="-720"/>
              </w:tabs>
              <w:rPr>
                <w:sz w:val="20"/>
                <w:szCs w:val="20"/>
                <w:lang w:val="en-US"/>
              </w:rPr>
            </w:pPr>
          </w:p>
          <w:p w:rsidR="008A355A" w:rsidRPr="008847EB" w:rsidRDefault="001B2A6C" w:rsidP="008A355A">
            <w:pPr>
              <w:tabs>
                <w:tab w:val="left" w:pos="-1440"/>
                <w:tab w:val="left" w:pos="-720"/>
              </w:tabs>
              <w:rPr>
                <w:b/>
                <w:sz w:val="20"/>
                <w:szCs w:val="20"/>
                <w:lang w:val="en-US"/>
              </w:rPr>
            </w:pPr>
            <w:r w:rsidRPr="008847EB">
              <w:rPr>
                <w:b/>
                <w:sz w:val="20"/>
                <w:szCs w:val="20"/>
                <w:lang w:val="en-US"/>
              </w:rPr>
              <w:t xml:space="preserve">FCT Insurance Company Ltd. </w:t>
            </w:r>
            <w:r w:rsidR="008A355A" w:rsidRPr="008847EB">
              <w:rPr>
                <w:b/>
                <w:sz w:val="20"/>
                <w:szCs w:val="20"/>
                <w:lang w:val="en-US"/>
              </w:rPr>
              <w:t>(</w:t>
            </w:r>
            <w:r w:rsidR="00B62317" w:rsidRPr="008847EB">
              <w:rPr>
                <w:b/>
                <w:sz w:val="20"/>
                <w:szCs w:val="20"/>
                <w:lang w:val="en-US"/>
              </w:rPr>
              <w:t>Ont</w:t>
            </w:r>
            <w:r w:rsidR="008A355A" w:rsidRPr="008847EB">
              <w:rPr>
                <w:b/>
                <w:sz w:val="20"/>
                <w:szCs w:val="20"/>
                <w:lang w:val="en-US"/>
              </w:rPr>
              <w:t>.)</w:t>
            </w:r>
          </w:p>
          <w:p w:rsidR="008A355A" w:rsidRPr="008847EB" w:rsidRDefault="008A355A" w:rsidP="008A355A">
            <w:pPr>
              <w:tabs>
                <w:tab w:val="left" w:pos="-1440"/>
                <w:tab w:val="left" w:pos="-720"/>
              </w:tabs>
              <w:rPr>
                <w:sz w:val="20"/>
                <w:szCs w:val="20"/>
              </w:rPr>
            </w:pPr>
            <w:r w:rsidRPr="008847EB">
              <w:rPr>
                <w:sz w:val="20"/>
                <w:szCs w:val="20"/>
                <w:lang w:val="en-US"/>
              </w:rPr>
              <w:tab/>
            </w:r>
            <w:r w:rsidR="002A5D3F" w:rsidRPr="008847EB">
              <w:rPr>
                <w:sz w:val="20"/>
                <w:szCs w:val="20"/>
                <w:lang w:val="en-US"/>
              </w:rPr>
              <w:t>Haylock, Jeffrey</w:t>
            </w:r>
          </w:p>
          <w:p w:rsidR="008A355A" w:rsidRPr="008847EB" w:rsidRDefault="008A355A" w:rsidP="008A355A">
            <w:pPr>
              <w:tabs>
                <w:tab w:val="left" w:pos="-1440"/>
                <w:tab w:val="left" w:pos="-720"/>
              </w:tabs>
              <w:rPr>
                <w:sz w:val="20"/>
                <w:szCs w:val="20"/>
              </w:rPr>
            </w:pPr>
            <w:r w:rsidRPr="008847EB">
              <w:rPr>
                <w:sz w:val="20"/>
                <w:szCs w:val="20"/>
              </w:rPr>
              <w:tab/>
            </w:r>
            <w:r w:rsidR="002A5D3F" w:rsidRPr="008847EB">
              <w:rPr>
                <w:sz w:val="20"/>
                <w:szCs w:val="20"/>
              </w:rPr>
              <w:t>Polley Faith LLP</w:t>
            </w:r>
          </w:p>
          <w:p w:rsidR="008A355A" w:rsidRPr="008847EB" w:rsidRDefault="008A355A" w:rsidP="008A355A">
            <w:pPr>
              <w:tabs>
                <w:tab w:val="left" w:pos="-1440"/>
                <w:tab w:val="left" w:pos="-720"/>
              </w:tabs>
              <w:rPr>
                <w:sz w:val="20"/>
                <w:szCs w:val="20"/>
              </w:rPr>
            </w:pPr>
          </w:p>
          <w:p w:rsidR="008A355A" w:rsidRPr="008847EB" w:rsidRDefault="008A355A" w:rsidP="008A355A">
            <w:pPr>
              <w:rPr>
                <w:sz w:val="20"/>
                <w:szCs w:val="20"/>
              </w:rPr>
            </w:pPr>
            <w:r w:rsidRPr="008847EB">
              <w:rPr>
                <w:sz w:val="20"/>
                <w:szCs w:val="20"/>
              </w:rPr>
              <w:t xml:space="preserve">FILING DATE: </w:t>
            </w:r>
            <w:r w:rsidR="00B62317" w:rsidRPr="008847EB">
              <w:rPr>
                <w:sz w:val="20"/>
                <w:szCs w:val="20"/>
              </w:rPr>
              <w:t>Septem</w:t>
            </w:r>
            <w:r w:rsidRPr="008847EB">
              <w:rPr>
                <w:sz w:val="20"/>
                <w:szCs w:val="20"/>
              </w:rPr>
              <w:t xml:space="preserve">ber </w:t>
            </w:r>
            <w:r w:rsidR="00B62317" w:rsidRPr="008847EB">
              <w:rPr>
                <w:sz w:val="20"/>
                <w:szCs w:val="20"/>
              </w:rPr>
              <w:t>13</w:t>
            </w:r>
            <w:r w:rsidRPr="008847EB">
              <w:rPr>
                <w:sz w:val="20"/>
                <w:szCs w:val="20"/>
              </w:rPr>
              <w:t>, 2019</w:t>
            </w:r>
          </w:p>
          <w:p w:rsidR="008A355A" w:rsidRPr="008847EB" w:rsidRDefault="0011194E" w:rsidP="008A355A">
            <w:pPr>
              <w:rPr>
                <w:sz w:val="20"/>
                <w:szCs w:val="20"/>
                <w:lang w:val="fr-CA"/>
              </w:rPr>
            </w:pPr>
            <w:r>
              <w:rPr>
                <w:sz w:val="20"/>
                <w:szCs w:val="20"/>
                <w:lang w:val="fr-CA"/>
              </w:rPr>
              <w:pict>
                <v:rect id="_x0000_i1032" style="width:108pt;height:1pt" o:hrpct="0" o:hralign="center" o:hrstd="t" o:hrnoshade="t" o:hr="t" fillcolor="black [3213]" stroked="f"/>
              </w:pict>
            </w:r>
          </w:p>
        </w:tc>
      </w:tr>
    </w:tbl>
    <w:p w:rsidR="00E8520D" w:rsidRPr="008847EB" w:rsidRDefault="00E8520D">
      <w:r w:rsidRPr="008847EB">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8A355A" w:rsidRPr="008847EB" w:rsidTr="003B3977">
        <w:tc>
          <w:tcPr>
            <w:tcW w:w="4320" w:type="dxa"/>
            <w:shd w:val="clear" w:color="auto" w:fill="auto"/>
          </w:tcPr>
          <w:p w:rsidR="008A355A" w:rsidRPr="008847EB" w:rsidRDefault="00C2326E" w:rsidP="008A355A">
            <w:pPr>
              <w:rPr>
                <w:b/>
                <w:sz w:val="20"/>
                <w:szCs w:val="20"/>
                <w:lang w:val="en-US"/>
              </w:rPr>
            </w:pPr>
            <w:r w:rsidRPr="008847EB">
              <w:rPr>
                <w:b/>
                <w:sz w:val="20"/>
                <w:szCs w:val="20"/>
                <w:lang w:val="en-US"/>
              </w:rPr>
              <w:lastRenderedPageBreak/>
              <w:t>Joseph Hubert Francis</w:t>
            </w:r>
          </w:p>
          <w:p w:rsidR="008A355A" w:rsidRPr="008847EB" w:rsidRDefault="008A355A" w:rsidP="008A355A">
            <w:pPr>
              <w:tabs>
                <w:tab w:val="left" w:pos="-1440"/>
                <w:tab w:val="left" w:pos="-720"/>
              </w:tabs>
              <w:rPr>
                <w:sz w:val="20"/>
                <w:szCs w:val="20"/>
                <w:lang w:val="en-US"/>
              </w:rPr>
            </w:pPr>
            <w:r w:rsidRPr="008847EB">
              <w:rPr>
                <w:sz w:val="20"/>
                <w:szCs w:val="20"/>
                <w:lang w:val="en-US"/>
              </w:rPr>
              <w:tab/>
            </w:r>
            <w:r w:rsidR="00C2326E" w:rsidRPr="008847EB">
              <w:rPr>
                <w:sz w:val="20"/>
                <w:szCs w:val="20"/>
                <w:lang w:val="en-US"/>
              </w:rPr>
              <w:t>Pineo, Robert H.</w:t>
            </w:r>
          </w:p>
          <w:p w:rsidR="008A355A" w:rsidRPr="008847EB" w:rsidRDefault="008A355A" w:rsidP="008A355A">
            <w:pPr>
              <w:tabs>
                <w:tab w:val="left" w:pos="-1440"/>
                <w:tab w:val="left" w:pos="-720"/>
              </w:tabs>
              <w:rPr>
                <w:sz w:val="20"/>
                <w:szCs w:val="20"/>
                <w:lang w:val="en-US"/>
              </w:rPr>
            </w:pPr>
            <w:r w:rsidRPr="008847EB">
              <w:rPr>
                <w:sz w:val="20"/>
                <w:szCs w:val="20"/>
                <w:lang w:val="en-US"/>
              </w:rPr>
              <w:tab/>
            </w:r>
            <w:r w:rsidR="00C2326E" w:rsidRPr="008847EB">
              <w:rPr>
                <w:sz w:val="20"/>
                <w:szCs w:val="20"/>
                <w:lang w:val="en-US"/>
              </w:rPr>
              <w:t>Patterson Law</w:t>
            </w:r>
          </w:p>
          <w:p w:rsidR="008A355A" w:rsidRPr="008847EB" w:rsidRDefault="008A355A" w:rsidP="008A355A">
            <w:pPr>
              <w:tabs>
                <w:tab w:val="left" w:pos="-1440"/>
                <w:tab w:val="left" w:pos="-720"/>
              </w:tabs>
              <w:rPr>
                <w:sz w:val="20"/>
                <w:szCs w:val="20"/>
                <w:lang w:val="en-US"/>
              </w:rPr>
            </w:pPr>
          </w:p>
          <w:p w:rsidR="008A355A" w:rsidRPr="008847EB" w:rsidRDefault="008A355A" w:rsidP="008A355A">
            <w:pPr>
              <w:tabs>
                <w:tab w:val="left" w:pos="-1440"/>
                <w:tab w:val="left" w:pos="-720"/>
              </w:tabs>
              <w:rPr>
                <w:sz w:val="20"/>
                <w:szCs w:val="20"/>
                <w:lang w:val="en-US"/>
              </w:rPr>
            </w:pPr>
            <w:r w:rsidRPr="008847EB">
              <w:rPr>
                <w:sz w:val="20"/>
                <w:szCs w:val="20"/>
                <w:lang w:val="en-US"/>
              </w:rPr>
              <w:tab/>
              <w:t>v. (388</w:t>
            </w:r>
            <w:r w:rsidR="00C2326E" w:rsidRPr="008847EB">
              <w:rPr>
                <w:sz w:val="20"/>
                <w:szCs w:val="20"/>
                <w:lang w:val="en-US"/>
              </w:rPr>
              <w:t>05</w:t>
            </w:r>
            <w:r w:rsidRPr="008847EB">
              <w:rPr>
                <w:sz w:val="20"/>
                <w:szCs w:val="20"/>
                <w:lang w:val="en-US"/>
              </w:rPr>
              <w:t>)</w:t>
            </w:r>
          </w:p>
          <w:p w:rsidR="008A355A" w:rsidRPr="008847EB" w:rsidRDefault="008A355A" w:rsidP="008A355A">
            <w:pPr>
              <w:tabs>
                <w:tab w:val="left" w:pos="-1440"/>
                <w:tab w:val="left" w:pos="-720"/>
              </w:tabs>
              <w:rPr>
                <w:sz w:val="20"/>
                <w:szCs w:val="20"/>
                <w:lang w:val="en-US"/>
              </w:rPr>
            </w:pPr>
          </w:p>
          <w:p w:rsidR="008A355A" w:rsidRPr="008847EB" w:rsidRDefault="00C2326E" w:rsidP="008A355A">
            <w:pPr>
              <w:tabs>
                <w:tab w:val="left" w:pos="-1440"/>
                <w:tab w:val="left" w:pos="-720"/>
              </w:tabs>
              <w:rPr>
                <w:b/>
                <w:sz w:val="20"/>
                <w:szCs w:val="20"/>
                <w:lang w:val="en-US"/>
              </w:rPr>
            </w:pPr>
            <w:r w:rsidRPr="008847EB">
              <w:rPr>
                <w:b/>
                <w:sz w:val="20"/>
                <w:szCs w:val="20"/>
                <w:lang w:val="en-US"/>
              </w:rPr>
              <w:t xml:space="preserve">Her Majesty the Queen </w:t>
            </w:r>
            <w:r w:rsidR="008A355A" w:rsidRPr="008847EB">
              <w:rPr>
                <w:b/>
                <w:sz w:val="20"/>
                <w:szCs w:val="20"/>
                <w:lang w:val="en-US"/>
              </w:rPr>
              <w:t>(</w:t>
            </w:r>
            <w:r w:rsidRPr="008847EB">
              <w:rPr>
                <w:b/>
                <w:sz w:val="20"/>
                <w:szCs w:val="20"/>
                <w:lang w:val="en-US"/>
              </w:rPr>
              <w:t>F.C</w:t>
            </w:r>
            <w:r w:rsidR="008A355A" w:rsidRPr="008847EB">
              <w:rPr>
                <w:b/>
                <w:sz w:val="20"/>
                <w:szCs w:val="20"/>
                <w:lang w:val="en-US"/>
              </w:rPr>
              <w:t>.)</w:t>
            </w:r>
          </w:p>
          <w:p w:rsidR="008A355A" w:rsidRPr="008847EB" w:rsidRDefault="008A355A" w:rsidP="008A355A">
            <w:pPr>
              <w:tabs>
                <w:tab w:val="left" w:pos="-1440"/>
                <w:tab w:val="left" w:pos="-720"/>
              </w:tabs>
              <w:rPr>
                <w:sz w:val="20"/>
                <w:szCs w:val="20"/>
              </w:rPr>
            </w:pPr>
            <w:r w:rsidRPr="008847EB">
              <w:rPr>
                <w:sz w:val="20"/>
                <w:szCs w:val="20"/>
                <w:lang w:val="en-US"/>
              </w:rPr>
              <w:tab/>
            </w:r>
            <w:r w:rsidR="00511FEC" w:rsidRPr="008847EB">
              <w:rPr>
                <w:sz w:val="20"/>
                <w:szCs w:val="20"/>
                <w:lang w:val="en-US"/>
              </w:rPr>
              <w:t>Inglis, Susan</w:t>
            </w:r>
          </w:p>
          <w:p w:rsidR="008A355A" w:rsidRPr="008847EB" w:rsidRDefault="008A355A" w:rsidP="008A355A">
            <w:pPr>
              <w:tabs>
                <w:tab w:val="left" w:pos="-1440"/>
                <w:tab w:val="left" w:pos="-720"/>
              </w:tabs>
              <w:rPr>
                <w:sz w:val="20"/>
                <w:szCs w:val="20"/>
              </w:rPr>
            </w:pPr>
            <w:r w:rsidRPr="008847EB">
              <w:rPr>
                <w:sz w:val="20"/>
                <w:szCs w:val="20"/>
              </w:rPr>
              <w:tab/>
            </w:r>
            <w:r w:rsidR="00511FEC" w:rsidRPr="008847EB">
              <w:rPr>
                <w:sz w:val="20"/>
                <w:szCs w:val="20"/>
              </w:rPr>
              <w:t>Department of Justice</w:t>
            </w:r>
          </w:p>
          <w:p w:rsidR="008A355A" w:rsidRPr="008847EB" w:rsidRDefault="008A355A" w:rsidP="008A355A">
            <w:pPr>
              <w:tabs>
                <w:tab w:val="left" w:pos="-1440"/>
                <w:tab w:val="left" w:pos="-720"/>
              </w:tabs>
              <w:rPr>
                <w:sz w:val="20"/>
                <w:szCs w:val="20"/>
              </w:rPr>
            </w:pPr>
          </w:p>
          <w:p w:rsidR="008A355A" w:rsidRPr="008847EB" w:rsidRDefault="008A355A" w:rsidP="008A355A">
            <w:pPr>
              <w:rPr>
                <w:sz w:val="20"/>
                <w:szCs w:val="20"/>
              </w:rPr>
            </w:pPr>
            <w:r w:rsidRPr="008847EB">
              <w:rPr>
                <w:sz w:val="20"/>
                <w:szCs w:val="20"/>
              </w:rPr>
              <w:t xml:space="preserve">FILING DATE: </w:t>
            </w:r>
            <w:r w:rsidR="00C2326E" w:rsidRPr="008847EB">
              <w:rPr>
                <w:sz w:val="20"/>
                <w:szCs w:val="20"/>
              </w:rPr>
              <w:t>September</w:t>
            </w:r>
            <w:r w:rsidRPr="008847EB">
              <w:rPr>
                <w:sz w:val="20"/>
                <w:szCs w:val="20"/>
              </w:rPr>
              <w:t xml:space="preserve"> </w:t>
            </w:r>
            <w:r w:rsidR="00C2326E" w:rsidRPr="008847EB">
              <w:rPr>
                <w:sz w:val="20"/>
                <w:szCs w:val="20"/>
              </w:rPr>
              <w:t>18</w:t>
            </w:r>
            <w:r w:rsidRPr="008847EB">
              <w:rPr>
                <w:sz w:val="20"/>
                <w:szCs w:val="20"/>
              </w:rPr>
              <w:t>, 2019</w:t>
            </w:r>
          </w:p>
          <w:p w:rsidR="008A355A" w:rsidRPr="008847EB" w:rsidRDefault="0011194E" w:rsidP="008A355A">
            <w:pPr>
              <w:rPr>
                <w:b/>
                <w:sz w:val="20"/>
                <w:szCs w:val="20"/>
                <w:lang w:val="en-US"/>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tc>
        <w:tc>
          <w:tcPr>
            <w:tcW w:w="4320" w:type="dxa"/>
            <w:shd w:val="clear" w:color="auto" w:fill="auto"/>
          </w:tcPr>
          <w:p w:rsidR="008A355A" w:rsidRPr="008847EB" w:rsidRDefault="00E71B70" w:rsidP="008A355A">
            <w:pPr>
              <w:rPr>
                <w:b/>
                <w:sz w:val="20"/>
                <w:szCs w:val="20"/>
                <w:lang w:val="en-US"/>
              </w:rPr>
            </w:pPr>
            <w:r w:rsidRPr="008847EB">
              <w:rPr>
                <w:b/>
                <w:sz w:val="20"/>
                <w:szCs w:val="20"/>
                <w:lang w:val="en-US"/>
              </w:rPr>
              <w:t>Ivars Mikelsteins</w:t>
            </w:r>
          </w:p>
          <w:p w:rsidR="008A355A" w:rsidRPr="008847EB" w:rsidRDefault="008A355A" w:rsidP="008A355A">
            <w:pPr>
              <w:tabs>
                <w:tab w:val="left" w:pos="-1440"/>
                <w:tab w:val="left" w:pos="-720"/>
              </w:tabs>
              <w:rPr>
                <w:sz w:val="20"/>
                <w:szCs w:val="20"/>
                <w:lang w:val="en-US"/>
              </w:rPr>
            </w:pPr>
            <w:r w:rsidRPr="008847EB">
              <w:rPr>
                <w:sz w:val="20"/>
                <w:szCs w:val="20"/>
                <w:lang w:val="en-US"/>
              </w:rPr>
              <w:tab/>
            </w:r>
            <w:r w:rsidR="004C61B2" w:rsidRPr="008847EB">
              <w:rPr>
                <w:sz w:val="20"/>
                <w:szCs w:val="20"/>
                <w:lang w:val="en-US"/>
              </w:rPr>
              <w:t>Heeney, James D.</w:t>
            </w:r>
          </w:p>
          <w:p w:rsidR="008A355A" w:rsidRPr="008847EB" w:rsidRDefault="008A355A" w:rsidP="008A355A">
            <w:pPr>
              <w:tabs>
                <w:tab w:val="left" w:pos="-1440"/>
                <w:tab w:val="left" w:pos="-720"/>
              </w:tabs>
              <w:rPr>
                <w:sz w:val="20"/>
                <w:szCs w:val="20"/>
                <w:lang w:val="en-US"/>
              </w:rPr>
            </w:pPr>
            <w:r w:rsidRPr="008847EB">
              <w:rPr>
                <w:sz w:val="20"/>
                <w:szCs w:val="20"/>
                <w:lang w:val="en-US"/>
              </w:rPr>
              <w:tab/>
            </w:r>
            <w:r w:rsidR="004C61B2" w:rsidRPr="008847EB">
              <w:rPr>
                <w:sz w:val="20"/>
                <w:szCs w:val="20"/>
                <w:lang w:val="en-US"/>
              </w:rPr>
              <w:t>Heeney Vokey LLP</w:t>
            </w:r>
          </w:p>
          <w:p w:rsidR="008A355A" w:rsidRPr="008847EB" w:rsidRDefault="008A355A" w:rsidP="008A355A">
            <w:pPr>
              <w:tabs>
                <w:tab w:val="left" w:pos="-1440"/>
                <w:tab w:val="left" w:pos="-720"/>
              </w:tabs>
              <w:rPr>
                <w:sz w:val="20"/>
                <w:szCs w:val="20"/>
                <w:lang w:val="en-US"/>
              </w:rPr>
            </w:pPr>
          </w:p>
          <w:p w:rsidR="008A355A" w:rsidRPr="008847EB" w:rsidRDefault="008A355A" w:rsidP="008A355A">
            <w:pPr>
              <w:tabs>
                <w:tab w:val="left" w:pos="-1440"/>
                <w:tab w:val="left" w:pos="-720"/>
              </w:tabs>
              <w:rPr>
                <w:sz w:val="20"/>
                <w:szCs w:val="20"/>
                <w:lang w:val="en-US"/>
              </w:rPr>
            </w:pPr>
            <w:r w:rsidRPr="008847EB">
              <w:rPr>
                <w:sz w:val="20"/>
                <w:szCs w:val="20"/>
                <w:lang w:val="en-US"/>
              </w:rPr>
              <w:tab/>
              <w:t>v. (388</w:t>
            </w:r>
            <w:r w:rsidR="00A208AD" w:rsidRPr="008847EB">
              <w:rPr>
                <w:sz w:val="20"/>
                <w:szCs w:val="20"/>
                <w:lang w:val="en-US"/>
              </w:rPr>
              <w:t>06</w:t>
            </w:r>
          </w:p>
          <w:p w:rsidR="008A355A" w:rsidRPr="008847EB" w:rsidRDefault="008A355A" w:rsidP="008A355A">
            <w:pPr>
              <w:tabs>
                <w:tab w:val="left" w:pos="-1440"/>
                <w:tab w:val="left" w:pos="-720"/>
              </w:tabs>
              <w:rPr>
                <w:sz w:val="20"/>
                <w:szCs w:val="20"/>
                <w:lang w:val="en-US"/>
              </w:rPr>
            </w:pPr>
          </w:p>
          <w:p w:rsidR="008A355A" w:rsidRPr="008847EB" w:rsidRDefault="00E71B70" w:rsidP="008A355A">
            <w:pPr>
              <w:tabs>
                <w:tab w:val="left" w:pos="-1440"/>
                <w:tab w:val="left" w:pos="-720"/>
              </w:tabs>
              <w:rPr>
                <w:b/>
                <w:sz w:val="20"/>
                <w:szCs w:val="20"/>
                <w:lang w:val="en-US"/>
              </w:rPr>
            </w:pPr>
            <w:r w:rsidRPr="008847EB">
              <w:rPr>
                <w:b/>
                <w:sz w:val="20"/>
                <w:szCs w:val="20"/>
                <w:lang w:val="en-US"/>
              </w:rPr>
              <w:t xml:space="preserve">Morrison Hershfield Limited </w:t>
            </w:r>
            <w:r w:rsidR="008A355A" w:rsidRPr="008847EB">
              <w:rPr>
                <w:b/>
                <w:sz w:val="20"/>
                <w:szCs w:val="20"/>
                <w:lang w:val="en-US"/>
              </w:rPr>
              <w:t>(</w:t>
            </w:r>
            <w:r w:rsidR="00A208AD" w:rsidRPr="008847EB">
              <w:rPr>
                <w:b/>
                <w:sz w:val="20"/>
                <w:szCs w:val="20"/>
                <w:lang w:val="en-US"/>
              </w:rPr>
              <w:t>Ont</w:t>
            </w:r>
            <w:r w:rsidR="008A355A" w:rsidRPr="008847EB">
              <w:rPr>
                <w:b/>
                <w:sz w:val="20"/>
                <w:szCs w:val="20"/>
                <w:lang w:val="en-US"/>
              </w:rPr>
              <w:t>.)</w:t>
            </w:r>
          </w:p>
          <w:p w:rsidR="008A355A" w:rsidRPr="008847EB" w:rsidRDefault="008A355A" w:rsidP="008A355A">
            <w:pPr>
              <w:tabs>
                <w:tab w:val="left" w:pos="-1440"/>
                <w:tab w:val="left" w:pos="-720"/>
              </w:tabs>
              <w:rPr>
                <w:sz w:val="20"/>
                <w:szCs w:val="20"/>
              </w:rPr>
            </w:pPr>
            <w:r w:rsidRPr="008847EB">
              <w:rPr>
                <w:sz w:val="20"/>
                <w:szCs w:val="20"/>
                <w:lang w:val="en-US"/>
              </w:rPr>
              <w:tab/>
            </w:r>
            <w:r w:rsidR="005308FC" w:rsidRPr="008847EB">
              <w:rPr>
                <w:sz w:val="20"/>
                <w:szCs w:val="20"/>
                <w:lang w:val="en-US"/>
              </w:rPr>
              <w:t>Greenwood, David E.</w:t>
            </w:r>
          </w:p>
          <w:p w:rsidR="008A355A" w:rsidRPr="008847EB" w:rsidRDefault="008A355A" w:rsidP="008A355A">
            <w:pPr>
              <w:tabs>
                <w:tab w:val="left" w:pos="-1440"/>
                <w:tab w:val="left" w:pos="-720"/>
              </w:tabs>
              <w:rPr>
                <w:sz w:val="20"/>
                <w:szCs w:val="20"/>
              </w:rPr>
            </w:pPr>
            <w:r w:rsidRPr="008847EB">
              <w:rPr>
                <w:sz w:val="20"/>
                <w:szCs w:val="20"/>
              </w:rPr>
              <w:tab/>
            </w:r>
            <w:r w:rsidR="005308FC" w:rsidRPr="008847EB">
              <w:rPr>
                <w:sz w:val="20"/>
                <w:szCs w:val="20"/>
              </w:rPr>
              <w:t>Blaney McMurtry LLP</w:t>
            </w:r>
          </w:p>
          <w:p w:rsidR="008A355A" w:rsidRPr="008847EB" w:rsidRDefault="008A355A" w:rsidP="008A355A">
            <w:pPr>
              <w:tabs>
                <w:tab w:val="left" w:pos="-1440"/>
                <w:tab w:val="left" w:pos="-720"/>
              </w:tabs>
              <w:rPr>
                <w:sz w:val="20"/>
                <w:szCs w:val="20"/>
              </w:rPr>
            </w:pPr>
          </w:p>
          <w:p w:rsidR="008A355A" w:rsidRPr="008847EB" w:rsidRDefault="008A355A" w:rsidP="008A355A">
            <w:pPr>
              <w:rPr>
                <w:sz w:val="20"/>
                <w:szCs w:val="20"/>
              </w:rPr>
            </w:pPr>
            <w:r w:rsidRPr="008847EB">
              <w:rPr>
                <w:sz w:val="20"/>
                <w:szCs w:val="20"/>
              </w:rPr>
              <w:t xml:space="preserve">FILING DATE: </w:t>
            </w:r>
            <w:r w:rsidR="00A208AD" w:rsidRPr="008847EB">
              <w:rPr>
                <w:sz w:val="20"/>
                <w:szCs w:val="20"/>
              </w:rPr>
              <w:t>Septem</w:t>
            </w:r>
            <w:r w:rsidRPr="008847EB">
              <w:rPr>
                <w:sz w:val="20"/>
                <w:szCs w:val="20"/>
              </w:rPr>
              <w:t xml:space="preserve">ber </w:t>
            </w:r>
            <w:r w:rsidR="00A208AD" w:rsidRPr="008847EB">
              <w:rPr>
                <w:sz w:val="20"/>
                <w:szCs w:val="20"/>
              </w:rPr>
              <w:t>18</w:t>
            </w:r>
            <w:r w:rsidRPr="008847EB">
              <w:rPr>
                <w:sz w:val="20"/>
                <w:szCs w:val="20"/>
              </w:rPr>
              <w:t>, 2019</w:t>
            </w:r>
          </w:p>
          <w:p w:rsidR="008A355A" w:rsidRPr="008847EB" w:rsidRDefault="0011194E" w:rsidP="008A355A">
            <w:pPr>
              <w:rPr>
                <w:sz w:val="20"/>
                <w:szCs w:val="20"/>
                <w:lang w:val="fr-CA"/>
              </w:rPr>
            </w:pPr>
            <w:r>
              <w:rPr>
                <w:sz w:val="20"/>
                <w:szCs w:val="20"/>
                <w:lang w:val="fr-CA"/>
              </w:rPr>
              <w:pict>
                <v:rect id="_x0000_i1034" style="width:108pt;height:1pt" o:hrpct="0" o:hralign="center" o:hrstd="t" o:hrnoshade="t" o:hr="t" fillcolor="black [3213]" stroked="f"/>
              </w:pict>
            </w:r>
          </w:p>
        </w:tc>
      </w:tr>
      <w:tr w:rsidR="008A355A" w:rsidRPr="008847EB" w:rsidTr="003B3977">
        <w:tc>
          <w:tcPr>
            <w:tcW w:w="4320" w:type="dxa"/>
            <w:shd w:val="clear" w:color="auto" w:fill="auto"/>
          </w:tcPr>
          <w:p w:rsidR="008A355A" w:rsidRPr="008847EB" w:rsidRDefault="00BF7852" w:rsidP="008A355A">
            <w:pPr>
              <w:rPr>
                <w:b/>
                <w:sz w:val="20"/>
                <w:szCs w:val="20"/>
                <w:lang w:val="en-US"/>
              </w:rPr>
            </w:pPr>
            <w:r w:rsidRPr="008847EB">
              <w:rPr>
                <w:b/>
                <w:sz w:val="20"/>
                <w:szCs w:val="20"/>
                <w:lang w:val="en-US"/>
              </w:rPr>
              <w:t>Amazon.com, Inc., et al.</w:t>
            </w:r>
          </w:p>
          <w:p w:rsidR="008A355A" w:rsidRPr="008847EB" w:rsidRDefault="008A355A" w:rsidP="008A355A">
            <w:pPr>
              <w:tabs>
                <w:tab w:val="left" w:pos="-1440"/>
                <w:tab w:val="left" w:pos="-720"/>
              </w:tabs>
              <w:rPr>
                <w:sz w:val="20"/>
                <w:szCs w:val="20"/>
                <w:lang w:val="en-US"/>
              </w:rPr>
            </w:pPr>
            <w:r w:rsidRPr="008847EB">
              <w:rPr>
                <w:sz w:val="20"/>
                <w:szCs w:val="20"/>
                <w:lang w:val="en-US"/>
              </w:rPr>
              <w:tab/>
            </w:r>
            <w:r w:rsidR="007A7912" w:rsidRPr="008847EB">
              <w:rPr>
                <w:sz w:val="20"/>
                <w:szCs w:val="20"/>
                <w:lang w:val="en-US"/>
              </w:rPr>
              <w:t>Weltrowska, Margaret</w:t>
            </w:r>
          </w:p>
          <w:p w:rsidR="008A355A" w:rsidRPr="008847EB" w:rsidRDefault="008A355A" w:rsidP="008A355A">
            <w:pPr>
              <w:tabs>
                <w:tab w:val="left" w:pos="-1440"/>
                <w:tab w:val="left" w:pos="-720"/>
              </w:tabs>
              <w:rPr>
                <w:sz w:val="20"/>
                <w:szCs w:val="20"/>
                <w:lang w:val="fr-CA"/>
              </w:rPr>
            </w:pPr>
            <w:r w:rsidRPr="008847EB">
              <w:rPr>
                <w:sz w:val="20"/>
                <w:szCs w:val="20"/>
                <w:lang w:val="en-US"/>
              </w:rPr>
              <w:tab/>
            </w:r>
            <w:r w:rsidR="007A7912" w:rsidRPr="008847EB">
              <w:rPr>
                <w:sz w:val="20"/>
                <w:szCs w:val="20"/>
                <w:lang w:val="fr-CA"/>
              </w:rPr>
              <w:t>Dentons Canada LLP</w:t>
            </w:r>
          </w:p>
          <w:p w:rsidR="008A355A" w:rsidRPr="008847EB" w:rsidRDefault="008A355A" w:rsidP="008A355A">
            <w:pPr>
              <w:tabs>
                <w:tab w:val="left" w:pos="-1440"/>
                <w:tab w:val="left" w:pos="-720"/>
              </w:tabs>
              <w:rPr>
                <w:sz w:val="20"/>
                <w:szCs w:val="20"/>
                <w:lang w:val="fr-CA"/>
              </w:rPr>
            </w:pPr>
          </w:p>
          <w:p w:rsidR="008A355A" w:rsidRPr="008847EB" w:rsidRDefault="008A355A" w:rsidP="008A355A">
            <w:pPr>
              <w:tabs>
                <w:tab w:val="left" w:pos="-1440"/>
                <w:tab w:val="left" w:pos="-720"/>
              </w:tabs>
              <w:rPr>
                <w:sz w:val="20"/>
                <w:szCs w:val="20"/>
                <w:lang w:val="fr-CA"/>
              </w:rPr>
            </w:pPr>
            <w:r w:rsidRPr="008847EB">
              <w:rPr>
                <w:sz w:val="20"/>
                <w:szCs w:val="20"/>
                <w:lang w:val="fr-CA"/>
              </w:rPr>
              <w:tab/>
              <w:t>v. (3884</w:t>
            </w:r>
            <w:r w:rsidR="00E11C78" w:rsidRPr="008847EB">
              <w:rPr>
                <w:sz w:val="20"/>
                <w:szCs w:val="20"/>
                <w:lang w:val="fr-CA"/>
              </w:rPr>
              <w:t>2</w:t>
            </w:r>
            <w:r w:rsidRPr="008847EB">
              <w:rPr>
                <w:sz w:val="20"/>
                <w:szCs w:val="20"/>
                <w:lang w:val="fr-CA"/>
              </w:rPr>
              <w:t>)</w:t>
            </w:r>
          </w:p>
          <w:p w:rsidR="008A355A" w:rsidRPr="008847EB" w:rsidRDefault="008A355A" w:rsidP="008A355A">
            <w:pPr>
              <w:tabs>
                <w:tab w:val="left" w:pos="-1440"/>
                <w:tab w:val="left" w:pos="-720"/>
              </w:tabs>
              <w:rPr>
                <w:sz w:val="20"/>
                <w:szCs w:val="20"/>
                <w:lang w:val="fr-CA"/>
              </w:rPr>
            </w:pPr>
          </w:p>
          <w:p w:rsidR="008A355A" w:rsidRPr="008847EB" w:rsidRDefault="00BF7852" w:rsidP="008A355A">
            <w:pPr>
              <w:tabs>
                <w:tab w:val="left" w:pos="-1440"/>
                <w:tab w:val="left" w:pos="-720"/>
              </w:tabs>
              <w:rPr>
                <w:b/>
                <w:sz w:val="20"/>
                <w:szCs w:val="20"/>
                <w:lang w:val="fr-CA"/>
              </w:rPr>
            </w:pPr>
            <w:r w:rsidRPr="008847EB">
              <w:rPr>
                <w:b/>
                <w:sz w:val="20"/>
                <w:szCs w:val="20"/>
                <w:lang w:val="fr-CA"/>
              </w:rPr>
              <w:t>Geneviève Gagnon</w:t>
            </w:r>
            <w:r w:rsidR="008A355A" w:rsidRPr="008847EB">
              <w:rPr>
                <w:sz w:val="20"/>
                <w:szCs w:val="20"/>
                <w:lang w:val="fr-CA"/>
              </w:rPr>
              <w:t xml:space="preserve"> </w:t>
            </w:r>
            <w:r w:rsidR="008A355A" w:rsidRPr="008847EB">
              <w:rPr>
                <w:b/>
                <w:sz w:val="20"/>
                <w:szCs w:val="20"/>
                <w:lang w:val="fr-CA"/>
              </w:rPr>
              <w:t>(</w:t>
            </w:r>
            <w:r w:rsidRPr="008847EB">
              <w:rPr>
                <w:b/>
                <w:sz w:val="20"/>
                <w:szCs w:val="20"/>
                <w:lang w:val="fr-CA"/>
              </w:rPr>
              <w:t>Que</w:t>
            </w:r>
            <w:r w:rsidR="008A355A" w:rsidRPr="008847EB">
              <w:rPr>
                <w:b/>
                <w:sz w:val="20"/>
                <w:szCs w:val="20"/>
                <w:lang w:val="fr-CA"/>
              </w:rPr>
              <w:t>.)</w:t>
            </w:r>
          </w:p>
          <w:p w:rsidR="008A355A" w:rsidRPr="008847EB" w:rsidRDefault="008A355A" w:rsidP="008A355A">
            <w:pPr>
              <w:tabs>
                <w:tab w:val="left" w:pos="-1440"/>
                <w:tab w:val="left" w:pos="-720"/>
              </w:tabs>
              <w:rPr>
                <w:sz w:val="20"/>
                <w:szCs w:val="20"/>
                <w:lang w:val="en-US"/>
              </w:rPr>
            </w:pPr>
            <w:r w:rsidRPr="008847EB">
              <w:rPr>
                <w:sz w:val="20"/>
                <w:szCs w:val="20"/>
                <w:lang w:val="fr-CA"/>
              </w:rPr>
              <w:tab/>
            </w:r>
            <w:r w:rsidR="00CA3EC4" w:rsidRPr="008847EB">
              <w:rPr>
                <w:sz w:val="20"/>
                <w:szCs w:val="20"/>
                <w:lang w:val="en-US"/>
              </w:rPr>
              <w:t>Orenstein, Jeff</w:t>
            </w:r>
          </w:p>
          <w:p w:rsidR="008A355A" w:rsidRPr="008847EB" w:rsidRDefault="008A355A" w:rsidP="008A355A">
            <w:pPr>
              <w:tabs>
                <w:tab w:val="left" w:pos="-1440"/>
                <w:tab w:val="left" w:pos="-720"/>
              </w:tabs>
              <w:rPr>
                <w:sz w:val="20"/>
                <w:szCs w:val="20"/>
              </w:rPr>
            </w:pPr>
            <w:r w:rsidRPr="008847EB">
              <w:rPr>
                <w:sz w:val="20"/>
                <w:szCs w:val="20"/>
                <w:lang w:val="en-US"/>
              </w:rPr>
              <w:tab/>
            </w:r>
            <w:r w:rsidR="00CA3EC4" w:rsidRPr="008847EB">
              <w:rPr>
                <w:sz w:val="20"/>
                <w:szCs w:val="20"/>
              </w:rPr>
              <w:t>Consumer Law Group Inc.</w:t>
            </w:r>
          </w:p>
          <w:p w:rsidR="008A355A" w:rsidRPr="008847EB" w:rsidRDefault="008A355A" w:rsidP="008A355A">
            <w:pPr>
              <w:tabs>
                <w:tab w:val="left" w:pos="-1440"/>
                <w:tab w:val="left" w:pos="-720"/>
              </w:tabs>
              <w:rPr>
                <w:sz w:val="20"/>
                <w:szCs w:val="20"/>
              </w:rPr>
            </w:pPr>
          </w:p>
          <w:p w:rsidR="008A355A" w:rsidRPr="008847EB" w:rsidRDefault="008A355A" w:rsidP="008A355A">
            <w:pPr>
              <w:rPr>
                <w:sz w:val="20"/>
                <w:szCs w:val="20"/>
              </w:rPr>
            </w:pPr>
            <w:r w:rsidRPr="008847EB">
              <w:rPr>
                <w:sz w:val="20"/>
                <w:szCs w:val="20"/>
              </w:rPr>
              <w:t xml:space="preserve">FILING DATE: </w:t>
            </w:r>
            <w:r w:rsidR="00E11C78" w:rsidRPr="008847EB">
              <w:rPr>
                <w:sz w:val="20"/>
                <w:szCs w:val="20"/>
              </w:rPr>
              <w:t>September</w:t>
            </w:r>
            <w:r w:rsidRPr="008847EB">
              <w:rPr>
                <w:sz w:val="20"/>
                <w:szCs w:val="20"/>
              </w:rPr>
              <w:t xml:space="preserve"> </w:t>
            </w:r>
            <w:r w:rsidR="00E11C78" w:rsidRPr="008847EB">
              <w:rPr>
                <w:sz w:val="20"/>
                <w:szCs w:val="20"/>
              </w:rPr>
              <w:t>30</w:t>
            </w:r>
            <w:r w:rsidRPr="008847EB">
              <w:rPr>
                <w:sz w:val="20"/>
                <w:szCs w:val="20"/>
              </w:rPr>
              <w:t>, 2019</w:t>
            </w:r>
          </w:p>
          <w:p w:rsidR="008A355A" w:rsidRPr="008847EB" w:rsidRDefault="0011194E" w:rsidP="008A355A">
            <w:pPr>
              <w:rPr>
                <w:b/>
                <w:sz w:val="20"/>
                <w:szCs w:val="20"/>
                <w:lang w:val="en-US"/>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504EE5" w:rsidRPr="008847EB" w:rsidRDefault="00504EE5" w:rsidP="005A6243">
            <w:pPr>
              <w:jc w:val="center"/>
              <w:rPr>
                <w:sz w:val="20"/>
                <w:szCs w:val="20"/>
                <w:lang w:val="fr-CA"/>
              </w:rPr>
            </w:pPr>
          </w:p>
          <w:p w:rsidR="00504EE5" w:rsidRPr="008847EB" w:rsidRDefault="00504EE5" w:rsidP="005A6243">
            <w:pPr>
              <w:jc w:val="center"/>
              <w:rPr>
                <w:sz w:val="20"/>
                <w:szCs w:val="20"/>
                <w:lang w:val="fr-CA"/>
              </w:rPr>
            </w:pPr>
          </w:p>
          <w:p w:rsidR="008A355A" w:rsidRPr="008847EB" w:rsidRDefault="008A355A" w:rsidP="005A6243">
            <w:pPr>
              <w:jc w:val="center"/>
              <w:rPr>
                <w:sz w:val="20"/>
                <w:szCs w:val="20"/>
                <w:lang w:val="fr-CA"/>
              </w:rPr>
            </w:pPr>
          </w:p>
        </w:tc>
        <w:tc>
          <w:tcPr>
            <w:tcW w:w="4320" w:type="dxa"/>
            <w:shd w:val="clear" w:color="auto" w:fill="auto"/>
          </w:tcPr>
          <w:p w:rsidR="008A355A" w:rsidRPr="008847EB" w:rsidRDefault="00242269" w:rsidP="008A355A">
            <w:pPr>
              <w:rPr>
                <w:b/>
                <w:sz w:val="20"/>
                <w:szCs w:val="20"/>
                <w:lang w:val="en-US"/>
              </w:rPr>
            </w:pPr>
            <w:r w:rsidRPr="008847EB">
              <w:rPr>
                <w:b/>
                <w:sz w:val="20"/>
                <w:szCs w:val="20"/>
                <w:lang w:val="en-US"/>
              </w:rPr>
              <w:t>Play for Fun Studios Inc.</w:t>
            </w:r>
          </w:p>
          <w:p w:rsidR="008A355A" w:rsidRPr="008847EB" w:rsidRDefault="008A355A" w:rsidP="008A355A">
            <w:pPr>
              <w:tabs>
                <w:tab w:val="left" w:pos="-1440"/>
                <w:tab w:val="left" w:pos="-720"/>
              </w:tabs>
              <w:rPr>
                <w:sz w:val="20"/>
                <w:szCs w:val="20"/>
                <w:lang w:val="en-US"/>
              </w:rPr>
            </w:pPr>
            <w:r w:rsidRPr="008847EB">
              <w:rPr>
                <w:sz w:val="20"/>
                <w:szCs w:val="20"/>
                <w:lang w:val="en-US"/>
              </w:rPr>
              <w:tab/>
            </w:r>
            <w:r w:rsidR="00242269" w:rsidRPr="008847EB">
              <w:rPr>
                <w:sz w:val="20"/>
                <w:szCs w:val="20"/>
                <w:lang w:val="en-US"/>
              </w:rPr>
              <w:t>Hutchison, Scott C.</w:t>
            </w:r>
          </w:p>
          <w:p w:rsidR="008A355A" w:rsidRPr="008847EB" w:rsidRDefault="008A355A" w:rsidP="008A355A">
            <w:pPr>
              <w:tabs>
                <w:tab w:val="left" w:pos="-1440"/>
                <w:tab w:val="left" w:pos="-720"/>
              </w:tabs>
              <w:rPr>
                <w:sz w:val="20"/>
                <w:szCs w:val="20"/>
                <w:lang w:val="en-US"/>
              </w:rPr>
            </w:pPr>
            <w:r w:rsidRPr="008847EB">
              <w:rPr>
                <w:sz w:val="20"/>
                <w:szCs w:val="20"/>
                <w:lang w:val="en-US"/>
              </w:rPr>
              <w:tab/>
            </w:r>
            <w:r w:rsidR="00242269" w:rsidRPr="008847EB">
              <w:rPr>
                <w:sz w:val="20"/>
                <w:szCs w:val="20"/>
                <w:lang w:val="en-US"/>
              </w:rPr>
              <w:t>Henein Hutchison LLP</w:t>
            </w:r>
          </w:p>
          <w:p w:rsidR="008A355A" w:rsidRPr="008847EB" w:rsidRDefault="008A355A" w:rsidP="008A355A">
            <w:pPr>
              <w:tabs>
                <w:tab w:val="left" w:pos="-1440"/>
                <w:tab w:val="left" w:pos="-720"/>
              </w:tabs>
              <w:rPr>
                <w:sz w:val="20"/>
                <w:szCs w:val="20"/>
                <w:lang w:val="en-US"/>
              </w:rPr>
            </w:pPr>
          </w:p>
          <w:p w:rsidR="008A355A" w:rsidRPr="008847EB" w:rsidRDefault="008A355A" w:rsidP="008A355A">
            <w:pPr>
              <w:tabs>
                <w:tab w:val="left" w:pos="-1440"/>
                <w:tab w:val="left" w:pos="-720"/>
              </w:tabs>
              <w:rPr>
                <w:sz w:val="20"/>
                <w:szCs w:val="20"/>
                <w:lang w:val="en-US"/>
              </w:rPr>
            </w:pPr>
            <w:r w:rsidRPr="008847EB">
              <w:rPr>
                <w:sz w:val="20"/>
                <w:szCs w:val="20"/>
                <w:lang w:val="en-US"/>
              </w:rPr>
              <w:tab/>
              <w:t>v. (388</w:t>
            </w:r>
            <w:r w:rsidR="00311EB8" w:rsidRPr="008847EB">
              <w:rPr>
                <w:sz w:val="20"/>
                <w:szCs w:val="20"/>
                <w:lang w:val="en-US"/>
              </w:rPr>
              <w:t>67</w:t>
            </w:r>
            <w:r w:rsidRPr="008847EB">
              <w:rPr>
                <w:sz w:val="20"/>
                <w:szCs w:val="20"/>
                <w:lang w:val="en-US"/>
              </w:rPr>
              <w:t>)</w:t>
            </w:r>
          </w:p>
          <w:p w:rsidR="008A355A" w:rsidRPr="008847EB" w:rsidRDefault="008A355A" w:rsidP="008A355A">
            <w:pPr>
              <w:tabs>
                <w:tab w:val="left" w:pos="-1440"/>
                <w:tab w:val="left" w:pos="-720"/>
              </w:tabs>
              <w:rPr>
                <w:sz w:val="20"/>
                <w:szCs w:val="20"/>
                <w:lang w:val="en-US"/>
              </w:rPr>
            </w:pPr>
          </w:p>
          <w:p w:rsidR="008A355A" w:rsidRPr="008847EB" w:rsidRDefault="00242269" w:rsidP="008A355A">
            <w:pPr>
              <w:tabs>
                <w:tab w:val="left" w:pos="-1440"/>
                <w:tab w:val="left" w:pos="-720"/>
              </w:tabs>
              <w:rPr>
                <w:b/>
                <w:sz w:val="20"/>
                <w:szCs w:val="20"/>
                <w:lang w:val="en-US"/>
              </w:rPr>
            </w:pPr>
            <w:r w:rsidRPr="008847EB">
              <w:rPr>
                <w:b/>
                <w:sz w:val="20"/>
                <w:szCs w:val="20"/>
                <w:lang w:val="en-US"/>
              </w:rPr>
              <w:t>Registrar of Alcohol, Gaming and Racing</w:t>
            </w:r>
            <w:r w:rsidR="008A355A" w:rsidRPr="008847EB">
              <w:rPr>
                <w:sz w:val="20"/>
                <w:szCs w:val="20"/>
                <w:lang w:val="en-US"/>
              </w:rPr>
              <w:t xml:space="preserve"> </w:t>
            </w:r>
            <w:r w:rsidR="008A355A" w:rsidRPr="008847EB">
              <w:rPr>
                <w:b/>
                <w:sz w:val="20"/>
                <w:szCs w:val="20"/>
                <w:lang w:val="en-US"/>
              </w:rPr>
              <w:t>(</w:t>
            </w:r>
            <w:r w:rsidR="00311EB8" w:rsidRPr="008847EB">
              <w:rPr>
                <w:b/>
                <w:sz w:val="20"/>
                <w:szCs w:val="20"/>
                <w:lang w:val="en-US"/>
              </w:rPr>
              <w:t>Ont</w:t>
            </w:r>
            <w:r w:rsidR="008A355A" w:rsidRPr="008847EB">
              <w:rPr>
                <w:b/>
                <w:sz w:val="20"/>
                <w:szCs w:val="20"/>
                <w:lang w:val="en-US"/>
              </w:rPr>
              <w:t>.)</w:t>
            </w:r>
          </w:p>
          <w:p w:rsidR="008A355A" w:rsidRPr="008847EB" w:rsidRDefault="008A355A" w:rsidP="008A355A">
            <w:pPr>
              <w:tabs>
                <w:tab w:val="left" w:pos="-1440"/>
                <w:tab w:val="left" w:pos="-720"/>
              </w:tabs>
              <w:rPr>
                <w:sz w:val="20"/>
                <w:szCs w:val="20"/>
              </w:rPr>
            </w:pPr>
            <w:r w:rsidRPr="008847EB">
              <w:rPr>
                <w:sz w:val="20"/>
                <w:szCs w:val="20"/>
                <w:lang w:val="en-US"/>
              </w:rPr>
              <w:tab/>
            </w:r>
            <w:r w:rsidR="00242269" w:rsidRPr="008847EB">
              <w:rPr>
                <w:sz w:val="20"/>
                <w:szCs w:val="20"/>
                <w:lang w:val="en-US"/>
              </w:rPr>
              <w:t>Mathai, Sunil</w:t>
            </w:r>
          </w:p>
          <w:p w:rsidR="008A355A" w:rsidRPr="008847EB" w:rsidRDefault="008A355A" w:rsidP="008A355A">
            <w:pPr>
              <w:tabs>
                <w:tab w:val="left" w:pos="-1440"/>
                <w:tab w:val="left" w:pos="-720"/>
              </w:tabs>
              <w:rPr>
                <w:sz w:val="20"/>
                <w:szCs w:val="20"/>
              </w:rPr>
            </w:pPr>
            <w:r w:rsidRPr="008847EB">
              <w:rPr>
                <w:sz w:val="20"/>
                <w:szCs w:val="20"/>
              </w:rPr>
              <w:tab/>
            </w:r>
            <w:r w:rsidR="00242269" w:rsidRPr="008847EB">
              <w:rPr>
                <w:sz w:val="20"/>
                <w:szCs w:val="20"/>
              </w:rPr>
              <w:t xml:space="preserve">Ministry of the Attorney General of </w:t>
            </w:r>
            <w:r w:rsidR="00242269" w:rsidRPr="008847EB">
              <w:rPr>
                <w:sz w:val="20"/>
                <w:szCs w:val="20"/>
              </w:rPr>
              <w:tab/>
              <w:t>Ontario</w:t>
            </w:r>
          </w:p>
          <w:p w:rsidR="008A355A" w:rsidRPr="008847EB" w:rsidRDefault="008A355A" w:rsidP="008A355A">
            <w:pPr>
              <w:tabs>
                <w:tab w:val="left" w:pos="-1440"/>
                <w:tab w:val="left" w:pos="-720"/>
              </w:tabs>
              <w:rPr>
                <w:sz w:val="20"/>
                <w:szCs w:val="20"/>
              </w:rPr>
            </w:pPr>
          </w:p>
          <w:p w:rsidR="008A355A" w:rsidRPr="008847EB" w:rsidRDefault="008A355A" w:rsidP="008A355A">
            <w:pPr>
              <w:rPr>
                <w:sz w:val="20"/>
                <w:szCs w:val="20"/>
              </w:rPr>
            </w:pPr>
            <w:r w:rsidRPr="008847EB">
              <w:rPr>
                <w:sz w:val="20"/>
                <w:szCs w:val="20"/>
              </w:rPr>
              <w:t xml:space="preserve">FILING DATE: October </w:t>
            </w:r>
            <w:r w:rsidR="00311EB8" w:rsidRPr="008847EB">
              <w:rPr>
                <w:sz w:val="20"/>
                <w:szCs w:val="20"/>
              </w:rPr>
              <w:t>8</w:t>
            </w:r>
            <w:r w:rsidRPr="008847EB">
              <w:rPr>
                <w:sz w:val="20"/>
                <w:szCs w:val="20"/>
              </w:rPr>
              <w:t>, 2019</w:t>
            </w:r>
          </w:p>
          <w:p w:rsidR="008A355A" w:rsidRPr="008847EB" w:rsidRDefault="0011194E" w:rsidP="008A355A">
            <w:pPr>
              <w:rPr>
                <w:sz w:val="20"/>
                <w:szCs w:val="20"/>
                <w:lang w:val="fr-CA"/>
              </w:rPr>
            </w:pPr>
            <w:r>
              <w:rPr>
                <w:sz w:val="20"/>
                <w:szCs w:val="20"/>
                <w:lang w:val="fr-CA"/>
              </w:rPr>
              <w:pict>
                <v:rect id="_x0000_i1036" style="width:108pt;height:1pt" o:hrpct="0" o:hralign="center" o:hrstd="t" o:hrnoshade="t" o:hr="t" fillcolor="black [3213]" stroked="f"/>
              </w:pict>
            </w:r>
          </w:p>
        </w:tc>
      </w:tr>
      <w:tr w:rsidR="008A355A" w:rsidRPr="008847EB" w:rsidTr="003B3977">
        <w:tc>
          <w:tcPr>
            <w:tcW w:w="4320" w:type="dxa"/>
            <w:shd w:val="clear" w:color="auto" w:fill="auto"/>
          </w:tcPr>
          <w:p w:rsidR="008A355A" w:rsidRPr="008847EB" w:rsidRDefault="0015545D" w:rsidP="008A355A">
            <w:pPr>
              <w:rPr>
                <w:b/>
                <w:sz w:val="20"/>
                <w:szCs w:val="20"/>
                <w:lang w:val="en-US"/>
              </w:rPr>
            </w:pPr>
            <w:r w:rsidRPr="008847EB">
              <w:rPr>
                <w:b/>
                <w:sz w:val="20"/>
                <w:szCs w:val="20"/>
                <w:lang w:val="en-US"/>
              </w:rPr>
              <w:t>Her Majesty the Queen</w:t>
            </w:r>
          </w:p>
          <w:p w:rsidR="008A355A" w:rsidRPr="008847EB" w:rsidRDefault="008A355A" w:rsidP="008A355A">
            <w:pPr>
              <w:tabs>
                <w:tab w:val="left" w:pos="-1440"/>
                <w:tab w:val="left" w:pos="-720"/>
              </w:tabs>
              <w:rPr>
                <w:sz w:val="20"/>
                <w:szCs w:val="20"/>
                <w:lang w:val="en-US"/>
              </w:rPr>
            </w:pPr>
            <w:r w:rsidRPr="008847EB">
              <w:rPr>
                <w:sz w:val="20"/>
                <w:szCs w:val="20"/>
                <w:lang w:val="en-US"/>
              </w:rPr>
              <w:tab/>
            </w:r>
            <w:r w:rsidR="006C0FFF" w:rsidRPr="008847EB">
              <w:rPr>
                <w:sz w:val="20"/>
                <w:szCs w:val="20"/>
                <w:lang w:val="en-US"/>
              </w:rPr>
              <w:t>Body, George F.</w:t>
            </w:r>
          </w:p>
          <w:p w:rsidR="008A355A" w:rsidRPr="008847EB" w:rsidRDefault="008A355A" w:rsidP="008A355A">
            <w:pPr>
              <w:tabs>
                <w:tab w:val="left" w:pos="-1440"/>
                <w:tab w:val="left" w:pos="-720"/>
              </w:tabs>
              <w:rPr>
                <w:sz w:val="20"/>
                <w:szCs w:val="20"/>
                <w:lang w:val="en-US"/>
              </w:rPr>
            </w:pPr>
            <w:r w:rsidRPr="008847EB">
              <w:rPr>
                <w:sz w:val="20"/>
                <w:szCs w:val="20"/>
                <w:lang w:val="en-US"/>
              </w:rPr>
              <w:tab/>
            </w:r>
            <w:r w:rsidR="006C0FFF" w:rsidRPr="008847EB">
              <w:rPr>
                <w:sz w:val="20"/>
                <w:szCs w:val="20"/>
                <w:lang w:val="en-US"/>
              </w:rPr>
              <w:t>Attorney General of Canada</w:t>
            </w:r>
          </w:p>
          <w:p w:rsidR="008A355A" w:rsidRPr="008847EB" w:rsidRDefault="008A355A" w:rsidP="008A355A">
            <w:pPr>
              <w:tabs>
                <w:tab w:val="left" w:pos="-1440"/>
                <w:tab w:val="left" w:pos="-720"/>
              </w:tabs>
              <w:rPr>
                <w:sz w:val="20"/>
                <w:szCs w:val="20"/>
                <w:lang w:val="en-US"/>
              </w:rPr>
            </w:pPr>
          </w:p>
          <w:p w:rsidR="008A355A" w:rsidRPr="008847EB" w:rsidRDefault="008A355A" w:rsidP="008A355A">
            <w:pPr>
              <w:tabs>
                <w:tab w:val="left" w:pos="-1440"/>
                <w:tab w:val="left" w:pos="-720"/>
              </w:tabs>
              <w:rPr>
                <w:sz w:val="20"/>
                <w:szCs w:val="20"/>
                <w:lang w:val="en-US"/>
              </w:rPr>
            </w:pPr>
            <w:r w:rsidRPr="008847EB">
              <w:rPr>
                <w:sz w:val="20"/>
                <w:szCs w:val="20"/>
                <w:lang w:val="en-US"/>
              </w:rPr>
              <w:tab/>
              <w:t>v. (388</w:t>
            </w:r>
            <w:r w:rsidR="0084673E" w:rsidRPr="008847EB">
              <w:rPr>
                <w:sz w:val="20"/>
                <w:szCs w:val="20"/>
                <w:lang w:val="en-US"/>
              </w:rPr>
              <w:t>71</w:t>
            </w:r>
            <w:r w:rsidRPr="008847EB">
              <w:rPr>
                <w:sz w:val="20"/>
                <w:szCs w:val="20"/>
                <w:lang w:val="en-US"/>
              </w:rPr>
              <w:t>)</w:t>
            </w:r>
          </w:p>
          <w:p w:rsidR="008A355A" w:rsidRPr="008847EB" w:rsidRDefault="008A355A" w:rsidP="008A355A">
            <w:pPr>
              <w:tabs>
                <w:tab w:val="left" w:pos="-1440"/>
                <w:tab w:val="left" w:pos="-720"/>
              </w:tabs>
              <w:rPr>
                <w:sz w:val="20"/>
                <w:szCs w:val="20"/>
                <w:lang w:val="en-US"/>
              </w:rPr>
            </w:pPr>
          </w:p>
          <w:p w:rsidR="008A355A" w:rsidRPr="008847EB" w:rsidRDefault="0015545D" w:rsidP="008A355A">
            <w:pPr>
              <w:tabs>
                <w:tab w:val="left" w:pos="-1440"/>
                <w:tab w:val="left" w:pos="-720"/>
              </w:tabs>
              <w:rPr>
                <w:b/>
                <w:sz w:val="20"/>
                <w:szCs w:val="20"/>
                <w:lang w:val="en-US"/>
              </w:rPr>
            </w:pPr>
            <w:r w:rsidRPr="008847EB">
              <w:rPr>
                <w:b/>
                <w:sz w:val="20"/>
                <w:szCs w:val="20"/>
                <w:lang w:val="en-US"/>
              </w:rPr>
              <w:t xml:space="preserve">Canada North Group Inc., et al. </w:t>
            </w:r>
            <w:r w:rsidR="008A355A" w:rsidRPr="008847EB">
              <w:rPr>
                <w:b/>
                <w:sz w:val="20"/>
                <w:szCs w:val="20"/>
                <w:lang w:val="en-US"/>
              </w:rPr>
              <w:t>(</w:t>
            </w:r>
            <w:r w:rsidR="0084673E" w:rsidRPr="008847EB">
              <w:rPr>
                <w:b/>
                <w:sz w:val="20"/>
                <w:szCs w:val="20"/>
                <w:lang w:val="en-US"/>
              </w:rPr>
              <w:t>Alta</w:t>
            </w:r>
            <w:r w:rsidR="008A355A" w:rsidRPr="008847EB">
              <w:rPr>
                <w:b/>
                <w:sz w:val="20"/>
                <w:szCs w:val="20"/>
                <w:lang w:val="en-US"/>
              </w:rPr>
              <w:t>.)</w:t>
            </w:r>
          </w:p>
          <w:p w:rsidR="008A355A" w:rsidRPr="008847EB" w:rsidRDefault="008A355A" w:rsidP="008A355A">
            <w:pPr>
              <w:tabs>
                <w:tab w:val="left" w:pos="-1440"/>
                <w:tab w:val="left" w:pos="-720"/>
              </w:tabs>
              <w:rPr>
                <w:sz w:val="20"/>
                <w:szCs w:val="20"/>
              </w:rPr>
            </w:pPr>
            <w:r w:rsidRPr="008847EB">
              <w:rPr>
                <w:sz w:val="20"/>
                <w:szCs w:val="20"/>
                <w:lang w:val="en-US"/>
              </w:rPr>
              <w:tab/>
            </w:r>
            <w:r w:rsidR="000E25AA" w:rsidRPr="008847EB">
              <w:rPr>
                <w:sz w:val="20"/>
                <w:szCs w:val="20"/>
                <w:lang w:val="en-US"/>
              </w:rPr>
              <w:t>Wanke, Stephanie A.</w:t>
            </w:r>
          </w:p>
          <w:p w:rsidR="008A355A" w:rsidRPr="008847EB" w:rsidRDefault="008A355A" w:rsidP="008A355A">
            <w:pPr>
              <w:tabs>
                <w:tab w:val="left" w:pos="-1440"/>
                <w:tab w:val="left" w:pos="-720"/>
              </w:tabs>
              <w:rPr>
                <w:sz w:val="20"/>
                <w:szCs w:val="20"/>
              </w:rPr>
            </w:pPr>
            <w:r w:rsidRPr="008847EB">
              <w:rPr>
                <w:sz w:val="20"/>
                <w:szCs w:val="20"/>
              </w:rPr>
              <w:tab/>
            </w:r>
            <w:r w:rsidR="000E25AA" w:rsidRPr="008847EB">
              <w:rPr>
                <w:sz w:val="20"/>
                <w:szCs w:val="20"/>
              </w:rPr>
              <w:t>Miller Thomson LLP</w:t>
            </w:r>
          </w:p>
          <w:p w:rsidR="008A355A" w:rsidRPr="008847EB" w:rsidRDefault="008A355A" w:rsidP="008A355A">
            <w:pPr>
              <w:tabs>
                <w:tab w:val="left" w:pos="-1440"/>
                <w:tab w:val="left" w:pos="-720"/>
              </w:tabs>
              <w:rPr>
                <w:sz w:val="20"/>
                <w:szCs w:val="20"/>
              </w:rPr>
            </w:pPr>
          </w:p>
          <w:p w:rsidR="008A355A" w:rsidRPr="008847EB" w:rsidRDefault="008A355A" w:rsidP="008A355A">
            <w:pPr>
              <w:rPr>
                <w:sz w:val="20"/>
                <w:szCs w:val="20"/>
              </w:rPr>
            </w:pPr>
            <w:r w:rsidRPr="008847EB">
              <w:rPr>
                <w:sz w:val="20"/>
                <w:szCs w:val="20"/>
              </w:rPr>
              <w:t xml:space="preserve">FILING DATE: October </w:t>
            </w:r>
            <w:r w:rsidR="0084673E" w:rsidRPr="008847EB">
              <w:rPr>
                <w:sz w:val="20"/>
                <w:szCs w:val="20"/>
              </w:rPr>
              <w:t>2</w:t>
            </w:r>
            <w:r w:rsidRPr="008847EB">
              <w:rPr>
                <w:sz w:val="20"/>
                <w:szCs w:val="20"/>
              </w:rPr>
              <w:t>4, 2019</w:t>
            </w:r>
          </w:p>
          <w:p w:rsidR="008A355A" w:rsidRPr="008847EB" w:rsidRDefault="0011194E" w:rsidP="008A355A">
            <w:pPr>
              <w:rPr>
                <w:b/>
                <w:sz w:val="20"/>
                <w:szCs w:val="20"/>
                <w:lang w:val="en-US"/>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p w:rsidR="008A355A" w:rsidRPr="008847EB" w:rsidRDefault="008A355A" w:rsidP="005A6243">
            <w:pPr>
              <w:jc w:val="center"/>
              <w:rPr>
                <w:sz w:val="20"/>
                <w:szCs w:val="20"/>
                <w:lang w:val="fr-CA"/>
              </w:rPr>
            </w:pPr>
          </w:p>
        </w:tc>
        <w:tc>
          <w:tcPr>
            <w:tcW w:w="4320" w:type="dxa"/>
            <w:shd w:val="clear" w:color="auto" w:fill="auto"/>
          </w:tcPr>
          <w:p w:rsidR="008A355A" w:rsidRPr="008847EB" w:rsidRDefault="008A355A" w:rsidP="005A6243">
            <w:pPr>
              <w:rPr>
                <w:sz w:val="20"/>
                <w:szCs w:val="20"/>
                <w:lang w:val="fr-CA"/>
              </w:rPr>
            </w:pPr>
          </w:p>
        </w:tc>
      </w:tr>
    </w:tbl>
    <w:p w:rsidR="00D31809" w:rsidRPr="008847EB" w:rsidRDefault="00D31809" w:rsidP="0095096B">
      <w:pPr>
        <w:tabs>
          <w:tab w:val="right" w:pos="9360"/>
        </w:tabs>
        <w:rPr>
          <w:sz w:val="20"/>
          <w:szCs w:val="20"/>
          <w:lang w:val="fr-CA"/>
        </w:rPr>
      </w:pPr>
    </w:p>
    <w:p w:rsidR="007B356A" w:rsidRPr="008847EB" w:rsidRDefault="007B356A" w:rsidP="0095096B">
      <w:pPr>
        <w:tabs>
          <w:tab w:val="right" w:pos="9360"/>
        </w:tabs>
        <w:rPr>
          <w:sz w:val="20"/>
          <w:szCs w:val="20"/>
          <w:lang w:val="fr-CA"/>
        </w:rPr>
      </w:pPr>
    </w:p>
    <w:p w:rsidR="00C01FCB" w:rsidRPr="008847EB" w:rsidRDefault="00C01FCB" w:rsidP="0095096B">
      <w:pPr>
        <w:tabs>
          <w:tab w:val="right" w:pos="9360"/>
        </w:tabs>
        <w:rPr>
          <w:sz w:val="20"/>
          <w:szCs w:val="20"/>
          <w:lang w:val="fr-CA"/>
        </w:rPr>
      </w:pPr>
    </w:p>
    <w:p w:rsidR="00242AEE" w:rsidRPr="008847EB" w:rsidRDefault="00242AEE" w:rsidP="0095096B">
      <w:pPr>
        <w:tabs>
          <w:tab w:val="right" w:pos="9360"/>
        </w:tabs>
        <w:rPr>
          <w:sz w:val="20"/>
          <w:szCs w:val="20"/>
          <w:lang w:val="fr-CA"/>
        </w:rPr>
        <w:sectPr w:rsidR="00242AEE" w:rsidRPr="008847EB"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8847EB" w:rsidRDefault="00DD0BDC" w:rsidP="00567602">
      <w:pPr>
        <w:pStyle w:val="Header1StyleE"/>
        <w:pBdr>
          <w:bottom w:val="single" w:sz="12" w:space="1" w:color="auto"/>
        </w:pBdr>
        <w:rPr>
          <w:lang w:val="fr-CA"/>
        </w:rPr>
      </w:pPr>
      <w:bookmarkStart w:id="2" w:name="_Toc24980673"/>
      <w:r w:rsidRPr="008847EB">
        <w:rPr>
          <w:lang w:val="fr-CA"/>
        </w:rPr>
        <w:lastRenderedPageBreak/>
        <w:t>Applications for leave submitted to the Court</w:t>
      </w:r>
      <w:r w:rsidR="000F2CA3" w:rsidRPr="008847EB">
        <w:rPr>
          <w:lang w:val="fr-CA"/>
        </w:rPr>
        <w:t xml:space="preserve"> </w:t>
      </w:r>
      <w:r w:rsidRPr="008847EB">
        <w:rPr>
          <w:lang w:val="fr-CA"/>
        </w:rPr>
        <w:t>since the last issue</w:t>
      </w:r>
      <w:r w:rsidR="000F2CA3" w:rsidRPr="008847EB">
        <w:rPr>
          <w:lang w:val="fr-CA"/>
        </w:rPr>
        <w:t xml:space="preserve"> </w:t>
      </w:r>
      <w:r w:rsidR="00271E1E" w:rsidRPr="008847EB">
        <w:rPr>
          <w:lang w:val="fr-CA"/>
        </w:rPr>
        <w:t xml:space="preserve">/ </w:t>
      </w:r>
      <w:r w:rsidRPr="008847EB">
        <w:rPr>
          <w:lang w:val="fr-CA"/>
        </w:rPr>
        <w:br/>
        <w:t xml:space="preserve">Demandes soumises à la </w:t>
      </w:r>
      <w:r w:rsidR="000C1D9D" w:rsidRPr="008847EB">
        <w:rPr>
          <w:lang w:val="fr-CA"/>
        </w:rPr>
        <w:t>C</w:t>
      </w:r>
      <w:r w:rsidRPr="008847EB">
        <w:rPr>
          <w:lang w:val="fr-CA"/>
        </w:rPr>
        <w:t>our depuis la dernière parution</w:t>
      </w:r>
      <w:bookmarkEnd w:id="2"/>
    </w:p>
    <w:p w:rsidR="00FB1DB6" w:rsidRPr="008847EB" w:rsidRDefault="00FB1DB6" w:rsidP="00FB1DB6">
      <w:pPr>
        <w:rPr>
          <w:lang w:val="fr-CA" w:eastAsia="en-CA"/>
        </w:rPr>
      </w:pPr>
    </w:p>
    <w:p w:rsidR="00102792" w:rsidRPr="008847EB" w:rsidRDefault="008C4AB9" w:rsidP="00102792">
      <w:pPr>
        <w:widowControl w:val="0"/>
        <w:rPr>
          <w:b/>
          <w:sz w:val="20"/>
          <w:szCs w:val="20"/>
          <w:lang w:val="fr-CA"/>
        </w:rPr>
      </w:pPr>
      <w:r w:rsidRPr="008847EB">
        <w:rPr>
          <w:b/>
          <w:sz w:val="20"/>
          <w:szCs w:val="20"/>
          <w:lang w:val="fr-CA"/>
        </w:rPr>
        <w:t>NOVEMB</w:t>
      </w:r>
      <w:r w:rsidR="00102792" w:rsidRPr="008847EB">
        <w:rPr>
          <w:b/>
          <w:sz w:val="20"/>
          <w:szCs w:val="20"/>
          <w:lang w:val="fr-CA"/>
        </w:rPr>
        <w:t xml:space="preserve">ER </w:t>
      </w:r>
      <w:r w:rsidRPr="008847EB">
        <w:rPr>
          <w:b/>
          <w:sz w:val="20"/>
          <w:szCs w:val="20"/>
          <w:lang w:val="fr-CA"/>
        </w:rPr>
        <w:t>1</w:t>
      </w:r>
      <w:r w:rsidR="00D4114F" w:rsidRPr="008847EB">
        <w:rPr>
          <w:b/>
          <w:sz w:val="20"/>
          <w:szCs w:val="20"/>
          <w:lang w:val="fr-CA"/>
        </w:rPr>
        <w:t>8</w:t>
      </w:r>
      <w:r w:rsidR="00102792" w:rsidRPr="008847EB">
        <w:rPr>
          <w:b/>
          <w:sz w:val="20"/>
          <w:szCs w:val="20"/>
          <w:lang w:val="fr-CA"/>
        </w:rPr>
        <w:t xml:space="preserve">, </w:t>
      </w:r>
      <w:r w:rsidR="0034657E" w:rsidRPr="008847EB">
        <w:rPr>
          <w:b/>
          <w:sz w:val="20"/>
          <w:szCs w:val="20"/>
          <w:lang w:val="fr-CA"/>
        </w:rPr>
        <w:t>2019</w:t>
      </w:r>
      <w:r w:rsidR="00102792" w:rsidRPr="008847EB">
        <w:rPr>
          <w:b/>
          <w:sz w:val="20"/>
          <w:szCs w:val="20"/>
          <w:lang w:val="fr-CA"/>
        </w:rPr>
        <w:t xml:space="preserve"> / LE </w:t>
      </w:r>
      <w:r w:rsidRPr="008847EB">
        <w:rPr>
          <w:b/>
          <w:sz w:val="20"/>
          <w:szCs w:val="20"/>
          <w:lang w:val="fr-CA"/>
        </w:rPr>
        <w:t>1</w:t>
      </w:r>
      <w:r w:rsidR="00D4114F" w:rsidRPr="008847EB">
        <w:rPr>
          <w:b/>
          <w:sz w:val="20"/>
          <w:szCs w:val="20"/>
          <w:lang w:val="fr-CA"/>
        </w:rPr>
        <w:t>8</w:t>
      </w:r>
      <w:r w:rsidR="00102792" w:rsidRPr="008847EB">
        <w:rPr>
          <w:b/>
          <w:sz w:val="20"/>
          <w:szCs w:val="20"/>
          <w:lang w:val="fr-CA"/>
        </w:rPr>
        <w:t xml:space="preserve"> </w:t>
      </w:r>
      <w:r w:rsidRPr="008847EB">
        <w:rPr>
          <w:b/>
          <w:sz w:val="20"/>
          <w:szCs w:val="20"/>
          <w:lang w:val="fr-CA"/>
        </w:rPr>
        <w:t>NOVEM</w:t>
      </w:r>
      <w:r w:rsidR="00102792" w:rsidRPr="008847EB">
        <w:rPr>
          <w:b/>
          <w:sz w:val="20"/>
          <w:szCs w:val="20"/>
          <w:lang w:val="fr-CA"/>
        </w:rPr>
        <w:t xml:space="preserve">BRE </w:t>
      </w:r>
      <w:r w:rsidR="0034657E" w:rsidRPr="008847EB">
        <w:rPr>
          <w:b/>
          <w:sz w:val="20"/>
          <w:szCs w:val="20"/>
          <w:lang w:val="fr-CA"/>
        </w:rPr>
        <w:t>2019</w:t>
      </w:r>
    </w:p>
    <w:p w:rsidR="00D4114F" w:rsidRPr="008847EB" w:rsidRDefault="00D4114F" w:rsidP="00D4114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D4114F" w:rsidRPr="00684C75" w:rsidTr="008A1FAE">
        <w:trPr>
          <w:cantSplit/>
        </w:trPr>
        <w:tc>
          <w:tcPr>
            <w:tcW w:w="508" w:type="dxa"/>
          </w:tcPr>
          <w:p w:rsidR="00D4114F" w:rsidRPr="008847EB" w:rsidRDefault="00D4114F" w:rsidP="008A1FAE">
            <w:pPr>
              <w:rPr>
                <w:sz w:val="20"/>
                <w:szCs w:val="20"/>
                <w:lang w:val="fr-CA"/>
              </w:rPr>
            </w:pPr>
          </w:p>
        </w:tc>
        <w:tc>
          <w:tcPr>
            <w:tcW w:w="810" w:type="dxa"/>
          </w:tcPr>
          <w:p w:rsidR="00D4114F" w:rsidRPr="008847EB" w:rsidRDefault="00D4114F" w:rsidP="008A1FAE">
            <w:pPr>
              <w:rPr>
                <w:sz w:val="20"/>
                <w:szCs w:val="20"/>
                <w:lang w:val="fr-CA"/>
              </w:rPr>
            </w:pPr>
          </w:p>
        </w:tc>
        <w:tc>
          <w:tcPr>
            <w:tcW w:w="8258" w:type="dxa"/>
            <w:gridSpan w:val="3"/>
          </w:tcPr>
          <w:p w:rsidR="00D4114F" w:rsidRPr="008847EB" w:rsidRDefault="00D4114F" w:rsidP="00D4114F">
            <w:pPr>
              <w:widowControl w:val="0"/>
              <w:jc w:val="center"/>
              <w:rPr>
                <w:b/>
                <w:sz w:val="20"/>
                <w:szCs w:val="20"/>
              </w:rPr>
            </w:pPr>
            <w:r w:rsidRPr="008847EB">
              <w:rPr>
                <w:b/>
                <w:sz w:val="20"/>
                <w:szCs w:val="20"/>
              </w:rPr>
              <w:t>CORAM:  Chief Justice Wagner and Rowe and Kasirer JJ.</w:t>
            </w:r>
          </w:p>
          <w:p w:rsidR="00D4114F" w:rsidRPr="008847EB" w:rsidRDefault="00D4114F" w:rsidP="00D4114F">
            <w:pPr>
              <w:widowControl w:val="0"/>
              <w:jc w:val="center"/>
              <w:rPr>
                <w:b/>
                <w:sz w:val="20"/>
                <w:szCs w:val="20"/>
                <w:lang w:val="fr-CA"/>
              </w:rPr>
            </w:pPr>
            <w:r w:rsidRPr="008847EB">
              <w:rPr>
                <w:b/>
                <w:sz w:val="20"/>
                <w:szCs w:val="20"/>
                <w:lang w:val="fr-CA"/>
              </w:rPr>
              <w:t>Le juge en chef Wagner et les juges Rowe et Kasirer</w:t>
            </w:r>
          </w:p>
        </w:tc>
      </w:tr>
      <w:tr w:rsidR="00D4114F" w:rsidRPr="008847EB" w:rsidTr="008A1FAE">
        <w:trPr>
          <w:cantSplit/>
        </w:trPr>
        <w:tc>
          <w:tcPr>
            <w:tcW w:w="508" w:type="dxa"/>
          </w:tcPr>
          <w:p w:rsidR="00D4114F" w:rsidRPr="008847EB" w:rsidRDefault="00D4114F" w:rsidP="008A1FAE">
            <w:pPr>
              <w:rPr>
                <w:sz w:val="20"/>
                <w:szCs w:val="20"/>
                <w:lang w:val="fr-CA"/>
              </w:rPr>
            </w:pPr>
          </w:p>
        </w:tc>
        <w:tc>
          <w:tcPr>
            <w:tcW w:w="810" w:type="dxa"/>
          </w:tcPr>
          <w:p w:rsidR="00D4114F" w:rsidRPr="008847EB" w:rsidRDefault="00D4114F" w:rsidP="008A1FAE">
            <w:pPr>
              <w:rPr>
                <w:sz w:val="20"/>
                <w:szCs w:val="20"/>
                <w:lang w:val="fr-CA"/>
              </w:rPr>
            </w:pPr>
          </w:p>
        </w:tc>
        <w:tc>
          <w:tcPr>
            <w:tcW w:w="4050" w:type="dxa"/>
          </w:tcPr>
          <w:p w:rsidR="00D4114F" w:rsidRPr="008847EB" w:rsidRDefault="00D4114F" w:rsidP="008A1FAE">
            <w:pPr>
              <w:pStyle w:val="SCCAppellantInfoTypeOfCase"/>
              <w:rPr>
                <w:sz w:val="20"/>
                <w:szCs w:val="20"/>
              </w:rPr>
            </w:pPr>
            <w:r w:rsidRPr="008847EB">
              <w:rPr>
                <w:sz w:val="20"/>
                <w:szCs w:val="20"/>
              </w:rPr>
              <w:t>Criminal / Criminelle</w:t>
            </w:r>
          </w:p>
        </w:tc>
        <w:tc>
          <w:tcPr>
            <w:tcW w:w="360" w:type="dxa"/>
          </w:tcPr>
          <w:p w:rsidR="00D4114F" w:rsidRPr="008847EB" w:rsidRDefault="00D4114F" w:rsidP="008A1FAE">
            <w:pPr>
              <w:rPr>
                <w:sz w:val="20"/>
                <w:szCs w:val="20"/>
              </w:rPr>
            </w:pPr>
          </w:p>
        </w:tc>
        <w:tc>
          <w:tcPr>
            <w:tcW w:w="3848" w:type="dxa"/>
          </w:tcPr>
          <w:p w:rsidR="00D4114F" w:rsidRPr="008847EB" w:rsidRDefault="00D4114F" w:rsidP="008A1FAE">
            <w:pPr>
              <w:rPr>
                <w:sz w:val="20"/>
                <w:szCs w:val="20"/>
              </w:rPr>
            </w:pPr>
          </w:p>
        </w:tc>
      </w:tr>
      <w:tr w:rsidR="00D4114F" w:rsidRPr="008847EB" w:rsidTr="008A1FAE">
        <w:trPr>
          <w:cantSplit/>
        </w:trPr>
        <w:tc>
          <w:tcPr>
            <w:tcW w:w="508" w:type="dxa"/>
          </w:tcPr>
          <w:p w:rsidR="00D4114F" w:rsidRPr="008847EB" w:rsidRDefault="00D4114F" w:rsidP="008A1FAE">
            <w:pPr>
              <w:rPr>
                <w:sz w:val="20"/>
                <w:szCs w:val="20"/>
              </w:rPr>
            </w:pPr>
            <w:r w:rsidRPr="008847EB">
              <w:rPr>
                <w:sz w:val="20"/>
                <w:szCs w:val="20"/>
              </w:rPr>
              <w:t>1.</w:t>
            </w:r>
          </w:p>
        </w:tc>
        <w:tc>
          <w:tcPr>
            <w:tcW w:w="810" w:type="dxa"/>
          </w:tcPr>
          <w:p w:rsidR="00D4114F" w:rsidRPr="008847EB" w:rsidRDefault="00D4114F" w:rsidP="008A1FAE">
            <w:pPr>
              <w:rPr>
                <w:sz w:val="20"/>
                <w:szCs w:val="20"/>
              </w:rPr>
            </w:pPr>
            <w:r w:rsidRPr="008847EB">
              <w:rPr>
                <w:sz w:val="20"/>
                <w:szCs w:val="20"/>
              </w:rPr>
              <w:t>38785</w:t>
            </w:r>
          </w:p>
        </w:tc>
        <w:tc>
          <w:tcPr>
            <w:tcW w:w="4050" w:type="dxa"/>
          </w:tcPr>
          <w:p w:rsidR="00D4114F" w:rsidRPr="008847EB" w:rsidRDefault="00D4114F" w:rsidP="008A1FAE">
            <w:pPr>
              <w:pStyle w:val="SCCAppellantInfoAppellantInfo"/>
              <w:rPr>
                <w:sz w:val="20"/>
                <w:szCs w:val="20"/>
              </w:rPr>
            </w:pPr>
            <w:r w:rsidRPr="008847EB">
              <w:rPr>
                <w:sz w:val="20"/>
                <w:szCs w:val="20"/>
              </w:rPr>
              <w:t>Ryan Curtis Reilly</w:t>
            </w:r>
          </w:p>
          <w:p w:rsidR="00D4114F" w:rsidRPr="008847EB" w:rsidRDefault="00D4114F" w:rsidP="008A1FAE">
            <w:pPr>
              <w:pStyle w:val="SCCAppellantInfoAppellantInfo"/>
              <w:rPr>
                <w:sz w:val="20"/>
                <w:szCs w:val="20"/>
              </w:rPr>
            </w:pPr>
            <w:r w:rsidRPr="008847EB">
              <w:rPr>
                <w:sz w:val="20"/>
                <w:szCs w:val="20"/>
              </w:rPr>
              <w:t>(Alta.) (Criminal) (By Leave)</w:t>
            </w:r>
          </w:p>
        </w:tc>
        <w:tc>
          <w:tcPr>
            <w:tcW w:w="360" w:type="dxa"/>
          </w:tcPr>
          <w:p w:rsidR="00D4114F" w:rsidRPr="008847EB" w:rsidRDefault="00D4114F" w:rsidP="008A1FAE">
            <w:pPr>
              <w:rPr>
                <w:sz w:val="20"/>
                <w:szCs w:val="20"/>
              </w:rPr>
            </w:pPr>
            <w:r w:rsidRPr="008847EB">
              <w:rPr>
                <w:sz w:val="20"/>
                <w:szCs w:val="20"/>
              </w:rPr>
              <w:t>v.</w:t>
            </w:r>
          </w:p>
        </w:tc>
        <w:tc>
          <w:tcPr>
            <w:tcW w:w="3848" w:type="dxa"/>
          </w:tcPr>
          <w:p w:rsidR="00D4114F" w:rsidRPr="008847EB" w:rsidRDefault="00D4114F" w:rsidP="008A1FAE">
            <w:pPr>
              <w:pStyle w:val="SCCAppellantInfoAppellantInfo"/>
              <w:rPr>
                <w:sz w:val="20"/>
                <w:szCs w:val="20"/>
              </w:rPr>
            </w:pPr>
            <w:r w:rsidRPr="008847EB">
              <w:rPr>
                <w:sz w:val="20"/>
                <w:szCs w:val="20"/>
              </w:rPr>
              <w:t>Her Majesty the Queen</w:t>
            </w:r>
          </w:p>
        </w:tc>
      </w:tr>
      <w:tr w:rsidR="00D4114F" w:rsidRPr="008847EB" w:rsidTr="008A1FAE">
        <w:trPr>
          <w:cantSplit/>
        </w:trPr>
        <w:tc>
          <w:tcPr>
            <w:tcW w:w="508" w:type="dxa"/>
          </w:tcPr>
          <w:p w:rsidR="00D4114F" w:rsidRPr="008847EB" w:rsidRDefault="00D4114F" w:rsidP="008A1FAE">
            <w:pPr>
              <w:rPr>
                <w:sz w:val="20"/>
                <w:szCs w:val="20"/>
              </w:rPr>
            </w:pPr>
          </w:p>
        </w:tc>
        <w:tc>
          <w:tcPr>
            <w:tcW w:w="810" w:type="dxa"/>
          </w:tcPr>
          <w:p w:rsidR="00D4114F" w:rsidRPr="008847EB" w:rsidRDefault="00D4114F" w:rsidP="008A1FAE">
            <w:pPr>
              <w:rPr>
                <w:sz w:val="20"/>
                <w:szCs w:val="20"/>
              </w:rPr>
            </w:pPr>
          </w:p>
        </w:tc>
        <w:tc>
          <w:tcPr>
            <w:tcW w:w="4050" w:type="dxa"/>
          </w:tcPr>
          <w:p w:rsidR="00D4114F" w:rsidRPr="008847EB" w:rsidRDefault="00D4114F" w:rsidP="008A1FAE">
            <w:pPr>
              <w:pStyle w:val="SCCAppellantInfoTypeOfCase"/>
              <w:rPr>
                <w:sz w:val="20"/>
                <w:szCs w:val="20"/>
              </w:rPr>
            </w:pPr>
            <w:r w:rsidRPr="008847EB">
              <w:rPr>
                <w:sz w:val="20"/>
                <w:szCs w:val="20"/>
              </w:rPr>
              <w:t>Civil / Civile</w:t>
            </w:r>
          </w:p>
        </w:tc>
        <w:tc>
          <w:tcPr>
            <w:tcW w:w="360" w:type="dxa"/>
          </w:tcPr>
          <w:p w:rsidR="00D4114F" w:rsidRPr="008847EB" w:rsidRDefault="00D4114F" w:rsidP="008A1FAE">
            <w:pPr>
              <w:rPr>
                <w:sz w:val="20"/>
                <w:szCs w:val="20"/>
              </w:rPr>
            </w:pPr>
          </w:p>
        </w:tc>
        <w:tc>
          <w:tcPr>
            <w:tcW w:w="3848" w:type="dxa"/>
          </w:tcPr>
          <w:p w:rsidR="00D4114F" w:rsidRPr="008847EB" w:rsidRDefault="00D4114F" w:rsidP="008A1FAE">
            <w:pPr>
              <w:rPr>
                <w:sz w:val="20"/>
                <w:szCs w:val="20"/>
              </w:rPr>
            </w:pPr>
          </w:p>
        </w:tc>
      </w:tr>
      <w:tr w:rsidR="00D4114F" w:rsidRPr="00684C75" w:rsidTr="008A1FAE">
        <w:trPr>
          <w:cantSplit/>
        </w:trPr>
        <w:tc>
          <w:tcPr>
            <w:tcW w:w="508" w:type="dxa"/>
          </w:tcPr>
          <w:p w:rsidR="00D4114F" w:rsidRPr="008847EB" w:rsidRDefault="00D4114F" w:rsidP="008A1FAE">
            <w:pPr>
              <w:rPr>
                <w:sz w:val="20"/>
                <w:szCs w:val="20"/>
              </w:rPr>
            </w:pPr>
            <w:r w:rsidRPr="008847EB">
              <w:rPr>
                <w:sz w:val="20"/>
                <w:szCs w:val="20"/>
              </w:rPr>
              <w:t>2.</w:t>
            </w:r>
          </w:p>
        </w:tc>
        <w:tc>
          <w:tcPr>
            <w:tcW w:w="810" w:type="dxa"/>
          </w:tcPr>
          <w:p w:rsidR="00D4114F" w:rsidRPr="008847EB" w:rsidRDefault="00D4114F" w:rsidP="008A1FAE">
            <w:pPr>
              <w:rPr>
                <w:sz w:val="20"/>
                <w:szCs w:val="20"/>
              </w:rPr>
            </w:pPr>
            <w:r w:rsidRPr="008847EB">
              <w:rPr>
                <w:sz w:val="20"/>
                <w:szCs w:val="20"/>
              </w:rPr>
              <w:t>38694</w:t>
            </w:r>
          </w:p>
        </w:tc>
        <w:tc>
          <w:tcPr>
            <w:tcW w:w="4050" w:type="dxa"/>
          </w:tcPr>
          <w:p w:rsidR="00D4114F" w:rsidRPr="008847EB" w:rsidRDefault="00D4114F" w:rsidP="008A1FAE">
            <w:pPr>
              <w:pStyle w:val="SCCAppellantInfoAppellantInfo"/>
              <w:rPr>
                <w:sz w:val="20"/>
                <w:szCs w:val="20"/>
                <w:lang w:val="fr-CA"/>
              </w:rPr>
            </w:pPr>
            <w:r w:rsidRPr="008847EB">
              <w:rPr>
                <w:sz w:val="20"/>
                <w:szCs w:val="20"/>
                <w:lang w:val="fr-CA"/>
              </w:rPr>
              <w:t>Packers Plus Energy Services Inc., et al.</w:t>
            </w:r>
          </w:p>
          <w:p w:rsidR="00D4114F" w:rsidRPr="008847EB" w:rsidRDefault="00D4114F" w:rsidP="008A1FAE">
            <w:pPr>
              <w:pStyle w:val="SCCAppellantInfoAppellantInfo"/>
              <w:rPr>
                <w:sz w:val="20"/>
                <w:szCs w:val="20"/>
                <w:lang w:val="en-US"/>
              </w:rPr>
            </w:pPr>
            <w:r w:rsidRPr="008847EB">
              <w:rPr>
                <w:sz w:val="20"/>
                <w:szCs w:val="20"/>
                <w:lang w:val="en-US"/>
              </w:rPr>
              <w:t>(F</w:t>
            </w:r>
            <w:r w:rsidR="00864F45" w:rsidRPr="008847EB">
              <w:rPr>
                <w:sz w:val="20"/>
                <w:szCs w:val="20"/>
                <w:lang w:val="en-US"/>
              </w:rPr>
              <w:t>.</w:t>
            </w:r>
            <w:r w:rsidRPr="008847EB">
              <w:rPr>
                <w:sz w:val="20"/>
                <w:szCs w:val="20"/>
                <w:lang w:val="en-US"/>
              </w:rPr>
              <w:t>C</w:t>
            </w:r>
            <w:r w:rsidR="00864F45" w:rsidRPr="008847EB">
              <w:rPr>
                <w:sz w:val="20"/>
                <w:szCs w:val="20"/>
                <w:lang w:val="en-US"/>
              </w:rPr>
              <w:t>.</w:t>
            </w:r>
            <w:r w:rsidRPr="008847EB">
              <w:rPr>
                <w:sz w:val="20"/>
                <w:szCs w:val="20"/>
                <w:lang w:val="en-US"/>
              </w:rPr>
              <w:t>) (Civil) (By Leave)</w:t>
            </w:r>
          </w:p>
        </w:tc>
        <w:tc>
          <w:tcPr>
            <w:tcW w:w="360" w:type="dxa"/>
          </w:tcPr>
          <w:p w:rsidR="00D4114F" w:rsidRPr="008847EB" w:rsidRDefault="00D4114F" w:rsidP="008A1FAE">
            <w:pPr>
              <w:rPr>
                <w:sz w:val="20"/>
                <w:szCs w:val="20"/>
                <w:lang w:val="fr-CA"/>
              </w:rPr>
            </w:pPr>
            <w:r w:rsidRPr="008847EB">
              <w:rPr>
                <w:sz w:val="20"/>
                <w:szCs w:val="20"/>
                <w:lang w:val="fr-CA"/>
              </w:rPr>
              <w:t>v.</w:t>
            </w:r>
          </w:p>
        </w:tc>
        <w:tc>
          <w:tcPr>
            <w:tcW w:w="3848" w:type="dxa"/>
          </w:tcPr>
          <w:p w:rsidR="00D4114F" w:rsidRPr="008847EB" w:rsidRDefault="00D4114F" w:rsidP="008A1FAE">
            <w:pPr>
              <w:pStyle w:val="SCCAppellantInfoAppellantInfo"/>
              <w:rPr>
                <w:sz w:val="20"/>
                <w:szCs w:val="20"/>
                <w:lang w:val="fr-CA"/>
              </w:rPr>
            </w:pPr>
            <w:r w:rsidRPr="008847EB">
              <w:rPr>
                <w:sz w:val="20"/>
                <w:szCs w:val="20"/>
                <w:lang w:val="fr-CA"/>
              </w:rPr>
              <w:t>Essential Energy Services Ltd., et al.</w:t>
            </w:r>
          </w:p>
        </w:tc>
      </w:tr>
      <w:tr w:rsidR="00D4114F" w:rsidRPr="00684C75" w:rsidTr="008A1FAE">
        <w:trPr>
          <w:cantSplit/>
        </w:trPr>
        <w:tc>
          <w:tcPr>
            <w:tcW w:w="508" w:type="dxa"/>
          </w:tcPr>
          <w:p w:rsidR="00D4114F" w:rsidRPr="008847EB" w:rsidRDefault="00D4114F" w:rsidP="008A1FAE">
            <w:pPr>
              <w:rPr>
                <w:sz w:val="20"/>
                <w:szCs w:val="20"/>
                <w:lang w:val="fr-CA"/>
              </w:rPr>
            </w:pPr>
            <w:r w:rsidRPr="008847EB">
              <w:rPr>
                <w:sz w:val="20"/>
                <w:szCs w:val="20"/>
                <w:lang w:val="fr-CA"/>
              </w:rPr>
              <w:t>3.</w:t>
            </w:r>
          </w:p>
        </w:tc>
        <w:tc>
          <w:tcPr>
            <w:tcW w:w="810" w:type="dxa"/>
          </w:tcPr>
          <w:p w:rsidR="00D4114F" w:rsidRPr="008847EB" w:rsidRDefault="00D4114F" w:rsidP="008A1FAE">
            <w:pPr>
              <w:rPr>
                <w:sz w:val="20"/>
                <w:szCs w:val="20"/>
                <w:lang w:val="fr-CA"/>
              </w:rPr>
            </w:pPr>
            <w:r w:rsidRPr="008847EB">
              <w:rPr>
                <w:sz w:val="20"/>
                <w:szCs w:val="20"/>
                <w:lang w:val="fr-CA"/>
              </w:rPr>
              <w:t>38766</w:t>
            </w:r>
          </w:p>
        </w:tc>
        <w:tc>
          <w:tcPr>
            <w:tcW w:w="4050" w:type="dxa"/>
          </w:tcPr>
          <w:p w:rsidR="00D4114F" w:rsidRPr="008847EB" w:rsidRDefault="00D4114F" w:rsidP="008A1FAE">
            <w:pPr>
              <w:pStyle w:val="SCCAppellantInfoAppellantInfo"/>
              <w:rPr>
                <w:sz w:val="20"/>
                <w:szCs w:val="20"/>
                <w:lang w:val="fr-CA"/>
              </w:rPr>
            </w:pPr>
            <w:r w:rsidRPr="008847EB">
              <w:rPr>
                <w:sz w:val="20"/>
                <w:szCs w:val="20"/>
                <w:lang w:val="fr-CA"/>
              </w:rPr>
              <w:t>Katy Jean</w:t>
            </w:r>
          </w:p>
          <w:p w:rsidR="00D4114F" w:rsidRPr="008847EB" w:rsidRDefault="00D4114F" w:rsidP="008A1FAE">
            <w:pPr>
              <w:pStyle w:val="SCCAppellantInfoAppellantInfo"/>
              <w:rPr>
                <w:sz w:val="20"/>
                <w:szCs w:val="20"/>
                <w:lang w:val="fr-CA"/>
              </w:rPr>
            </w:pPr>
            <w:r w:rsidRPr="008847EB">
              <w:rPr>
                <w:sz w:val="20"/>
                <w:szCs w:val="20"/>
                <w:lang w:val="fr-CA"/>
              </w:rPr>
              <w:t>(Qc) (Civile) (Autorisation)</w:t>
            </w:r>
          </w:p>
        </w:tc>
        <w:tc>
          <w:tcPr>
            <w:tcW w:w="360" w:type="dxa"/>
          </w:tcPr>
          <w:p w:rsidR="00D4114F" w:rsidRPr="008847EB" w:rsidRDefault="00D4114F" w:rsidP="008A1FAE">
            <w:pPr>
              <w:rPr>
                <w:sz w:val="20"/>
                <w:szCs w:val="20"/>
                <w:lang w:val="fr-CA"/>
              </w:rPr>
            </w:pPr>
            <w:r w:rsidRPr="008847EB">
              <w:rPr>
                <w:sz w:val="20"/>
                <w:szCs w:val="20"/>
                <w:lang w:val="fr-CA"/>
              </w:rPr>
              <w:t>c.</w:t>
            </w:r>
          </w:p>
        </w:tc>
        <w:tc>
          <w:tcPr>
            <w:tcW w:w="3848" w:type="dxa"/>
          </w:tcPr>
          <w:p w:rsidR="00D4114F" w:rsidRPr="008847EB" w:rsidRDefault="00D4114F" w:rsidP="008A1FAE">
            <w:pPr>
              <w:pStyle w:val="SCCAppellantInfoAppellantInfo"/>
              <w:rPr>
                <w:sz w:val="20"/>
                <w:szCs w:val="20"/>
                <w:lang w:val="fr-CA"/>
              </w:rPr>
            </w:pPr>
            <w:r w:rsidRPr="008847EB">
              <w:rPr>
                <w:sz w:val="20"/>
                <w:szCs w:val="20"/>
                <w:lang w:val="fr-CA"/>
              </w:rPr>
              <w:t>Agence du revenu du Québec</w:t>
            </w:r>
          </w:p>
        </w:tc>
      </w:tr>
      <w:tr w:rsidR="009C1CAD" w:rsidRPr="00684C75" w:rsidTr="008A1FAE">
        <w:trPr>
          <w:cantSplit/>
        </w:trPr>
        <w:tc>
          <w:tcPr>
            <w:tcW w:w="508" w:type="dxa"/>
          </w:tcPr>
          <w:p w:rsidR="009C1CAD" w:rsidRPr="008847EB" w:rsidRDefault="009C1CAD" w:rsidP="008A1FAE">
            <w:pPr>
              <w:rPr>
                <w:sz w:val="20"/>
                <w:szCs w:val="20"/>
                <w:lang w:val="fr-CA"/>
              </w:rPr>
            </w:pPr>
          </w:p>
        </w:tc>
        <w:tc>
          <w:tcPr>
            <w:tcW w:w="810" w:type="dxa"/>
          </w:tcPr>
          <w:p w:rsidR="009C1CAD" w:rsidRPr="008847EB" w:rsidRDefault="009C1CAD" w:rsidP="008A1FAE">
            <w:pPr>
              <w:rPr>
                <w:sz w:val="20"/>
                <w:szCs w:val="20"/>
                <w:lang w:val="fr-CA"/>
              </w:rPr>
            </w:pPr>
          </w:p>
        </w:tc>
        <w:tc>
          <w:tcPr>
            <w:tcW w:w="8258" w:type="dxa"/>
            <w:gridSpan w:val="3"/>
          </w:tcPr>
          <w:p w:rsidR="009C1CAD" w:rsidRPr="008847EB" w:rsidRDefault="009C1CAD" w:rsidP="009C1CAD">
            <w:pPr>
              <w:widowControl w:val="0"/>
              <w:jc w:val="center"/>
              <w:rPr>
                <w:b/>
                <w:sz w:val="20"/>
                <w:szCs w:val="20"/>
                <w:lang w:val="en-US"/>
              </w:rPr>
            </w:pPr>
            <w:r w:rsidRPr="008847EB">
              <w:rPr>
                <w:b/>
                <w:sz w:val="20"/>
                <w:szCs w:val="20"/>
                <w:lang w:val="en-US"/>
              </w:rPr>
              <w:t>CORAM: Abella, Karakatsanis and Brown JJ.</w:t>
            </w:r>
          </w:p>
          <w:p w:rsidR="009C1CAD" w:rsidRPr="008847EB" w:rsidRDefault="009C1CAD" w:rsidP="009C1CAD">
            <w:pPr>
              <w:widowControl w:val="0"/>
              <w:jc w:val="center"/>
              <w:rPr>
                <w:b/>
                <w:sz w:val="20"/>
                <w:szCs w:val="20"/>
                <w:lang w:val="fr-CA"/>
              </w:rPr>
            </w:pPr>
            <w:r w:rsidRPr="008847EB">
              <w:rPr>
                <w:b/>
                <w:sz w:val="20"/>
                <w:szCs w:val="20"/>
                <w:lang w:val="fr-CA"/>
              </w:rPr>
              <w:t>Les juges Abella, Karakatsanis et Brown</w:t>
            </w:r>
          </w:p>
        </w:tc>
      </w:tr>
      <w:tr w:rsidR="00D4114F" w:rsidRPr="008847EB" w:rsidTr="008A1FAE">
        <w:trPr>
          <w:cantSplit/>
        </w:trPr>
        <w:tc>
          <w:tcPr>
            <w:tcW w:w="508" w:type="dxa"/>
          </w:tcPr>
          <w:p w:rsidR="00D4114F" w:rsidRPr="008847EB" w:rsidRDefault="00D4114F" w:rsidP="008A1FAE">
            <w:pPr>
              <w:rPr>
                <w:sz w:val="20"/>
                <w:szCs w:val="20"/>
                <w:lang w:val="fr-CA"/>
              </w:rPr>
            </w:pPr>
          </w:p>
        </w:tc>
        <w:tc>
          <w:tcPr>
            <w:tcW w:w="810" w:type="dxa"/>
          </w:tcPr>
          <w:p w:rsidR="00D4114F" w:rsidRPr="008847EB" w:rsidRDefault="00D4114F" w:rsidP="008A1FAE">
            <w:pPr>
              <w:rPr>
                <w:sz w:val="20"/>
                <w:szCs w:val="20"/>
                <w:lang w:val="fr-CA"/>
              </w:rPr>
            </w:pPr>
          </w:p>
        </w:tc>
        <w:tc>
          <w:tcPr>
            <w:tcW w:w="4050" w:type="dxa"/>
          </w:tcPr>
          <w:p w:rsidR="00D4114F" w:rsidRPr="008847EB" w:rsidRDefault="00D4114F" w:rsidP="008A1FAE">
            <w:pPr>
              <w:pStyle w:val="SCCAppellantInfoTypeOfCase"/>
              <w:rPr>
                <w:sz w:val="20"/>
                <w:szCs w:val="20"/>
              </w:rPr>
            </w:pPr>
            <w:r w:rsidRPr="008847EB">
              <w:rPr>
                <w:sz w:val="20"/>
                <w:szCs w:val="20"/>
              </w:rPr>
              <w:t>Criminal / Criminelle</w:t>
            </w:r>
          </w:p>
        </w:tc>
        <w:tc>
          <w:tcPr>
            <w:tcW w:w="360" w:type="dxa"/>
          </w:tcPr>
          <w:p w:rsidR="00D4114F" w:rsidRPr="008847EB" w:rsidRDefault="00D4114F" w:rsidP="008A1FAE">
            <w:pPr>
              <w:rPr>
                <w:sz w:val="20"/>
                <w:szCs w:val="20"/>
              </w:rPr>
            </w:pPr>
          </w:p>
        </w:tc>
        <w:tc>
          <w:tcPr>
            <w:tcW w:w="3848" w:type="dxa"/>
          </w:tcPr>
          <w:p w:rsidR="00D4114F" w:rsidRPr="008847EB" w:rsidRDefault="00D4114F" w:rsidP="008A1FAE">
            <w:pPr>
              <w:rPr>
                <w:sz w:val="20"/>
                <w:szCs w:val="20"/>
              </w:rPr>
            </w:pPr>
          </w:p>
        </w:tc>
      </w:tr>
      <w:tr w:rsidR="00D4114F" w:rsidRPr="008847EB" w:rsidTr="008A1FAE">
        <w:trPr>
          <w:cantSplit/>
        </w:trPr>
        <w:tc>
          <w:tcPr>
            <w:tcW w:w="508" w:type="dxa"/>
          </w:tcPr>
          <w:p w:rsidR="00D4114F" w:rsidRPr="008847EB" w:rsidRDefault="00D4114F" w:rsidP="008A1FAE">
            <w:pPr>
              <w:rPr>
                <w:sz w:val="20"/>
                <w:szCs w:val="20"/>
              </w:rPr>
            </w:pPr>
            <w:r w:rsidRPr="008847EB">
              <w:rPr>
                <w:sz w:val="20"/>
                <w:szCs w:val="20"/>
              </w:rPr>
              <w:t>4.</w:t>
            </w:r>
          </w:p>
        </w:tc>
        <w:tc>
          <w:tcPr>
            <w:tcW w:w="810" w:type="dxa"/>
          </w:tcPr>
          <w:p w:rsidR="00D4114F" w:rsidRPr="008847EB" w:rsidRDefault="00D4114F" w:rsidP="008A1FAE">
            <w:pPr>
              <w:rPr>
                <w:sz w:val="20"/>
                <w:szCs w:val="20"/>
              </w:rPr>
            </w:pPr>
            <w:r w:rsidRPr="008847EB">
              <w:rPr>
                <w:sz w:val="20"/>
                <w:szCs w:val="20"/>
              </w:rPr>
              <w:t>38838</w:t>
            </w:r>
          </w:p>
        </w:tc>
        <w:tc>
          <w:tcPr>
            <w:tcW w:w="4050" w:type="dxa"/>
          </w:tcPr>
          <w:p w:rsidR="00D4114F" w:rsidRPr="008847EB" w:rsidRDefault="00D4114F" w:rsidP="008A1FAE">
            <w:pPr>
              <w:pStyle w:val="SCCAppellantInfoAppellantInfo"/>
              <w:rPr>
                <w:sz w:val="20"/>
                <w:szCs w:val="20"/>
              </w:rPr>
            </w:pPr>
            <w:r w:rsidRPr="008847EB">
              <w:rPr>
                <w:sz w:val="20"/>
                <w:szCs w:val="20"/>
              </w:rPr>
              <w:t>Her Majesty the Queen</w:t>
            </w:r>
          </w:p>
          <w:p w:rsidR="00D4114F" w:rsidRPr="008847EB" w:rsidRDefault="00D4114F" w:rsidP="008A1FAE">
            <w:pPr>
              <w:pStyle w:val="SCCAppellantInfoAppellantInfo"/>
              <w:rPr>
                <w:sz w:val="20"/>
                <w:szCs w:val="20"/>
              </w:rPr>
            </w:pPr>
            <w:r w:rsidRPr="008847EB">
              <w:rPr>
                <w:sz w:val="20"/>
                <w:szCs w:val="20"/>
              </w:rPr>
              <w:t>(F.C.) (Criminal) (By Leave)</w:t>
            </w:r>
          </w:p>
        </w:tc>
        <w:tc>
          <w:tcPr>
            <w:tcW w:w="360" w:type="dxa"/>
          </w:tcPr>
          <w:p w:rsidR="00D4114F" w:rsidRPr="008847EB" w:rsidRDefault="00D4114F" w:rsidP="008A1FAE">
            <w:pPr>
              <w:rPr>
                <w:sz w:val="20"/>
                <w:szCs w:val="20"/>
              </w:rPr>
            </w:pPr>
            <w:r w:rsidRPr="008847EB">
              <w:rPr>
                <w:sz w:val="20"/>
                <w:szCs w:val="20"/>
              </w:rPr>
              <w:t>v.</w:t>
            </w:r>
          </w:p>
        </w:tc>
        <w:tc>
          <w:tcPr>
            <w:tcW w:w="3848" w:type="dxa"/>
          </w:tcPr>
          <w:p w:rsidR="00D4114F" w:rsidRPr="008847EB" w:rsidRDefault="00D4114F" w:rsidP="008A1FAE">
            <w:pPr>
              <w:pStyle w:val="SCCAppellantInfoAppellantInfo"/>
              <w:rPr>
                <w:sz w:val="20"/>
                <w:szCs w:val="20"/>
              </w:rPr>
            </w:pPr>
            <w:r w:rsidRPr="008847EB">
              <w:rPr>
                <w:sz w:val="20"/>
                <w:szCs w:val="20"/>
              </w:rPr>
              <w:t xml:space="preserve">Sergeant K.J. </w:t>
            </w:r>
            <w:proofErr w:type="spellStart"/>
            <w:r w:rsidRPr="008847EB">
              <w:rPr>
                <w:sz w:val="20"/>
                <w:szCs w:val="20"/>
              </w:rPr>
              <w:t>MacIntyre</w:t>
            </w:r>
            <w:proofErr w:type="spellEnd"/>
          </w:p>
        </w:tc>
      </w:tr>
      <w:tr w:rsidR="00D4114F" w:rsidRPr="008847EB" w:rsidTr="008A1FAE">
        <w:trPr>
          <w:cantSplit/>
        </w:trPr>
        <w:tc>
          <w:tcPr>
            <w:tcW w:w="508" w:type="dxa"/>
          </w:tcPr>
          <w:p w:rsidR="00D4114F" w:rsidRPr="008847EB" w:rsidRDefault="00D4114F" w:rsidP="008A1FAE">
            <w:pPr>
              <w:rPr>
                <w:sz w:val="20"/>
                <w:szCs w:val="20"/>
              </w:rPr>
            </w:pPr>
          </w:p>
        </w:tc>
        <w:tc>
          <w:tcPr>
            <w:tcW w:w="810" w:type="dxa"/>
          </w:tcPr>
          <w:p w:rsidR="00D4114F" w:rsidRPr="008847EB" w:rsidRDefault="00D4114F" w:rsidP="008A1FAE">
            <w:pPr>
              <w:rPr>
                <w:sz w:val="20"/>
                <w:szCs w:val="20"/>
              </w:rPr>
            </w:pPr>
          </w:p>
        </w:tc>
        <w:tc>
          <w:tcPr>
            <w:tcW w:w="4050" w:type="dxa"/>
          </w:tcPr>
          <w:p w:rsidR="00D4114F" w:rsidRPr="008847EB" w:rsidRDefault="00D4114F" w:rsidP="008A1FAE">
            <w:pPr>
              <w:pStyle w:val="SCCAppellantInfoTypeOfCase"/>
              <w:rPr>
                <w:sz w:val="20"/>
                <w:szCs w:val="20"/>
              </w:rPr>
            </w:pPr>
            <w:r w:rsidRPr="008847EB">
              <w:rPr>
                <w:sz w:val="20"/>
                <w:szCs w:val="20"/>
              </w:rPr>
              <w:t>Civil / Civile</w:t>
            </w:r>
          </w:p>
        </w:tc>
        <w:tc>
          <w:tcPr>
            <w:tcW w:w="360" w:type="dxa"/>
          </w:tcPr>
          <w:p w:rsidR="00D4114F" w:rsidRPr="008847EB" w:rsidRDefault="00D4114F" w:rsidP="008A1FAE">
            <w:pPr>
              <w:rPr>
                <w:sz w:val="20"/>
                <w:szCs w:val="20"/>
              </w:rPr>
            </w:pPr>
          </w:p>
        </w:tc>
        <w:tc>
          <w:tcPr>
            <w:tcW w:w="3848" w:type="dxa"/>
          </w:tcPr>
          <w:p w:rsidR="00D4114F" w:rsidRPr="008847EB" w:rsidRDefault="00D4114F" w:rsidP="008A1FAE">
            <w:pPr>
              <w:rPr>
                <w:sz w:val="20"/>
                <w:szCs w:val="20"/>
              </w:rPr>
            </w:pPr>
          </w:p>
        </w:tc>
      </w:tr>
      <w:tr w:rsidR="00D4114F" w:rsidRPr="008847EB" w:rsidTr="008A1FAE">
        <w:trPr>
          <w:cantSplit/>
        </w:trPr>
        <w:tc>
          <w:tcPr>
            <w:tcW w:w="508" w:type="dxa"/>
          </w:tcPr>
          <w:p w:rsidR="00D4114F" w:rsidRPr="008847EB" w:rsidRDefault="00D4114F" w:rsidP="008A1FAE">
            <w:pPr>
              <w:rPr>
                <w:sz w:val="20"/>
                <w:szCs w:val="20"/>
              </w:rPr>
            </w:pPr>
            <w:r w:rsidRPr="008847EB">
              <w:rPr>
                <w:sz w:val="20"/>
                <w:szCs w:val="20"/>
              </w:rPr>
              <w:t>5.</w:t>
            </w:r>
          </w:p>
        </w:tc>
        <w:tc>
          <w:tcPr>
            <w:tcW w:w="810" w:type="dxa"/>
          </w:tcPr>
          <w:p w:rsidR="00D4114F" w:rsidRPr="008847EB" w:rsidRDefault="00D4114F" w:rsidP="008A1FAE">
            <w:pPr>
              <w:rPr>
                <w:sz w:val="20"/>
                <w:szCs w:val="20"/>
              </w:rPr>
            </w:pPr>
            <w:r w:rsidRPr="008847EB">
              <w:rPr>
                <w:sz w:val="20"/>
                <w:szCs w:val="20"/>
              </w:rPr>
              <w:t>38733</w:t>
            </w:r>
          </w:p>
        </w:tc>
        <w:tc>
          <w:tcPr>
            <w:tcW w:w="4050" w:type="dxa"/>
          </w:tcPr>
          <w:p w:rsidR="00D4114F" w:rsidRPr="008847EB" w:rsidRDefault="00D4114F" w:rsidP="008A1FAE">
            <w:pPr>
              <w:pStyle w:val="SCCAppellantInfoAppellantInfo"/>
              <w:rPr>
                <w:sz w:val="20"/>
                <w:szCs w:val="20"/>
              </w:rPr>
            </w:pPr>
            <w:r w:rsidRPr="008847EB">
              <w:rPr>
                <w:sz w:val="20"/>
                <w:szCs w:val="20"/>
              </w:rPr>
              <w:t xml:space="preserve">Allen </w:t>
            </w:r>
            <w:proofErr w:type="spellStart"/>
            <w:r w:rsidRPr="008847EB">
              <w:rPr>
                <w:sz w:val="20"/>
                <w:szCs w:val="20"/>
              </w:rPr>
              <w:t>Tak</w:t>
            </w:r>
            <w:proofErr w:type="spellEnd"/>
            <w:r w:rsidRPr="008847EB">
              <w:rPr>
                <w:sz w:val="20"/>
                <w:szCs w:val="20"/>
              </w:rPr>
              <w:t xml:space="preserve"> Yuen Chan</w:t>
            </w:r>
          </w:p>
          <w:p w:rsidR="00D4114F" w:rsidRPr="008847EB" w:rsidRDefault="00D4114F" w:rsidP="008A1FAE">
            <w:pPr>
              <w:pStyle w:val="SCCAppellantInfoAppellantInfo"/>
              <w:rPr>
                <w:sz w:val="20"/>
                <w:szCs w:val="20"/>
              </w:rPr>
            </w:pPr>
            <w:r w:rsidRPr="008847EB">
              <w:rPr>
                <w:sz w:val="20"/>
                <w:szCs w:val="20"/>
              </w:rPr>
              <w:t>(Ont.) (Civil) (By Leave)</w:t>
            </w:r>
          </w:p>
        </w:tc>
        <w:tc>
          <w:tcPr>
            <w:tcW w:w="360" w:type="dxa"/>
          </w:tcPr>
          <w:p w:rsidR="00D4114F" w:rsidRPr="008847EB" w:rsidRDefault="00D4114F" w:rsidP="008A1FAE">
            <w:pPr>
              <w:rPr>
                <w:sz w:val="20"/>
                <w:szCs w:val="20"/>
              </w:rPr>
            </w:pPr>
            <w:r w:rsidRPr="008847EB">
              <w:rPr>
                <w:sz w:val="20"/>
                <w:szCs w:val="20"/>
              </w:rPr>
              <w:t>v.</w:t>
            </w:r>
          </w:p>
        </w:tc>
        <w:tc>
          <w:tcPr>
            <w:tcW w:w="3848" w:type="dxa"/>
          </w:tcPr>
          <w:p w:rsidR="00D4114F" w:rsidRPr="008847EB" w:rsidRDefault="00D4114F" w:rsidP="008A1FAE">
            <w:pPr>
              <w:pStyle w:val="SCCAppellantInfoAppellantInfo"/>
              <w:rPr>
                <w:sz w:val="20"/>
                <w:szCs w:val="20"/>
              </w:rPr>
            </w:pPr>
            <w:r w:rsidRPr="008847EB">
              <w:rPr>
                <w:sz w:val="20"/>
                <w:szCs w:val="20"/>
              </w:rPr>
              <w:t>Cosimo Borrelli, in his capacity as Trustee of the SFC Litigation Trust</w:t>
            </w:r>
          </w:p>
        </w:tc>
      </w:tr>
      <w:tr w:rsidR="00D4114F" w:rsidRPr="008847EB" w:rsidTr="008A1FAE">
        <w:trPr>
          <w:cantSplit/>
        </w:trPr>
        <w:tc>
          <w:tcPr>
            <w:tcW w:w="508" w:type="dxa"/>
          </w:tcPr>
          <w:p w:rsidR="00D4114F" w:rsidRPr="008847EB" w:rsidRDefault="00D4114F" w:rsidP="008A1FAE">
            <w:pPr>
              <w:rPr>
                <w:sz w:val="20"/>
                <w:szCs w:val="20"/>
              </w:rPr>
            </w:pPr>
            <w:r w:rsidRPr="008847EB">
              <w:rPr>
                <w:sz w:val="20"/>
                <w:szCs w:val="20"/>
              </w:rPr>
              <w:t>6.</w:t>
            </w:r>
          </w:p>
        </w:tc>
        <w:tc>
          <w:tcPr>
            <w:tcW w:w="810" w:type="dxa"/>
          </w:tcPr>
          <w:p w:rsidR="00D4114F" w:rsidRPr="008847EB" w:rsidRDefault="00D4114F" w:rsidP="008A1FAE">
            <w:pPr>
              <w:rPr>
                <w:sz w:val="20"/>
                <w:szCs w:val="20"/>
              </w:rPr>
            </w:pPr>
            <w:r w:rsidRPr="008847EB">
              <w:rPr>
                <w:sz w:val="20"/>
                <w:szCs w:val="20"/>
              </w:rPr>
              <w:t>38804</w:t>
            </w:r>
          </w:p>
        </w:tc>
        <w:tc>
          <w:tcPr>
            <w:tcW w:w="4050" w:type="dxa"/>
          </w:tcPr>
          <w:p w:rsidR="00D4114F" w:rsidRPr="008847EB" w:rsidRDefault="00D4114F" w:rsidP="008A1FAE">
            <w:pPr>
              <w:pStyle w:val="SCCAppellantInfoAppellantInfo"/>
              <w:rPr>
                <w:sz w:val="20"/>
                <w:szCs w:val="20"/>
              </w:rPr>
            </w:pPr>
            <w:r w:rsidRPr="008847EB">
              <w:rPr>
                <w:sz w:val="20"/>
                <w:szCs w:val="20"/>
              </w:rPr>
              <w:t>Andrew Henry Ting</w:t>
            </w:r>
          </w:p>
          <w:p w:rsidR="00D4114F" w:rsidRPr="008847EB" w:rsidRDefault="00D4114F" w:rsidP="008A1FAE">
            <w:pPr>
              <w:pStyle w:val="SCCAppellantInfoAppellantInfo"/>
              <w:rPr>
                <w:sz w:val="20"/>
                <w:szCs w:val="20"/>
              </w:rPr>
            </w:pPr>
            <w:r w:rsidRPr="008847EB">
              <w:rPr>
                <w:sz w:val="20"/>
                <w:szCs w:val="20"/>
              </w:rPr>
              <w:t>(Ont.) (Civil) (By Leave)</w:t>
            </w:r>
          </w:p>
        </w:tc>
        <w:tc>
          <w:tcPr>
            <w:tcW w:w="360" w:type="dxa"/>
          </w:tcPr>
          <w:p w:rsidR="00D4114F" w:rsidRPr="008847EB" w:rsidRDefault="00D4114F" w:rsidP="008A1FAE">
            <w:pPr>
              <w:rPr>
                <w:sz w:val="20"/>
                <w:szCs w:val="20"/>
              </w:rPr>
            </w:pPr>
            <w:r w:rsidRPr="008847EB">
              <w:rPr>
                <w:sz w:val="20"/>
                <w:szCs w:val="20"/>
              </w:rPr>
              <w:t>v.</w:t>
            </w:r>
          </w:p>
        </w:tc>
        <w:tc>
          <w:tcPr>
            <w:tcW w:w="3848" w:type="dxa"/>
          </w:tcPr>
          <w:p w:rsidR="00D4114F" w:rsidRPr="008847EB" w:rsidRDefault="00D4114F" w:rsidP="008A1FAE">
            <w:pPr>
              <w:pStyle w:val="SCCAppellantInfoAppellantInfo"/>
              <w:rPr>
                <w:sz w:val="20"/>
                <w:szCs w:val="20"/>
              </w:rPr>
            </w:pPr>
            <w:r w:rsidRPr="008847EB">
              <w:rPr>
                <w:sz w:val="20"/>
                <w:szCs w:val="20"/>
              </w:rPr>
              <w:t>Cosimo Borrelli, et al.</w:t>
            </w:r>
          </w:p>
        </w:tc>
      </w:tr>
      <w:tr w:rsidR="009C1CAD" w:rsidRPr="00684C75" w:rsidTr="008A1FAE">
        <w:trPr>
          <w:cantSplit/>
        </w:trPr>
        <w:tc>
          <w:tcPr>
            <w:tcW w:w="508" w:type="dxa"/>
          </w:tcPr>
          <w:p w:rsidR="009C1CAD" w:rsidRPr="008847EB" w:rsidRDefault="009C1CAD" w:rsidP="008A1FAE">
            <w:pPr>
              <w:rPr>
                <w:sz w:val="20"/>
                <w:szCs w:val="20"/>
              </w:rPr>
            </w:pPr>
          </w:p>
        </w:tc>
        <w:tc>
          <w:tcPr>
            <w:tcW w:w="810" w:type="dxa"/>
          </w:tcPr>
          <w:p w:rsidR="009C1CAD" w:rsidRPr="008847EB" w:rsidRDefault="009C1CAD" w:rsidP="008A1FAE">
            <w:pPr>
              <w:rPr>
                <w:sz w:val="20"/>
                <w:szCs w:val="20"/>
              </w:rPr>
            </w:pPr>
          </w:p>
        </w:tc>
        <w:tc>
          <w:tcPr>
            <w:tcW w:w="8258" w:type="dxa"/>
            <w:gridSpan w:val="3"/>
          </w:tcPr>
          <w:p w:rsidR="009C1CAD" w:rsidRPr="008847EB" w:rsidRDefault="009C1CAD" w:rsidP="009C1CAD">
            <w:pPr>
              <w:widowControl w:val="0"/>
              <w:jc w:val="center"/>
              <w:rPr>
                <w:b/>
                <w:sz w:val="20"/>
                <w:szCs w:val="20"/>
              </w:rPr>
            </w:pPr>
            <w:r w:rsidRPr="008847EB">
              <w:rPr>
                <w:b/>
                <w:sz w:val="20"/>
                <w:szCs w:val="20"/>
              </w:rPr>
              <w:t>CORAM: Moldaver, Côté and Martin JJ.</w:t>
            </w:r>
          </w:p>
          <w:p w:rsidR="009C1CAD" w:rsidRPr="008847EB" w:rsidRDefault="009C1CAD" w:rsidP="009C1CAD">
            <w:pPr>
              <w:widowControl w:val="0"/>
              <w:jc w:val="center"/>
              <w:rPr>
                <w:b/>
                <w:sz w:val="20"/>
                <w:szCs w:val="20"/>
                <w:lang w:val="fr-CA"/>
              </w:rPr>
            </w:pPr>
            <w:r w:rsidRPr="008847EB">
              <w:rPr>
                <w:b/>
                <w:sz w:val="20"/>
                <w:szCs w:val="20"/>
                <w:lang w:val="fr-CA"/>
              </w:rPr>
              <w:t>Les juges Moldaver, Côté et Martin</w:t>
            </w:r>
          </w:p>
        </w:tc>
      </w:tr>
      <w:tr w:rsidR="00D4114F" w:rsidRPr="008847EB" w:rsidTr="008A1FAE">
        <w:trPr>
          <w:cantSplit/>
        </w:trPr>
        <w:tc>
          <w:tcPr>
            <w:tcW w:w="508" w:type="dxa"/>
          </w:tcPr>
          <w:p w:rsidR="00D4114F" w:rsidRPr="008847EB" w:rsidRDefault="00D4114F" w:rsidP="008A1FAE">
            <w:pPr>
              <w:rPr>
                <w:sz w:val="20"/>
                <w:szCs w:val="20"/>
                <w:lang w:val="fr-CA"/>
              </w:rPr>
            </w:pPr>
          </w:p>
        </w:tc>
        <w:tc>
          <w:tcPr>
            <w:tcW w:w="810" w:type="dxa"/>
          </w:tcPr>
          <w:p w:rsidR="00D4114F" w:rsidRPr="008847EB" w:rsidRDefault="00D4114F" w:rsidP="008A1FAE">
            <w:pPr>
              <w:rPr>
                <w:sz w:val="20"/>
                <w:szCs w:val="20"/>
                <w:lang w:val="fr-CA"/>
              </w:rPr>
            </w:pPr>
          </w:p>
        </w:tc>
        <w:tc>
          <w:tcPr>
            <w:tcW w:w="4050" w:type="dxa"/>
          </w:tcPr>
          <w:p w:rsidR="00D4114F" w:rsidRPr="008847EB" w:rsidRDefault="00D4114F" w:rsidP="008A1FAE">
            <w:pPr>
              <w:pStyle w:val="SCCAppellantInfoTypeOfCase"/>
              <w:rPr>
                <w:sz w:val="20"/>
                <w:szCs w:val="20"/>
              </w:rPr>
            </w:pPr>
            <w:r w:rsidRPr="008847EB">
              <w:rPr>
                <w:sz w:val="20"/>
                <w:szCs w:val="20"/>
              </w:rPr>
              <w:t>Civil / Civile</w:t>
            </w:r>
          </w:p>
        </w:tc>
        <w:tc>
          <w:tcPr>
            <w:tcW w:w="360" w:type="dxa"/>
          </w:tcPr>
          <w:p w:rsidR="00D4114F" w:rsidRPr="008847EB" w:rsidRDefault="00D4114F" w:rsidP="008A1FAE">
            <w:pPr>
              <w:rPr>
                <w:sz w:val="20"/>
                <w:szCs w:val="20"/>
              </w:rPr>
            </w:pPr>
          </w:p>
        </w:tc>
        <w:tc>
          <w:tcPr>
            <w:tcW w:w="3848" w:type="dxa"/>
          </w:tcPr>
          <w:p w:rsidR="00D4114F" w:rsidRPr="008847EB" w:rsidRDefault="00D4114F" w:rsidP="008A1FAE">
            <w:pPr>
              <w:rPr>
                <w:sz w:val="20"/>
                <w:szCs w:val="20"/>
              </w:rPr>
            </w:pPr>
          </w:p>
        </w:tc>
      </w:tr>
      <w:tr w:rsidR="00D4114F" w:rsidRPr="008847EB" w:rsidTr="008A1FAE">
        <w:trPr>
          <w:cantSplit/>
        </w:trPr>
        <w:tc>
          <w:tcPr>
            <w:tcW w:w="508" w:type="dxa"/>
          </w:tcPr>
          <w:p w:rsidR="00D4114F" w:rsidRPr="008847EB" w:rsidRDefault="00D4114F" w:rsidP="008A1FAE">
            <w:pPr>
              <w:rPr>
                <w:sz w:val="20"/>
                <w:szCs w:val="20"/>
              </w:rPr>
            </w:pPr>
            <w:r w:rsidRPr="008847EB">
              <w:rPr>
                <w:sz w:val="20"/>
                <w:szCs w:val="20"/>
              </w:rPr>
              <w:t>7.</w:t>
            </w:r>
          </w:p>
        </w:tc>
        <w:tc>
          <w:tcPr>
            <w:tcW w:w="810" w:type="dxa"/>
          </w:tcPr>
          <w:p w:rsidR="00D4114F" w:rsidRPr="008847EB" w:rsidRDefault="00D4114F" w:rsidP="008A1FAE">
            <w:pPr>
              <w:rPr>
                <w:sz w:val="20"/>
                <w:szCs w:val="20"/>
              </w:rPr>
            </w:pPr>
            <w:r w:rsidRPr="008847EB">
              <w:rPr>
                <w:sz w:val="20"/>
                <w:szCs w:val="20"/>
              </w:rPr>
              <w:t>38796</w:t>
            </w:r>
          </w:p>
        </w:tc>
        <w:tc>
          <w:tcPr>
            <w:tcW w:w="4050" w:type="dxa"/>
          </w:tcPr>
          <w:p w:rsidR="00D4114F" w:rsidRPr="008847EB" w:rsidRDefault="00D4114F" w:rsidP="008A1FAE">
            <w:pPr>
              <w:pStyle w:val="SCCAppellantInfoAppellantInfo"/>
              <w:rPr>
                <w:sz w:val="20"/>
                <w:szCs w:val="20"/>
              </w:rPr>
            </w:pPr>
            <w:r w:rsidRPr="008847EB">
              <w:rPr>
                <w:sz w:val="20"/>
                <w:szCs w:val="20"/>
              </w:rPr>
              <w:t xml:space="preserve">Kristy Nicole </w:t>
            </w:r>
            <w:proofErr w:type="spellStart"/>
            <w:r w:rsidRPr="008847EB">
              <w:rPr>
                <w:sz w:val="20"/>
                <w:szCs w:val="20"/>
              </w:rPr>
              <w:t>Ironstand</w:t>
            </w:r>
            <w:proofErr w:type="spellEnd"/>
          </w:p>
          <w:p w:rsidR="00D4114F" w:rsidRPr="008847EB" w:rsidRDefault="00D4114F" w:rsidP="008A1FAE">
            <w:pPr>
              <w:pStyle w:val="SCCAppellantInfoAppellantInfo"/>
              <w:rPr>
                <w:sz w:val="20"/>
                <w:szCs w:val="20"/>
              </w:rPr>
            </w:pPr>
            <w:r w:rsidRPr="008847EB">
              <w:rPr>
                <w:sz w:val="20"/>
                <w:szCs w:val="20"/>
              </w:rPr>
              <w:t>(Man.) (Civil) (By Leave)</w:t>
            </w:r>
          </w:p>
        </w:tc>
        <w:tc>
          <w:tcPr>
            <w:tcW w:w="360" w:type="dxa"/>
          </w:tcPr>
          <w:p w:rsidR="00D4114F" w:rsidRPr="008847EB" w:rsidRDefault="00D4114F" w:rsidP="008A1FAE">
            <w:pPr>
              <w:rPr>
                <w:sz w:val="20"/>
                <w:szCs w:val="20"/>
              </w:rPr>
            </w:pPr>
            <w:r w:rsidRPr="008847EB">
              <w:rPr>
                <w:sz w:val="20"/>
                <w:szCs w:val="20"/>
              </w:rPr>
              <w:t>v.</w:t>
            </w:r>
          </w:p>
        </w:tc>
        <w:tc>
          <w:tcPr>
            <w:tcW w:w="3848" w:type="dxa"/>
          </w:tcPr>
          <w:p w:rsidR="00D4114F" w:rsidRPr="008847EB" w:rsidRDefault="00D4114F" w:rsidP="008A1FAE">
            <w:pPr>
              <w:pStyle w:val="SCCAppellantInfoAppellantInfo"/>
              <w:rPr>
                <w:sz w:val="20"/>
                <w:szCs w:val="20"/>
              </w:rPr>
            </w:pPr>
            <w:r w:rsidRPr="008847EB">
              <w:rPr>
                <w:sz w:val="20"/>
                <w:szCs w:val="20"/>
              </w:rPr>
              <w:t>City of Winnipeg, et al.</w:t>
            </w:r>
          </w:p>
        </w:tc>
      </w:tr>
      <w:tr w:rsidR="00D4114F" w:rsidRPr="008847EB" w:rsidTr="008A1FAE">
        <w:trPr>
          <w:cantSplit/>
        </w:trPr>
        <w:tc>
          <w:tcPr>
            <w:tcW w:w="508" w:type="dxa"/>
          </w:tcPr>
          <w:p w:rsidR="00D4114F" w:rsidRPr="008847EB" w:rsidRDefault="00D4114F" w:rsidP="008A1FAE">
            <w:pPr>
              <w:rPr>
                <w:sz w:val="20"/>
                <w:szCs w:val="20"/>
              </w:rPr>
            </w:pPr>
            <w:r w:rsidRPr="008847EB">
              <w:rPr>
                <w:sz w:val="20"/>
                <w:szCs w:val="20"/>
              </w:rPr>
              <w:t>8.</w:t>
            </w:r>
          </w:p>
        </w:tc>
        <w:tc>
          <w:tcPr>
            <w:tcW w:w="810" w:type="dxa"/>
          </w:tcPr>
          <w:p w:rsidR="00D4114F" w:rsidRPr="008847EB" w:rsidRDefault="00D4114F" w:rsidP="008A1FAE">
            <w:pPr>
              <w:rPr>
                <w:sz w:val="20"/>
                <w:szCs w:val="20"/>
              </w:rPr>
            </w:pPr>
            <w:r w:rsidRPr="008847EB">
              <w:rPr>
                <w:sz w:val="20"/>
                <w:szCs w:val="20"/>
              </w:rPr>
              <w:t>38688</w:t>
            </w:r>
          </w:p>
        </w:tc>
        <w:tc>
          <w:tcPr>
            <w:tcW w:w="4050" w:type="dxa"/>
          </w:tcPr>
          <w:p w:rsidR="00D4114F" w:rsidRPr="008847EB" w:rsidRDefault="00D4114F" w:rsidP="008A1FAE">
            <w:pPr>
              <w:pStyle w:val="SCCAppellantInfoAppellantInfo"/>
              <w:rPr>
                <w:sz w:val="20"/>
                <w:szCs w:val="20"/>
              </w:rPr>
            </w:pPr>
            <w:r w:rsidRPr="008847EB">
              <w:rPr>
                <w:sz w:val="20"/>
                <w:szCs w:val="20"/>
              </w:rPr>
              <w:t>Attorney General of Nova Scotia representing Her Majesty the Queen in Right of the Province of Nova Scotia, et al.</w:t>
            </w:r>
          </w:p>
          <w:p w:rsidR="00D4114F" w:rsidRPr="008847EB" w:rsidRDefault="00D4114F" w:rsidP="008A1FAE">
            <w:pPr>
              <w:pStyle w:val="SCCAppellantInfoAppellantInfo"/>
              <w:rPr>
                <w:sz w:val="20"/>
                <w:szCs w:val="20"/>
              </w:rPr>
            </w:pPr>
            <w:r w:rsidRPr="008847EB">
              <w:rPr>
                <w:sz w:val="20"/>
                <w:szCs w:val="20"/>
              </w:rPr>
              <w:t>(N.S.) (Civil) (By Leave)</w:t>
            </w:r>
          </w:p>
        </w:tc>
        <w:tc>
          <w:tcPr>
            <w:tcW w:w="360" w:type="dxa"/>
          </w:tcPr>
          <w:p w:rsidR="00D4114F" w:rsidRPr="008847EB" w:rsidRDefault="00D4114F" w:rsidP="008A1FAE">
            <w:pPr>
              <w:rPr>
                <w:sz w:val="20"/>
                <w:szCs w:val="20"/>
              </w:rPr>
            </w:pPr>
            <w:r w:rsidRPr="008847EB">
              <w:rPr>
                <w:sz w:val="20"/>
                <w:szCs w:val="20"/>
              </w:rPr>
              <w:t>v.</w:t>
            </w:r>
          </w:p>
        </w:tc>
        <w:tc>
          <w:tcPr>
            <w:tcW w:w="3848" w:type="dxa"/>
          </w:tcPr>
          <w:p w:rsidR="00D4114F" w:rsidRPr="008847EB" w:rsidRDefault="00D4114F" w:rsidP="008A1FAE">
            <w:pPr>
              <w:pStyle w:val="SCCAppellantInfoAppellantInfo"/>
              <w:rPr>
                <w:sz w:val="20"/>
                <w:szCs w:val="20"/>
              </w:rPr>
            </w:pPr>
            <w:r w:rsidRPr="008847EB">
              <w:rPr>
                <w:sz w:val="20"/>
                <w:szCs w:val="20"/>
              </w:rPr>
              <w:t>Alex M. Cameron</w:t>
            </w:r>
          </w:p>
        </w:tc>
      </w:tr>
      <w:tr w:rsidR="00D4114F" w:rsidRPr="008847EB" w:rsidTr="008A1FAE">
        <w:trPr>
          <w:cantSplit/>
        </w:trPr>
        <w:tc>
          <w:tcPr>
            <w:tcW w:w="508" w:type="dxa"/>
          </w:tcPr>
          <w:p w:rsidR="00D4114F" w:rsidRPr="008847EB" w:rsidRDefault="00D4114F" w:rsidP="008A1FAE">
            <w:pPr>
              <w:rPr>
                <w:sz w:val="20"/>
                <w:szCs w:val="20"/>
              </w:rPr>
            </w:pPr>
            <w:r w:rsidRPr="008847EB">
              <w:rPr>
                <w:sz w:val="20"/>
                <w:szCs w:val="20"/>
              </w:rPr>
              <w:t>9.</w:t>
            </w:r>
          </w:p>
        </w:tc>
        <w:tc>
          <w:tcPr>
            <w:tcW w:w="810" w:type="dxa"/>
          </w:tcPr>
          <w:p w:rsidR="00D4114F" w:rsidRPr="008847EB" w:rsidRDefault="00D4114F" w:rsidP="008A1FAE">
            <w:pPr>
              <w:rPr>
                <w:sz w:val="20"/>
                <w:szCs w:val="20"/>
              </w:rPr>
            </w:pPr>
            <w:r w:rsidRPr="008847EB">
              <w:rPr>
                <w:sz w:val="20"/>
                <w:szCs w:val="20"/>
              </w:rPr>
              <w:t>38794</w:t>
            </w:r>
          </w:p>
        </w:tc>
        <w:tc>
          <w:tcPr>
            <w:tcW w:w="4050" w:type="dxa"/>
          </w:tcPr>
          <w:p w:rsidR="00D4114F" w:rsidRPr="008847EB" w:rsidRDefault="00D4114F" w:rsidP="008A1FAE">
            <w:pPr>
              <w:pStyle w:val="SCCAppellantInfoAppellantInfo"/>
              <w:rPr>
                <w:sz w:val="20"/>
                <w:szCs w:val="20"/>
                <w:lang w:val="fr-CA"/>
              </w:rPr>
            </w:pPr>
            <w:r w:rsidRPr="008847EB">
              <w:rPr>
                <w:sz w:val="20"/>
                <w:szCs w:val="20"/>
                <w:lang w:val="fr-CA"/>
              </w:rPr>
              <w:t>Gize Yebeyo Araya, et al.</w:t>
            </w:r>
          </w:p>
          <w:p w:rsidR="00D4114F" w:rsidRPr="008847EB" w:rsidRDefault="00D4114F" w:rsidP="008A1FAE">
            <w:pPr>
              <w:pStyle w:val="SCCAppellantInfoAppellantInfo"/>
              <w:rPr>
                <w:sz w:val="20"/>
                <w:szCs w:val="20"/>
              </w:rPr>
            </w:pPr>
            <w:r w:rsidRPr="008847EB">
              <w:rPr>
                <w:sz w:val="20"/>
                <w:szCs w:val="20"/>
              </w:rPr>
              <w:t>(B.C.) (Civil) (By Leave)</w:t>
            </w:r>
          </w:p>
        </w:tc>
        <w:tc>
          <w:tcPr>
            <w:tcW w:w="360" w:type="dxa"/>
          </w:tcPr>
          <w:p w:rsidR="00D4114F" w:rsidRPr="008847EB" w:rsidRDefault="00D4114F" w:rsidP="008A1FAE">
            <w:pPr>
              <w:rPr>
                <w:sz w:val="20"/>
                <w:szCs w:val="20"/>
              </w:rPr>
            </w:pPr>
            <w:r w:rsidRPr="008847EB">
              <w:rPr>
                <w:sz w:val="20"/>
                <w:szCs w:val="20"/>
              </w:rPr>
              <w:t>v.</w:t>
            </w:r>
          </w:p>
        </w:tc>
        <w:tc>
          <w:tcPr>
            <w:tcW w:w="3848" w:type="dxa"/>
          </w:tcPr>
          <w:p w:rsidR="00D4114F" w:rsidRPr="008847EB" w:rsidRDefault="00D4114F" w:rsidP="008A1FAE">
            <w:pPr>
              <w:pStyle w:val="SCCAppellantInfoAppellantInfo"/>
              <w:rPr>
                <w:sz w:val="20"/>
                <w:szCs w:val="20"/>
              </w:rPr>
            </w:pPr>
            <w:r w:rsidRPr="008847EB">
              <w:rPr>
                <w:sz w:val="20"/>
                <w:szCs w:val="20"/>
              </w:rPr>
              <w:t>Nevsun Resources Ltd.</w:t>
            </w:r>
          </w:p>
        </w:tc>
      </w:tr>
    </w:tbl>
    <w:p w:rsidR="00102792" w:rsidRPr="008847EB" w:rsidRDefault="00102792" w:rsidP="00102792">
      <w:pPr>
        <w:widowControl w:val="0"/>
        <w:rPr>
          <w:sz w:val="20"/>
          <w:szCs w:val="20"/>
        </w:rPr>
      </w:pPr>
    </w:p>
    <w:p w:rsidR="00D94028" w:rsidRPr="008847EB" w:rsidRDefault="0011194E" w:rsidP="002E2327">
      <w:pPr>
        <w:widowControl w:val="0"/>
        <w:rPr>
          <w:sz w:val="20"/>
          <w:szCs w:val="20"/>
        </w:rPr>
      </w:pPr>
      <w:r>
        <w:rPr>
          <w:sz w:val="20"/>
          <w:szCs w:val="20"/>
        </w:rPr>
        <w:pict>
          <v:rect id="_x0000_i1040" style="width:2in;height:1pt" o:hrpct="0" o:hralign="center" o:hrstd="t" o:hrnoshade="t" o:hr="t" fillcolor="black [3213]" stroked="f"/>
        </w:pict>
      </w:r>
    </w:p>
    <w:p w:rsidR="00182DE3" w:rsidRPr="008847EB" w:rsidRDefault="00182DE3" w:rsidP="002E2327">
      <w:pPr>
        <w:widowControl w:val="0"/>
        <w:rPr>
          <w:sz w:val="20"/>
          <w:szCs w:val="20"/>
        </w:rPr>
      </w:pPr>
    </w:p>
    <w:p w:rsidR="00512077" w:rsidRPr="008847EB" w:rsidRDefault="00512077" w:rsidP="002E2327">
      <w:pPr>
        <w:widowControl w:val="0"/>
        <w:rPr>
          <w:sz w:val="20"/>
          <w:szCs w:val="20"/>
        </w:rPr>
      </w:pPr>
    </w:p>
    <w:p w:rsidR="00182DE3" w:rsidRPr="008847EB" w:rsidRDefault="00182DE3" w:rsidP="002E2327">
      <w:pPr>
        <w:widowControl w:val="0"/>
        <w:rPr>
          <w:sz w:val="20"/>
          <w:szCs w:val="20"/>
        </w:rPr>
      </w:pPr>
    </w:p>
    <w:p w:rsidR="0044776A" w:rsidRPr="008847EB" w:rsidRDefault="0044776A" w:rsidP="002E2327">
      <w:pPr>
        <w:widowControl w:val="0"/>
        <w:spacing w:line="0" w:lineRule="atLeast"/>
        <w:rPr>
          <w:sz w:val="20"/>
          <w:szCs w:val="20"/>
        </w:rPr>
        <w:sectPr w:rsidR="0044776A" w:rsidRPr="008847EB"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8847EB" w:rsidRDefault="00DD0BDC" w:rsidP="00567602">
      <w:pPr>
        <w:pStyle w:val="Header1StyleE"/>
        <w:pBdr>
          <w:bottom w:val="single" w:sz="12" w:space="1" w:color="auto"/>
        </w:pBdr>
        <w:rPr>
          <w:lang w:val="fr-CA"/>
        </w:rPr>
      </w:pPr>
      <w:bookmarkStart w:id="3" w:name="QuickMark_1"/>
      <w:bookmarkStart w:id="4" w:name="_Toc24980674"/>
      <w:bookmarkEnd w:id="3"/>
      <w:r w:rsidRPr="008847EB">
        <w:rPr>
          <w:lang w:val="fr-CA"/>
        </w:rPr>
        <w:lastRenderedPageBreak/>
        <w:t>Judgments on applications</w:t>
      </w:r>
      <w:r w:rsidR="000C1D9D" w:rsidRPr="008847EB">
        <w:rPr>
          <w:lang w:val="fr-CA"/>
        </w:rPr>
        <w:t xml:space="preserve"> </w:t>
      </w:r>
      <w:r w:rsidRPr="008847EB">
        <w:rPr>
          <w:lang w:val="fr-CA"/>
        </w:rPr>
        <w:t>for leave</w:t>
      </w:r>
      <w:r w:rsidR="00693C38" w:rsidRPr="008847EB">
        <w:rPr>
          <w:noProof/>
          <w:sz w:val="20"/>
          <w:lang w:val="fr-CA"/>
        </w:rPr>
        <w:t xml:space="preserve"> </w:t>
      </w:r>
      <w:r w:rsidR="00271E1E" w:rsidRPr="008847EB">
        <w:rPr>
          <w:noProof/>
          <w:sz w:val="20"/>
          <w:lang w:val="fr-CA"/>
        </w:rPr>
        <w:t xml:space="preserve">/ </w:t>
      </w:r>
      <w:r w:rsidR="00693C38" w:rsidRPr="008847EB">
        <w:rPr>
          <w:noProof/>
          <w:sz w:val="20"/>
          <w:lang w:val="fr-CA"/>
        </w:rPr>
        <w:br/>
      </w:r>
      <w:r w:rsidRPr="008847EB">
        <w:rPr>
          <w:lang w:val="fr-CA"/>
        </w:rPr>
        <w:t>Jugements rendus sur les demandes d’autorisation</w:t>
      </w:r>
      <w:bookmarkEnd w:id="4"/>
    </w:p>
    <w:p w:rsidR="00FB1DB6" w:rsidRPr="008847EB" w:rsidRDefault="00FB1DB6" w:rsidP="00693C38">
      <w:pPr>
        <w:rPr>
          <w:sz w:val="20"/>
          <w:szCs w:val="20"/>
          <w:lang w:val="fr-CA"/>
        </w:rPr>
      </w:pPr>
    </w:p>
    <w:p w:rsidR="00F16063" w:rsidRPr="008847EB" w:rsidRDefault="00182DE3" w:rsidP="00F16063">
      <w:pPr>
        <w:rPr>
          <w:b/>
          <w:sz w:val="20"/>
          <w:szCs w:val="20"/>
        </w:rPr>
      </w:pPr>
      <w:r w:rsidRPr="008847EB">
        <w:rPr>
          <w:b/>
          <w:sz w:val="20"/>
          <w:szCs w:val="20"/>
          <w:lang w:val="fr-CA"/>
        </w:rPr>
        <w:t>NOVEMBER</w:t>
      </w:r>
      <w:r w:rsidR="00F16063" w:rsidRPr="008847EB">
        <w:rPr>
          <w:b/>
          <w:sz w:val="20"/>
          <w:szCs w:val="20"/>
        </w:rPr>
        <w:t xml:space="preserve"> 2</w:t>
      </w:r>
      <w:r w:rsidRPr="008847EB">
        <w:rPr>
          <w:b/>
          <w:sz w:val="20"/>
          <w:szCs w:val="20"/>
        </w:rPr>
        <w:t>1</w:t>
      </w:r>
      <w:r w:rsidR="00F16063" w:rsidRPr="008847EB">
        <w:rPr>
          <w:b/>
          <w:sz w:val="20"/>
          <w:szCs w:val="20"/>
        </w:rPr>
        <w:t xml:space="preserve">, </w:t>
      </w:r>
      <w:r w:rsidR="0034657E" w:rsidRPr="008847EB">
        <w:rPr>
          <w:b/>
          <w:sz w:val="20"/>
          <w:szCs w:val="20"/>
        </w:rPr>
        <w:t>2019</w:t>
      </w:r>
      <w:r w:rsidR="00F16063" w:rsidRPr="008847EB">
        <w:rPr>
          <w:b/>
          <w:sz w:val="20"/>
          <w:szCs w:val="20"/>
        </w:rPr>
        <w:t xml:space="preserve"> / LE 2</w:t>
      </w:r>
      <w:r w:rsidRPr="008847EB">
        <w:rPr>
          <w:b/>
          <w:sz w:val="20"/>
          <w:szCs w:val="20"/>
        </w:rPr>
        <w:t>1</w:t>
      </w:r>
      <w:r w:rsidR="00F16063" w:rsidRPr="008847EB">
        <w:rPr>
          <w:b/>
          <w:sz w:val="20"/>
          <w:szCs w:val="20"/>
        </w:rPr>
        <w:t xml:space="preserve"> </w:t>
      </w:r>
      <w:r w:rsidRPr="008847EB">
        <w:rPr>
          <w:b/>
          <w:sz w:val="20"/>
          <w:szCs w:val="20"/>
        </w:rPr>
        <w:t>NOVEMBRE</w:t>
      </w:r>
      <w:r w:rsidR="00F16063" w:rsidRPr="008847EB">
        <w:rPr>
          <w:b/>
          <w:sz w:val="20"/>
          <w:szCs w:val="20"/>
        </w:rPr>
        <w:t xml:space="preserve"> </w:t>
      </w:r>
      <w:r w:rsidR="0034657E" w:rsidRPr="008847EB">
        <w:rPr>
          <w:b/>
          <w:sz w:val="20"/>
          <w:szCs w:val="20"/>
        </w:rPr>
        <w:t>2019</w:t>
      </w:r>
    </w:p>
    <w:p w:rsidR="00B07FD6" w:rsidRPr="008847EB" w:rsidRDefault="00B07FD6" w:rsidP="00B07FD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7FD6" w:rsidRPr="008847EB" w:rsidTr="002832B0">
        <w:tc>
          <w:tcPr>
            <w:tcW w:w="543" w:type="pct"/>
          </w:tcPr>
          <w:p w:rsidR="00B07FD6" w:rsidRPr="008847EB" w:rsidRDefault="00B07FD6" w:rsidP="002832B0">
            <w:pPr>
              <w:jc w:val="both"/>
              <w:rPr>
                <w:sz w:val="20"/>
              </w:rPr>
            </w:pPr>
            <w:r w:rsidRPr="008847EB">
              <w:rPr>
                <w:rStyle w:val="SCCFileNumberChar"/>
                <w:sz w:val="20"/>
                <w:szCs w:val="20"/>
              </w:rPr>
              <w:t>38687</w:t>
            </w:r>
          </w:p>
        </w:tc>
        <w:tc>
          <w:tcPr>
            <w:tcW w:w="4457" w:type="pct"/>
            <w:gridSpan w:val="3"/>
          </w:tcPr>
          <w:p w:rsidR="00B07FD6" w:rsidRPr="008847EB" w:rsidRDefault="00B07FD6" w:rsidP="002832B0">
            <w:pPr>
              <w:pStyle w:val="SCCLsocParty"/>
              <w:jc w:val="both"/>
              <w:rPr>
                <w:b/>
                <w:sz w:val="20"/>
                <w:szCs w:val="20"/>
                <w:lang w:val="en-US"/>
              </w:rPr>
            </w:pPr>
            <w:r w:rsidRPr="008847EB">
              <w:rPr>
                <w:b/>
                <w:sz w:val="20"/>
                <w:szCs w:val="20"/>
                <w:lang w:val="en-US"/>
              </w:rPr>
              <w:t>Attorney General of Ontario v. Jamie Clark, Donald Belanger and Steven Watts</w:t>
            </w:r>
          </w:p>
          <w:p w:rsidR="00B07FD6" w:rsidRPr="008847EB" w:rsidRDefault="00B07FD6" w:rsidP="002832B0">
            <w:pPr>
              <w:jc w:val="both"/>
              <w:rPr>
                <w:sz w:val="20"/>
              </w:rPr>
            </w:pPr>
            <w:r w:rsidRPr="008847EB">
              <w:rPr>
                <w:sz w:val="20"/>
              </w:rPr>
              <w:t>(Ont.) (Civil) (By Leave)</w:t>
            </w:r>
          </w:p>
        </w:tc>
      </w:tr>
      <w:tr w:rsidR="00B07FD6" w:rsidRPr="008847EB" w:rsidTr="002832B0">
        <w:tc>
          <w:tcPr>
            <w:tcW w:w="5000" w:type="pct"/>
            <w:gridSpan w:val="4"/>
          </w:tcPr>
          <w:p w:rsidR="005D05AA" w:rsidRPr="008847EB" w:rsidRDefault="005D05AA" w:rsidP="005D05AA">
            <w:pPr>
              <w:jc w:val="both"/>
              <w:rPr>
                <w:sz w:val="20"/>
                <w:szCs w:val="20"/>
              </w:rPr>
            </w:pPr>
            <w:r w:rsidRPr="008847EB">
              <w:rPr>
                <w:sz w:val="20"/>
                <w:szCs w:val="20"/>
              </w:rPr>
              <w:t>The application for leave to appeal from the judgment of the</w:t>
            </w:r>
            <w:bookmarkStart w:id="5" w:name="BM_1_"/>
            <w:bookmarkEnd w:id="5"/>
            <w:r w:rsidRPr="008847EB">
              <w:rPr>
                <w:sz w:val="20"/>
                <w:szCs w:val="20"/>
              </w:rPr>
              <w:t xml:space="preserve"> Court of Appeal for Ontario, Number C65143, 2019 ONCA 311, dated April 18, 2019, is granted with costs in the cause.</w:t>
            </w:r>
          </w:p>
          <w:p w:rsidR="00B07FD6" w:rsidRPr="008847EB" w:rsidRDefault="00B07FD6" w:rsidP="002832B0">
            <w:pPr>
              <w:jc w:val="both"/>
              <w:rPr>
                <w:sz w:val="20"/>
              </w:rPr>
            </w:pPr>
          </w:p>
        </w:tc>
      </w:tr>
      <w:tr w:rsidR="00B07FD6" w:rsidRPr="008847EB" w:rsidTr="002832B0">
        <w:tc>
          <w:tcPr>
            <w:tcW w:w="5000" w:type="pct"/>
            <w:gridSpan w:val="4"/>
          </w:tcPr>
          <w:p w:rsidR="00B07FD6" w:rsidRPr="008847EB" w:rsidRDefault="00B07FD6" w:rsidP="002832B0">
            <w:pPr>
              <w:jc w:val="both"/>
              <w:rPr>
                <w:sz w:val="20"/>
              </w:rPr>
            </w:pPr>
            <w:r w:rsidRPr="008847EB">
              <w:rPr>
                <w:sz w:val="20"/>
              </w:rPr>
              <w:t>Crown law — Crown liability — Torts — Misfeasance in public office — Judgments and orders — Summary judgments — Applicant’s motion to strike respondents’ claims allowed in part —Respondent’s claim for misfeasance in public office against Crown Attorneys allowed to proceed — Are Attorney General and Crown Attorneys absolutely immune from civil liability to claimants who were not the subject of a prosecution? — Should misfeasance claims against Crown prosecutors based on allegations of recklessness or wilful blindness be prohibited?</w:t>
            </w:r>
          </w:p>
          <w:p w:rsidR="00B07FD6" w:rsidRPr="008847EB" w:rsidRDefault="00B07FD6" w:rsidP="002832B0">
            <w:pPr>
              <w:jc w:val="both"/>
              <w:rPr>
                <w:sz w:val="20"/>
              </w:rPr>
            </w:pPr>
          </w:p>
        </w:tc>
      </w:tr>
      <w:tr w:rsidR="00B07FD6" w:rsidRPr="008847EB" w:rsidTr="002832B0">
        <w:tc>
          <w:tcPr>
            <w:tcW w:w="5000" w:type="pct"/>
            <w:gridSpan w:val="4"/>
          </w:tcPr>
          <w:p w:rsidR="00B07FD6" w:rsidRPr="008847EB" w:rsidRDefault="00B07FD6" w:rsidP="002832B0">
            <w:pPr>
              <w:jc w:val="both"/>
              <w:rPr>
                <w:sz w:val="20"/>
              </w:rPr>
            </w:pPr>
            <w:r w:rsidRPr="008847EB">
              <w:rPr>
                <w:sz w:val="20"/>
              </w:rPr>
              <w:t>In 2009, the respondents, who are all police officers, arrested and charged two individuals in connection with an armed robbery and forcible confinement. B</w:t>
            </w:r>
            <w:proofErr w:type="spellStart"/>
            <w:r w:rsidRPr="008847EB">
              <w:rPr>
                <w:sz w:val="20"/>
                <w:lang w:val="en"/>
              </w:rPr>
              <w:t>oth</w:t>
            </w:r>
            <w:proofErr w:type="spellEnd"/>
            <w:r w:rsidRPr="008847EB">
              <w:rPr>
                <w:sz w:val="20"/>
                <w:lang w:val="en"/>
              </w:rPr>
              <w:t xml:space="preserve"> accused provided videotaped statements. </w:t>
            </w:r>
            <w:r w:rsidRPr="008847EB">
              <w:rPr>
                <w:sz w:val="20"/>
              </w:rPr>
              <w:t xml:space="preserve">One of the accused provided a false exculpatory statement and the other provided a statement admitting to their involvement in the crime. They both later claimed that the police officers had assaulted them during their arrests. The officers denied that any assaults had taken place and provided the Crown Attorney with exculpatory evidence that supported their position.  Proceedings against one of the accused were stayed on the basis of the assault claim. The other accused was convicted of the charges but he subsequently brought a </w:t>
            </w:r>
            <w:r w:rsidRPr="008847EB">
              <w:rPr>
                <w:i/>
                <w:sz w:val="20"/>
              </w:rPr>
              <w:t>Charter</w:t>
            </w:r>
            <w:r w:rsidRPr="008847EB">
              <w:rPr>
                <w:sz w:val="20"/>
              </w:rPr>
              <w:t xml:space="preserve"> application seeking to stay the proceedings against him on the ground that the respondents had assaulted him. However, the exculpatory evidence provided by the police was never made known to the court. The trial judge decided that a reduced sentence was the appropriate remedy to address the assault claim. The accused appealed and the Court of Appeal upheld the assault finding and entered a stay of proceedings. Both sets of reasons from the courts contained language that was highly critical of the conduct of police officers during the arrests of the two accused.</w:t>
            </w:r>
          </w:p>
          <w:p w:rsidR="00B07FD6" w:rsidRPr="008847EB" w:rsidRDefault="00B07FD6" w:rsidP="002832B0">
            <w:pPr>
              <w:jc w:val="both"/>
              <w:rPr>
                <w:sz w:val="20"/>
              </w:rPr>
            </w:pPr>
          </w:p>
          <w:p w:rsidR="00B07FD6" w:rsidRPr="008847EB" w:rsidRDefault="00B07FD6" w:rsidP="002832B0">
            <w:pPr>
              <w:jc w:val="both"/>
              <w:rPr>
                <w:sz w:val="20"/>
              </w:rPr>
            </w:pPr>
            <w:r w:rsidRPr="008847EB">
              <w:rPr>
                <w:sz w:val="20"/>
              </w:rPr>
              <w:t>The police officers brought an action against the Attorney General for Ontario, alleging that the Crown Attorneys involved failed to pursue and put forward available evidence that contradicted the assault claims of the accused. They alleged that the Crown’s actions and omissions caused irreparable harm to their reputations. Their claims were based on allegations of negligence and misfeasance in public office. The Attorney General brought a motion to strike their claims. The motion judge struck the claim in negligence but allowed the claim for misfeasance in public office to proceed. Both parties appealed. The Court of Appeal upheld the decision of the motion judge.</w:t>
            </w:r>
          </w:p>
        </w:tc>
      </w:tr>
      <w:tr w:rsidR="00B07FD6" w:rsidRPr="008847EB" w:rsidTr="002832B0">
        <w:tc>
          <w:tcPr>
            <w:tcW w:w="5000" w:type="pct"/>
            <w:gridSpan w:val="4"/>
          </w:tcPr>
          <w:p w:rsidR="00B07FD6" w:rsidRPr="008847EB" w:rsidRDefault="00B07FD6" w:rsidP="002832B0">
            <w:pPr>
              <w:jc w:val="both"/>
              <w:rPr>
                <w:sz w:val="20"/>
              </w:rPr>
            </w:pPr>
          </w:p>
        </w:tc>
      </w:tr>
      <w:tr w:rsidR="00B07FD6" w:rsidRPr="008847EB" w:rsidTr="002832B0">
        <w:tc>
          <w:tcPr>
            <w:tcW w:w="2427" w:type="pct"/>
            <w:gridSpan w:val="2"/>
          </w:tcPr>
          <w:p w:rsidR="00B07FD6" w:rsidRPr="008847EB" w:rsidRDefault="00B07FD6" w:rsidP="002832B0">
            <w:pPr>
              <w:jc w:val="both"/>
              <w:rPr>
                <w:sz w:val="20"/>
              </w:rPr>
            </w:pPr>
            <w:r w:rsidRPr="008847EB">
              <w:rPr>
                <w:sz w:val="20"/>
              </w:rPr>
              <w:t>June 13, 2017</w:t>
            </w:r>
          </w:p>
          <w:p w:rsidR="00B07FD6" w:rsidRPr="008847EB" w:rsidRDefault="00B07FD6" w:rsidP="002832B0">
            <w:pPr>
              <w:jc w:val="both"/>
              <w:rPr>
                <w:sz w:val="20"/>
              </w:rPr>
            </w:pPr>
            <w:r w:rsidRPr="008847EB">
              <w:rPr>
                <w:sz w:val="20"/>
              </w:rPr>
              <w:t>Ontario Superior Court of Justice</w:t>
            </w:r>
          </w:p>
          <w:p w:rsidR="00B07FD6" w:rsidRPr="008847EB" w:rsidRDefault="00B07FD6" w:rsidP="002832B0">
            <w:pPr>
              <w:jc w:val="both"/>
              <w:rPr>
                <w:sz w:val="20"/>
              </w:rPr>
            </w:pPr>
            <w:r w:rsidRPr="008847EB">
              <w:rPr>
                <w:sz w:val="20"/>
              </w:rPr>
              <w:t>(Stinson J.)</w:t>
            </w:r>
          </w:p>
          <w:p w:rsidR="00B07FD6" w:rsidRPr="008847EB" w:rsidRDefault="0011194E" w:rsidP="002832B0">
            <w:pPr>
              <w:jc w:val="both"/>
              <w:rPr>
                <w:rStyle w:val="Hyperlink"/>
                <w:sz w:val="20"/>
              </w:rPr>
            </w:pPr>
            <w:hyperlink r:id="rId19" w:history="1">
              <w:r w:rsidR="00B07FD6" w:rsidRPr="008847EB">
                <w:rPr>
                  <w:rStyle w:val="Hyperlink"/>
                  <w:sz w:val="20"/>
                </w:rPr>
                <w:t>2017 ONSC 3683</w:t>
              </w:r>
            </w:hyperlink>
          </w:p>
          <w:p w:rsidR="00B07FD6" w:rsidRPr="008847EB" w:rsidRDefault="00B07FD6" w:rsidP="002832B0">
            <w:pPr>
              <w:jc w:val="both"/>
              <w:rPr>
                <w:sz w:val="20"/>
              </w:rPr>
            </w:pPr>
          </w:p>
        </w:tc>
        <w:tc>
          <w:tcPr>
            <w:tcW w:w="243" w:type="pct"/>
          </w:tcPr>
          <w:p w:rsidR="00B07FD6" w:rsidRPr="008847EB" w:rsidRDefault="00B07FD6" w:rsidP="002832B0">
            <w:pPr>
              <w:jc w:val="both"/>
              <w:rPr>
                <w:sz w:val="20"/>
              </w:rPr>
            </w:pPr>
          </w:p>
        </w:tc>
        <w:tc>
          <w:tcPr>
            <w:tcW w:w="2330" w:type="pct"/>
          </w:tcPr>
          <w:p w:rsidR="00B07FD6" w:rsidRPr="008847EB" w:rsidRDefault="00B07FD6" w:rsidP="002832B0">
            <w:pPr>
              <w:jc w:val="both"/>
              <w:rPr>
                <w:sz w:val="20"/>
              </w:rPr>
            </w:pPr>
            <w:r w:rsidRPr="008847EB">
              <w:rPr>
                <w:sz w:val="20"/>
              </w:rPr>
              <w:t>Respondents’ claim in negligence struck; Respondents’ claim for misfeasance in public office allowed to proceed</w:t>
            </w:r>
          </w:p>
        </w:tc>
      </w:tr>
      <w:tr w:rsidR="00B07FD6" w:rsidRPr="008847EB" w:rsidTr="002832B0">
        <w:tc>
          <w:tcPr>
            <w:tcW w:w="2427" w:type="pct"/>
            <w:gridSpan w:val="2"/>
          </w:tcPr>
          <w:p w:rsidR="00B07FD6" w:rsidRPr="008847EB" w:rsidRDefault="00B07FD6" w:rsidP="002832B0">
            <w:pPr>
              <w:jc w:val="both"/>
              <w:rPr>
                <w:sz w:val="20"/>
              </w:rPr>
            </w:pPr>
            <w:r w:rsidRPr="008847EB">
              <w:rPr>
                <w:sz w:val="20"/>
              </w:rPr>
              <w:t>April 18, 2019</w:t>
            </w:r>
          </w:p>
          <w:p w:rsidR="00B07FD6" w:rsidRPr="008847EB" w:rsidRDefault="00B07FD6" w:rsidP="002832B0">
            <w:pPr>
              <w:jc w:val="both"/>
              <w:rPr>
                <w:sz w:val="20"/>
              </w:rPr>
            </w:pPr>
            <w:r w:rsidRPr="008847EB">
              <w:rPr>
                <w:sz w:val="20"/>
              </w:rPr>
              <w:t>Court of Appeal for Ontario</w:t>
            </w:r>
          </w:p>
          <w:p w:rsidR="00B07FD6" w:rsidRPr="008847EB" w:rsidRDefault="00B07FD6" w:rsidP="002832B0">
            <w:pPr>
              <w:jc w:val="both"/>
              <w:rPr>
                <w:sz w:val="20"/>
              </w:rPr>
            </w:pPr>
            <w:proofErr w:type="spellStart"/>
            <w:r w:rsidRPr="008847EB">
              <w:rPr>
                <w:sz w:val="20"/>
              </w:rPr>
              <w:t>Lauwers</w:t>
            </w:r>
            <w:proofErr w:type="spellEnd"/>
            <w:r w:rsidRPr="008847EB">
              <w:rPr>
                <w:sz w:val="20"/>
              </w:rPr>
              <w:t xml:space="preserve">, </w:t>
            </w:r>
            <w:proofErr w:type="spellStart"/>
            <w:r w:rsidRPr="008847EB">
              <w:rPr>
                <w:sz w:val="20"/>
              </w:rPr>
              <w:t>Huscroft</w:t>
            </w:r>
            <w:proofErr w:type="spellEnd"/>
            <w:r w:rsidRPr="008847EB">
              <w:rPr>
                <w:sz w:val="20"/>
              </w:rPr>
              <w:t xml:space="preserve"> and Trotter JJ.A.)</w:t>
            </w:r>
          </w:p>
          <w:p w:rsidR="00B07FD6" w:rsidRPr="008847EB" w:rsidRDefault="0011194E" w:rsidP="002832B0">
            <w:pPr>
              <w:jc w:val="both"/>
              <w:rPr>
                <w:rStyle w:val="Hyperlink"/>
                <w:sz w:val="20"/>
              </w:rPr>
            </w:pPr>
            <w:hyperlink r:id="rId20" w:history="1">
              <w:r w:rsidR="00B07FD6" w:rsidRPr="008847EB">
                <w:rPr>
                  <w:rStyle w:val="Hyperlink"/>
                  <w:sz w:val="20"/>
                </w:rPr>
                <w:t>2019 ONCA 311</w:t>
              </w:r>
            </w:hyperlink>
          </w:p>
          <w:p w:rsidR="00B07FD6" w:rsidRPr="008847EB" w:rsidRDefault="00B07FD6" w:rsidP="002832B0">
            <w:pPr>
              <w:jc w:val="both"/>
              <w:rPr>
                <w:sz w:val="20"/>
              </w:rPr>
            </w:pPr>
          </w:p>
        </w:tc>
        <w:tc>
          <w:tcPr>
            <w:tcW w:w="243" w:type="pct"/>
          </w:tcPr>
          <w:p w:rsidR="00B07FD6" w:rsidRPr="008847EB" w:rsidRDefault="00B07FD6" w:rsidP="002832B0">
            <w:pPr>
              <w:jc w:val="both"/>
              <w:rPr>
                <w:sz w:val="20"/>
              </w:rPr>
            </w:pPr>
          </w:p>
        </w:tc>
        <w:tc>
          <w:tcPr>
            <w:tcW w:w="2330" w:type="pct"/>
          </w:tcPr>
          <w:p w:rsidR="00B07FD6" w:rsidRPr="008847EB" w:rsidRDefault="00B07FD6" w:rsidP="002832B0">
            <w:pPr>
              <w:jc w:val="both"/>
              <w:rPr>
                <w:sz w:val="20"/>
              </w:rPr>
            </w:pPr>
            <w:r w:rsidRPr="008847EB">
              <w:rPr>
                <w:sz w:val="20"/>
              </w:rPr>
              <w:t>Applicant’s appeal dismissed; Respondents’ appeal dismissed</w:t>
            </w:r>
          </w:p>
          <w:p w:rsidR="00B07FD6" w:rsidRPr="008847EB" w:rsidRDefault="00B07FD6" w:rsidP="002832B0">
            <w:pPr>
              <w:jc w:val="both"/>
              <w:rPr>
                <w:sz w:val="20"/>
              </w:rPr>
            </w:pPr>
          </w:p>
          <w:p w:rsidR="00B07FD6" w:rsidRPr="008847EB" w:rsidRDefault="00B07FD6" w:rsidP="002832B0">
            <w:pPr>
              <w:jc w:val="both"/>
              <w:rPr>
                <w:sz w:val="20"/>
              </w:rPr>
            </w:pPr>
          </w:p>
        </w:tc>
      </w:tr>
      <w:tr w:rsidR="00B07FD6" w:rsidRPr="008847EB" w:rsidTr="002832B0">
        <w:tc>
          <w:tcPr>
            <w:tcW w:w="2427" w:type="pct"/>
            <w:gridSpan w:val="2"/>
          </w:tcPr>
          <w:p w:rsidR="00B07FD6" w:rsidRPr="008847EB" w:rsidRDefault="00B07FD6" w:rsidP="002832B0">
            <w:pPr>
              <w:jc w:val="both"/>
              <w:rPr>
                <w:sz w:val="20"/>
              </w:rPr>
            </w:pPr>
            <w:r w:rsidRPr="008847EB">
              <w:rPr>
                <w:sz w:val="20"/>
              </w:rPr>
              <w:t>June 17, 2019</w:t>
            </w:r>
          </w:p>
          <w:p w:rsidR="00B07FD6" w:rsidRPr="008847EB" w:rsidRDefault="00B07FD6" w:rsidP="002832B0">
            <w:pPr>
              <w:jc w:val="both"/>
              <w:rPr>
                <w:sz w:val="20"/>
              </w:rPr>
            </w:pPr>
            <w:r w:rsidRPr="008847EB">
              <w:rPr>
                <w:sz w:val="20"/>
              </w:rPr>
              <w:t>Supreme Court of Canada</w:t>
            </w:r>
          </w:p>
        </w:tc>
        <w:tc>
          <w:tcPr>
            <w:tcW w:w="243" w:type="pct"/>
          </w:tcPr>
          <w:p w:rsidR="00B07FD6" w:rsidRPr="008847EB" w:rsidRDefault="00B07FD6" w:rsidP="002832B0">
            <w:pPr>
              <w:jc w:val="both"/>
              <w:rPr>
                <w:sz w:val="20"/>
              </w:rPr>
            </w:pPr>
          </w:p>
        </w:tc>
        <w:tc>
          <w:tcPr>
            <w:tcW w:w="2330" w:type="pct"/>
          </w:tcPr>
          <w:p w:rsidR="00B07FD6" w:rsidRPr="008847EB" w:rsidRDefault="00B07FD6" w:rsidP="002832B0">
            <w:pPr>
              <w:jc w:val="both"/>
              <w:rPr>
                <w:sz w:val="20"/>
              </w:rPr>
            </w:pPr>
            <w:r w:rsidRPr="008847EB">
              <w:rPr>
                <w:sz w:val="20"/>
              </w:rPr>
              <w:t>Application for leave to appeal filed</w:t>
            </w:r>
          </w:p>
          <w:p w:rsidR="00B07FD6" w:rsidRPr="008847EB" w:rsidRDefault="00B07FD6" w:rsidP="002832B0">
            <w:pPr>
              <w:jc w:val="both"/>
              <w:rPr>
                <w:sz w:val="20"/>
              </w:rPr>
            </w:pPr>
          </w:p>
        </w:tc>
      </w:tr>
    </w:tbl>
    <w:p w:rsidR="00B07FD6" w:rsidRPr="008847EB" w:rsidRDefault="00B07FD6" w:rsidP="00B07FD6">
      <w:pPr>
        <w:jc w:val="both"/>
        <w:rPr>
          <w:sz w:val="20"/>
        </w:rPr>
      </w:pPr>
    </w:p>
    <w:p w:rsidR="00B07FD6" w:rsidRPr="008847EB" w:rsidRDefault="0011194E" w:rsidP="00B07FD6">
      <w:pPr>
        <w:ind w:left="142" w:hanging="142"/>
        <w:jc w:val="both"/>
        <w:rPr>
          <w:sz w:val="20"/>
        </w:rPr>
      </w:pPr>
      <w:r>
        <w:rPr>
          <w:sz w:val="20"/>
        </w:rPr>
        <w:pict>
          <v:rect id="_x0000_i1043" style="width:2in;height:1pt" o:hrpct="0" o:hralign="center" o:hrstd="t" o:hrnoshade="t" o:hr="t" fillcolor="black [3213]" stroked="f"/>
        </w:pict>
      </w:r>
    </w:p>
    <w:p w:rsidR="00B07FD6" w:rsidRPr="008847EB" w:rsidRDefault="00B07FD6" w:rsidP="00B07FD6">
      <w:pPr>
        <w:ind w:left="142" w:hanging="142"/>
        <w:jc w:val="both"/>
        <w:rPr>
          <w:sz w:val="20"/>
        </w:rPr>
      </w:pPr>
    </w:p>
    <w:p w:rsidR="000D2E75" w:rsidRPr="008847EB" w:rsidRDefault="000D2E75">
      <w:r w:rsidRPr="008847E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7FD6" w:rsidRPr="008847EB" w:rsidTr="002832B0">
        <w:tc>
          <w:tcPr>
            <w:tcW w:w="543" w:type="pct"/>
          </w:tcPr>
          <w:p w:rsidR="00B07FD6" w:rsidRPr="008847EB" w:rsidRDefault="00B07FD6" w:rsidP="002832B0">
            <w:pPr>
              <w:jc w:val="both"/>
              <w:rPr>
                <w:sz w:val="20"/>
                <w:lang w:val="fr-CA"/>
              </w:rPr>
            </w:pPr>
            <w:r w:rsidRPr="008847EB">
              <w:rPr>
                <w:rStyle w:val="SCCFileNumberChar"/>
                <w:sz w:val="20"/>
                <w:szCs w:val="20"/>
                <w:lang w:val="fr-CA"/>
              </w:rPr>
              <w:lastRenderedPageBreak/>
              <w:t>38687</w:t>
            </w:r>
          </w:p>
        </w:tc>
        <w:tc>
          <w:tcPr>
            <w:tcW w:w="4457" w:type="pct"/>
            <w:gridSpan w:val="3"/>
          </w:tcPr>
          <w:p w:rsidR="00B07FD6" w:rsidRPr="008847EB" w:rsidRDefault="00B07FD6" w:rsidP="002832B0">
            <w:pPr>
              <w:pStyle w:val="SCCLsocParty"/>
              <w:jc w:val="both"/>
              <w:rPr>
                <w:b/>
                <w:sz w:val="20"/>
                <w:szCs w:val="20"/>
              </w:rPr>
            </w:pPr>
            <w:r w:rsidRPr="008847EB">
              <w:rPr>
                <w:b/>
                <w:sz w:val="20"/>
                <w:szCs w:val="20"/>
              </w:rPr>
              <w:t>Procureur général de l’Ontario c. Jamie Clark, Donald Belanger et Steven Watts</w:t>
            </w:r>
          </w:p>
          <w:p w:rsidR="00B07FD6" w:rsidRPr="008847EB" w:rsidRDefault="00B07FD6" w:rsidP="002832B0">
            <w:pPr>
              <w:jc w:val="both"/>
              <w:rPr>
                <w:sz w:val="20"/>
                <w:lang w:val="fr-CA"/>
              </w:rPr>
            </w:pPr>
            <w:r w:rsidRPr="008847EB">
              <w:rPr>
                <w:sz w:val="20"/>
                <w:lang w:val="fr-CA"/>
              </w:rPr>
              <w:t>(Ont.) (Civile) (Autorisation)</w:t>
            </w:r>
          </w:p>
        </w:tc>
      </w:tr>
      <w:tr w:rsidR="00B07FD6" w:rsidRPr="00684C75" w:rsidTr="002832B0">
        <w:tc>
          <w:tcPr>
            <w:tcW w:w="5000" w:type="pct"/>
            <w:gridSpan w:val="4"/>
          </w:tcPr>
          <w:p w:rsidR="00B07FD6" w:rsidRPr="008847EB" w:rsidRDefault="005D05AA" w:rsidP="002832B0">
            <w:pPr>
              <w:jc w:val="both"/>
              <w:rPr>
                <w:sz w:val="20"/>
                <w:szCs w:val="20"/>
                <w:lang w:val="fr-CA"/>
              </w:rPr>
            </w:pPr>
            <w:r w:rsidRPr="008847EB">
              <w:rPr>
                <w:sz w:val="20"/>
                <w:szCs w:val="20"/>
                <w:lang w:val="fr-CA"/>
              </w:rPr>
              <w:t xml:space="preserve">La demande d’autorisation d’appel de l’arrêt de la </w:t>
            </w:r>
            <w:r w:rsidRPr="008847EB">
              <w:rPr>
                <w:sz w:val="20"/>
                <w:szCs w:val="20"/>
                <w:lang w:val="fr-FR"/>
              </w:rPr>
              <w:t>Cour d’appel de l’Ontario</w:t>
            </w:r>
            <w:r w:rsidRPr="008847EB">
              <w:rPr>
                <w:sz w:val="20"/>
                <w:szCs w:val="20"/>
                <w:lang w:val="fr-CA"/>
              </w:rPr>
              <w:t xml:space="preserve">, numéro </w:t>
            </w:r>
            <w:r w:rsidRPr="008847EB">
              <w:rPr>
                <w:sz w:val="20"/>
                <w:szCs w:val="20"/>
                <w:lang w:val="fr-FR"/>
              </w:rPr>
              <w:t>C65143</w:t>
            </w:r>
            <w:r w:rsidRPr="008847EB">
              <w:rPr>
                <w:sz w:val="20"/>
                <w:szCs w:val="20"/>
                <w:lang w:val="fr-CA"/>
              </w:rPr>
              <w:t xml:space="preserve">, </w:t>
            </w:r>
            <w:r w:rsidRPr="008847EB">
              <w:rPr>
                <w:sz w:val="20"/>
                <w:szCs w:val="20"/>
                <w:lang w:val="fr-FR"/>
              </w:rPr>
              <w:t xml:space="preserve">2019 ONCA 311, </w:t>
            </w:r>
            <w:r w:rsidRPr="008847EB">
              <w:rPr>
                <w:sz w:val="20"/>
                <w:szCs w:val="20"/>
                <w:lang w:val="fr-CA"/>
              </w:rPr>
              <w:t xml:space="preserve">daté du </w:t>
            </w:r>
            <w:r w:rsidRPr="008847EB">
              <w:rPr>
                <w:sz w:val="20"/>
                <w:szCs w:val="20"/>
                <w:lang w:val="fr-FR"/>
              </w:rPr>
              <w:t>18 avril 2019</w:t>
            </w:r>
            <w:r w:rsidRPr="008847EB">
              <w:rPr>
                <w:sz w:val="20"/>
                <w:szCs w:val="20"/>
                <w:lang w:val="fr-CA"/>
              </w:rPr>
              <w:t>, est accueillie avec d</w:t>
            </w:r>
            <w:r w:rsidRPr="008847EB">
              <w:rPr>
                <w:rFonts w:cs="Times New Roman"/>
                <w:sz w:val="20"/>
                <w:szCs w:val="20"/>
                <w:lang w:val="fr-CA"/>
              </w:rPr>
              <w:t>é</w:t>
            </w:r>
            <w:r w:rsidRPr="008847EB">
              <w:rPr>
                <w:sz w:val="20"/>
                <w:szCs w:val="20"/>
                <w:lang w:val="fr-CA"/>
              </w:rPr>
              <w:t>pens suivant la cause.</w:t>
            </w:r>
          </w:p>
          <w:p w:rsidR="005D05AA" w:rsidRPr="008847EB" w:rsidRDefault="005D05AA" w:rsidP="002832B0">
            <w:pPr>
              <w:jc w:val="both"/>
              <w:rPr>
                <w:sz w:val="20"/>
                <w:lang w:val="fr-CA"/>
              </w:rPr>
            </w:pPr>
          </w:p>
        </w:tc>
      </w:tr>
      <w:tr w:rsidR="00B07FD6" w:rsidRPr="00684C75" w:rsidTr="002832B0">
        <w:tc>
          <w:tcPr>
            <w:tcW w:w="5000" w:type="pct"/>
            <w:gridSpan w:val="4"/>
          </w:tcPr>
          <w:p w:rsidR="00B07FD6" w:rsidRPr="008847EB" w:rsidRDefault="00B07FD6" w:rsidP="002832B0">
            <w:pPr>
              <w:jc w:val="both"/>
              <w:rPr>
                <w:sz w:val="20"/>
                <w:lang w:val="fr-CA"/>
              </w:rPr>
            </w:pPr>
            <w:r w:rsidRPr="008847EB">
              <w:rPr>
                <w:sz w:val="20"/>
                <w:lang w:val="fr-CA"/>
              </w:rPr>
              <w:t>Droit de la Couronne — Responsabilité de l’État — Responsabilité civile — Faute dans l’exercice d’une charge publique — Jugements et ordonnances — Jugements sommaires — Motion du demandeur en radiation des demandes des intimés accueillie en partie — Le tribunal autorise l’exercice du recours des intimés fondé sur la faute dans l’exercice d’une charge publique et dirigé contre les procureurs de la Couronne — Le procureur général et les procureurs de la Couronne jouissent</w:t>
            </w:r>
            <w:r w:rsidRPr="008847EB">
              <w:rPr>
                <w:sz w:val="20"/>
                <w:lang w:val="fr-CA"/>
              </w:rPr>
              <w:noBreakHyphen/>
              <w:t>ils de l’immunité absolue en ce qui concerne la responsabilité civile envers des demandeurs qui n’étaient pas visés par une poursuite pénale? — Y a</w:t>
            </w:r>
            <w:r w:rsidRPr="008847EB">
              <w:rPr>
                <w:sz w:val="20"/>
                <w:lang w:val="fr-CA"/>
              </w:rPr>
              <w:noBreakHyphen/>
              <w:t>t</w:t>
            </w:r>
            <w:r w:rsidRPr="008847EB">
              <w:rPr>
                <w:sz w:val="20"/>
                <w:lang w:val="fr-CA"/>
              </w:rPr>
              <w:noBreakHyphen/>
              <w:t>il lieu d’interdire les demandes fondées sur la faute d’exécution dirigées contre les procureurs de la Couronne sur le fondement d’allégations d’insouciance ou d’aveuglement volontaire?</w:t>
            </w:r>
          </w:p>
          <w:p w:rsidR="00B07FD6" w:rsidRPr="008847EB" w:rsidRDefault="00B07FD6" w:rsidP="002832B0">
            <w:pPr>
              <w:jc w:val="both"/>
              <w:rPr>
                <w:sz w:val="20"/>
                <w:lang w:val="fr-CA"/>
              </w:rPr>
            </w:pPr>
          </w:p>
        </w:tc>
      </w:tr>
      <w:tr w:rsidR="00B07FD6" w:rsidRPr="00684C75" w:rsidTr="002832B0">
        <w:tc>
          <w:tcPr>
            <w:tcW w:w="5000" w:type="pct"/>
            <w:gridSpan w:val="4"/>
          </w:tcPr>
          <w:p w:rsidR="00B07FD6" w:rsidRPr="008847EB" w:rsidRDefault="00B07FD6" w:rsidP="002832B0">
            <w:pPr>
              <w:jc w:val="both"/>
              <w:rPr>
                <w:sz w:val="20"/>
                <w:lang w:val="fr-CA"/>
              </w:rPr>
            </w:pPr>
            <w:r w:rsidRPr="008847EB">
              <w:rPr>
                <w:sz w:val="20"/>
                <w:lang w:val="fr-CA"/>
              </w:rPr>
              <w:t xml:space="preserve">En 2009, les intimés, qui sont tous des policiers, ont arrêté et accusé deux personnes en lien avec un vol à main armée et une séquestration. Les deux accusés ont fait des déclarations enregistrées sur bande vidéo. Un des accusés a fait une déclaration disculpatoire fausse et l’autre a fait une déclaration avouant leur implication dans le crime. Les deux ont par la suite affirmé que les policiers les avaient agressés pendant leurs arrestations. Les policiers ont nié les agressions et ils ont fourni au procureur de la Couronne des éléments de preuve disculpatoire au soutien de leur thèse. Il y a eu arrêt des procédures contre un des accusés sur le fondement de l’allégation d’agression. L’autre accusé a été déclaré coupable des accusations, mais il a présenté par la suite une demande d’arrêt des procédures contre lui fondée sur la </w:t>
            </w:r>
            <w:r w:rsidRPr="008847EB">
              <w:rPr>
                <w:i/>
                <w:sz w:val="20"/>
                <w:lang w:val="fr-CA"/>
              </w:rPr>
              <w:t>Charte</w:t>
            </w:r>
            <w:r w:rsidRPr="008847EB">
              <w:rPr>
                <w:sz w:val="20"/>
                <w:lang w:val="fr-CA"/>
              </w:rPr>
              <w:t>, alléguant que les intimés l’avaient agressé. Toutefois, la preuve disculpatoire présentée par les policiers n’a jamais été portée à la connaissance du tribunal. Le juge du procès a statué qu’une peine réduite était la réparation appropriée pour prendre en compte l’allégation d’agression. Les accusés ont interjeté appel et la Cour d’appel a confirmé la conclusion d’agression et a inscrit un arrêt des procédures. Les deux ensembles de motifs renfermaient des passages extrêmement critiques envers la conduite des policiers pendant les arrestations des deux accusés.</w:t>
            </w:r>
          </w:p>
          <w:p w:rsidR="00B07FD6" w:rsidRPr="008847EB" w:rsidRDefault="00B07FD6" w:rsidP="002832B0">
            <w:pPr>
              <w:jc w:val="both"/>
              <w:rPr>
                <w:sz w:val="20"/>
                <w:lang w:val="fr-CA"/>
              </w:rPr>
            </w:pPr>
          </w:p>
          <w:p w:rsidR="00B07FD6" w:rsidRPr="008847EB" w:rsidRDefault="00B07FD6" w:rsidP="002832B0">
            <w:pPr>
              <w:jc w:val="both"/>
              <w:rPr>
                <w:sz w:val="20"/>
                <w:lang w:val="fr-CA"/>
              </w:rPr>
            </w:pPr>
            <w:r w:rsidRPr="008847EB">
              <w:rPr>
                <w:sz w:val="20"/>
                <w:lang w:val="fr-CA"/>
              </w:rPr>
              <w:t>Les policiers ont intenté une action contre le procureur général de l’Ontario, reprochant aux procureurs de la Couronne en cause de ne pas avoir poursuivi et mis de l’avant les éléments de preuve disponibles qui contredisaient les allégations d’agression faites par les accusés. Ils ont allégué que les actions et omissions du ministère public avaient causé une atteinte irréparable à leurs réputations. Leurs demandes étaient fondées sur des allégations de négligence et de faute dans l’exercice d’une charge publique. Le procureur général a présenté une requête en radiation de leurs demandes. Le juge de première instance a radié la demande fondée sur la négligence, mais a permis l’exercice du recours fondé sur la faute dans l’exercice d’une charge publique. Les deux parties ont interjeté appel. La Cour d’appel a confirmé la décision du juge de première instance.</w:t>
            </w:r>
          </w:p>
        </w:tc>
      </w:tr>
      <w:tr w:rsidR="00B07FD6" w:rsidRPr="00684C75" w:rsidTr="002832B0">
        <w:tc>
          <w:tcPr>
            <w:tcW w:w="5000" w:type="pct"/>
            <w:gridSpan w:val="4"/>
          </w:tcPr>
          <w:p w:rsidR="00B07FD6" w:rsidRPr="008847EB" w:rsidRDefault="00B07FD6" w:rsidP="002832B0">
            <w:pPr>
              <w:jc w:val="both"/>
              <w:rPr>
                <w:sz w:val="20"/>
                <w:lang w:val="fr-CA"/>
              </w:rPr>
            </w:pPr>
          </w:p>
        </w:tc>
      </w:tr>
      <w:tr w:rsidR="00B07FD6" w:rsidRPr="00684C75" w:rsidTr="002832B0">
        <w:tc>
          <w:tcPr>
            <w:tcW w:w="2427" w:type="pct"/>
            <w:gridSpan w:val="2"/>
          </w:tcPr>
          <w:p w:rsidR="00B07FD6" w:rsidRPr="008847EB" w:rsidRDefault="00B07FD6" w:rsidP="002832B0">
            <w:pPr>
              <w:jc w:val="both"/>
              <w:rPr>
                <w:sz w:val="20"/>
                <w:lang w:val="fr-CA"/>
              </w:rPr>
            </w:pPr>
            <w:r w:rsidRPr="008847EB">
              <w:rPr>
                <w:sz w:val="20"/>
                <w:lang w:val="fr-CA"/>
              </w:rPr>
              <w:t>13 juin 2017</w:t>
            </w:r>
          </w:p>
          <w:p w:rsidR="00B07FD6" w:rsidRPr="008847EB" w:rsidRDefault="00B07FD6" w:rsidP="002832B0">
            <w:pPr>
              <w:jc w:val="both"/>
              <w:rPr>
                <w:sz w:val="20"/>
                <w:lang w:val="fr-CA"/>
              </w:rPr>
            </w:pPr>
            <w:r w:rsidRPr="008847EB">
              <w:rPr>
                <w:sz w:val="20"/>
                <w:lang w:val="fr-CA"/>
              </w:rPr>
              <w:t>Cour supérieure de justice de l’Ontario</w:t>
            </w:r>
          </w:p>
          <w:p w:rsidR="00B07FD6" w:rsidRPr="008847EB" w:rsidRDefault="00B07FD6" w:rsidP="002832B0">
            <w:pPr>
              <w:jc w:val="both"/>
              <w:rPr>
                <w:sz w:val="20"/>
                <w:lang w:val="fr-CA"/>
              </w:rPr>
            </w:pPr>
            <w:r w:rsidRPr="008847EB">
              <w:rPr>
                <w:sz w:val="20"/>
                <w:lang w:val="fr-CA"/>
              </w:rPr>
              <w:t xml:space="preserve">(Juge </w:t>
            </w:r>
            <w:proofErr w:type="spellStart"/>
            <w:r w:rsidRPr="008847EB">
              <w:rPr>
                <w:sz w:val="20"/>
                <w:lang w:val="fr-CA"/>
              </w:rPr>
              <w:t>Stinson</w:t>
            </w:r>
            <w:proofErr w:type="spellEnd"/>
            <w:r w:rsidRPr="008847EB">
              <w:rPr>
                <w:sz w:val="20"/>
                <w:lang w:val="fr-CA"/>
              </w:rPr>
              <w:t>)</w:t>
            </w:r>
          </w:p>
          <w:p w:rsidR="00B07FD6" w:rsidRPr="008847EB" w:rsidRDefault="0011194E" w:rsidP="002832B0">
            <w:pPr>
              <w:jc w:val="both"/>
              <w:rPr>
                <w:rStyle w:val="Hyperlink"/>
                <w:sz w:val="20"/>
                <w:lang w:val="fr-CA"/>
              </w:rPr>
            </w:pPr>
            <w:hyperlink r:id="rId21" w:history="1">
              <w:r w:rsidR="00B07FD6" w:rsidRPr="008847EB">
                <w:rPr>
                  <w:rStyle w:val="Hyperlink"/>
                  <w:sz w:val="20"/>
                  <w:lang w:val="fr-CA"/>
                </w:rPr>
                <w:t>2017 ONSC 3683</w:t>
              </w:r>
            </w:hyperlink>
          </w:p>
          <w:p w:rsidR="00B07FD6" w:rsidRPr="008847EB" w:rsidRDefault="00B07FD6" w:rsidP="002832B0">
            <w:pPr>
              <w:jc w:val="both"/>
              <w:rPr>
                <w:sz w:val="20"/>
                <w:lang w:val="fr-CA"/>
              </w:rPr>
            </w:pPr>
          </w:p>
        </w:tc>
        <w:tc>
          <w:tcPr>
            <w:tcW w:w="243" w:type="pct"/>
          </w:tcPr>
          <w:p w:rsidR="00B07FD6" w:rsidRPr="008847EB" w:rsidRDefault="00B07FD6" w:rsidP="002832B0">
            <w:pPr>
              <w:jc w:val="both"/>
              <w:rPr>
                <w:sz w:val="20"/>
                <w:lang w:val="fr-CA"/>
              </w:rPr>
            </w:pPr>
          </w:p>
        </w:tc>
        <w:tc>
          <w:tcPr>
            <w:tcW w:w="2330" w:type="pct"/>
          </w:tcPr>
          <w:p w:rsidR="00B07FD6" w:rsidRPr="008847EB" w:rsidRDefault="00B07FD6" w:rsidP="002832B0">
            <w:pPr>
              <w:jc w:val="both"/>
              <w:rPr>
                <w:sz w:val="20"/>
                <w:lang w:val="fr-CA"/>
              </w:rPr>
            </w:pPr>
            <w:r w:rsidRPr="008847EB">
              <w:rPr>
                <w:sz w:val="20"/>
                <w:lang w:val="fr-CA"/>
              </w:rPr>
              <w:t>Jugement radiant la demande des intimés fondée sur la négligence et autorisant l’exercice du recours fondé sur la faute dans l’exercice d’une charge publique</w:t>
            </w:r>
          </w:p>
        </w:tc>
      </w:tr>
      <w:tr w:rsidR="00B07FD6" w:rsidRPr="00684C75" w:rsidTr="002832B0">
        <w:tc>
          <w:tcPr>
            <w:tcW w:w="2427" w:type="pct"/>
            <w:gridSpan w:val="2"/>
          </w:tcPr>
          <w:p w:rsidR="00B07FD6" w:rsidRPr="008847EB" w:rsidRDefault="00B07FD6" w:rsidP="002832B0">
            <w:pPr>
              <w:jc w:val="both"/>
              <w:rPr>
                <w:sz w:val="20"/>
                <w:lang w:val="fr-CA"/>
              </w:rPr>
            </w:pPr>
            <w:r w:rsidRPr="008847EB">
              <w:rPr>
                <w:sz w:val="20"/>
                <w:lang w:val="fr-CA"/>
              </w:rPr>
              <w:t>19 avril 2019</w:t>
            </w:r>
          </w:p>
          <w:p w:rsidR="00B07FD6" w:rsidRPr="008847EB" w:rsidRDefault="00B07FD6" w:rsidP="002832B0">
            <w:pPr>
              <w:jc w:val="both"/>
              <w:rPr>
                <w:sz w:val="20"/>
                <w:lang w:val="fr-CA"/>
              </w:rPr>
            </w:pPr>
            <w:r w:rsidRPr="008847EB">
              <w:rPr>
                <w:sz w:val="20"/>
                <w:lang w:val="fr-CA"/>
              </w:rPr>
              <w:t>Cour d’appel de l’Ontario</w:t>
            </w:r>
          </w:p>
          <w:p w:rsidR="00B07FD6" w:rsidRPr="008847EB" w:rsidRDefault="00B07FD6" w:rsidP="002832B0">
            <w:pPr>
              <w:jc w:val="both"/>
              <w:rPr>
                <w:sz w:val="20"/>
                <w:lang w:val="fr-CA"/>
              </w:rPr>
            </w:pPr>
            <w:r w:rsidRPr="008847EB">
              <w:rPr>
                <w:sz w:val="20"/>
                <w:lang w:val="fr-CA"/>
              </w:rPr>
              <w:t xml:space="preserve">Juges </w:t>
            </w:r>
            <w:proofErr w:type="spellStart"/>
            <w:r w:rsidRPr="008847EB">
              <w:rPr>
                <w:sz w:val="20"/>
                <w:lang w:val="fr-CA"/>
              </w:rPr>
              <w:t>Lauwers</w:t>
            </w:r>
            <w:proofErr w:type="spellEnd"/>
            <w:r w:rsidRPr="008847EB">
              <w:rPr>
                <w:sz w:val="20"/>
                <w:lang w:val="fr-CA"/>
              </w:rPr>
              <w:t xml:space="preserve">, </w:t>
            </w:r>
            <w:proofErr w:type="spellStart"/>
            <w:r w:rsidRPr="008847EB">
              <w:rPr>
                <w:sz w:val="20"/>
                <w:lang w:val="fr-CA"/>
              </w:rPr>
              <w:t>Huscroft</w:t>
            </w:r>
            <w:proofErr w:type="spellEnd"/>
            <w:r w:rsidRPr="008847EB">
              <w:rPr>
                <w:sz w:val="20"/>
                <w:lang w:val="fr-CA"/>
              </w:rPr>
              <w:t xml:space="preserve"> et Trotter)</w:t>
            </w:r>
          </w:p>
          <w:p w:rsidR="00B07FD6" w:rsidRPr="008847EB" w:rsidRDefault="0011194E" w:rsidP="002832B0">
            <w:pPr>
              <w:jc w:val="both"/>
              <w:rPr>
                <w:rStyle w:val="Hyperlink"/>
                <w:sz w:val="20"/>
                <w:lang w:val="fr-CA"/>
              </w:rPr>
            </w:pPr>
            <w:hyperlink r:id="rId22" w:history="1">
              <w:r w:rsidR="00B07FD6" w:rsidRPr="008847EB">
                <w:rPr>
                  <w:rStyle w:val="Hyperlink"/>
                  <w:sz w:val="20"/>
                  <w:lang w:val="fr-CA"/>
                </w:rPr>
                <w:t>2019 ONCA 311</w:t>
              </w:r>
            </w:hyperlink>
          </w:p>
          <w:p w:rsidR="00B07FD6" w:rsidRPr="008847EB" w:rsidRDefault="00B07FD6" w:rsidP="002832B0">
            <w:pPr>
              <w:jc w:val="both"/>
              <w:rPr>
                <w:sz w:val="20"/>
                <w:lang w:val="fr-CA"/>
              </w:rPr>
            </w:pPr>
          </w:p>
        </w:tc>
        <w:tc>
          <w:tcPr>
            <w:tcW w:w="243" w:type="pct"/>
          </w:tcPr>
          <w:p w:rsidR="00B07FD6" w:rsidRPr="008847EB" w:rsidRDefault="00B07FD6" w:rsidP="002832B0">
            <w:pPr>
              <w:jc w:val="both"/>
              <w:rPr>
                <w:sz w:val="20"/>
                <w:lang w:val="fr-CA"/>
              </w:rPr>
            </w:pPr>
          </w:p>
        </w:tc>
        <w:tc>
          <w:tcPr>
            <w:tcW w:w="2330" w:type="pct"/>
          </w:tcPr>
          <w:p w:rsidR="00B07FD6" w:rsidRPr="008847EB" w:rsidRDefault="00B07FD6" w:rsidP="002832B0">
            <w:pPr>
              <w:jc w:val="both"/>
              <w:rPr>
                <w:sz w:val="20"/>
                <w:lang w:val="fr-CA"/>
              </w:rPr>
            </w:pPr>
            <w:r w:rsidRPr="008847EB">
              <w:rPr>
                <w:sz w:val="20"/>
                <w:lang w:val="fr-CA"/>
              </w:rPr>
              <w:t>Rejet de l’appel du demandeur; rejet de l’appel des intimés</w:t>
            </w:r>
          </w:p>
          <w:p w:rsidR="00B07FD6" w:rsidRPr="008847EB" w:rsidRDefault="00B07FD6" w:rsidP="002832B0">
            <w:pPr>
              <w:jc w:val="both"/>
              <w:rPr>
                <w:sz w:val="20"/>
                <w:lang w:val="fr-CA"/>
              </w:rPr>
            </w:pPr>
          </w:p>
          <w:p w:rsidR="00B07FD6" w:rsidRPr="008847EB" w:rsidRDefault="00B07FD6" w:rsidP="002832B0">
            <w:pPr>
              <w:jc w:val="both"/>
              <w:rPr>
                <w:sz w:val="20"/>
                <w:lang w:val="fr-CA"/>
              </w:rPr>
            </w:pPr>
          </w:p>
        </w:tc>
      </w:tr>
      <w:tr w:rsidR="00B07FD6" w:rsidRPr="00684C75" w:rsidTr="002832B0">
        <w:tc>
          <w:tcPr>
            <w:tcW w:w="2427" w:type="pct"/>
            <w:gridSpan w:val="2"/>
          </w:tcPr>
          <w:p w:rsidR="00B07FD6" w:rsidRPr="008847EB" w:rsidRDefault="00B07FD6" w:rsidP="002832B0">
            <w:pPr>
              <w:jc w:val="both"/>
              <w:rPr>
                <w:sz w:val="20"/>
                <w:lang w:val="fr-CA"/>
              </w:rPr>
            </w:pPr>
            <w:r w:rsidRPr="008847EB">
              <w:rPr>
                <w:sz w:val="20"/>
                <w:lang w:val="fr-CA"/>
              </w:rPr>
              <w:t>17 juin 2019</w:t>
            </w:r>
          </w:p>
          <w:p w:rsidR="00B07FD6" w:rsidRPr="008847EB" w:rsidRDefault="00B07FD6" w:rsidP="002832B0">
            <w:pPr>
              <w:jc w:val="both"/>
              <w:rPr>
                <w:sz w:val="20"/>
                <w:lang w:val="fr-CA"/>
              </w:rPr>
            </w:pPr>
            <w:r w:rsidRPr="008847EB">
              <w:rPr>
                <w:sz w:val="20"/>
                <w:lang w:val="fr-CA"/>
              </w:rPr>
              <w:t>Cour suprême du Canada</w:t>
            </w:r>
          </w:p>
        </w:tc>
        <w:tc>
          <w:tcPr>
            <w:tcW w:w="243" w:type="pct"/>
          </w:tcPr>
          <w:p w:rsidR="00B07FD6" w:rsidRPr="008847EB" w:rsidRDefault="00B07FD6" w:rsidP="002832B0">
            <w:pPr>
              <w:jc w:val="both"/>
              <w:rPr>
                <w:sz w:val="20"/>
                <w:lang w:val="fr-CA"/>
              </w:rPr>
            </w:pPr>
          </w:p>
        </w:tc>
        <w:tc>
          <w:tcPr>
            <w:tcW w:w="2330" w:type="pct"/>
          </w:tcPr>
          <w:p w:rsidR="00B07FD6" w:rsidRPr="008847EB" w:rsidRDefault="00B07FD6" w:rsidP="002832B0">
            <w:pPr>
              <w:jc w:val="both"/>
              <w:rPr>
                <w:sz w:val="20"/>
                <w:lang w:val="fr-CA"/>
              </w:rPr>
            </w:pPr>
            <w:r w:rsidRPr="008847EB">
              <w:rPr>
                <w:sz w:val="20"/>
                <w:lang w:val="fr-CA"/>
              </w:rPr>
              <w:t>Dépôt de la demande d’autorisation d’appel</w:t>
            </w:r>
          </w:p>
          <w:p w:rsidR="00B07FD6" w:rsidRPr="008847EB" w:rsidRDefault="00B07FD6" w:rsidP="002832B0">
            <w:pPr>
              <w:jc w:val="both"/>
              <w:rPr>
                <w:sz w:val="20"/>
                <w:lang w:val="fr-CA"/>
              </w:rPr>
            </w:pPr>
          </w:p>
        </w:tc>
      </w:tr>
    </w:tbl>
    <w:p w:rsidR="00B07FD6" w:rsidRPr="008847EB" w:rsidRDefault="00B07FD6" w:rsidP="00B07FD6">
      <w:pPr>
        <w:ind w:left="142" w:hanging="142"/>
        <w:jc w:val="both"/>
        <w:rPr>
          <w:sz w:val="20"/>
          <w:lang w:val="fr-CA"/>
        </w:rPr>
      </w:pPr>
    </w:p>
    <w:p w:rsidR="00182DE3" w:rsidRPr="008847EB" w:rsidRDefault="0011194E" w:rsidP="00F16063">
      <w:pPr>
        <w:rPr>
          <w:sz w:val="20"/>
          <w:szCs w:val="20"/>
          <w:lang w:val="fr-CA"/>
        </w:rPr>
      </w:pPr>
      <w:r>
        <w:rPr>
          <w:sz w:val="20"/>
        </w:rPr>
        <w:pict>
          <v:rect id="_x0000_i1044" style="width:2in;height:1pt" o:hrpct="0" o:hralign="center" o:hrstd="t" o:hrnoshade="t" o:hr="t" fillcolor="black [3213]" stroked="f"/>
        </w:pict>
      </w:r>
    </w:p>
    <w:p w:rsidR="00890FEB" w:rsidRPr="008847EB" w:rsidRDefault="00890FEB" w:rsidP="008D292F">
      <w:pPr>
        <w:rPr>
          <w:sz w:val="20"/>
          <w:szCs w:val="20"/>
          <w:lang w:val="fr-CA"/>
        </w:rPr>
      </w:pPr>
    </w:p>
    <w:p w:rsidR="00587312" w:rsidRPr="008847EB" w:rsidRDefault="00587312">
      <w:pPr>
        <w:rPr>
          <w:sz w:val="20"/>
          <w:szCs w:val="20"/>
          <w:lang w:val="fr-CA"/>
        </w:rPr>
      </w:pPr>
      <w:r w:rsidRPr="008847EB">
        <w:rPr>
          <w:sz w:val="20"/>
          <w:szCs w:val="20"/>
          <w:lang w:val="fr-CA"/>
        </w:rPr>
        <w:br w:type="page"/>
      </w:r>
    </w:p>
    <w:p w:rsidR="00890FEB" w:rsidRPr="008847EB" w:rsidRDefault="00587312" w:rsidP="008D292F">
      <w:pPr>
        <w:rPr>
          <w:b/>
          <w:sz w:val="20"/>
          <w:szCs w:val="20"/>
          <w:lang w:val="en-US"/>
        </w:rPr>
      </w:pPr>
      <w:r w:rsidRPr="008847EB">
        <w:rPr>
          <w:b/>
          <w:sz w:val="20"/>
          <w:szCs w:val="20"/>
          <w:lang w:val="en-US"/>
        </w:rPr>
        <w:lastRenderedPageBreak/>
        <w:t>38585</w:t>
      </w:r>
      <w:r w:rsidRPr="008847EB">
        <w:rPr>
          <w:b/>
          <w:sz w:val="20"/>
          <w:szCs w:val="20"/>
          <w:lang w:val="en-US"/>
        </w:rPr>
        <w:tab/>
        <w:t>Attorney General of Ontario v. G.</w:t>
      </w:r>
    </w:p>
    <w:p w:rsidR="00587312" w:rsidRPr="008847EB" w:rsidRDefault="00587312" w:rsidP="008D292F">
      <w:pPr>
        <w:rPr>
          <w:sz w:val="20"/>
          <w:szCs w:val="20"/>
          <w:lang w:val="en-US"/>
        </w:rPr>
      </w:pPr>
    </w:p>
    <w:p w:rsidR="00587312" w:rsidRPr="008847EB" w:rsidRDefault="00587312" w:rsidP="00587312">
      <w:pPr>
        <w:jc w:val="both"/>
        <w:rPr>
          <w:sz w:val="20"/>
          <w:szCs w:val="20"/>
        </w:rPr>
      </w:pPr>
      <w:r w:rsidRPr="008847EB">
        <w:rPr>
          <w:i/>
          <w:sz w:val="20"/>
          <w:szCs w:val="20"/>
        </w:rPr>
        <w:fldChar w:fldCharType="begin"/>
      </w:r>
      <w:r w:rsidRPr="008847EB">
        <w:rPr>
          <w:sz w:val="20"/>
          <w:szCs w:val="20"/>
        </w:rPr>
        <w:instrText xml:space="preserve"> SEQ CHAPTER \h \r 1</w:instrText>
      </w:r>
      <w:r w:rsidRPr="008847EB">
        <w:rPr>
          <w:i/>
          <w:sz w:val="20"/>
          <w:szCs w:val="20"/>
        </w:rPr>
        <w:fldChar w:fldCharType="end"/>
      </w:r>
      <w:r w:rsidRPr="008847EB">
        <w:rPr>
          <w:sz w:val="20"/>
          <w:szCs w:val="20"/>
        </w:rPr>
        <w:t>The schedule for serving and filing the material and any application for leave to intervene in the appeal of</w:t>
      </w:r>
      <w:r w:rsidRPr="008847EB">
        <w:rPr>
          <w:i/>
          <w:sz w:val="20"/>
          <w:szCs w:val="20"/>
        </w:rPr>
        <w:t xml:space="preserve"> </w:t>
      </w:r>
      <w:r w:rsidRPr="008847EB">
        <w:rPr>
          <w:i/>
          <w:sz w:val="20"/>
          <w:szCs w:val="20"/>
          <w:lang w:val="en-US"/>
        </w:rPr>
        <w:t xml:space="preserve">Attorney General of Ontario – v. – G. </w:t>
      </w:r>
      <w:r w:rsidRPr="008847EB">
        <w:rPr>
          <w:sz w:val="20"/>
          <w:szCs w:val="20"/>
          <w:lang w:val="en-US"/>
        </w:rPr>
        <w:t xml:space="preserve">(38585) </w:t>
      </w:r>
      <w:r w:rsidRPr="008847EB">
        <w:rPr>
          <w:sz w:val="20"/>
          <w:szCs w:val="20"/>
        </w:rPr>
        <w:t xml:space="preserve">to be heard on February 20, 2020, was set as follows </w:t>
      </w:r>
      <w:r w:rsidRPr="008847EB">
        <w:rPr>
          <w:rFonts w:eastAsia="PMingLiU" w:cs="Times New Roman"/>
          <w:sz w:val="20"/>
          <w:szCs w:val="20"/>
          <w:lang w:val="en-GB"/>
        </w:rPr>
        <w:t>by</w:t>
      </w:r>
      <w:r w:rsidRPr="008847EB">
        <w:rPr>
          <w:sz w:val="20"/>
          <w:szCs w:val="20"/>
        </w:rPr>
        <w:t xml:space="preserve"> the Registrar:</w:t>
      </w:r>
    </w:p>
    <w:p w:rsidR="00587312" w:rsidRPr="008847EB" w:rsidRDefault="00587312" w:rsidP="00587312">
      <w:pPr>
        <w:jc w:val="both"/>
        <w:rPr>
          <w:i/>
          <w:sz w:val="20"/>
          <w:szCs w:val="20"/>
          <w:lang w:val="en-US"/>
        </w:rPr>
      </w:pPr>
    </w:p>
    <w:tbl>
      <w:tblPr>
        <w:tblStyle w:val="TableGrid"/>
        <w:tblW w:w="976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8"/>
      </w:tblGrid>
      <w:tr w:rsidR="00587312" w:rsidRPr="008847EB" w:rsidTr="00D45C5E">
        <w:tc>
          <w:tcPr>
            <w:tcW w:w="9768" w:type="dxa"/>
          </w:tcPr>
          <w:p w:rsidR="00587312" w:rsidRPr="008847EB" w:rsidRDefault="00587312" w:rsidP="00587312">
            <w:pPr>
              <w:pStyle w:val="ListParagraph"/>
              <w:numPr>
                <w:ilvl w:val="0"/>
                <w:numId w:val="8"/>
              </w:numPr>
              <w:tabs>
                <w:tab w:val="left" w:pos="342"/>
                <w:tab w:val="left" w:pos="1008"/>
                <w:tab w:val="left" w:pos="1728"/>
                <w:tab w:val="left" w:pos="2448"/>
                <w:tab w:val="left" w:pos="3618"/>
                <w:tab w:val="left" w:pos="3762"/>
                <w:tab w:val="left" w:pos="4230"/>
                <w:tab w:val="left" w:pos="5328"/>
                <w:tab w:val="left" w:pos="6048"/>
                <w:tab w:val="left" w:pos="6768"/>
                <w:tab w:val="left" w:pos="7488"/>
                <w:tab w:val="left" w:pos="8208"/>
                <w:tab w:val="left" w:pos="8928"/>
                <w:tab w:val="left" w:pos="9648"/>
              </w:tabs>
              <w:ind w:right="72"/>
              <w:jc w:val="both"/>
              <w:rPr>
                <w:sz w:val="20"/>
                <w:szCs w:val="20"/>
              </w:rPr>
            </w:pPr>
            <w:r w:rsidRPr="008847EB">
              <w:rPr>
                <w:sz w:val="20"/>
                <w:szCs w:val="20"/>
              </w:rPr>
              <w:t xml:space="preserve">Any attorney general intending to intervene under </w:t>
            </w:r>
            <w:proofErr w:type="spellStart"/>
            <w:r w:rsidRPr="008847EB">
              <w:rPr>
                <w:sz w:val="20"/>
                <w:szCs w:val="20"/>
              </w:rPr>
              <w:t>subrule</w:t>
            </w:r>
            <w:proofErr w:type="spellEnd"/>
            <w:r w:rsidRPr="008847EB">
              <w:rPr>
                <w:sz w:val="20"/>
                <w:szCs w:val="20"/>
              </w:rPr>
              <w:t xml:space="preserve"> 33(4) of the </w:t>
            </w:r>
            <w:r w:rsidRPr="008847EB">
              <w:rPr>
                <w:i/>
                <w:sz w:val="20"/>
                <w:szCs w:val="20"/>
              </w:rPr>
              <w:t>Rules of the Supreme Court of Canada</w:t>
            </w:r>
            <w:r w:rsidRPr="008847EB">
              <w:rPr>
                <w:sz w:val="20"/>
                <w:szCs w:val="20"/>
              </w:rPr>
              <w:t xml:space="preserve"> shall serve and file a notice of intervention respecting constitutional question on or before November 25, 2019.</w:t>
            </w:r>
          </w:p>
          <w:p w:rsidR="00587312" w:rsidRPr="008847EB" w:rsidRDefault="00587312" w:rsidP="008A1FAE">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firstLine="432"/>
              <w:jc w:val="both"/>
              <w:rPr>
                <w:sz w:val="20"/>
                <w:szCs w:val="20"/>
              </w:rPr>
            </w:pPr>
          </w:p>
          <w:p w:rsidR="00587312" w:rsidRPr="008847EB" w:rsidRDefault="00587312" w:rsidP="00587312">
            <w:pPr>
              <w:pStyle w:val="ListParagraph"/>
              <w:numPr>
                <w:ilvl w:val="0"/>
                <w:numId w:val="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8847EB">
              <w:rPr>
                <w:sz w:val="20"/>
                <w:szCs w:val="20"/>
              </w:rPr>
              <w:t xml:space="preserve">The </w:t>
            </w:r>
            <w:r w:rsidRPr="008847EB">
              <w:rPr>
                <w:rFonts w:eastAsia="PMingLiU"/>
                <w:sz w:val="20"/>
                <w:szCs w:val="20"/>
                <w:lang w:val="en-GB"/>
              </w:rPr>
              <w:t xml:space="preserve">appellant’s record, factum and book of authorities, if any, shall be served and filed </w:t>
            </w:r>
            <w:r w:rsidRPr="008847EB">
              <w:rPr>
                <w:sz w:val="20"/>
                <w:szCs w:val="20"/>
              </w:rPr>
              <w:t>on or before</w:t>
            </w:r>
            <w:r w:rsidRPr="008847EB">
              <w:rPr>
                <w:rFonts w:eastAsia="PMingLiU"/>
                <w:sz w:val="20"/>
                <w:szCs w:val="20"/>
                <w:lang w:val="en-GB"/>
              </w:rPr>
              <w:t xml:space="preserve"> December 16, 2019.</w:t>
            </w:r>
          </w:p>
          <w:p w:rsidR="00587312" w:rsidRPr="008847EB" w:rsidRDefault="00587312" w:rsidP="008A1FAE">
            <w:pPr>
              <w:pStyle w:val="ListParagraph"/>
              <w:tabs>
                <w:tab w:val="left" w:pos="288"/>
                <w:tab w:val="left" w:pos="1008"/>
                <w:tab w:val="left" w:pos="1728"/>
                <w:tab w:val="left" w:pos="2448"/>
                <w:tab w:val="left" w:pos="3618"/>
                <w:tab w:val="left" w:pos="3888"/>
                <w:tab w:val="left" w:pos="4230"/>
                <w:tab w:val="left" w:pos="5328"/>
                <w:tab w:val="left" w:pos="6048"/>
                <w:tab w:val="left" w:pos="6768"/>
                <w:tab w:val="left" w:pos="7488"/>
                <w:tab w:val="left" w:pos="8208"/>
                <w:tab w:val="left" w:pos="8928"/>
                <w:tab w:val="left" w:pos="9648"/>
              </w:tabs>
              <w:ind w:left="360" w:right="315" w:firstLine="432"/>
              <w:jc w:val="both"/>
              <w:rPr>
                <w:sz w:val="20"/>
                <w:szCs w:val="20"/>
              </w:rPr>
            </w:pPr>
          </w:p>
        </w:tc>
      </w:tr>
      <w:tr w:rsidR="00587312" w:rsidRPr="008847EB" w:rsidTr="00D45C5E">
        <w:tc>
          <w:tcPr>
            <w:tcW w:w="9768" w:type="dxa"/>
          </w:tcPr>
          <w:p w:rsidR="00587312" w:rsidRPr="008847EB" w:rsidRDefault="00587312" w:rsidP="00587312">
            <w:pPr>
              <w:pStyle w:val="ListParagraph"/>
              <w:numPr>
                <w:ilvl w:val="0"/>
                <w:numId w:val="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8847EB">
              <w:rPr>
                <w:sz w:val="20"/>
                <w:szCs w:val="20"/>
              </w:rPr>
              <w:t xml:space="preserve">Any person wishing to intervene in this appeal under Rule 55 of the </w:t>
            </w:r>
            <w:r w:rsidRPr="008847EB">
              <w:rPr>
                <w:i/>
                <w:sz w:val="20"/>
                <w:szCs w:val="20"/>
              </w:rPr>
              <w:t>Rules of the Supreme Court of Canada</w:t>
            </w:r>
            <w:r w:rsidRPr="008847EB">
              <w:rPr>
                <w:sz w:val="20"/>
                <w:szCs w:val="20"/>
              </w:rPr>
              <w:t xml:space="preserve"> shall serve and file a motion for leave to intervene on or before January 6, 2020.</w:t>
            </w:r>
          </w:p>
          <w:p w:rsidR="00587312" w:rsidRPr="008847EB" w:rsidRDefault="00587312" w:rsidP="008A1FAE">
            <w:p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firstLine="432"/>
              <w:jc w:val="both"/>
              <w:rPr>
                <w:rFonts w:cs="Times New Roman"/>
                <w:sz w:val="20"/>
                <w:szCs w:val="20"/>
              </w:rPr>
            </w:pPr>
          </w:p>
          <w:p w:rsidR="00587312" w:rsidRPr="008847EB" w:rsidRDefault="00587312" w:rsidP="00587312">
            <w:pPr>
              <w:pStyle w:val="ListParagraph"/>
              <w:numPr>
                <w:ilvl w:val="0"/>
                <w:numId w:val="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8847EB">
              <w:rPr>
                <w:sz w:val="20"/>
                <w:szCs w:val="20"/>
              </w:rPr>
              <w:t>The appellant and respondent shall serve and file their responses, if any, to the motions for leave to intervene on or before January 10, 2020.</w:t>
            </w:r>
          </w:p>
          <w:p w:rsidR="00587312" w:rsidRPr="008847EB" w:rsidRDefault="00587312" w:rsidP="008A1FAE">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792"/>
              <w:jc w:val="both"/>
              <w:rPr>
                <w:sz w:val="20"/>
                <w:szCs w:val="20"/>
              </w:rPr>
            </w:pPr>
          </w:p>
        </w:tc>
      </w:tr>
      <w:tr w:rsidR="00587312" w:rsidRPr="008847EB" w:rsidTr="00D45C5E">
        <w:tc>
          <w:tcPr>
            <w:tcW w:w="9768" w:type="dxa"/>
            <w:shd w:val="clear" w:color="auto" w:fill="auto"/>
          </w:tcPr>
          <w:p w:rsidR="00587312" w:rsidRPr="008847EB" w:rsidRDefault="00587312" w:rsidP="00587312">
            <w:pPr>
              <w:pStyle w:val="ListParagraph"/>
              <w:numPr>
                <w:ilvl w:val="0"/>
                <w:numId w:val="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8847EB">
              <w:rPr>
                <w:sz w:val="20"/>
                <w:szCs w:val="20"/>
              </w:rPr>
              <w:t>Replies to any responses to the motions for leave to intervene shall be served and filed on or before January 14, 2020.</w:t>
            </w:r>
          </w:p>
          <w:p w:rsidR="00587312" w:rsidRPr="008847EB" w:rsidRDefault="00587312" w:rsidP="008A1FAE">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firstLine="432"/>
              <w:jc w:val="both"/>
              <w:rPr>
                <w:sz w:val="20"/>
                <w:szCs w:val="20"/>
              </w:rPr>
            </w:pPr>
          </w:p>
          <w:p w:rsidR="00587312" w:rsidRPr="008847EB" w:rsidRDefault="00587312" w:rsidP="00587312">
            <w:pPr>
              <w:pStyle w:val="ListParagraph"/>
              <w:numPr>
                <w:ilvl w:val="0"/>
                <w:numId w:val="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8847EB">
              <w:rPr>
                <w:rFonts w:eastAsia="PMingLiU"/>
                <w:sz w:val="20"/>
                <w:szCs w:val="20"/>
                <w:lang w:val="en-GB"/>
              </w:rPr>
              <w:t xml:space="preserve">Any intervener granted leave to intervene under Rule 59 of the </w:t>
            </w:r>
            <w:r w:rsidRPr="008847EB">
              <w:rPr>
                <w:rFonts w:eastAsia="PMingLiU"/>
                <w:i/>
                <w:sz w:val="20"/>
                <w:szCs w:val="20"/>
                <w:lang w:val="en-GB"/>
              </w:rPr>
              <w:t>Rules of the Supreme Court of Canada</w:t>
            </w:r>
            <w:r w:rsidRPr="008847EB">
              <w:rPr>
                <w:rFonts w:eastAsia="PMingLiU"/>
                <w:sz w:val="20"/>
                <w:szCs w:val="20"/>
                <w:lang w:val="en-GB"/>
              </w:rPr>
              <w:t xml:space="preserve"> shall serve and file its respective factum and book of authorities, if any, on or before February 6, 2020.</w:t>
            </w:r>
          </w:p>
          <w:p w:rsidR="00587312" w:rsidRPr="008847EB" w:rsidRDefault="00587312" w:rsidP="008A1FAE">
            <w:pPr>
              <w:pStyle w:val="ListParagraph"/>
              <w:ind w:firstLine="432"/>
              <w:rPr>
                <w:sz w:val="20"/>
                <w:szCs w:val="20"/>
              </w:rPr>
            </w:pPr>
          </w:p>
          <w:p w:rsidR="00587312" w:rsidRPr="008847EB" w:rsidRDefault="00587312" w:rsidP="00587312">
            <w:pPr>
              <w:pStyle w:val="ListParagraph"/>
              <w:numPr>
                <w:ilvl w:val="0"/>
                <w:numId w:val="8"/>
              </w:numPr>
              <w:tabs>
                <w:tab w:val="left" w:pos="342"/>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8847EB">
              <w:rPr>
                <w:sz w:val="20"/>
                <w:szCs w:val="20"/>
              </w:rPr>
              <w:t xml:space="preserve">Any attorney general intervening in the appeal under Rule 33(4) of the </w:t>
            </w:r>
            <w:r w:rsidRPr="008847EB">
              <w:rPr>
                <w:i/>
                <w:sz w:val="20"/>
                <w:szCs w:val="20"/>
              </w:rPr>
              <w:t>Rules of the Supreme Court of Canada</w:t>
            </w:r>
            <w:r w:rsidRPr="008847EB">
              <w:rPr>
                <w:sz w:val="20"/>
                <w:szCs w:val="20"/>
              </w:rPr>
              <w:t xml:space="preserve"> shall serve and file their factum and book of authorities, if any, on or before February 6, 2020.</w:t>
            </w:r>
          </w:p>
          <w:p w:rsidR="00587312" w:rsidRPr="008847EB" w:rsidRDefault="00587312" w:rsidP="008A1FAE">
            <w:pPr>
              <w:ind w:firstLine="432"/>
              <w:rPr>
                <w:rFonts w:cs="Times New Roman"/>
                <w:sz w:val="20"/>
                <w:szCs w:val="20"/>
                <w:lang w:val="en-US"/>
              </w:rPr>
            </w:pPr>
          </w:p>
          <w:p w:rsidR="00587312" w:rsidRPr="008847EB" w:rsidRDefault="00587312" w:rsidP="00587312">
            <w:pPr>
              <w:pStyle w:val="ListParagraph"/>
              <w:numPr>
                <w:ilvl w:val="0"/>
                <w:numId w:val="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8847EB">
              <w:rPr>
                <w:sz w:val="20"/>
                <w:szCs w:val="20"/>
              </w:rPr>
              <w:t>The respondent’s record, factum and book of authorities, if any, shall be served and filed on or before February 3, 2020.</w:t>
            </w:r>
          </w:p>
        </w:tc>
      </w:tr>
    </w:tbl>
    <w:p w:rsidR="00587312" w:rsidRPr="008847EB" w:rsidRDefault="00587312" w:rsidP="00587312">
      <w:pPr>
        <w:rPr>
          <w:sz w:val="20"/>
          <w:szCs w:val="20"/>
          <w:lang w:val="en-US"/>
        </w:rPr>
      </w:pPr>
    </w:p>
    <w:p w:rsidR="00901092" w:rsidRPr="008847EB" w:rsidRDefault="00901092" w:rsidP="00587312">
      <w:pPr>
        <w:rPr>
          <w:sz w:val="20"/>
          <w:szCs w:val="20"/>
          <w:lang w:val="en-US"/>
        </w:rPr>
      </w:pPr>
    </w:p>
    <w:p w:rsidR="00587312" w:rsidRPr="008847EB" w:rsidRDefault="00587312" w:rsidP="00587312">
      <w:pPr>
        <w:jc w:val="both"/>
        <w:rPr>
          <w:sz w:val="20"/>
          <w:szCs w:val="20"/>
          <w:lang w:val="fr-CA"/>
        </w:rPr>
      </w:pPr>
      <w:r w:rsidRPr="008847EB">
        <w:rPr>
          <w:sz w:val="20"/>
          <w:szCs w:val="20"/>
          <w:lang w:val="fr-CA"/>
        </w:rPr>
        <w:t>Le registraire a établi l’échéancier suivant pour la signification et le dépôt des documents et pour toute requête en intervention dans l’appel</w:t>
      </w:r>
      <w:r w:rsidRPr="008847EB">
        <w:rPr>
          <w:i/>
          <w:sz w:val="20"/>
          <w:szCs w:val="20"/>
          <w:lang w:val="fr-CA"/>
        </w:rPr>
        <w:t xml:space="preserve"> Procureur général de l’Ontario – c. – G. </w:t>
      </w:r>
      <w:r w:rsidRPr="008847EB">
        <w:rPr>
          <w:sz w:val="20"/>
          <w:szCs w:val="20"/>
          <w:lang w:val="fr-CA"/>
        </w:rPr>
        <w:t>(38585) qui sera entendu le 20 février 2020 :</w:t>
      </w:r>
    </w:p>
    <w:p w:rsidR="002D2EE5" w:rsidRPr="008847EB" w:rsidRDefault="002D2EE5" w:rsidP="00587312">
      <w:pPr>
        <w:jc w:val="both"/>
        <w:rPr>
          <w:i/>
          <w:sz w:val="20"/>
          <w:szCs w:val="20"/>
          <w:lang w:val="fr-CA"/>
        </w:rPr>
      </w:pPr>
    </w:p>
    <w:tbl>
      <w:tblPr>
        <w:tblStyle w:val="TableGrid"/>
        <w:tblW w:w="976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8"/>
      </w:tblGrid>
      <w:tr w:rsidR="00587312" w:rsidRPr="00684C75" w:rsidTr="00D45C5E">
        <w:tc>
          <w:tcPr>
            <w:tcW w:w="9768" w:type="dxa"/>
          </w:tcPr>
          <w:p w:rsidR="00587312" w:rsidRPr="008847EB" w:rsidRDefault="00587312" w:rsidP="00587312">
            <w:pPr>
              <w:pStyle w:val="ListParagraph"/>
              <w:numPr>
                <w:ilvl w:val="0"/>
                <w:numId w:val="9"/>
              </w:numPr>
              <w:tabs>
                <w:tab w:val="left" w:pos="308"/>
              </w:tabs>
              <w:ind w:left="702"/>
              <w:jc w:val="both"/>
              <w:rPr>
                <w:sz w:val="20"/>
                <w:szCs w:val="20"/>
                <w:lang w:val="fr-CA"/>
              </w:rPr>
            </w:pPr>
            <w:r w:rsidRPr="008847EB">
              <w:rPr>
                <w:sz w:val="20"/>
                <w:szCs w:val="20"/>
                <w:lang w:val="fr-CA"/>
              </w:rPr>
              <w:t>Tout procureur général qui souhaite intervenir en vertu du par. 33(4) des</w:t>
            </w:r>
            <w:r w:rsidRPr="008847EB">
              <w:rPr>
                <w:i/>
                <w:sz w:val="20"/>
                <w:szCs w:val="20"/>
                <w:lang w:val="fr-CA"/>
              </w:rPr>
              <w:t xml:space="preserve"> Règles de la Cour suprême du Canada</w:t>
            </w:r>
            <w:r w:rsidRPr="008847EB">
              <w:rPr>
                <w:sz w:val="20"/>
                <w:szCs w:val="20"/>
                <w:lang w:val="fr-CA"/>
              </w:rPr>
              <w:t xml:space="preserve"> signifiera et déposera un avis d’intervention relative à une question constitutionnelle au plus tard le 25 novembre 2019.</w:t>
            </w:r>
          </w:p>
          <w:p w:rsidR="00587312" w:rsidRPr="008847EB" w:rsidRDefault="00587312" w:rsidP="008A1FAE">
            <w:pPr>
              <w:pStyle w:val="ListParagraph"/>
              <w:ind w:left="702" w:hanging="360"/>
              <w:jc w:val="both"/>
              <w:rPr>
                <w:sz w:val="20"/>
                <w:szCs w:val="20"/>
                <w:lang w:val="fr-CA"/>
              </w:rPr>
            </w:pPr>
          </w:p>
          <w:p w:rsidR="00587312" w:rsidRPr="008847EB" w:rsidRDefault="00587312" w:rsidP="00587312">
            <w:pPr>
              <w:pStyle w:val="ListParagraph"/>
              <w:numPr>
                <w:ilvl w:val="0"/>
                <w:numId w:val="9"/>
              </w:numPr>
              <w:ind w:left="702"/>
              <w:jc w:val="both"/>
              <w:rPr>
                <w:sz w:val="20"/>
                <w:szCs w:val="20"/>
                <w:lang w:val="fr-CA"/>
              </w:rPr>
            </w:pPr>
            <w:r w:rsidRPr="008847EB">
              <w:rPr>
                <w:sz w:val="20"/>
                <w:szCs w:val="20"/>
                <w:lang w:val="fr-CA"/>
              </w:rPr>
              <w:t>Les dossier, mémoire et recueil de sources, le cas échéant, de l’appelant seront signifiés et déposés au plus tard le 16 décembre 2019.</w:t>
            </w:r>
          </w:p>
          <w:p w:rsidR="00587312" w:rsidRPr="008847EB" w:rsidRDefault="00587312" w:rsidP="008A1FAE">
            <w:pPr>
              <w:pStyle w:val="ListParagraph"/>
              <w:ind w:left="702" w:hanging="360"/>
              <w:jc w:val="both"/>
              <w:rPr>
                <w:sz w:val="20"/>
                <w:szCs w:val="20"/>
                <w:lang w:val="fr-CA"/>
              </w:rPr>
            </w:pPr>
          </w:p>
        </w:tc>
      </w:tr>
      <w:tr w:rsidR="00587312" w:rsidRPr="00684C75" w:rsidTr="00D45C5E">
        <w:tc>
          <w:tcPr>
            <w:tcW w:w="9768" w:type="dxa"/>
          </w:tcPr>
          <w:p w:rsidR="00587312" w:rsidRPr="008847EB" w:rsidRDefault="00587312" w:rsidP="00587312">
            <w:pPr>
              <w:pStyle w:val="ListParagraph"/>
              <w:keepNext/>
              <w:numPr>
                <w:ilvl w:val="0"/>
                <w:numId w:val="9"/>
              </w:numPr>
              <w:ind w:left="702"/>
              <w:jc w:val="both"/>
              <w:rPr>
                <w:sz w:val="20"/>
                <w:szCs w:val="20"/>
                <w:lang w:val="fr-CA"/>
              </w:rPr>
            </w:pPr>
            <w:r w:rsidRPr="008847EB">
              <w:rPr>
                <w:sz w:val="20"/>
                <w:szCs w:val="20"/>
                <w:lang w:val="fr-CA"/>
              </w:rPr>
              <w:lastRenderedPageBreak/>
              <w:t xml:space="preserve">Toute personne qui souhaite intervenir dans le présent appel en vertu de la règle 55 </w:t>
            </w:r>
            <w:r w:rsidRPr="008847EB">
              <w:rPr>
                <w:i/>
                <w:sz w:val="20"/>
                <w:szCs w:val="20"/>
                <w:lang w:val="fr-CA"/>
              </w:rPr>
              <w:t>des Règles de la Cour suprême du Canada</w:t>
            </w:r>
            <w:r w:rsidRPr="008847EB">
              <w:rPr>
                <w:sz w:val="20"/>
                <w:szCs w:val="20"/>
                <w:lang w:val="fr-CA"/>
              </w:rPr>
              <w:t xml:space="preserve"> signifiera et déposera une requête en autorisation d’intervenir au plus tard le 6 janvier 2020.</w:t>
            </w:r>
          </w:p>
          <w:p w:rsidR="00587312" w:rsidRPr="008847EB" w:rsidRDefault="00587312" w:rsidP="008A1FAE">
            <w:pPr>
              <w:pStyle w:val="ListParagraph"/>
              <w:keepNext/>
              <w:ind w:left="702" w:hanging="360"/>
              <w:jc w:val="both"/>
              <w:rPr>
                <w:sz w:val="20"/>
                <w:szCs w:val="20"/>
                <w:lang w:val="fr-CA"/>
              </w:rPr>
            </w:pPr>
          </w:p>
          <w:p w:rsidR="00587312" w:rsidRPr="008847EB" w:rsidRDefault="00587312" w:rsidP="00587312">
            <w:pPr>
              <w:pStyle w:val="ListParagraph"/>
              <w:keepNext/>
              <w:numPr>
                <w:ilvl w:val="0"/>
                <w:numId w:val="9"/>
              </w:numPr>
              <w:ind w:left="702"/>
              <w:jc w:val="both"/>
              <w:rPr>
                <w:rFonts w:eastAsia="Calibri"/>
                <w:sz w:val="20"/>
                <w:szCs w:val="20"/>
                <w:lang w:val="fr-CA"/>
              </w:rPr>
            </w:pPr>
            <w:r w:rsidRPr="008847EB">
              <w:rPr>
                <w:rFonts w:eastAsia="Calibri"/>
                <w:sz w:val="20"/>
                <w:szCs w:val="20"/>
                <w:lang w:val="fr-CA"/>
              </w:rPr>
              <w:t>L’appelant et l’intimé signifieront et déposeront leur réponse aux demandes d’autorisation d’intervenir, le cas échéant, au plus tard le 10 janvier 2020.</w:t>
            </w:r>
          </w:p>
          <w:p w:rsidR="00587312" w:rsidRPr="008847EB" w:rsidRDefault="00587312" w:rsidP="008A1FAE">
            <w:pPr>
              <w:pStyle w:val="ListParagraph"/>
              <w:ind w:left="702" w:hanging="360"/>
              <w:jc w:val="both"/>
              <w:rPr>
                <w:sz w:val="20"/>
                <w:szCs w:val="20"/>
                <w:lang w:val="fr-CA"/>
              </w:rPr>
            </w:pPr>
          </w:p>
        </w:tc>
      </w:tr>
      <w:tr w:rsidR="00587312" w:rsidRPr="00684C75" w:rsidTr="00D45C5E">
        <w:tc>
          <w:tcPr>
            <w:tcW w:w="9768" w:type="dxa"/>
            <w:shd w:val="clear" w:color="auto" w:fill="auto"/>
          </w:tcPr>
          <w:p w:rsidR="00587312" w:rsidRPr="008847EB" w:rsidRDefault="00587312" w:rsidP="00587312">
            <w:pPr>
              <w:pStyle w:val="ListParagraph"/>
              <w:keepNext/>
              <w:numPr>
                <w:ilvl w:val="0"/>
                <w:numId w:val="9"/>
              </w:numPr>
              <w:ind w:left="702"/>
              <w:jc w:val="both"/>
              <w:rPr>
                <w:sz w:val="20"/>
                <w:szCs w:val="20"/>
                <w:lang w:val="fr-CA"/>
              </w:rPr>
            </w:pPr>
            <w:r w:rsidRPr="008847EB">
              <w:rPr>
                <w:sz w:val="20"/>
                <w:szCs w:val="20"/>
                <w:lang w:val="fr-CA"/>
              </w:rPr>
              <w:t>Les répliques à toute réponse aux demandes d’autorisation d’intervenir seront signifiées et déposées au plus tard le 14 janvier 2020.</w:t>
            </w:r>
          </w:p>
          <w:p w:rsidR="00587312" w:rsidRPr="008847EB" w:rsidRDefault="00587312" w:rsidP="008A1FAE">
            <w:pPr>
              <w:pStyle w:val="ListParagraph"/>
              <w:keepNext/>
              <w:ind w:left="702" w:hanging="360"/>
              <w:jc w:val="both"/>
              <w:rPr>
                <w:sz w:val="20"/>
                <w:szCs w:val="20"/>
                <w:lang w:val="fr-CA"/>
              </w:rPr>
            </w:pPr>
          </w:p>
          <w:p w:rsidR="00587312" w:rsidRPr="008847EB" w:rsidRDefault="00587312" w:rsidP="00587312">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2"/>
              <w:jc w:val="both"/>
              <w:rPr>
                <w:bCs/>
                <w:sz w:val="20"/>
                <w:szCs w:val="20"/>
                <w:lang w:val="fr-CA"/>
              </w:rPr>
            </w:pPr>
            <w:r w:rsidRPr="008847EB">
              <w:rPr>
                <w:bCs/>
                <w:sz w:val="20"/>
                <w:szCs w:val="20"/>
                <w:lang w:val="fr-CA"/>
              </w:rPr>
              <w:t xml:space="preserve">Tout intervenant qui sera autorisé à intervenir en application de la règle 59 des </w:t>
            </w:r>
            <w:r w:rsidRPr="008847EB">
              <w:rPr>
                <w:bCs/>
                <w:i/>
                <w:sz w:val="20"/>
                <w:szCs w:val="20"/>
                <w:lang w:val="fr-CA"/>
              </w:rPr>
              <w:t>Règles de la Cour suprême du Canada</w:t>
            </w:r>
            <w:r w:rsidRPr="008847EB">
              <w:rPr>
                <w:bCs/>
                <w:sz w:val="20"/>
                <w:szCs w:val="20"/>
                <w:lang w:val="fr-CA"/>
              </w:rPr>
              <w:t xml:space="preserve"> devra signifier et déposer leur mémoire et recueil de sources, le cas échéant, au plus tard le 6 février 2020. </w:t>
            </w:r>
          </w:p>
          <w:p w:rsidR="00587312" w:rsidRPr="008847EB" w:rsidRDefault="00587312" w:rsidP="008A1FAE">
            <w:pPr>
              <w:pStyle w:val="ListParagraph"/>
              <w:ind w:left="702" w:hanging="360"/>
              <w:rPr>
                <w:bCs/>
                <w:sz w:val="20"/>
                <w:szCs w:val="20"/>
                <w:lang w:val="fr-CA"/>
              </w:rPr>
            </w:pPr>
          </w:p>
          <w:p w:rsidR="00587312" w:rsidRPr="008847EB" w:rsidRDefault="00587312" w:rsidP="00587312">
            <w:pPr>
              <w:pStyle w:val="ListParagraph"/>
              <w:widowControl w:val="0"/>
              <w:numPr>
                <w:ilvl w:val="0"/>
                <w:numId w:val="9"/>
              </w:numPr>
              <w:tabs>
                <w:tab w:val="left" w:pos="0"/>
                <w:tab w:val="left" w:pos="3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2"/>
              <w:jc w:val="both"/>
              <w:rPr>
                <w:bCs/>
                <w:sz w:val="20"/>
                <w:szCs w:val="20"/>
                <w:lang w:val="fr-CA"/>
              </w:rPr>
            </w:pPr>
            <w:r w:rsidRPr="008847EB">
              <w:rPr>
                <w:bCs/>
                <w:sz w:val="20"/>
                <w:szCs w:val="20"/>
                <w:lang w:val="fr-CA"/>
              </w:rPr>
              <w:t xml:space="preserve">Tout procureur général intervenant dans l’appel en vertu de la règle 33(4) des </w:t>
            </w:r>
            <w:r w:rsidRPr="008847EB">
              <w:rPr>
                <w:bCs/>
                <w:i/>
                <w:sz w:val="20"/>
                <w:szCs w:val="20"/>
                <w:lang w:val="fr-CA"/>
              </w:rPr>
              <w:t>Règles de la Cour suprême du Canada</w:t>
            </w:r>
            <w:r w:rsidRPr="008847EB">
              <w:rPr>
                <w:bCs/>
                <w:sz w:val="20"/>
                <w:szCs w:val="20"/>
                <w:lang w:val="fr-CA"/>
              </w:rPr>
              <w:t xml:space="preserve"> devront signifier et déposer leur mémoire et recueil de sources, le cas échéant, au plus tard le 6 février 2020.</w:t>
            </w:r>
          </w:p>
          <w:p w:rsidR="00587312" w:rsidRPr="008847EB" w:rsidRDefault="00587312" w:rsidP="008A1FAE">
            <w:pPr>
              <w:pStyle w:val="ListParagraph"/>
              <w:ind w:left="702" w:hanging="360"/>
              <w:rPr>
                <w:bCs/>
                <w:sz w:val="20"/>
                <w:szCs w:val="20"/>
                <w:lang w:val="fr-CA"/>
              </w:rPr>
            </w:pPr>
          </w:p>
          <w:p w:rsidR="00587312" w:rsidRPr="008847EB" w:rsidRDefault="00587312" w:rsidP="002D2EE5">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2"/>
              <w:jc w:val="both"/>
              <w:rPr>
                <w:bCs/>
                <w:sz w:val="20"/>
                <w:szCs w:val="20"/>
                <w:lang w:val="fr-CA"/>
              </w:rPr>
            </w:pPr>
            <w:r w:rsidRPr="008847EB">
              <w:rPr>
                <w:sz w:val="20"/>
                <w:szCs w:val="20"/>
                <w:lang w:val="fr-CA"/>
              </w:rPr>
              <w:t>Les dossier, mémoire et recueil de sources, le cas échéant, de l’intimé seront signifiés et déposés au plus tard le 3 février 2020.</w:t>
            </w:r>
          </w:p>
        </w:tc>
      </w:tr>
    </w:tbl>
    <w:p w:rsidR="00587312" w:rsidRPr="008847EB" w:rsidRDefault="00587312" w:rsidP="00587312">
      <w:pPr>
        <w:tabs>
          <w:tab w:val="left" w:pos="851"/>
        </w:tabs>
        <w:rPr>
          <w:rFonts w:cs="Times New Roman"/>
          <w:sz w:val="20"/>
          <w:szCs w:val="20"/>
          <w:lang w:val="fr-CA"/>
        </w:rPr>
      </w:pPr>
    </w:p>
    <w:p w:rsidR="00587312" w:rsidRPr="008847EB" w:rsidRDefault="0011194E" w:rsidP="008D292F">
      <w:pPr>
        <w:rPr>
          <w:sz w:val="20"/>
          <w:szCs w:val="20"/>
          <w:lang w:val="fr-CA"/>
        </w:rPr>
      </w:pPr>
      <w:r>
        <w:rPr>
          <w:sz w:val="20"/>
        </w:rPr>
        <w:pict>
          <v:rect id="_x0000_i1045" style="width:2in;height:1pt" o:hrpct="0" o:hralign="center" o:hrstd="t" o:hrnoshade="t" o:hr="t" fillcolor="black [3213]" stroked="f"/>
        </w:pict>
      </w:r>
    </w:p>
    <w:p w:rsidR="00587312" w:rsidRPr="008847EB" w:rsidRDefault="00587312" w:rsidP="008D292F">
      <w:pPr>
        <w:rPr>
          <w:sz w:val="20"/>
          <w:szCs w:val="20"/>
          <w:lang w:val="fr-CA"/>
        </w:rPr>
      </w:pPr>
    </w:p>
    <w:p w:rsidR="00587312" w:rsidRPr="008847EB" w:rsidRDefault="00587312" w:rsidP="008D292F">
      <w:pPr>
        <w:rPr>
          <w:sz w:val="20"/>
          <w:szCs w:val="20"/>
          <w:lang w:val="fr-CA"/>
        </w:rPr>
      </w:pPr>
    </w:p>
    <w:p w:rsidR="008A1FAE" w:rsidRPr="008847EB" w:rsidRDefault="008A1FAE">
      <w:pPr>
        <w:rPr>
          <w:sz w:val="20"/>
          <w:szCs w:val="20"/>
          <w:lang w:val="fr-CA"/>
        </w:rPr>
      </w:pPr>
      <w:r w:rsidRPr="008847EB">
        <w:rPr>
          <w:sz w:val="20"/>
          <w:szCs w:val="20"/>
          <w:lang w:val="fr-CA"/>
        </w:rPr>
        <w:br w:type="page"/>
      </w:r>
    </w:p>
    <w:p w:rsidR="008A1FAE" w:rsidRPr="008847EB" w:rsidRDefault="008A1FAE" w:rsidP="008A1FAE">
      <w:pPr>
        <w:rPr>
          <w:b/>
          <w:sz w:val="20"/>
          <w:szCs w:val="20"/>
          <w:lang w:val="en-US"/>
        </w:rPr>
      </w:pPr>
      <w:r w:rsidRPr="008847EB">
        <w:rPr>
          <w:b/>
          <w:sz w:val="20"/>
          <w:szCs w:val="20"/>
          <w:lang w:val="en-US"/>
        </w:rPr>
        <w:lastRenderedPageBreak/>
        <w:t>38827</w:t>
      </w:r>
      <w:r w:rsidRPr="008847EB">
        <w:rPr>
          <w:b/>
          <w:sz w:val="20"/>
          <w:szCs w:val="20"/>
          <w:lang w:val="en-US"/>
        </w:rPr>
        <w:tab/>
        <w:t>S.H. v. Her Majesty the Queen</w:t>
      </w:r>
    </w:p>
    <w:p w:rsidR="008A1FAE" w:rsidRPr="008847EB" w:rsidRDefault="008A1FAE" w:rsidP="008D292F">
      <w:pPr>
        <w:rPr>
          <w:sz w:val="20"/>
          <w:szCs w:val="20"/>
          <w:lang w:val="en-US"/>
        </w:rPr>
      </w:pPr>
    </w:p>
    <w:tbl>
      <w:tblPr>
        <w:tblStyle w:val="TableGrid"/>
        <w:tblW w:w="92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8A1FAE" w:rsidRPr="008847EB" w:rsidTr="008A1FAE">
        <w:tc>
          <w:tcPr>
            <w:tcW w:w="9270" w:type="dxa"/>
          </w:tcPr>
          <w:p w:rsidR="008A1FAE" w:rsidRPr="008847EB" w:rsidRDefault="008A1FAE" w:rsidP="008A1FAE">
            <w:pPr>
              <w:pStyle w:val="ListParagraph"/>
              <w:tabs>
                <w:tab w:val="left" w:pos="0"/>
                <w:tab w:val="left" w:pos="1008"/>
                <w:tab w:val="left" w:pos="1728"/>
                <w:tab w:val="left" w:pos="2448"/>
                <w:tab w:val="left" w:pos="3618"/>
                <w:tab w:val="left" w:pos="3888"/>
                <w:tab w:val="left" w:pos="4230"/>
                <w:tab w:val="left" w:pos="5328"/>
                <w:tab w:val="left" w:pos="6048"/>
                <w:tab w:val="left" w:pos="6768"/>
                <w:tab w:val="left" w:pos="7488"/>
                <w:tab w:val="left" w:pos="8208"/>
                <w:tab w:val="left" w:pos="8928"/>
                <w:tab w:val="left" w:pos="9648"/>
              </w:tabs>
              <w:ind w:left="-18" w:firstLine="18"/>
              <w:jc w:val="both"/>
              <w:rPr>
                <w:sz w:val="20"/>
                <w:szCs w:val="20"/>
              </w:rPr>
            </w:pPr>
            <w:r w:rsidRPr="008847EB">
              <w:rPr>
                <w:i/>
                <w:sz w:val="20"/>
                <w:szCs w:val="20"/>
              </w:rPr>
              <w:fldChar w:fldCharType="begin"/>
            </w:r>
            <w:r w:rsidRPr="008847EB">
              <w:rPr>
                <w:sz w:val="20"/>
                <w:szCs w:val="20"/>
              </w:rPr>
              <w:instrText xml:space="preserve"> SEQ CHAPTER \h \r 1</w:instrText>
            </w:r>
            <w:r w:rsidRPr="008847EB">
              <w:rPr>
                <w:i/>
                <w:sz w:val="20"/>
                <w:szCs w:val="20"/>
              </w:rPr>
              <w:fldChar w:fldCharType="end"/>
            </w:r>
            <w:r w:rsidRPr="008847EB">
              <w:rPr>
                <w:sz w:val="20"/>
                <w:szCs w:val="20"/>
              </w:rPr>
              <w:t>The schedule for serving and filing the material and any application for leave to intervene in the appeal of</w:t>
            </w:r>
            <w:r w:rsidRPr="008847EB">
              <w:rPr>
                <w:i/>
                <w:sz w:val="20"/>
                <w:szCs w:val="20"/>
              </w:rPr>
              <w:t xml:space="preserve"> S.H. – v. –Her Majesty the Queen </w:t>
            </w:r>
            <w:r w:rsidRPr="008847EB">
              <w:rPr>
                <w:sz w:val="20"/>
                <w:szCs w:val="20"/>
              </w:rPr>
              <w:t xml:space="preserve">(38827) to be heard on February 19, 2020, was set as follows </w:t>
            </w:r>
            <w:r w:rsidRPr="008847EB">
              <w:rPr>
                <w:rFonts w:eastAsia="PMingLiU"/>
                <w:sz w:val="20"/>
                <w:szCs w:val="20"/>
                <w:lang w:val="en-GB"/>
              </w:rPr>
              <w:t>by</w:t>
            </w:r>
            <w:r w:rsidRPr="008847EB">
              <w:rPr>
                <w:sz w:val="20"/>
                <w:szCs w:val="20"/>
              </w:rPr>
              <w:t xml:space="preserve"> the Registrar:</w:t>
            </w:r>
          </w:p>
        </w:tc>
      </w:tr>
      <w:tr w:rsidR="008A1FAE" w:rsidRPr="008847EB" w:rsidTr="008A1FAE">
        <w:tc>
          <w:tcPr>
            <w:tcW w:w="9270" w:type="dxa"/>
          </w:tcPr>
          <w:p w:rsidR="008A1FAE" w:rsidRPr="008847EB" w:rsidRDefault="008A1FAE" w:rsidP="008A1FAE">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792"/>
              <w:jc w:val="both"/>
              <w:rPr>
                <w:sz w:val="20"/>
                <w:szCs w:val="20"/>
              </w:rPr>
            </w:pPr>
          </w:p>
        </w:tc>
      </w:tr>
      <w:tr w:rsidR="008A1FAE" w:rsidRPr="008847EB" w:rsidTr="008A1FAE">
        <w:tc>
          <w:tcPr>
            <w:tcW w:w="9270" w:type="dxa"/>
            <w:shd w:val="clear" w:color="auto" w:fill="auto"/>
          </w:tcPr>
          <w:p w:rsidR="008A1FAE" w:rsidRPr="008847EB" w:rsidRDefault="008A1FAE" w:rsidP="008A1FAE">
            <w:pPr>
              <w:pStyle w:val="ListParagraph"/>
              <w:numPr>
                <w:ilvl w:val="0"/>
                <w:numId w:val="10"/>
              </w:numPr>
              <w:tabs>
                <w:tab w:val="left" w:pos="288"/>
                <w:tab w:val="left" w:pos="1008"/>
                <w:tab w:val="left" w:pos="1728"/>
                <w:tab w:val="left" w:pos="2448"/>
                <w:tab w:val="left" w:pos="3492"/>
                <w:tab w:val="left" w:pos="3888"/>
                <w:tab w:val="left" w:pos="4230"/>
                <w:tab w:val="left" w:pos="5328"/>
                <w:tab w:val="left" w:pos="6048"/>
                <w:tab w:val="left" w:pos="6768"/>
                <w:tab w:val="left" w:pos="7488"/>
                <w:tab w:val="left" w:pos="8208"/>
                <w:tab w:val="left" w:pos="8928"/>
                <w:tab w:val="left" w:pos="9648"/>
              </w:tabs>
              <w:jc w:val="both"/>
              <w:rPr>
                <w:sz w:val="20"/>
                <w:szCs w:val="20"/>
              </w:rPr>
            </w:pPr>
            <w:r w:rsidRPr="008847EB">
              <w:rPr>
                <w:rFonts w:eastAsia="PMingLiU"/>
                <w:sz w:val="20"/>
                <w:szCs w:val="20"/>
              </w:rPr>
              <w:t xml:space="preserve"> </w:t>
            </w:r>
            <w:r w:rsidRPr="008847EB">
              <w:rPr>
                <w:sz w:val="20"/>
                <w:szCs w:val="20"/>
              </w:rPr>
              <w:t xml:space="preserve">The </w:t>
            </w:r>
            <w:r w:rsidRPr="008847EB">
              <w:rPr>
                <w:rFonts w:eastAsia="PMingLiU"/>
                <w:sz w:val="20"/>
                <w:szCs w:val="20"/>
                <w:lang w:val="en-GB"/>
              </w:rPr>
              <w:t xml:space="preserve">appellant’s record, factum and book of authorities, if any, shall be served and filed </w:t>
            </w:r>
            <w:r w:rsidRPr="008847EB">
              <w:rPr>
                <w:sz w:val="20"/>
                <w:szCs w:val="20"/>
              </w:rPr>
              <w:t>on or before</w:t>
            </w:r>
            <w:r w:rsidRPr="008847EB">
              <w:rPr>
                <w:rFonts w:eastAsia="PMingLiU"/>
                <w:sz w:val="20"/>
                <w:szCs w:val="20"/>
                <w:lang w:val="en-GB"/>
              </w:rPr>
              <w:t xml:space="preserve"> November 28, 2019.</w:t>
            </w:r>
          </w:p>
          <w:p w:rsidR="008A1FAE" w:rsidRPr="008847EB" w:rsidRDefault="008A1FAE" w:rsidP="008A1FAE">
            <w:pPr>
              <w:pStyle w:val="ListParagraph"/>
              <w:tabs>
                <w:tab w:val="left" w:pos="288"/>
                <w:tab w:val="left" w:pos="1008"/>
                <w:tab w:val="left" w:pos="1728"/>
                <w:tab w:val="left" w:pos="2448"/>
                <w:tab w:val="left" w:pos="3618"/>
                <w:tab w:val="left" w:pos="3888"/>
                <w:tab w:val="left" w:pos="4230"/>
                <w:tab w:val="left" w:pos="5328"/>
                <w:tab w:val="left" w:pos="6048"/>
                <w:tab w:val="left" w:pos="6768"/>
                <w:tab w:val="left" w:pos="7488"/>
                <w:tab w:val="left" w:pos="8208"/>
                <w:tab w:val="left" w:pos="8928"/>
                <w:tab w:val="left" w:pos="9648"/>
              </w:tabs>
              <w:ind w:left="360" w:right="315"/>
              <w:jc w:val="both"/>
              <w:rPr>
                <w:sz w:val="20"/>
                <w:szCs w:val="20"/>
              </w:rPr>
            </w:pPr>
          </w:p>
        </w:tc>
      </w:tr>
      <w:tr w:rsidR="008A1FAE" w:rsidRPr="008847EB" w:rsidTr="008A1FAE">
        <w:tc>
          <w:tcPr>
            <w:tcW w:w="9270" w:type="dxa"/>
            <w:shd w:val="clear" w:color="auto" w:fill="auto"/>
          </w:tcPr>
          <w:p w:rsidR="008A1FAE" w:rsidRPr="008847EB" w:rsidRDefault="008A1FAE" w:rsidP="008A1FAE">
            <w:pPr>
              <w:pStyle w:val="ListParagraph"/>
              <w:numPr>
                <w:ilvl w:val="0"/>
                <w:numId w:val="10"/>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8847EB">
              <w:rPr>
                <w:sz w:val="20"/>
                <w:szCs w:val="20"/>
              </w:rPr>
              <w:t xml:space="preserve">Any person wishing to intervene in this appeal under Rule 55 of the </w:t>
            </w:r>
            <w:r w:rsidRPr="008847EB">
              <w:rPr>
                <w:i/>
                <w:sz w:val="20"/>
                <w:szCs w:val="20"/>
              </w:rPr>
              <w:t>Rules of the Supreme Court of Canada</w:t>
            </w:r>
            <w:r w:rsidRPr="008847EB">
              <w:rPr>
                <w:sz w:val="20"/>
                <w:szCs w:val="20"/>
              </w:rPr>
              <w:t xml:space="preserve"> shall serve and file a motion for leave to intervene on or before December 20, 2019.</w:t>
            </w:r>
          </w:p>
          <w:p w:rsidR="008A1FAE" w:rsidRPr="008847EB" w:rsidRDefault="008A1FAE" w:rsidP="008A1FAE">
            <w:p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rFonts w:cs="Times New Roman"/>
                <w:sz w:val="20"/>
                <w:szCs w:val="20"/>
              </w:rPr>
            </w:pPr>
          </w:p>
          <w:p w:rsidR="008A1FAE" w:rsidRPr="008847EB" w:rsidRDefault="008A1FAE" w:rsidP="008A1FAE">
            <w:pPr>
              <w:pStyle w:val="ListParagraph"/>
              <w:numPr>
                <w:ilvl w:val="0"/>
                <w:numId w:val="10"/>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8847EB">
              <w:rPr>
                <w:sz w:val="20"/>
                <w:szCs w:val="20"/>
              </w:rPr>
              <w:t>The appellant and respondent shall serve and file their response(s), if any, to the motions for leave to intervene on or before January 3, 2020.</w:t>
            </w:r>
          </w:p>
        </w:tc>
      </w:tr>
      <w:tr w:rsidR="008A1FAE" w:rsidRPr="008847EB" w:rsidTr="008A1FAE">
        <w:tc>
          <w:tcPr>
            <w:tcW w:w="9270" w:type="dxa"/>
            <w:shd w:val="clear" w:color="auto" w:fill="auto"/>
          </w:tcPr>
          <w:p w:rsidR="008A1FAE" w:rsidRPr="008847EB" w:rsidRDefault="008A1FAE" w:rsidP="008A1FAE">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p>
        </w:tc>
      </w:tr>
      <w:tr w:rsidR="008A1FAE" w:rsidRPr="008847EB" w:rsidTr="008A1FAE">
        <w:tc>
          <w:tcPr>
            <w:tcW w:w="9270" w:type="dxa"/>
            <w:shd w:val="clear" w:color="auto" w:fill="auto"/>
          </w:tcPr>
          <w:p w:rsidR="008A1FAE" w:rsidRPr="008847EB" w:rsidRDefault="008A1FAE" w:rsidP="008A1FAE">
            <w:pPr>
              <w:pStyle w:val="ListParagraph"/>
              <w:numPr>
                <w:ilvl w:val="0"/>
                <w:numId w:val="10"/>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8847EB">
              <w:rPr>
                <w:sz w:val="20"/>
                <w:szCs w:val="20"/>
              </w:rPr>
              <w:t>Replies to any responses to the motions for leave to intervene shall be served and filed on or before January 7, 2020.</w:t>
            </w:r>
          </w:p>
          <w:p w:rsidR="008A1FAE" w:rsidRPr="008847EB" w:rsidRDefault="008A1FAE" w:rsidP="008A1FAE">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jc w:val="both"/>
              <w:rPr>
                <w:sz w:val="20"/>
                <w:szCs w:val="20"/>
              </w:rPr>
            </w:pPr>
          </w:p>
          <w:p w:rsidR="008A1FAE" w:rsidRPr="008847EB" w:rsidRDefault="008A1FAE" w:rsidP="008A1FAE">
            <w:pPr>
              <w:pStyle w:val="ListParagraph"/>
              <w:numPr>
                <w:ilvl w:val="0"/>
                <w:numId w:val="10"/>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8847EB">
              <w:rPr>
                <w:rFonts w:eastAsia="PMingLiU"/>
                <w:sz w:val="20"/>
                <w:szCs w:val="20"/>
                <w:lang w:val="en-GB"/>
              </w:rPr>
              <w:t xml:space="preserve">Any intervener granted leave to intervene under Rule 59 of the </w:t>
            </w:r>
            <w:r w:rsidRPr="008847EB">
              <w:rPr>
                <w:rFonts w:eastAsia="PMingLiU"/>
                <w:i/>
                <w:sz w:val="20"/>
                <w:szCs w:val="20"/>
                <w:lang w:val="en-GB"/>
              </w:rPr>
              <w:t>Rules of the Supreme Court of Canada</w:t>
            </w:r>
            <w:r w:rsidRPr="008847EB">
              <w:rPr>
                <w:rFonts w:eastAsia="PMingLiU"/>
                <w:sz w:val="20"/>
                <w:szCs w:val="20"/>
                <w:lang w:val="en-GB"/>
              </w:rPr>
              <w:t xml:space="preserve"> shall serve and file its respective factum and book of authorities, if any, on or before February 5, 2020.</w:t>
            </w:r>
          </w:p>
          <w:p w:rsidR="008A1FAE" w:rsidRPr="008847EB" w:rsidRDefault="008A1FAE" w:rsidP="008A1FAE">
            <w:pPr>
              <w:rPr>
                <w:rFonts w:cs="Times New Roman"/>
                <w:sz w:val="20"/>
                <w:szCs w:val="20"/>
                <w:lang w:val="en-US"/>
              </w:rPr>
            </w:pPr>
          </w:p>
          <w:p w:rsidR="008A1FAE" w:rsidRPr="008847EB" w:rsidRDefault="008A1FAE" w:rsidP="00006481">
            <w:pPr>
              <w:pStyle w:val="ListParagraph"/>
              <w:numPr>
                <w:ilvl w:val="0"/>
                <w:numId w:val="10"/>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rFonts w:cs="Times New Roman"/>
                <w:sz w:val="20"/>
                <w:szCs w:val="20"/>
              </w:rPr>
            </w:pPr>
            <w:r w:rsidRPr="008847EB">
              <w:rPr>
                <w:sz w:val="20"/>
                <w:szCs w:val="20"/>
              </w:rPr>
              <w:t>The respondent’s record, factum and book of authorities, if any, shall be served and filed on or before February 4, 2020.</w:t>
            </w:r>
          </w:p>
        </w:tc>
      </w:tr>
    </w:tbl>
    <w:p w:rsidR="008A1FAE" w:rsidRPr="008847EB" w:rsidRDefault="008A1FAE" w:rsidP="008A1FAE">
      <w:pPr>
        <w:rPr>
          <w:sz w:val="20"/>
          <w:szCs w:val="20"/>
          <w:lang w:val="en-US"/>
        </w:rPr>
      </w:pPr>
    </w:p>
    <w:p w:rsidR="008A1FAE" w:rsidRPr="008847EB" w:rsidRDefault="008A1FAE" w:rsidP="008A1FAE">
      <w:pPr>
        <w:rPr>
          <w:sz w:val="20"/>
          <w:szCs w:val="20"/>
          <w:lang w:val="en-US"/>
        </w:rPr>
      </w:pPr>
    </w:p>
    <w:p w:rsidR="008A1FAE" w:rsidRPr="008847EB" w:rsidRDefault="008A1FAE" w:rsidP="008A1FAE">
      <w:pPr>
        <w:jc w:val="both"/>
        <w:rPr>
          <w:sz w:val="20"/>
          <w:szCs w:val="20"/>
          <w:lang w:val="fr-CA"/>
        </w:rPr>
      </w:pPr>
      <w:r w:rsidRPr="008847EB">
        <w:rPr>
          <w:sz w:val="20"/>
          <w:szCs w:val="20"/>
          <w:lang w:val="fr-CA"/>
        </w:rPr>
        <w:t>Le registraire a établi l’échéancier suivant pour la signification et le dépôt des documents et pour toute requête en intervention dans l’appel</w:t>
      </w:r>
      <w:r w:rsidRPr="008847EB">
        <w:rPr>
          <w:i/>
          <w:sz w:val="20"/>
          <w:szCs w:val="20"/>
          <w:lang w:val="fr-CA"/>
        </w:rPr>
        <w:t xml:space="preserve"> S.H. – c. – Sa Majesté la Reine </w:t>
      </w:r>
      <w:r w:rsidRPr="008847EB">
        <w:rPr>
          <w:sz w:val="20"/>
          <w:szCs w:val="20"/>
          <w:lang w:val="fr-CA"/>
        </w:rPr>
        <w:t>(38827) qui sera entendu le 19 février 2020 :</w:t>
      </w:r>
    </w:p>
    <w:p w:rsidR="008A1FAE" w:rsidRPr="008847EB" w:rsidRDefault="008A1FAE" w:rsidP="008A1FAE">
      <w:pPr>
        <w:jc w:val="both"/>
        <w:rPr>
          <w:i/>
          <w:sz w:val="20"/>
          <w:szCs w:val="20"/>
          <w:lang w:val="fr-CA"/>
        </w:rPr>
      </w:pPr>
    </w:p>
    <w:tbl>
      <w:tblPr>
        <w:tblStyle w:val="TableGrid"/>
        <w:tblW w:w="92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8A1FAE" w:rsidRPr="00684C75" w:rsidTr="008A1FAE">
        <w:tc>
          <w:tcPr>
            <w:tcW w:w="9270" w:type="dxa"/>
          </w:tcPr>
          <w:p w:rsidR="008A1FAE" w:rsidRPr="008847EB" w:rsidRDefault="008A1FAE" w:rsidP="008A1FAE">
            <w:pPr>
              <w:pStyle w:val="ListParagraph"/>
              <w:numPr>
                <w:ilvl w:val="0"/>
                <w:numId w:val="11"/>
              </w:numPr>
              <w:jc w:val="both"/>
              <w:rPr>
                <w:sz w:val="20"/>
                <w:szCs w:val="20"/>
                <w:lang w:val="fr-CA"/>
              </w:rPr>
            </w:pPr>
            <w:r w:rsidRPr="008847EB">
              <w:rPr>
                <w:sz w:val="20"/>
                <w:szCs w:val="20"/>
                <w:lang w:val="fr-CA"/>
              </w:rPr>
              <w:t>Les dossier, mémoire et recueil de sources, le cas échéant, de l’appelant seront signifiés et déposés au plus tard le 28 novembre 2019.</w:t>
            </w:r>
          </w:p>
        </w:tc>
      </w:tr>
      <w:tr w:rsidR="008A1FAE" w:rsidRPr="00684C75" w:rsidTr="008A1FAE">
        <w:tc>
          <w:tcPr>
            <w:tcW w:w="9270" w:type="dxa"/>
          </w:tcPr>
          <w:p w:rsidR="008A1FAE" w:rsidRPr="008847EB" w:rsidRDefault="008A1FAE" w:rsidP="008A1FAE">
            <w:pPr>
              <w:pStyle w:val="ListParagraph"/>
              <w:keepNext/>
              <w:numPr>
                <w:ilvl w:val="0"/>
                <w:numId w:val="11"/>
              </w:numPr>
              <w:jc w:val="both"/>
              <w:rPr>
                <w:sz w:val="20"/>
                <w:szCs w:val="20"/>
                <w:lang w:val="fr-CA"/>
              </w:rPr>
            </w:pPr>
            <w:r w:rsidRPr="008847EB">
              <w:rPr>
                <w:sz w:val="20"/>
                <w:szCs w:val="20"/>
                <w:lang w:val="fr-CA"/>
              </w:rPr>
              <w:t xml:space="preserve">Toute personne qui souhaite intervenir dans le présent appel en vertu de la règle 55 </w:t>
            </w:r>
            <w:r w:rsidRPr="008847EB">
              <w:rPr>
                <w:i/>
                <w:sz w:val="20"/>
                <w:szCs w:val="20"/>
                <w:lang w:val="fr-CA"/>
              </w:rPr>
              <w:t>des Règles de la Cour suprême du Canada</w:t>
            </w:r>
            <w:r w:rsidRPr="008847EB">
              <w:rPr>
                <w:sz w:val="20"/>
                <w:szCs w:val="20"/>
                <w:lang w:val="fr-CA"/>
              </w:rPr>
              <w:t xml:space="preserve"> signifiera et déposera une requête en autorisation d’intervenir au plus tard le 20 décembre 2019.</w:t>
            </w:r>
          </w:p>
          <w:p w:rsidR="008A1FAE" w:rsidRPr="008847EB" w:rsidRDefault="008A1FAE" w:rsidP="008A1FAE">
            <w:pPr>
              <w:jc w:val="both"/>
              <w:rPr>
                <w:rFonts w:cs="Times New Roman"/>
                <w:sz w:val="20"/>
                <w:szCs w:val="20"/>
                <w:lang w:val="fr-CA"/>
              </w:rPr>
            </w:pPr>
          </w:p>
          <w:p w:rsidR="008A1FAE" w:rsidRPr="008847EB" w:rsidRDefault="008A1FAE" w:rsidP="008A1FAE">
            <w:pPr>
              <w:pStyle w:val="ListParagraph"/>
              <w:keepNext/>
              <w:numPr>
                <w:ilvl w:val="0"/>
                <w:numId w:val="11"/>
              </w:numPr>
              <w:jc w:val="both"/>
              <w:rPr>
                <w:rFonts w:eastAsia="Calibri"/>
                <w:sz w:val="20"/>
                <w:szCs w:val="20"/>
                <w:lang w:val="fr-CA"/>
              </w:rPr>
            </w:pPr>
            <w:r w:rsidRPr="008847EB">
              <w:rPr>
                <w:rFonts w:eastAsia="Calibri"/>
                <w:sz w:val="20"/>
                <w:szCs w:val="20"/>
                <w:lang w:val="fr-CA"/>
              </w:rPr>
              <w:t>L’appelant et l’intimée signifieront et déposeront leur(s) réponse(s) aux demandes d’autorisation d’intervenir, le cas échéant, au plus tard le 3 janvier 2020.</w:t>
            </w:r>
          </w:p>
        </w:tc>
      </w:tr>
      <w:tr w:rsidR="008A1FAE" w:rsidRPr="00684C75" w:rsidTr="008A1FAE">
        <w:tc>
          <w:tcPr>
            <w:tcW w:w="9270" w:type="dxa"/>
            <w:shd w:val="clear" w:color="auto" w:fill="auto"/>
          </w:tcPr>
          <w:p w:rsidR="008A1FAE" w:rsidRPr="008847EB" w:rsidRDefault="008A1FAE" w:rsidP="008A1FAE">
            <w:pPr>
              <w:pStyle w:val="ListParagraph"/>
              <w:keepNext/>
              <w:jc w:val="both"/>
              <w:rPr>
                <w:sz w:val="20"/>
                <w:szCs w:val="20"/>
                <w:lang w:val="fr-CA"/>
              </w:rPr>
            </w:pPr>
          </w:p>
        </w:tc>
      </w:tr>
      <w:tr w:rsidR="008A1FAE" w:rsidRPr="00684C75" w:rsidTr="008A1FAE">
        <w:tc>
          <w:tcPr>
            <w:tcW w:w="9270" w:type="dxa"/>
            <w:shd w:val="clear" w:color="auto" w:fill="auto"/>
          </w:tcPr>
          <w:p w:rsidR="008A1FAE" w:rsidRPr="008847EB" w:rsidRDefault="008A1FAE" w:rsidP="008A1FAE">
            <w:pPr>
              <w:pStyle w:val="ListParagraph"/>
              <w:keepNext/>
              <w:numPr>
                <w:ilvl w:val="0"/>
                <w:numId w:val="11"/>
              </w:numPr>
              <w:jc w:val="both"/>
              <w:rPr>
                <w:sz w:val="20"/>
                <w:szCs w:val="20"/>
                <w:lang w:val="fr-CA"/>
              </w:rPr>
            </w:pPr>
            <w:r w:rsidRPr="008847EB">
              <w:rPr>
                <w:sz w:val="20"/>
                <w:szCs w:val="20"/>
                <w:lang w:val="fr-CA"/>
              </w:rPr>
              <w:t>Les répliques à toute réponse aux demandes d’autorisation d’intervenir seront signifiées et déposées au plus tard le 7 janvier 2020.</w:t>
            </w:r>
          </w:p>
          <w:p w:rsidR="008A1FAE" w:rsidRPr="008847EB" w:rsidRDefault="008A1FAE" w:rsidP="008A1FAE">
            <w:pPr>
              <w:pStyle w:val="ListParagraph"/>
              <w:keepNext/>
              <w:ind w:left="360"/>
              <w:jc w:val="both"/>
              <w:rPr>
                <w:sz w:val="20"/>
                <w:szCs w:val="20"/>
                <w:lang w:val="fr-CA"/>
              </w:rPr>
            </w:pPr>
          </w:p>
          <w:p w:rsidR="008A1FAE" w:rsidRPr="008847EB" w:rsidRDefault="008A1FAE" w:rsidP="008A1FAE">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0"/>
                <w:szCs w:val="20"/>
                <w:lang w:val="fr-CA"/>
              </w:rPr>
            </w:pPr>
            <w:r w:rsidRPr="008847EB">
              <w:rPr>
                <w:bCs/>
                <w:sz w:val="20"/>
                <w:szCs w:val="20"/>
                <w:lang w:val="fr-CA"/>
              </w:rPr>
              <w:t xml:space="preserve">Tout intervenant qui sera autorisé à intervenir en application de la règle 59 des </w:t>
            </w:r>
            <w:r w:rsidRPr="008847EB">
              <w:rPr>
                <w:bCs/>
                <w:i/>
                <w:sz w:val="20"/>
                <w:szCs w:val="20"/>
                <w:lang w:val="fr-CA"/>
              </w:rPr>
              <w:t>Règles de la Cour suprême du Canada</w:t>
            </w:r>
            <w:r w:rsidRPr="008847EB">
              <w:rPr>
                <w:bCs/>
                <w:sz w:val="20"/>
                <w:szCs w:val="20"/>
                <w:lang w:val="fr-CA"/>
              </w:rPr>
              <w:t xml:space="preserve"> devra signifier et déposer son mémoire et recueil de sources, le cas échéant, au plus tard le 5 février 2020. </w:t>
            </w:r>
          </w:p>
          <w:p w:rsidR="008A1FAE" w:rsidRPr="008847EB" w:rsidRDefault="008A1FAE" w:rsidP="008A1FAE">
            <w:pPr>
              <w:pStyle w:val="ListParagraph"/>
              <w:rPr>
                <w:bCs/>
                <w:sz w:val="20"/>
                <w:szCs w:val="20"/>
                <w:lang w:val="fr-CA"/>
              </w:rPr>
            </w:pPr>
          </w:p>
          <w:p w:rsidR="008A1FAE" w:rsidRPr="008847EB" w:rsidRDefault="008A1FAE" w:rsidP="008A1FAE">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0"/>
                <w:szCs w:val="20"/>
                <w:lang w:val="fr-CA"/>
              </w:rPr>
            </w:pPr>
            <w:r w:rsidRPr="008847EB">
              <w:rPr>
                <w:sz w:val="20"/>
                <w:szCs w:val="20"/>
                <w:lang w:val="fr-CA"/>
              </w:rPr>
              <w:t>Les dossier, mémoire et recueil de sources, le cas échéant, de l’intimée seront signifiés et déposés au plus tard le 4 février 2020.</w:t>
            </w:r>
          </w:p>
          <w:p w:rsidR="008A1FAE" w:rsidRPr="008847EB" w:rsidRDefault="008A1FAE" w:rsidP="008A1F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0"/>
                <w:szCs w:val="20"/>
                <w:lang w:val="fr-CA"/>
              </w:rPr>
            </w:pPr>
          </w:p>
        </w:tc>
      </w:tr>
    </w:tbl>
    <w:p w:rsidR="008A1FAE" w:rsidRPr="008847EB" w:rsidRDefault="008A1FAE" w:rsidP="008D292F">
      <w:pPr>
        <w:rPr>
          <w:sz w:val="20"/>
          <w:szCs w:val="20"/>
          <w:lang w:val="fr-CA"/>
        </w:rPr>
      </w:pPr>
    </w:p>
    <w:p w:rsidR="008A1FAE" w:rsidRPr="008847EB" w:rsidRDefault="0011194E" w:rsidP="008D292F">
      <w:pPr>
        <w:rPr>
          <w:sz w:val="20"/>
          <w:szCs w:val="20"/>
          <w:lang w:val="fr-CA"/>
        </w:rPr>
      </w:pPr>
      <w:r>
        <w:rPr>
          <w:sz w:val="20"/>
        </w:rPr>
        <w:pict>
          <v:rect id="_x0000_i1046" style="width:2in;height:1pt" o:hrpct="0" o:hralign="center" o:hrstd="t" o:hrnoshade="t" o:hr="t" fillcolor="black [3213]" stroked="f"/>
        </w:pict>
      </w:r>
    </w:p>
    <w:p w:rsidR="008A1FAE" w:rsidRPr="008847EB" w:rsidRDefault="008A1FAE" w:rsidP="008D292F">
      <w:pPr>
        <w:rPr>
          <w:sz w:val="20"/>
          <w:szCs w:val="20"/>
          <w:lang w:val="fr-CA"/>
        </w:rPr>
      </w:pPr>
    </w:p>
    <w:p w:rsidR="00587312" w:rsidRPr="008847EB" w:rsidRDefault="00587312" w:rsidP="008D292F">
      <w:pPr>
        <w:rPr>
          <w:b/>
          <w:sz w:val="20"/>
          <w:szCs w:val="20"/>
          <w:lang w:val="fr-CA"/>
        </w:rPr>
      </w:pPr>
    </w:p>
    <w:p w:rsidR="00587312" w:rsidRPr="008847EB" w:rsidRDefault="00587312" w:rsidP="008D292F">
      <w:pPr>
        <w:rPr>
          <w:b/>
          <w:sz w:val="20"/>
          <w:szCs w:val="20"/>
          <w:lang w:val="fr-CA"/>
        </w:rPr>
        <w:sectPr w:rsidR="00587312" w:rsidRPr="008847EB"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p w:rsidR="00693C38" w:rsidRPr="008847EB" w:rsidRDefault="00DD0BDC" w:rsidP="00567602">
      <w:pPr>
        <w:pStyle w:val="Header1StyleE"/>
        <w:pBdr>
          <w:bottom w:val="single" w:sz="12" w:space="1" w:color="auto"/>
        </w:pBdr>
        <w:rPr>
          <w:lang w:val="fr-CA"/>
        </w:rPr>
      </w:pPr>
      <w:bookmarkStart w:id="6" w:name="_Toc24980675"/>
      <w:r w:rsidRPr="008847EB">
        <w:rPr>
          <w:lang w:val="fr-CA"/>
        </w:rPr>
        <w:lastRenderedPageBreak/>
        <w:t>Motions</w:t>
      </w:r>
      <w:r w:rsidR="00271E1E" w:rsidRPr="008847EB">
        <w:rPr>
          <w:lang w:val="fr-CA"/>
        </w:rPr>
        <w:t xml:space="preserve"> / </w:t>
      </w:r>
      <w:r w:rsidR="00693C38" w:rsidRPr="008847EB">
        <w:rPr>
          <w:lang w:val="fr-CA"/>
        </w:rPr>
        <w:br/>
      </w:r>
      <w:r w:rsidRPr="008847EB">
        <w:rPr>
          <w:lang w:val="fr-CA"/>
        </w:rPr>
        <w:t>Requêtes</w:t>
      </w:r>
      <w:bookmarkEnd w:id="6"/>
    </w:p>
    <w:p w:rsidR="00890FEB" w:rsidRPr="008847EB" w:rsidRDefault="00890FEB" w:rsidP="00890FEB">
      <w:pPr>
        <w:rPr>
          <w:sz w:val="20"/>
          <w:szCs w:val="20"/>
          <w:lang w:val="fr-CA"/>
        </w:rPr>
      </w:pPr>
    </w:p>
    <w:p w:rsidR="008859F1" w:rsidRPr="008847EB" w:rsidRDefault="00CA3CA9" w:rsidP="008859F1">
      <w:pPr>
        <w:rPr>
          <w:b/>
          <w:sz w:val="20"/>
          <w:szCs w:val="20"/>
          <w:lang w:val="fr-CA"/>
        </w:rPr>
      </w:pPr>
      <w:r w:rsidRPr="008847EB">
        <w:rPr>
          <w:b/>
          <w:sz w:val="20"/>
          <w:szCs w:val="20"/>
          <w:lang w:val="fr-CA"/>
        </w:rPr>
        <w:t>NOVEMBER</w:t>
      </w:r>
      <w:r w:rsidR="008859F1" w:rsidRPr="008847EB">
        <w:rPr>
          <w:b/>
          <w:sz w:val="20"/>
          <w:szCs w:val="20"/>
          <w:lang w:val="fr-CA"/>
        </w:rPr>
        <w:t xml:space="preserve"> </w:t>
      </w:r>
      <w:r w:rsidRPr="008847EB">
        <w:rPr>
          <w:b/>
          <w:sz w:val="20"/>
          <w:szCs w:val="20"/>
          <w:lang w:val="fr-CA"/>
        </w:rPr>
        <w:t>20</w:t>
      </w:r>
      <w:r w:rsidR="008859F1" w:rsidRPr="008847EB">
        <w:rPr>
          <w:b/>
          <w:sz w:val="20"/>
          <w:szCs w:val="20"/>
          <w:lang w:val="fr-CA"/>
        </w:rPr>
        <w:t xml:space="preserve">, 2019 / LE </w:t>
      </w:r>
      <w:r w:rsidRPr="008847EB">
        <w:rPr>
          <w:b/>
          <w:sz w:val="20"/>
          <w:szCs w:val="20"/>
          <w:lang w:val="fr-CA"/>
        </w:rPr>
        <w:t>20</w:t>
      </w:r>
      <w:r w:rsidR="008859F1" w:rsidRPr="008847EB">
        <w:rPr>
          <w:b/>
          <w:sz w:val="20"/>
          <w:szCs w:val="20"/>
          <w:lang w:val="fr-CA"/>
        </w:rPr>
        <w:t xml:space="preserve"> </w:t>
      </w:r>
      <w:r w:rsidRPr="008847EB">
        <w:rPr>
          <w:b/>
          <w:sz w:val="20"/>
          <w:szCs w:val="20"/>
          <w:lang w:val="fr-CA"/>
        </w:rPr>
        <w:t>NOVEMBRE</w:t>
      </w:r>
      <w:r w:rsidR="008859F1" w:rsidRPr="008847EB">
        <w:rPr>
          <w:b/>
          <w:sz w:val="20"/>
          <w:szCs w:val="20"/>
          <w:lang w:val="fr-CA"/>
        </w:rPr>
        <w:t xml:space="preserve"> 2019</w:t>
      </w:r>
    </w:p>
    <w:p w:rsidR="00102792" w:rsidRPr="008847EB"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8847EB" w:rsidTr="00957556">
        <w:tc>
          <w:tcPr>
            <w:tcW w:w="4804" w:type="dxa"/>
            <w:tcBorders>
              <w:top w:val="nil"/>
              <w:left w:val="nil"/>
              <w:bottom w:val="nil"/>
              <w:right w:val="nil"/>
            </w:tcBorders>
          </w:tcPr>
          <w:p w:rsidR="00957556" w:rsidRPr="008847EB" w:rsidRDefault="00CA3CA9" w:rsidP="00CA3CA9">
            <w:pPr>
              <w:tabs>
                <w:tab w:val="left" w:pos="-1440"/>
                <w:tab w:val="left" w:pos="-720"/>
              </w:tabs>
              <w:jc w:val="both"/>
              <w:rPr>
                <w:rFonts w:eastAsia="Times New Roman" w:cs="Times New Roman"/>
                <w:b/>
                <w:sz w:val="20"/>
                <w:szCs w:val="20"/>
                <w:lang w:val="en-US" w:eastAsia="en-CA"/>
              </w:rPr>
            </w:pPr>
            <w:r w:rsidRPr="008847EB">
              <w:rPr>
                <w:rFonts w:eastAsia="Times New Roman" w:cs="Times New Roman"/>
                <w:b/>
                <w:sz w:val="20"/>
                <w:szCs w:val="20"/>
                <w:lang w:val="en-US" w:eastAsia="en-CA"/>
              </w:rPr>
              <w:t>Notice of miscellaneous motion</w:t>
            </w:r>
          </w:p>
        </w:tc>
        <w:tc>
          <w:tcPr>
            <w:tcW w:w="4805" w:type="dxa"/>
            <w:tcBorders>
              <w:top w:val="nil"/>
              <w:left w:val="nil"/>
              <w:bottom w:val="nil"/>
              <w:right w:val="nil"/>
            </w:tcBorders>
          </w:tcPr>
          <w:p w:rsidR="00957556" w:rsidRPr="008847EB" w:rsidRDefault="00CA3CA9" w:rsidP="00CA3CA9">
            <w:pPr>
              <w:tabs>
                <w:tab w:val="left" w:pos="-1440"/>
                <w:tab w:val="left" w:pos="-720"/>
              </w:tabs>
              <w:jc w:val="both"/>
              <w:rPr>
                <w:rFonts w:eastAsia="Times New Roman" w:cs="Times New Roman"/>
                <w:b/>
                <w:sz w:val="20"/>
                <w:szCs w:val="20"/>
                <w:lang w:val="fr-CA" w:eastAsia="en-CA"/>
              </w:rPr>
            </w:pPr>
            <w:r w:rsidRPr="008847EB">
              <w:rPr>
                <w:rFonts w:eastAsia="Times New Roman" w:cs="Times New Roman"/>
                <w:b/>
                <w:sz w:val="20"/>
                <w:szCs w:val="20"/>
                <w:lang w:val="fr-CA" w:eastAsia="en-CA"/>
              </w:rPr>
              <w:t>Avis de re</w:t>
            </w:r>
            <w:r w:rsidR="00957556" w:rsidRPr="008847EB">
              <w:rPr>
                <w:rFonts w:eastAsia="Times New Roman" w:cs="Times New Roman"/>
                <w:b/>
                <w:sz w:val="20"/>
                <w:szCs w:val="20"/>
                <w:lang w:val="fr-CA" w:eastAsia="en-CA"/>
              </w:rPr>
              <w:t xml:space="preserve">quête </w:t>
            </w:r>
            <w:r w:rsidRPr="008847EB">
              <w:rPr>
                <w:rFonts w:eastAsia="Times New Roman" w:cs="Times New Roman"/>
                <w:b/>
                <w:sz w:val="20"/>
                <w:szCs w:val="20"/>
                <w:lang w:val="fr-CA" w:eastAsia="en-CA"/>
              </w:rPr>
              <w:t>diverse</w:t>
            </w:r>
          </w:p>
        </w:tc>
      </w:tr>
    </w:tbl>
    <w:p w:rsidR="00957556" w:rsidRPr="008847EB" w:rsidRDefault="00957556" w:rsidP="00102792">
      <w:pPr>
        <w:tabs>
          <w:tab w:val="left" w:pos="-1440"/>
          <w:tab w:val="left" w:pos="-720"/>
        </w:tabs>
        <w:jc w:val="both"/>
        <w:rPr>
          <w:rFonts w:eastAsia="Times New Roman" w:cs="Times New Roman"/>
          <w:sz w:val="20"/>
          <w:szCs w:val="20"/>
          <w:lang w:val="fr-CA" w:eastAsia="en-CA"/>
        </w:rPr>
      </w:pPr>
    </w:p>
    <w:p w:rsidR="00CA3CA9" w:rsidRPr="008847EB" w:rsidRDefault="00CA3CA9" w:rsidP="00CA3CA9">
      <w:pPr>
        <w:jc w:val="both"/>
        <w:rPr>
          <w:rFonts w:cs="Times New Roman"/>
          <w:b/>
          <w:caps/>
          <w:sz w:val="20"/>
          <w:szCs w:val="20"/>
          <w:lang w:val="en-US"/>
        </w:rPr>
      </w:pPr>
      <w:r w:rsidRPr="008847EB">
        <w:rPr>
          <w:rFonts w:cs="Times New Roman"/>
          <w:b/>
          <w:caps/>
          <w:sz w:val="20"/>
          <w:szCs w:val="20"/>
          <w:lang w:val="en-US"/>
        </w:rPr>
        <w:t xml:space="preserve">Zoltan andrew simon </w:t>
      </w:r>
      <w:r w:rsidRPr="008847EB">
        <w:rPr>
          <w:rFonts w:cs="Times New Roman"/>
          <w:b/>
          <w:sz w:val="20"/>
          <w:szCs w:val="20"/>
          <w:lang w:val="en-US"/>
        </w:rPr>
        <w:t xml:space="preserve">v. </w:t>
      </w:r>
      <w:r w:rsidRPr="008847EB">
        <w:rPr>
          <w:rFonts w:cs="Times New Roman"/>
          <w:b/>
          <w:caps/>
          <w:sz w:val="20"/>
          <w:szCs w:val="20"/>
          <w:lang w:val="en-US"/>
        </w:rPr>
        <w:t>Her Majesty the Queen in Right of Canada, as represented by the Attorney General of Canada and Her Majesty the Queen in Right of British Columbia, represented by the Attorney General of British Columbia</w:t>
      </w:r>
    </w:p>
    <w:p w:rsidR="00CA3CA9" w:rsidRPr="008847EB" w:rsidRDefault="00CA3CA9" w:rsidP="00CA3CA9">
      <w:pPr>
        <w:jc w:val="both"/>
        <w:rPr>
          <w:rFonts w:cs="Times New Roman"/>
          <w:b/>
          <w:caps/>
          <w:sz w:val="20"/>
          <w:szCs w:val="20"/>
          <w:lang w:val="en-US"/>
        </w:rPr>
      </w:pPr>
    </w:p>
    <w:p w:rsidR="00CA3CA9" w:rsidRPr="008847EB" w:rsidRDefault="00CA3CA9" w:rsidP="00CA3CA9">
      <w:pPr>
        <w:ind w:right="720"/>
        <w:rPr>
          <w:rFonts w:cs="Times New Roman"/>
          <w:b/>
          <w:bCs/>
          <w:sz w:val="20"/>
          <w:szCs w:val="20"/>
        </w:rPr>
      </w:pPr>
      <w:r w:rsidRPr="008847EB">
        <w:rPr>
          <w:rFonts w:cs="Times New Roman"/>
          <w:b/>
          <w:bCs/>
          <w:sz w:val="20"/>
          <w:szCs w:val="20"/>
        </w:rPr>
        <w:t xml:space="preserve">- </w:t>
      </w:r>
      <w:proofErr w:type="gramStart"/>
      <w:r w:rsidRPr="008847EB">
        <w:rPr>
          <w:rFonts w:cs="Times New Roman"/>
          <w:b/>
          <w:bCs/>
          <w:sz w:val="20"/>
          <w:szCs w:val="20"/>
        </w:rPr>
        <w:t>and</w:t>
      </w:r>
      <w:proofErr w:type="gramEnd"/>
      <w:r w:rsidRPr="008847EB">
        <w:rPr>
          <w:rFonts w:cs="Times New Roman"/>
          <w:b/>
          <w:bCs/>
          <w:sz w:val="20"/>
          <w:szCs w:val="20"/>
        </w:rPr>
        <w:t xml:space="preserve"> -</w:t>
      </w:r>
    </w:p>
    <w:p w:rsidR="00CA3CA9" w:rsidRPr="008847EB" w:rsidRDefault="00CA3CA9" w:rsidP="00CA3CA9">
      <w:pPr>
        <w:jc w:val="both"/>
        <w:rPr>
          <w:rFonts w:cs="Times New Roman"/>
          <w:b/>
          <w:caps/>
          <w:sz w:val="20"/>
          <w:szCs w:val="20"/>
          <w:lang w:val="en-US"/>
        </w:rPr>
      </w:pPr>
    </w:p>
    <w:p w:rsidR="00CA3CA9" w:rsidRPr="008847EB" w:rsidRDefault="00CA3CA9" w:rsidP="00CA3CA9">
      <w:pPr>
        <w:jc w:val="both"/>
        <w:rPr>
          <w:rFonts w:cs="Times New Roman"/>
          <w:b/>
          <w:sz w:val="20"/>
          <w:szCs w:val="20"/>
          <w:lang w:val="en-US"/>
        </w:rPr>
      </w:pPr>
      <w:r w:rsidRPr="008847EB">
        <w:rPr>
          <w:rFonts w:cs="Times New Roman"/>
          <w:b/>
          <w:caps/>
          <w:sz w:val="20"/>
          <w:szCs w:val="20"/>
          <w:lang w:val="en-US"/>
        </w:rPr>
        <w:t xml:space="preserve">Zoltan andrew simon </w:t>
      </w:r>
      <w:r w:rsidRPr="008847EB">
        <w:rPr>
          <w:rFonts w:cs="Times New Roman"/>
          <w:b/>
          <w:sz w:val="20"/>
          <w:szCs w:val="20"/>
          <w:lang w:val="en-US"/>
        </w:rPr>
        <w:t>v.</w:t>
      </w:r>
      <w:r w:rsidRPr="008847EB">
        <w:rPr>
          <w:rFonts w:cs="Times New Roman"/>
          <w:b/>
          <w:caps/>
          <w:sz w:val="20"/>
          <w:szCs w:val="20"/>
          <w:lang w:val="en-US"/>
        </w:rPr>
        <w:t xml:space="preserve"> Attorney General of Canada</w:t>
      </w:r>
    </w:p>
    <w:p w:rsidR="00CA3CA9" w:rsidRPr="008847EB" w:rsidRDefault="00CA3CA9" w:rsidP="00CA3CA9">
      <w:pPr>
        <w:jc w:val="both"/>
        <w:rPr>
          <w:rFonts w:cs="Times New Roman"/>
          <w:sz w:val="20"/>
          <w:szCs w:val="20"/>
          <w:lang w:val="en-US"/>
        </w:rPr>
      </w:pPr>
      <w:r w:rsidRPr="008847EB">
        <w:rPr>
          <w:rFonts w:cs="Times New Roman"/>
          <w:sz w:val="20"/>
          <w:szCs w:val="20"/>
        </w:rPr>
        <w:t xml:space="preserve">(Alta.) (38747) </w:t>
      </w:r>
    </w:p>
    <w:p w:rsidR="00CA3CA9" w:rsidRPr="008847EB" w:rsidRDefault="00CA3CA9" w:rsidP="00CA3CA9">
      <w:pPr>
        <w:jc w:val="both"/>
        <w:rPr>
          <w:rFonts w:cs="Times New Roman"/>
          <w:sz w:val="20"/>
          <w:szCs w:val="20"/>
          <w:lang w:val="en-US"/>
        </w:rPr>
      </w:pPr>
    </w:p>
    <w:p w:rsidR="00CA3CA9" w:rsidRPr="008847EB" w:rsidRDefault="00CA3CA9" w:rsidP="00CA3CA9">
      <w:pPr>
        <w:jc w:val="both"/>
        <w:rPr>
          <w:rFonts w:cs="Times New Roman"/>
          <w:b/>
          <w:sz w:val="20"/>
          <w:szCs w:val="20"/>
        </w:rPr>
      </w:pPr>
      <w:r w:rsidRPr="008847EB">
        <w:rPr>
          <w:rFonts w:cs="Times New Roman"/>
          <w:b/>
          <w:sz w:val="20"/>
          <w:szCs w:val="20"/>
          <w:u w:val="single"/>
        </w:rPr>
        <w:t>ROWE J.</w:t>
      </w:r>
      <w:r w:rsidRPr="008847EB">
        <w:rPr>
          <w:rFonts w:cs="Times New Roman"/>
          <w:b/>
          <w:sz w:val="20"/>
          <w:szCs w:val="20"/>
        </w:rPr>
        <w:t>:</w:t>
      </w:r>
    </w:p>
    <w:p w:rsidR="00CA3CA9" w:rsidRPr="008847EB" w:rsidRDefault="00CA3CA9" w:rsidP="00CA3CA9">
      <w:pPr>
        <w:jc w:val="both"/>
        <w:rPr>
          <w:rFonts w:cs="Times New Roman"/>
          <w:b/>
          <w:sz w:val="20"/>
          <w:szCs w:val="20"/>
        </w:rPr>
      </w:pPr>
    </w:p>
    <w:p w:rsidR="00CA3CA9" w:rsidRPr="008847EB" w:rsidRDefault="00CA3CA9" w:rsidP="00CA3CA9">
      <w:pPr>
        <w:jc w:val="both"/>
        <w:rPr>
          <w:rFonts w:cs="Times New Roman"/>
          <w:sz w:val="20"/>
          <w:szCs w:val="20"/>
        </w:rPr>
      </w:pPr>
      <w:r w:rsidRPr="008847EB">
        <w:rPr>
          <w:rFonts w:cs="Times New Roman"/>
          <w:b/>
          <w:sz w:val="20"/>
          <w:szCs w:val="20"/>
        </w:rPr>
        <w:t>UPON APPLICATION</w:t>
      </w:r>
      <w:r w:rsidRPr="008847EB">
        <w:rPr>
          <w:rFonts w:cs="Times New Roman"/>
          <w:sz w:val="20"/>
          <w:szCs w:val="20"/>
        </w:rPr>
        <w:t xml:space="preserve"> by Mr. Simon for an order:</w:t>
      </w:r>
    </w:p>
    <w:p w:rsidR="00CA3CA9" w:rsidRPr="008847EB" w:rsidRDefault="00CA3CA9" w:rsidP="00CA3CA9">
      <w:pPr>
        <w:jc w:val="both"/>
        <w:rPr>
          <w:rFonts w:cs="Times New Roman"/>
          <w:sz w:val="20"/>
          <w:szCs w:val="20"/>
        </w:rPr>
      </w:pPr>
    </w:p>
    <w:p w:rsidR="00CA3CA9" w:rsidRPr="008847EB" w:rsidRDefault="00CA3CA9" w:rsidP="00CA3CA9">
      <w:pPr>
        <w:pStyle w:val="ListParagraph"/>
        <w:widowControl w:val="0"/>
        <w:numPr>
          <w:ilvl w:val="0"/>
          <w:numId w:val="12"/>
        </w:numPr>
        <w:jc w:val="both"/>
        <w:rPr>
          <w:sz w:val="20"/>
          <w:szCs w:val="20"/>
        </w:rPr>
      </w:pPr>
      <w:r w:rsidRPr="008847EB">
        <w:rPr>
          <w:sz w:val="20"/>
          <w:szCs w:val="20"/>
        </w:rPr>
        <w:t>to compel the acceptance by the Registry of two (2) leave applications;</w:t>
      </w:r>
    </w:p>
    <w:p w:rsidR="00CA3CA9" w:rsidRPr="008847EB" w:rsidRDefault="00CA3CA9" w:rsidP="00CA3CA9">
      <w:pPr>
        <w:pStyle w:val="ListParagraph"/>
        <w:widowControl w:val="0"/>
        <w:jc w:val="both"/>
        <w:rPr>
          <w:sz w:val="20"/>
          <w:szCs w:val="20"/>
        </w:rPr>
      </w:pPr>
    </w:p>
    <w:p w:rsidR="00CA3CA9" w:rsidRPr="008847EB" w:rsidRDefault="00CA3CA9" w:rsidP="00CA3CA9">
      <w:pPr>
        <w:pStyle w:val="ListParagraph"/>
        <w:widowControl w:val="0"/>
        <w:numPr>
          <w:ilvl w:val="0"/>
          <w:numId w:val="12"/>
        </w:numPr>
        <w:jc w:val="both"/>
        <w:rPr>
          <w:sz w:val="20"/>
          <w:szCs w:val="20"/>
        </w:rPr>
      </w:pPr>
      <w:r w:rsidRPr="008847EB">
        <w:rPr>
          <w:sz w:val="20"/>
          <w:szCs w:val="20"/>
        </w:rPr>
        <w:t>to allow the applications for leave to appeal to proceed “without the application stage”;</w:t>
      </w:r>
    </w:p>
    <w:p w:rsidR="00CA3CA9" w:rsidRPr="008847EB" w:rsidRDefault="00CA3CA9" w:rsidP="00CA3CA9">
      <w:pPr>
        <w:widowControl w:val="0"/>
        <w:jc w:val="both"/>
        <w:rPr>
          <w:sz w:val="20"/>
          <w:szCs w:val="20"/>
        </w:rPr>
      </w:pPr>
    </w:p>
    <w:p w:rsidR="00CA3CA9" w:rsidRPr="008847EB" w:rsidRDefault="00CA3CA9" w:rsidP="00CA3CA9">
      <w:pPr>
        <w:pStyle w:val="ListParagraph"/>
        <w:widowControl w:val="0"/>
        <w:numPr>
          <w:ilvl w:val="0"/>
          <w:numId w:val="12"/>
        </w:numPr>
        <w:jc w:val="both"/>
        <w:rPr>
          <w:sz w:val="20"/>
          <w:szCs w:val="20"/>
        </w:rPr>
      </w:pPr>
      <w:r w:rsidRPr="008847EB">
        <w:rPr>
          <w:sz w:val="20"/>
          <w:szCs w:val="20"/>
        </w:rPr>
        <w:t>to terminate the involvement of a named registry officer;</w:t>
      </w:r>
    </w:p>
    <w:p w:rsidR="00CA3CA9" w:rsidRPr="008847EB" w:rsidRDefault="00CA3CA9" w:rsidP="00CA3CA9">
      <w:pPr>
        <w:widowControl w:val="0"/>
        <w:jc w:val="both"/>
        <w:rPr>
          <w:sz w:val="20"/>
          <w:szCs w:val="20"/>
        </w:rPr>
      </w:pPr>
    </w:p>
    <w:p w:rsidR="00CA3CA9" w:rsidRPr="008847EB" w:rsidRDefault="00CA3CA9" w:rsidP="00CA3CA9">
      <w:pPr>
        <w:pStyle w:val="ListParagraph"/>
        <w:widowControl w:val="0"/>
        <w:numPr>
          <w:ilvl w:val="0"/>
          <w:numId w:val="12"/>
        </w:numPr>
        <w:jc w:val="both"/>
        <w:rPr>
          <w:sz w:val="20"/>
          <w:szCs w:val="20"/>
        </w:rPr>
      </w:pPr>
      <w:r w:rsidRPr="008847EB">
        <w:rPr>
          <w:sz w:val="20"/>
          <w:szCs w:val="20"/>
        </w:rPr>
        <w:t xml:space="preserve">to proceed in forma </w:t>
      </w:r>
      <w:proofErr w:type="spellStart"/>
      <w:r w:rsidRPr="008847EB">
        <w:rPr>
          <w:sz w:val="20"/>
          <w:szCs w:val="20"/>
        </w:rPr>
        <w:t>pauperis</w:t>
      </w:r>
      <w:proofErr w:type="spellEnd"/>
      <w:r w:rsidRPr="008847EB">
        <w:rPr>
          <w:sz w:val="20"/>
          <w:szCs w:val="20"/>
        </w:rPr>
        <w:t>;</w:t>
      </w:r>
    </w:p>
    <w:p w:rsidR="00CA3CA9" w:rsidRPr="008847EB" w:rsidRDefault="00CA3CA9" w:rsidP="00CA3CA9">
      <w:pPr>
        <w:rPr>
          <w:sz w:val="20"/>
          <w:szCs w:val="20"/>
        </w:rPr>
      </w:pPr>
    </w:p>
    <w:p w:rsidR="00CA3CA9" w:rsidRPr="008847EB" w:rsidRDefault="00CA3CA9" w:rsidP="00CA3CA9">
      <w:pPr>
        <w:pStyle w:val="ListParagraph"/>
        <w:widowControl w:val="0"/>
        <w:numPr>
          <w:ilvl w:val="0"/>
          <w:numId w:val="12"/>
        </w:numPr>
        <w:jc w:val="both"/>
        <w:rPr>
          <w:sz w:val="20"/>
          <w:szCs w:val="20"/>
        </w:rPr>
      </w:pPr>
      <w:r w:rsidRPr="008847EB">
        <w:rPr>
          <w:sz w:val="20"/>
          <w:szCs w:val="20"/>
        </w:rPr>
        <w:t>for miscellaneous related relief;</w:t>
      </w:r>
    </w:p>
    <w:p w:rsidR="00CA3CA9" w:rsidRPr="008847EB" w:rsidRDefault="00CA3CA9" w:rsidP="00CA3CA9">
      <w:pPr>
        <w:jc w:val="both"/>
        <w:rPr>
          <w:rFonts w:cs="Times New Roman"/>
          <w:sz w:val="20"/>
          <w:szCs w:val="20"/>
        </w:rPr>
      </w:pPr>
    </w:p>
    <w:p w:rsidR="00CA3CA9" w:rsidRPr="008847EB" w:rsidRDefault="00CA3CA9" w:rsidP="00CA3CA9">
      <w:pPr>
        <w:jc w:val="both"/>
        <w:rPr>
          <w:rFonts w:cs="Times New Roman"/>
          <w:sz w:val="20"/>
          <w:szCs w:val="20"/>
        </w:rPr>
      </w:pPr>
      <w:r w:rsidRPr="008847EB">
        <w:rPr>
          <w:rFonts w:cs="Times New Roman"/>
          <w:b/>
          <w:bCs/>
          <w:sz w:val="20"/>
          <w:szCs w:val="20"/>
        </w:rPr>
        <w:t>AND THE MATERIAL FILED</w:t>
      </w:r>
      <w:r w:rsidRPr="008847EB">
        <w:rPr>
          <w:rFonts w:cs="Times New Roman"/>
          <w:sz w:val="20"/>
          <w:szCs w:val="20"/>
        </w:rPr>
        <w:t xml:space="preserve"> having been read;</w:t>
      </w:r>
    </w:p>
    <w:p w:rsidR="00CA3CA9" w:rsidRPr="008847EB" w:rsidRDefault="00CA3CA9" w:rsidP="00CA3CA9">
      <w:pPr>
        <w:jc w:val="both"/>
        <w:rPr>
          <w:rFonts w:cs="Times New Roman"/>
          <w:sz w:val="20"/>
          <w:szCs w:val="20"/>
        </w:rPr>
      </w:pPr>
    </w:p>
    <w:p w:rsidR="00CA3CA9" w:rsidRPr="008847EB" w:rsidRDefault="00CA3CA9" w:rsidP="00CA3CA9">
      <w:pPr>
        <w:jc w:val="both"/>
        <w:rPr>
          <w:rFonts w:cs="Times New Roman"/>
          <w:sz w:val="20"/>
          <w:szCs w:val="20"/>
        </w:rPr>
      </w:pPr>
      <w:r w:rsidRPr="008847EB">
        <w:rPr>
          <w:rFonts w:cs="Times New Roman"/>
          <w:b/>
          <w:sz w:val="20"/>
          <w:szCs w:val="20"/>
        </w:rPr>
        <w:t>IT IS HEREBY ORDERED THAT</w:t>
      </w:r>
      <w:r w:rsidRPr="008847EB">
        <w:rPr>
          <w:rFonts w:cs="Times New Roman"/>
          <w:sz w:val="20"/>
          <w:szCs w:val="20"/>
        </w:rPr>
        <w:t>:</w:t>
      </w:r>
    </w:p>
    <w:p w:rsidR="00CA3CA9" w:rsidRPr="008847EB" w:rsidRDefault="00CA3CA9" w:rsidP="00CA3CA9">
      <w:pPr>
        <w:jc w:val="both"/>
        <w:rPr>
          <w:rFonts w:cs="Times New Roman"/>
          <w:sz w:val="20"/>
          <w:szCs w:val="20"/>
        </w:rPr>
      </w:pPr>
    </w:p>
    <w:p w:rsidR="00CA3CA9" w:rsidRPr="008847EB" w:rsidRDefault="00CA3CA9" w:rsidP="00CA3CA9">
      <w:pPr>
        <w:jc w:val="both"/>
        <w:rPr>
          <w:rFonts w:cs="Times New Roman"/>
          <w:sz w:val="20"/>
          <w:szCs w:val="20"/>
        </w:rPr>
      </w:pPr>
      <w:r w:rsidRPr="008847EB">
        <w:rPr>
          <w:rFonts w:cs="Times New Roman"/>
          <w:sz w:val="20"/>
          <w:szCs w:val="20"/>
        </w:rPr>
        <w:t>The applicant has a period of thirty (30) days from the date of this order in which to:</w:t>
      </w:r>
    </w:p>
    <w:p w:rsidR="00CA3CA9" w:rsidRPr="008847EB" w:rsidRDefault="00CA3CA9" w:rsidP="00CA3CA9">
      <w:pPr>
        <w:jc w:val="both"/>
        <w:rPr>
          <w:rFonts w:cs="Times New Roman"/>
          <w:sz w:val="20"/>
          <w:szCs w:val="20"/>
        </w:rPr>
      </w:pPr>
    </w:p>
    <w:p w:rsidR="00CA3CA9" w:rsidRPr="008847EB" w:rsidRDefault="00CA3CA9" w:rsidP="00CA3CA9">
      <w:pPr>
        <w:pStyle w:val="ListParagraph"/>
        <w:numPr>
          <w:ilvl w:val="0"/>
          <w:numId w:val="13"/>
        </w:numPr>
        <w:jc w:val="both"/>
        <w:rPr>
          <w:rFonts w:cs="Times New Roman"/>
          <w:sz w:val="20"/>
          <w:szCs w:val="20"/>
        </w:rPr>
      </w:pPr>
      <w:r w:rsidRPr="008847EB">
        <w:rPr>
          <w:rFonts w:cs="Times New Roman"/>
          <w:sz w:val="20"/>
          <w:szCs w:val="20"/>
        </w:rPr>
        <w:t>serve and file a motion for an extension of time to serve and file the two (2) applications for leave to appeal; and</w:t>
      </w:r>
    </w:p>
    <w:p w:rsidR="00CA3CA9" w:rsidRPr="008847EB" w:rsidRDefault="00CA3CA9" w:rsidP="00CA3CA9">
      <w:pPr>
        <w:ind w:left="360"/>
        <w:jc w:val="both"/>
        <w:rPr>
          <w:rFonts w:cs="Times New Roman"/>
          <w:sz w:val="20"/>
          <w:szCs w:val="20"/>
        </w:rPr>
      </w:pPr>
    </w:p>
    <w:p w:rsidR="00CA3CA9" w:rsidRPr="008847EB" w:rsidRDefault="00CA3CA9" w:rsidP="00CA3CA9">
      <w:pPr>
        <w:pStyle w:val="ListParagraph"/>
        <w:numPr>
          <w:ilvl w:val="0"/>
          <w:numId w:val="13"/>
        </w:numPr>
        <w:jc w:val="both"/>
        <w:rPr>
          <w:rFonts w:cs="Times New Roman"/>
          <w:sz w:val="20"/>
          <w:szCs w:val="20"/>
        </w:rPr>
      </w:pPr>
      <w:r w:rsidRPr="008847EB">
        <w:rPr>
          <w:rFonts w:cs="Times New Roman"/>
          <w:sz w:val="20"/>
          <w:szCs w:val="20"/>
        </w:rPr>
        <w:t>serve and file complete and compliant applications for leave to appeal</w:t>
      </w:r>
    </w:p>
    <w:p w:rsidR="00CA3CA9" w:rsidRPr="008847EB" w:rsidRDefault="00CA3CA9" w:rsidP="00CA3CA9">
      <w:pPr>
        <w:jc w:val="both"/>
        <w:rPr>
          <w:sz w:val="20"/>
          <w:szCs w:val="20"/>
        </w:rPr>
      </w:pPr>
    </w:p>
    <w:p w:rsidR="00CA3CA9" w:rsidRPr="008847EB" w:rsidRDefault="00CA3CA9" w:rsidP="00CA3CA9">
      <w:pPr>
        <w:jc w:val="both"/>
        <w:rPr>
          <w:sz w:val="20"/>
          <w:szCs w:val="20"/>
        </w:rPr>
      </w:pPr>
      <w:r w:rsidRPr="008847EB">
        <w:rPr>
          <w:sz w:val="20"/>
          <w:szCs w:val="20"/>
        </w:rPr>
        <w:t>The applicant is granted permission to file and serve all documents and materials related to the applications for leave to appeal in electronic format, as an attachment to an email, size permitting (less than 15 megabytes (MB)), or on a CD/DVD-ROM.</w:t>
      </w:r>
    </w:p>
    <w:p w:rsidR="00CA3CA9" w:rsidRPr="008847EB" w:rsidRDefault="00CA3CA9" w:rsidP="00CA3CA9">
      <w:pPr>
        <w:jc w:val="both"/>
        <w:rPr>
          <w:sz w:val="20"/>
          <w:szCs w:val="20"/>
        </w:rPr>
      </w:pPr>
    </w:p>
    <w:p w:rsidR="00CA3CA9" w:rsidRPr="008847EB" w:rsidRDefault="00CA3CA9" w:rsidP="00CA3CA9">
      <w:pPr>
        <w:jc w:val="both"/>
        <w:rPr>
          <w:i/>
          <w:sz w:val="20"/>
          <w:szCs w:val="20"/>
        </w:rPr>
      </w:pPr>
      <w:r w:rsidRPr="008847EB">
        <w:rPr>
          <w:sz w:val="20"/>
          <w:szCs w:val="20"/>
        </w:rPr>
        <w:t xml:space="preserve">The applicant shall comply with the requirements set out in Section 40(1) of the </w:t>
      </w:r>
      <w:r w:rsidRPr="008847EB">
        <w:rPr>
          <w:i/>
          <w:sz w:val="20"/>
          <w:szCs w:val="20"/>
        </w:rPr>
        <w:t xml:space="preserve">Supreme Court Act </w:t>
      </w:r>
      <w:r w:rsidRPr="008847EB">
        <w:rPr>
          <w:sz w:val="20"/>
          <w:szCs w:val="20"/>
        </w:rPr>
        <w:t>and</w:t>
      </w:r>
      <w:r w:rsidRPr="008847EB">
        <w:rPr>
          <w:i/>
          <w:sz w:val="20"/>
          <w:szCs w:val="20"/>
        </w:rPr>
        <w:t xml:space="preserve"> </w:t>
      </w:r>
      <w:r w:rsidRPr="008847EB">
        <w:rPr>
          <w:sz w:val="20"/>
          <w:szCs w:val="20"/>
        </w:rPr>
        <w:t xml:space="preserve">Rule 25 of the </w:t>
      </w:r>
      <w:r w:rsidRPr="008847EB">
        <w:rPr>
          <w:i/>
          <w:sz w:val="20"/>
          <w:szCs w:val="20"/>
        </w:rPr>
        <w:t xml:space="preserve">Rules of the Supreme Court of Canada. </w:t>
      </w:r>
    </w:p>
    <w:p w:rsidR="00CA3CA9" w:rsidRPr="008847EB" w:rsidRDefault="00CA3CA9" w:rsidP="00CA3CA9">
      <w:pPr>
        <w:jc w:val="both"/>
        <w:rPr>
          <w:sz w:val="20"/>
          <w:szCs w:val="20"/>
        </w:rPr>
      </w:pPr>
    </w:p>
    <w:p w:rsidR="00CA3CA9" w:rsidRPr="008847EB" w:rsidRDefault="00CA3CA9" w:rsidP="00CA3CA9">
      <w:pPr>
        <w:jc w:val="both"/>
        <w:rPr>
          <w:sz w:val="20"/>
          <w:szCs w:val="20"/>
        </w:rPr>
      </w:pPr>
      <w:r w:rsidRPr="008847EB">
        <w:rPr>
          <w:sz w:val="20"/>
          <w:szCs w:val="20"/>
        </w:rPr>
        <w:t xml:space="preserve">Unless otherwise ordered herein, all other service and filing requirements set out in the </w:t>
      </w:r>
      <w:r w:rsidRPr="008847EB">
        <w:rPr>
          <w:i/>
          <w:sz w:val="20"/>
          <w:szCs w:val="20"/>
        </w:rPr>
        <w:t>Rules of the Supreme Court of Canada</w:t>
      </w:r>
      <w:r w:rsidRPr="008847EB">
        <w:rPr>
          <w:sz w:val="20"/>
          <w:szCs w:val="20"/>
        </w:rPr>
        <w:t xml:space="preserve"> continue to apply to these proceedings.</w:t>
      </w:r>
    </w:p>
    <w:p w:rsidR="00CA3CA9" w:rsidRPr="008847EB" w:rsidRDefault="00CA3CA9" w:rsidP="00CA3CA9">
      <w:pPr>
        <w:jc w:val="both"/>
        <w:rPr>
          <w:rFonts w:cs="Times New Roman"/>
          <w:sz w:val="20"/>
          <w:szCs w:val="20"/>
        </w:rPr>
      </w:pPr>
    </w:p>
    <w:p w:rsidR="00102792" w:rsidRPr="008847EB" w:rsidRDefault="00CA3CA9" w:rsidP="00CA3CA9">
      <w:pPr>
        <w:spacing w:line="228" w:lineRule="auto"/>
        <w:rPr>
          <w:sz w:val="20"/>
          <w:szCs w:val="20"/>
        </w:rPr>
      </w:pPr>
      <w:r w:rsidRPr="008847EB">
        <w:rPr>
          <w:sz w:val="20"/>
          <w:szCs w:val="20"/>
        </w:rPr>
        <w:t>In other respects, the application is dismissed without costs.</w:t>
      </w:r>
    </w:p>
    <w:p w:rsidR="00CA3CA9" w:rsidRPr="008847EB" w:rsidRDefault="00CA3CA9" w:rsidP="00CA3CA9">
      <w:pPr>
        <w:spacing w:line="228" w:lineRule="auto"/>
        <w:rPr>
          <w:sz w:val="20"/>
          <w:szCs w:val="20"/>
        </w:rPr>
      </w:pPr>
    </w:p>
    <w:p w:rsidR="00102792" w:rsidRPr="008847EB" w:rsidRDefault="00102792" w:rsidP="00102792">
      <w:pPr>
        <w:spacing w:line="228" w:lineRule="auto"/>
        <w:rPr>
          <w:sz w:val="20"/>
          <w:szCs w:val="20"/>
        </w:rPr>
      </w:pPr>
    </w:p>
    <w:p w:rsidR="005358E0" w:rsidRPr="008847EB" w:rsidRDefault="005358E0" w:rsidP="005358E0">
      <w:pPr>
        <w:jc w:val="both"/>
        <w:rPr>
          <w:rFonts w:cs="Times New Roman"/>
          <w:sz w:val="20"/>
          <w:szCs w:val="20"/>
          <w:lang w:val="fr-CA"/>
        </w:rPr>
      </w:pPr>
      <w:r w:rsidRPr="008847EB">
        <w:rPr>
          <w:rFonts w:cs="Times New Roman"/>
          <w:b/>
          <w:sz w:val="20"/>
          <w:szCs w:val="20"/>
          <w:lang w:val="fr-CA"/>
        </w:rPr>
        <w:t xml:space="preserve">À LA SUITE DE LA DEMANDE </w:t>
      </w:r>
      <w:r w:rsidRPr="008847EB">
        <w:rPr>
          <w:rFonts w:cs="Times New Roman"/>
          <w:sz w:val="20"/>
          <w:szCs w:val="20"/>
          <w:lang w:val="fr-CA"/>
        </w:rPr>
        <w:t>présentée par M. Simon pour :</w:t>
      </w:r>
    </w:p>
    <w:p w:rsidR="005358E0" w:rsidRPr="008847EB" w:rsidRDefault="005358E0" w:rsidP="005358E0">
      <w:pPr>
        <w:jc w:val="both"/>
        <w:rPr>
          <w:rFonts w:cs="Times New Roman"/>
          <w:sz w:val="20"/>
          <w:szCs w:val="20"/>
          <w:lang w:val="fr-CA"/>
        </w:rPr>
      </w:pPr>
    </w:p>
    <w:p w:rsidR="005358E0" w:rsidRPr="008847EB" w:rsidRDefault="005358E0" w:rsidP="005358E0">
      <w:pPr>
        <w:pStyle w:val="ListParagraph"/>
        <w:widowControl w:val="0"/>
        <w:numPr>
          <w:ilvl w:val="0"/>
          <w:numId w:val="14"/>
        </w:numPr>
        <w:jc w:val="both"/>
        <w:rPr>
          <w:sz w:val="20"/>
          <w:szCs w:val="20"/>
          <w:lang w:val="fr-CA"/>
        </w:rPr>
      </w:pPr>
      <w:r w:rsidRPr="008847EB">
        <w:rPr>
          <w:sz w:val="20"/>
          <w:szCs w:val="20"/>
          <w:lang w:val="fr-CA"/>
        </w:rPr>
        <w:t>que soit ordonnée l’acceptation par le greffe de deux (2) demandes d’autorisation d’appel;</w:t>
      </w:r>
    </w:p>
    <w:p w:rsidR="005358E0" w:rsidRPr="008847EB" w:rsidRDefault="005358E0" w:rsidP="005358E0">
      <w:pPr>
        <w:pStyle w:val="ListParagraph"/>
        <w:widowControl w:val="0"/>
        <w:jc w:val="both"/>
        <w:rPr>
          <w:sz w:val="20"/>
          <w:szCs w:val="20"/>
          <w:lang w:val="fr-CA"/>
        </w:rPr>
      </w:pPr>
    </w:p>
    <w:p w:rsidR="005358E0" w:rsidRPr="008847EB" w:rsidRDefault="005358E0" w:rsidP="005358E0">
      <w:pPr>
        <w:pStyle w:val="ListParagraph"/>
        <w:widowControl w:val="0"/>
        <w:numPr>
          <w:ilvl w:val="0"/>
          <w:numId w:val="14"/>
        </w:numPr>
        <w:jc w:val="both"/>
        <w:rPr>
          <w:sz w:val="20"/>
          <w:szCs w:val="20"/>
          <w:lang w:val="fr-CA"/>
        </w:rPr>
      </w:pPr>
      <w:r w:rsidRPr="008847EB">
        <w:rPr>
          <w:sz w:val="20"/>
          <w:szCs w:val="20"/>
          <w:lang w:val="fr-CA"/>
        </w:rPr>
        <w:lastRenderedPageBreak/>
        <w:t>que les demandes d’autorisation d’appel procèdent [</w:t>
      </w:r>
      <w:r w:rsidRPr="008847EB">
        <w:rPr>
          <w:smallCaps/>
          <w:sz w:val="20"/>
          <w:szCs w:val="20"/>
          <w:lang w:val="fr-CA"/>
        </w:rPr>
        <w:t>traduction</w:t>
      </w:r>
      <w:r w:rsidRPr="008847EB">
        <w:rPr>
          <w:sz w:val="20"/>
          <w:szCs w:val="20"/>
          <w:lang w:val="fr-CA"/>
        </w:rPr>
        <w:t xml:space="preserve">] « sans passer par l’étape de la demande </w:t>
      </w:r>
      <w:r w:rsidRPr="008847EB">
        <w:rPr>
          <w:rFonts w:cs="Times New Roman"/>
          <w:sz w:val="20"/>
          <w:szCs w:val="20"/>
          <w:lang w:val="fr-CA"/>
        </w:rPr>
        <w:t>»</w:t>
      </w:r>
      <w:r w:rsidRPr="008847EB">
        <w:rPr>
          <w:sz w:val="20"/>
          <w:szCs w:val="20"/>
          <w:lang w:val="fr-CA"/>
        </w:rPr>
        <w:t>;</w:t>
      </w:r>
    </w:p>
    <w:p w:rsidR="005358E0" w:rsidRPr="008847EB" w:rsidRDefault="005358E0" w:rsidP="005358E0">
      <w:pPr>
        <w:widowControl w:val="0"/>
        <w:jc w:val="both"/>
        <w:rPr>
          <w:sz w:val="20"/>
          <w:szCs w:val="20"/>
          <w:lang w:val="fr-CA"/>
        </w:rPr>
      </w:pPr>
    </w:p>
    <w:p w:rsidR="005358E0" w:rsidRPr="008847EB" w:rsidRDefault="005358E0" w:rsidP="005358E0">
      <w:pPr>
        <w:pStyle w:val="ListParagraph"/>
        <w:widowControl w:val="0"/>
        <w:numPr>
          <w:ilvl w:val="0"/>
          <w:numId w:val="14"/>
        </w:numPr>
        <w:jc w:val="both"/>
        <w:rPr>
          <w:sz w:val="20"/>
          <w:szCs w:val="20"/>
          <w:lang w:val="fr-CA"/>
        </w:rPr>
      </w:pPr>
      <w:r w:rsidRPr="008847EB">
        <w:rPr>
          <w:sz w:val="20"/>
          <w:szCs w:val="20"/>
          <w:lang w:val="fr-CA"/>
        </w:rPr>
        <w:t>qu’un agent du greffe désigné soit dorénavant écarté des démarches relatives au présent dossier;</w:t>
      </w:r>
    </w:p>
    <w:p w:rsidR="005358E0" w:rsidRPr="008847EB" w:rsidRDefault="005358E0" w:rsidP="005358E0">
      <w:pPr>
        <w:widowControl w:val="0"/>
        <w:jc w:val="both"/>
        <w:rPr>
          <w:sz w:val="20"/>
          <w:szCs w:val="20"/>
          <w:lang w:val="fr-CA"/>
        </w:rPr>
      </w:pPr>
    </w:p>
    <w:p w:rsidR="005358E0" w:rsidRPr="008847EB" w:rsidRDefault="005358E0" w:rsidP="005358E0">
      <w:pPr>
        <w:pStyle w:val="ListParagraph"/>
        <w:widowControl w:val="0"/>
        <w:numPr>
          <w:ilvl w:val="0"/>
          <w:numId w:val="14"/>
        </w:numPr>
        <w:jc w:val="both"/>
        <w:rPr>
          <w:sz w:val="20"/>
          <w:szCs w:val="20"/>
          <w:lang w:val="fr-CA"/>
        </w:rPr>
      </w:pPr>
      <w:r w:rsidRPr="008847EB">
        <w:rPr>
          <w:sz w:val="20"/>
          <w:szCs w:val="20"/>
          <w:lang w:val="fr-CA"/>
        </w:rPr>
        <w:t xml:space="preserve">que la procédure procède </w:t>
      </w:r>
      <w:r w:rsidRPr="008847EB">
        <w:rPr>
          <w:i/>
          <w:sz w:val="20"/>
          <w:szCs w:val="20"/>
          <w:lang w:val="fr-CA"/>
        </w:rPr>
        <w:t xml:space="preserve">in forma </w:t>
      </w:r>
      <w:proofErr w:type="spellStart"/>
      <w:r w:rsidRPr="008847EB">
        <w:rPr>
          <w:i/>
          <w:sz w:val="20"/>
          <w:szCs w:val="20"/>
          <w:lang w:val="fr-CA"/>
        </w:rPr>
        <w:t>pauperis</w:t>
      </w:r>
      <w:proofErr w:type="spellEnd"/>
      <w:r w:rsidRPr="008847EB">
        <w:rPr>
          <w:sz w:val="20"/>
          <w:szCs w:val="20"/>
          <w:lang w:val="fr-CA"/>
        </w:rPr>
        <w:t>;</w:t>
      </w:r>
    </w:p>
    <w:p w:rsidR="005358E0" w:rsidRPr="008847EB" w:rsidRDefault="005358E0" w:rsidP="005358E0">
      <w:pPr>
        <w:rPr>
          <w:sz w:val="20"/>
          <w:szCs w:val="20"/>
          <w:lang w:val="fr-CA"/>
        </w:rPr>
      </w:pPr>
    </w:p>
    <w:p w:rsidR="005358E0" w:rsidRPr="008847EB" w:rsidRDefault="005358E0" w:rsidP="005358E0">
      <w:pPr>
        <w:pStyle w:val="ListParagraph"/>
        <w:widowControl w:val="0"/>
        <w:numPr>
          <w:ilvl w:val="0"/>
          <w:numId w:val="14"/>
        </w:numPr>
        <w:jc w:val="both"/>
        <w:rPr>
          <w:sz w:val="20"/>
          <w:szCs w:val="20"/>
          <w:lang w:val="fr-CA"/>
        </w:rPr>
      </w:pPr>
      <w:r w:rsidRPr="008847EB">
        <w:rPr>
          <w:sz w:val="20"/>
          <w:szCs w:val="20"/>
          <w:lang w:val="fr-CA"/>
        </w:rPr>
        <w:t>que soient ordonnées diverses mesures de redressement liées;</w:t>
      </w:r>
    </w:p>
    <w:p w:rsidR="005358E0" w:rsidRPr="008847EB" w:rsidRDefault="005358E0" w:rsidP="005358E0">
      <w:pPr>
        <w:jc w:val="both"/>
        <w:rPr>
          <w:rFonts w:cs="Times New Roman"/>
          <w:sz w:val="20"/>
          <w:szCs w:val="20"/>
          <w:lang w:val="fr-CA"/>
        </w:rPr>
      </w:pPr>
    </w:p>
    <w:p w:rsidR="005358E0" w:rsidRPr="008847EB" w:rsidRDefault="005358E0" w:rsidP="005358E0">
      <w:pPr>
        <w:jc w:val="both"/>
        <w:rPr>
          <w:rFonts w:cs="Times New Roman"/>
          <w:sz w:val="20"/>
          <w:szCs w:val="20"/>
          <w:lang w:val="fr-CA"/>
        </w:rPr>
      </w:pPr>
      <w:r w:rsidRPr="008847EB">
        <w:rPr>
          <w:rFonts w:cs="Times New Roman"/>
          <w:b/>
          <w:bCs/>
          <w:sz w:val="20"/>
          <w:szCs w:val="20"/>
          <w:lang w:val="fr-CA"/>
        </w:rPr>
        <w:t xml:space="preserve">ET APRÈS EXAMEN </w:t>
      </w:r>
      <w:r w:rsidRPr="008847EB">
        <w:rPr>
          <w:rFonts w:cs="Times New Roman"/>
          <w:bCs/>
          <w:sz w:val="20"/>
          <w:szCs w:val="20"/>
          <w:lang w:val="fr-CA"/>
        </w:rPr>
        <w:t>des documents déposés;</w:t>
      </w:r>
    </w:p>
    <w:p w:rsidR="005358E0" w:rsidRPr="008847EB" w:rsidRDefault="005358E0" w:rsidP="005358E0">
      <w:pPr>
        <w:jc w:val="both"/>
        <w:rPr>
          <w:rFonts w:cs="Times New Roman"/>
          <w:sz w:val="20"/>
          <w:szCs w:val="20"/>
          <w:lang w:val="fr-CA"/>
        </w:rPr>
      </w:pPr>
    </w:p>
    <w:p w:rsidR="005358E0" w:rsidRPr="008847EB" w:rsidRDefault="005358E0" w:rsidP="005358E0">
      <w:pPr>
        <w:jc w:val="both"/>
        <w:rPr>
          <w:rFonts w:cs="Times New Roman"/>
          <w:b/>
          <w:sz w:val="20"/>
          <w:szCs w:val="20"/>
          <w:lang w:val="fr-CA"/>
        </w:rPr>
      </w:pPr>
      <w:r w:rsidRPr="008847EB">
        <w:rPr>
          <w:rFonts w:cs="Times New Roman"/>
          <w:b/>
          <w:sz w:val="20"/>
          <w:szCs w:val="20"/>
          <w:lang w:val="fr-CA"/>
        </w:rPr>
        <w:t>IL EST PAR LA PRÉSENTE ORDONNÉ CE QUI SUIT :</w:t>
      </w:r>
    </w:p>
    <w:p w:rsidR="005358E0" w:rsidRPr="008847EB" w:rsidRDefault="005358E0" w:rsidP="005358E0">
      <w:pPr>
        <w:jc w:val="both"/>
        <w:rPr>
          <w:rFonts w:cs="Times New Roman"/>
          <w:sz w:val="20"/>
          <w:szCs w:val="20"/>
          <w:lang w:val="fr-CA"/>
        </w:rPr>
      </w:pPr>
    </w:p>
    <w:p w:rsidR="005358E0" w:rsidRPr="008847EB" w:rsidRDefault="005358E0" w:rsidP="005358E0">
      <w:pPr>
        <w:jc w:val="both"/>
        <w:rPr>
          <w:rFonts w:cs="Times New Roman"/>
          <w:sz w:val="20"/>
          <w:szCs w:val="20"/>
          <w:lang w:val="fr-CA"/>
        </w:rPr>
      </w:pPr>
      <w:r w:rsidRPr="008847EB">
        <w:rPr>
          <w:rFonts w:cs="Times New Roman"/>
          <w:sz w:val="20"/>
          <w:szCs w:val="20"/>
          <w:lang w:val="fr-CA"/>
        </w:rPr>
        <w:t>Le demandeur dispose de trente (30) jours à compter de la date de la présente ordonnance pour :</w:t>
      </w:r>
    </w:p>
    <w:p w:rsidR="005358E0" w:rsidRPr="008847EB" w:rsidRDefault="005358E0" w:rsidP="005358E0">
      <w:pPr>
        <w:jc w:val="both"/>
        <w:rPr>
          <w:rFonts w:cs="Times New Roman"/>
          <w:sz w:val="20"/>
          <w:szCs w:val="20"/>
          <w:lang w:val="fr-CA"/>
        </w:rPr>
      </w:pPr>
    </w:p>
    <w:p w:rsidR="005358E0" w:rsidRPr="008847EB" w:rsidRDefault="005358E0" w:rsidP="005358E0">
      <w:pPr>
        <w:pStyle w:val="ListParagraph"/>
        <w:numPr>
          <w:ilvl w:val="0"/>
          <w:numId w:val="13"/>
        </w:numPr>
        <w:jc w:val="both"/>
        <w:rPr>
          <w:rFonts w:cs="Times New Roman"/>
          <w:sz w:val="20"/>
          <w:szCs w:val="20"/>
          <w:lang w:val="fr-CA"/>
        </w:rPr>
      </w:pPr>
      <w:r w:rsidRPr="008847EB">
        <w:rPr>
          <w:rFonts w:cs="Times New Roman"/>
          <w:sz w:val="20"/>
          <w:szCs w:val="20"/>
          <w:lang w:val="fr-CA"/>
        </w:rPr>
        <w:t xml:space="preserve">signifier et déposer une requête en prorogation du délai pour signifier et déposer deux (2) demandes d’autorisation d’appel; </w:t>
      </w:r>
    </w:p>
    <w:p w:rsidR="005358E0" w:rsidRPr="008847EB" w:rsidRDefault="005358E0" w:rsidP="005358E0">
      <w:pPr>
        <w:ind w:left="360"/>
        <w:jc w:val="both"/>
        <w:rPr>
          <w:rFonts w:cs="Times New Roman"/>
          <w:sz w:val="20"/>
          <w:szCs w:val="20"/>
          <w:lang w:val="fr-CA"/>
        </w:rPr>
      </w:pPr>
    </w:p>
    <w:p w:rsidR="005358E0" w:rsidRPr="008847EB" w:rsidRDefault="005358E0" w:rsidP="005358E0">
      <w:pPr>
        <w:pStyle w:val="ListParagraph"/>
        <w:numPr>
          <w:ilvl w:val="0"/>
          <w:numId w:val="13"/>
        </w:numPr>
        <w:jc w:val="both"/>
        <w:rPr>
          <w:rFonts w:cs="Times New Roman"/>
          <w:sz w:val="20"/>
          <w:szCs w:val="20"/>
          <w:lang w:val="fr-CA"/>
        </w:rPr>
      </w:pPr>
      <w:r w:rsidRPr="008847EB">
        <w:rPr>
          <w:rFonts w:cs="Times New Roman"/>
          <w:sz w:val="20"/>
          <w:szCs w:val="20"/>
          <w:lang w:val="fr-CA"/>
        </w:rPr>
        <w:t xml:space="preserve">signifier et déposer des demandes d’autorisation d’appel complètes et conformes aux règles applicables; </w:t>
      </w:r>
    </w:p>
    <w:p w:rsidR="005358E0" w:rsidRPr="008847EB" w:rsidRDefault="005358E0" w:rsidP="005358E0">
      <w:pPr>
        <w:jc w:val="both"/>
        <w:rPr>
          <w:sz w:val="20"/>
          <w:szCs w:val="20"/>
          <w:lang w:val="fr-CA"/>
        </w:rPr>
      </w:pPr>
    </w:p>
    <w:p w:rsidR="005358E0" w:rsidRPr="008847EB" w:rsidRDefault="005358E0" w:rsidP="005358E0">
      <w:pPr>
        <w:jc w:val="both"/>
        <w:rPr>
          <w:sz w:val="20"/>
          <w:szCs w:val="20"/>
          <w:lang w:val="fr-CA"/>
        </w:rPr>
      </w:pPr>
      <w:r w:rsidRPr="008847EB">
        <w:rPr>
          <w:sz w:val="20"/>
          <w:szCs w:val="20"/>
          <w:lang w:val="fr-CA"/>
        </w:rPr>
        <w:t>Le demandeur est autorisé à signifier et à déposer tous les documents relatifs aux demandes d’autorisation d’appel en format électronique, en pièce jointe à un courriel, si la taille des fichiers le permet (moins de 15 mégaoctets (Mo), ou sur un CD/DVD-ROM.</w:t>
      </w:r>
    </w:p>
    <w:p w:rsidR="005358E0" w:rsidRPr="008847EB" w:rsidRDefault="005358E0" w:rsidP="005358E0">
      <w:pPr>
        <w:jc w:val="both"/>
        <w:rPr>
          <w:sz w:val="20"/>
          <w:szCs w:val="20"/>
          <w:lang w:val="fr-CA"/>
        </w:rPr>
      </w:pPr>
    </w:p>
    <w:p w:rsidR="005358E0" w:rsidRPr="008847EB" w:rsidRDefault="005358E0" w:rsidP="005358E0">
      <w:pPr>
        <w:jc w:val="both"/>
        <w:rPr>
          <w:sz w:val="20"/>
          <w:szCs w:val="20"/>
          <w:lang w:val="fr-CA"/>
        </w:rPr>
      </w:pPr>
      <w:r w:rsidRPr="008847EB">
        <w:rPr>
          <w:sz w:val="20"/>
          <w:szCs w:val="20"/>
          <w:lang w:val="fr-CA"/>
        </w:rPr>
        <w:t xml:space="preserve">Le demandeur doit se conformer aux exigences énoncées au </w:t>
      </w:r>
      <w:proofErr w:type="spellStart"/>
      <w:r w:rsidRPr="008847EB">
        <w:rPr>
          <w:sz w:val="20"/>
          <w:szCs w:val="20"/>
          <w:lang w:val="fr-CA"/>
        </w:rPr>
        <w:t>par</w:t>
      </w:r>
      <w:proofErr w:type="spellEnd"/>
      <w:r w:rsidRPr="008847EB">
        <w:rPr>
          <w:sz w:val="20"/>
          <w:szCs w:val="20"/>
          <w:lang w:val="fr-CA"/>
        </w:rPr>
        <w:t xml:space="preserve">. 40(1) de la </w:t>
      </w:r>
      <w:r w:rsidRPr="008847EB">
        <w:rPr>
          <w:i/>
          <w:sz w:val="20"/>
          <w:szCs w:val="20"/>
          <w:lang w:val="fr-CA"/>
        </w:rPr>
        <w:t>Loi sur la Cour suprême</w:t>
      </w:r>
      <w:r w:rsidRPr="008847EB">
        <w:rPr>
          <w:sz w:val="20"/>
          <w:szCs w:val="20"/>
          <w:lang w:val="fr-CA"/>
        </w:rPr>
        <w:t xml:space="preserve"> et à l’article 25 des </w:t>
      </w:r>
      <w:r w:rsidRPr="008847EB">
        <w:rPr>
          <w:i/>
          <w:sz w:val="20"/>
          <w:szCs w:val="20"/>
          <w:lang w:val="fr-CA"/>
        </w:rPr>
        <w:t>Règles de la Cour suprême du Canada</w:t>
      </w:r>
      <w:r w:rsidRPr="008847EB">
        <w:rPr>
          <w:sz w:val="20"/>
          <w:szCs w:val="20"/>
          <w:lang w:val="fr-CA"/>
        </w:rPr>
        <w:t>.</w:t>
      </w:r>
    </w:p>
    <w:p w:rsidR="005358E0" w:rsidRPr="008847EB" w:rsidRDefault="005358E0" w:rsidP="005358E0">
      <w:pPr>
        <w:jc w:val="both"/>
        <w:rPr>
          <w:sz w:val="20"/>
          <w:szCs w:val="20"/>
          <w:lang w:val="fr-CA"/>
        </w:rPr>
      </w:pPr>
    </w:p>
    <w:p w:rsidR="005358E0" w:rsidRPr="008847EB" w:rsidRDefault="005358E0" w:rsidP="005358E0">
      <w:pPr>
        <w:jc w:val="both"/>
        <w:rPr>
          <w:i/>
          <w:sz w:val="20"/>
          <w:szCs w:val="20"/>
          <w:lang w:val="fr-CA"/>
        </w:rPr>
      </w:pPr>
      <w:r w:rsidRPr="008847EB">
        <w:rPr>
          <w:sz w:val="20"/>
          <w:szCs w:val="20"/>
          <w:lang w:val="fr-CA"/>
        </w:rPr>
        <w:t xml:space="preserve">À moins qu’il n’en soit ordonné autrement dans la présente ordonnance, toutes les exigences prévues dans les </w:t>
      </w:r>
      <w:r w:rsidRPr="008847EB">
        <w:rPr>
          <w:i/>
          <w:sz w:val="20"/>
          <w:szCs w:val="20"/>
          <w:lang w:val="fr-CA"/>
        </w:rPr>
        <w:t>Règles de la Cour suprême du Canada</w:t>
      </w:r>
      <w:r w:rsidRPr="008847EB">
        <w:rPr>
          <w:sz w:val="20"/>
          <w:szCs w:val="20"/>
          <w:lang w:val="fr-CA"/>
        </w:rPr>
        <w:t xml:space="preserve"> en matière de signification et de dépôt continuent de s’appliquer aux présentes procédures</w:t>
      </w:r>
      <w:r w:rsidRPr="008847EB">
        <w:rPr>
          <w:i/>
          <w:sz w:val="20"/>
          <w:szCs w:val="20"/>
          <w:lang w:val="fr-CA"/>
        </w:rPr>
        <w:t xml:space="preserve">. </w:t>
      </w:r>
    </w:p>
    <w:p w:rsidR="005358E0" w:rsidRPr="008847EB" w:rsidRDefault="005358E0" w:rsidP="005358E0">
      <w:pPr>
        <w:jc w:val="both"/>
        <w:rPr>
          <w:sz w:val="20"/>
          <w:szCs w:val="20"/>
          <w:lang w:val="fr-CA"/>
        </w:rPr>
      </w:pPr>
    </w:p>
    <w:p w:rsidR="005358E0" w:rsidRPr="008847EB" w:rsidRDefault="005358E0" w:rsidP="005358E0">
      <w:pPr>
        <w:jc w:val="both"/>
        <w:rPr>
          <w:sz w:val="20"/>
          <w:szCs w:val="20"/>
          <w:lang w:val="fr-CA"/>
        </w:rPr>
      </w:pPr>
      <w:r w:rsidRPr="008847EB">
        <w:rPr>
          <w:sz w:val="20"/>
          <w:szCs w:val="20"/>
          <w:lang w:val="fr-CA"/>
        </w:rPr>
        <w:t>Quant aux autres éléments, la demande est rejetée sans dépens.</w:t>
      </w:r>
    </w:p>
    <w:p w:rsidR="00102792" w:rsidRPr="008847EB" w:rsidRDefault="00102792" w:rsidP="00102792">
      <w:pPr>
        <w:spacing w:line="232" w:lineRule="auto"/>
        <w:rPr>
          <w:rFonts w:cs="Times New Roman"/>
          <w:sz w:val="20"/>
          <w:lang w:val="fr-CA"/>
        </w:rPr>
      </w:pPr>
    </w:p>
    <w:p w:rsidR="00102792" w:rsidRPr="008847EB" w:rsidRDefault="0011194E"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CA2DEA" w:rsidRPr="008847EB" w:rsidRDefault="00CA2DEA" w:rsidP="0010587F">
      <w:pPr>
        <w:tabs>
          <w:tab w:val="left" w:pos="-1440"/>
          <w:tab w:val="left" w:pos="-720"/>
        </w:tabs>
        <w:jc w:val="both"/>
        <w:rPr>
          <w:sz w:val="20"/>
          <w:szCs w:val="20"/>
          <w:lang w:val="fr-CA"/>
        </w:rPr>
      </w:pPr>
    </w:p>
    <w:p w:rsidR="00890FEB" w:rsidRPr="008847EB" w:rsidRDefault="00890FEB" w:rsidP="00831CA9">
      <w:pPr>
        <w:jc w:val="both"/>
        <w:rPr>
          <w:sz w:val="20"/>
          <w:szCs w:val="20"/>
          <w:lang w:val="fr-CA"/>
        </w:rPr>
      </w:pPr>
    </w:p>
    <w:p w:rsidR="00831CA9" w:rsidRPr="008847EB" w:rsidRDefault="00831CA9" w:rsidP="00831CA9">
      <w:pPr>
        <w:jc w:val="both"/>
        <w:rPr>
          <w:sz w:val="20"/>
          <w:szCs w:val="20"/>
          <w:lang w:val="fr-CA"/>
        </w:rPr>
        <w:sectPr w:rsidR="00831CA9" w:rsidRPr="008847EB"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p w:rsidR="00567602" w:rsidRPr="008847EB" w:rsidRDefault="001434B9" w:rsidP="00567602">
      <w:pPr>
        <w:pStyle w:val="Header1StyleE"/>
        <w:pBdr>
          <w:bottom w:val="single" w:sz="12" w:space="1" w:color="auto"/>
        </w:pBdr>
        <w:rPr>
          <w:sz w:val="20"/>
          <w:lang w:val="en-US"/>
        </w:rPr>
      </w:pPr>
      <w:bookmarkStart w:id="7" w:name="_Toc24980676"/>
      <w:r w:rsidRPr="008847EB">
        <w:lastRenderedPageBreak/>
        <w:t>Notices of appeal filed since the last issue</w:t>
      </w:r>
      <w:r w:rsidR="00271E1E" w:rsidRPr="008847EB">
        <w:t xml:space="preserve"> / </w:t>
      </w:r>
      <w:r w:rsidR="00567602" w:rsidRPr="008847EB">
        <w:br/>
      </w:r>
      <w:r w:rsidRPr="008847EB">
        <w:rPr>
          <w:lang w:val="fr-CA"/>
        </w:rPr>
        <w:t>Avis d’appel déposés depuis la dernière parution</w:t>
      </w:r>
      <w:bookmarkEnd w:id="7"/>
    </w:p>
    <w:p w:rsidR="00FB1DB6" w:rsidRPr="008847EB"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8847EB" w:rsidTr="005F1ED8">
        <w:trPr>
          <w:cantSplit/>
        </w:trPr>
        <w:tc>
          <w:tcPr>
            <w:tcW w:w="2206" w:type="pct"/>
            <w:tcMar>
              <w:left w:w="0" w:type="dxa"/>
              <w:right w:w="0" w:type="dxa"/>
            </w:tcMar>
          </w:tcPr>
          <w:p w:rsidR="0086340B" w:rsidRPr="008847EB" w:rsidRDefault="003E5455" w:rsidP="005F1ED8">
            <w:pPr>
              <w:rPr>
                <w:sz w:val="20"/>
                <w:szCs w:val="20"/>
              </w:rPr>
            </w:pPr>
            <w:r w:rsidRPr="008847EB">
              <w:rPr>
                <w:sz w:val="20"/>
                <w:szCs w:val="20"/>
              </w:rPr>
              <w:t>November</w:t>
            </w:r>
            <w:r w:rsidR="008859F1" w:rsidRPr="008847EB">
              <w:rPr>
                <w:sz w:val="20"/>
                <w:szCs w:val="20"/>
              </w:rPr>
              <w:t xml:space="preserve"> 7, 2019</w:t>
            </w:r>
          </w:p>
          <w:p w:rsidR="0034657E" w:rsidRPr="008847EB" w:rsidRDefault="0034657E" w:rsidP="005F1ED8">
            <w:pPr>
              <w:rPr>
                <w:sz w:val="20"/>
                <w:szCs w:val="20"/>
              </w:rPr>
            </w:pPr>
          </w:p>
          <w:p w:rsidR="0086340B" w:rsidRPr="008847EB" w:rsidRDefault="003E5455" w:rsidP="005F1ED8">
            <w:pPr>
              <w:rPr>
                <w:b/>
                <w:sz w:val="20"/>
                <w:szCs w:val="20"/>
              </w:rPr>
            </w:pPr>
            <w:r w:rsidRPr="008847EB">
              <w:rPr>
                <w:b/>
                <w:sz w:val="20"/>
                <w:szCs w:val="20"/>
              </w:rPr>
              <w:t>Her Majesty the Queen</w:t>
            </w:r>
          </w:p>
          <w:p w:rsidR="0086340B" w:rsidRPr="008847EB" w:rsidRDefault="0086340B" w:rsidP="005F1ED8">
            <w:pPr>
              <w:rPr>
                <w:b/>
                <w:sz w:val="20"/>
                <w:szCs w:val="20"/>
              </w:rPr>
            </w:pPr>
          </w:p>
          <w:p w:rsidR="0086340B" w:rsidRPr="008847EB" w:rsidRDefault="0086340B" w:rsidP="005F1ED8">
            <w:pPr>
              <w:rPr>
                <w:b/>
                <w:sz w:val="20"/>
                <w:szCs w:val="20"/>
              </w:rPr>
            </w:pPr>
            <w:r w:rsidRPr="008847EB">
              <w:rPr>
                <w:b/>
                <w:sz w:val="20"/>
                <w:szCs w:val="20"/>
              </w:rPr>
              <w:tab/>
              <w:t>v. (3</w:t>
            </w:r>
            <w:r w:rsidR="003E5455" w:rsidRPr="008847EB">
              <w:rPr>
                <w:b/>
                <w:sz w:val="20"/>
                <w:szCs w:val="20"/>
              </w:rPr>
              <w:t>8870</w:t>
            </w:r>
            <w:r w:rsidRPr="008847EB">
              <w:rPr>
                <w:b/>
                <w:sz w:val="20"/>
                <w:szCs w:val="20"/>
              </w:rPr>
              <w:t>)</w:t>
            </w:r>
          </w:p>
          <w:p w:rsidR="0086340B" w:rsidRPr="008847EB" w:rsidRDefault="0086340B" w:rsidP="005F1ED8">
            <w:pPr>
              <w:rPr>
                <w:b/>
                <w:sz w:val="20"/>
                <w:szCs w:val="20"/>
              </w:rPr>
            </w:pPr>
          </w:p>
          <w:p w:rsidR="0086340B" w:rsidRPr="008847EB" w:rsidRDefault="003E5455" w:rsidP="005F1ED8">
            <w:pPr>
              <w:rPr>
                <w:b/>
                <w:sz w:val="20"/>
                <w:szCs w:val="20"/>
              </w:rPr>
            </w:pPr>
            <w:r w:rsidRPr="008847EB">
              <w:rPr>
                <w:b/>
                <w:sz w:val="20"/>
                <w:szCs w:val="20"/>
              </w:rPr>
              <w:t xml:space="preserve">Thomas </w:t>
            </w:r>
            <w:proofErr w:type="spellStart"/>
            <w:r w:rsidRPr="008847EB">
              <w:rPr>
                <w:b/>
                <w:sz w:val="20"/>
                <w:szCs w:val="20"/>
              </w:rPr>
              <w:t>Slatter</w:t>
            </w:r>
            <w:proofErr w:type="spellEnd"/>
            <w:r w:rsidRPr="008847EB">
              <w:rPr>
                <w:b/>
                <w:sz w:val="20"/>
                <w:szCs w:val="20"/>
              </w:rPr>
              <w:t xml:space="preserve"> </w:t>
            </w:r>
            <w:r w:rsidR="0086340B" w:rsidRPr="008847EB">
              <w:rPr>
                <w:b/>
                <w:sz w:val="20"/>
                <w:szCs w:val="20"/>
              </w:rPr>
              <w:t>(</w:t>
            </w:r>
            <w:r w:rsidRPr="008847EB">
              <w:rPr>
                <w:b/>
                <w:sz w:val="20"/>
                <w:szCs w:val="20"/>
              </w:rPr>
              <w:t>Ont</w:t>
            </w:r>
            <w:r w:rsidR="0086340B" w:rsidRPr="008847EB">
              <w:rPr>
                <w:b/>
                <w:sz w:val="20"/>
                <w:szCs w:val="20"/>
              </w:rPr>
              <w:t>.)</w:t>
            </w:r>
          </w:p>
          <w:p w:rsidR="0086340B" w:rsidRPr="008847EB" w:rsidRDefault="0086340B" w:rsidP="005F1ED8">
            <w:pPr>
              <w:rPr>
                <w:sz w:val="20"/>
                <w:szCs w:val="20"/>
              </w:rPr>
            </w:pPr>
          </w:p>
          <w:p w:rsidR="0086340B" w:rsidRPr="008847EB" w:rsidRDefault="0086340B" w:rsidP="005F1ED8">
            <w:pPr>
              <w:rPr>
                <w:sz w:val="20"/>
                <w:szCs w:val="20"/>
              </w:rPr>
            </w:pPr>
            <w:r w:rsidRPr="008847EB">
              <w:rPr>
                <w:sz w:val="20"/>
                <w:szCs w:val="20"/>
              </w:rPr>
              <w:t>(</w:t>
            </w:r>
            <w:r w:rsidR="003E5455" w:rsidRPr="008847EB">
              <w:rPr>
                <w:sz w:val="20"/>
                <w:szCs w:val="20"/>
              </w:rPr>
              <w:t>As of Right</w:t>
            </w:r>
            <w:r w:rsidRPr="008847EB">
              <w:rPr>
                <w:sz w:val="20"/>
                <w:szCs w:val="20"/>
              </w:rPr>
              <w:t>)</w:t>
            </w:r>
          </w:p>
          <w:p w:rsidR="0086340B" w:rsidRDefault="0086340B" w:rsidP="005F1ED8">
            <w:pPr>
              <w:rPr>
                <w:sz w:val="20"/>
                <w:szCs w:val="20"/>
              </w:rPr>
            </w:pPr>
          </w:p>
          <w:p w:rsidR="00B7722E" w:rsidRPr="008847EB" w:rsidRDefault="0011194E" w:rsidP="005F1ED8">
            <w:pPr>
              <w:rPr>
                <w:sz w:val="20"/>
                <w:szCs w:val="20"/>
              </w:rPr>
            </w:pPr>
            <w:r>
              <w:rPr>
                <w:sz w:val="20"/>
                <w:szCs w:val="20"/>
                <w:lang w:val="fr-CA"/>
              </w:rPr>
              <w:pict>
                <v:rect id="_x0000_i1052" style="width:108pt;height:1pt" o:hrpct="0" o:hralign="center" o:hrstd="t" o:hrnoshade="t" o:hr="t" fillcolor="black [3213]" stroked="f"/>
              </w:pict>
            </w:r>
          </w:p>
          <w:p w:rsidR="0086340B" w:rsidRPr="00B7722E" w:rsidRDefault="0086340B" w:rsidP="005F1ED8">
            <w:pPr>
              <w:rPr>
                <w:sz w:val="20"/>
                <w:szCs w:val="20"/>
                <w:lang w:val="en-US"/>
              </w:rPr>
            </w:pPr>
          </w:p>
        </w:tc>
        <w:tc>
          <w:tcPr>
            <w:tcW w:w="588" w:type="pct"/>
          </w:tcPr>
          <w:p w:rsidR="0086340B" w:rsidRPr="008847EB" w:rsidRDefault="0086340B" w:rsidP="005F1ED8">
            <w:pPr>
              <w:jc w:val="center"/>
              <w:rPr>
                <w:sz w:val="20"/>
                <w:szCs w:val="20"/>
              </w:rPr>
            </w:pPr>
          </w:p>
          <w:p w:rsidR="0086340B" w:rsidRPr="008847EB" w:rsidRDefault="0086340B" w:rsidP="005F1ED8">
            <w:pPr>
              <w:jc w:val="center"/>
              <w:rPr>
                <w:sz w:val="20"/>
                <w:szCs w:val="20"/>
              </w:rPr>
            </w:pPr>
          </w:p>
          <w:p w:rsidR="0086340B" w:rsidRPr="008847EB" w:rsidRDefault="0086340B" w:rsidP="005F1ED8">
            <w:pPr>
              <w:jc w:val="center"/>
              <w:rPr>
                <w:sz w:val="20"/>
                <w:szCs w:val="20"/>
              </w:rPr>
            </w:pPr>
          </w:p>
          <w:p w:rsidR="0086340B" w:rsidRPr="008847EB" w:rsidRDefault="0086340B" w:rsidP="005F1ED8">
            <w:pPr>
              <w:jc w:val="center"/>
              <w:rPr>
                <w:sz w:val="20"/>
                <w:szCs w:val="20"/>
              </w:rPr>
            </w:pPr>
          </w:p>
          <w:p w:rsidR="0086340B" w:rsidRPr="008847EB" w:rsidRDefault="0086340B" w:rsidP="005F1ED8">
            <w:pPr>
              <w:jc w:val="center"/>
              <w:rPr>
                <w:sz w:val="20"/>
                <w:szCs w:val="20"/>
              </w:rPr>
            </w:pPr>
          </w:p>
          <w:p w:rsidR="0086340B" w:rsidRPr="008847EB" w:rsidRDefault="0086340B" w:rsidP="005F1ED8">
            <w:pPr>
              <w:jc w:val="center"/>
              <w:rPr>
                <w:sz w:val="20"/>
                <w:szCs w:val="20"/>
              </w:rPr>
            </w:pPr>
          </w:p>
          <w:p w:rsidR="0086340B" w:rsidRPr="008847EB" w:rsidRDefault="0086340B" w:rsidP="005F1ED8">
            <w:pPr>
              <w:jc w:val="center"/>
              <w:rPr>
                <w:sz w:val="20"/>
                <w:szCs w:val="20"/>
              </w:rPr>
            </w:pPr>
          </w:p>
          <w:p w:rsidR="0086340B" w:rsidRPr="008847EB" w:rsidRDefault="0086340B" w:rsidP="005F1ED8">
            <w:pPr>
              <w:jc w:val="center"/>
              <w:rPr>
                <w:sz w:val="20"/>
                <w:szCs w:val="20"/>
              </w:rPr>
            </w:pPr>
          </w:p>
          <w:p w:rsidR="0086340B" w:rsidRPr="008847EB" w:rsidRDefault="0086340B" w:rsidP="005F1ED8">
            <w:pPr>
              <w:jc w:val="center"/>
              <w:rPr>
                <w:sz w:val="20"/>
                <w:szCs w:val="20"/>
              </w:rPr>
            </w:pPr>
          </w:p>
          <w:p w:rsidR="0086340B" w:rsidRPr="008847EB" w:rsidRDefault="0086340B" w:rsidP="005F1ED8">
            <w:pPr>
              <w:jc w:val="center"/>
              <w:rPr>
                <w:sz w:val="20"/>
                <w:szCs w:val="20"/>
              </w:rPr>
            </w:pPr>
          </w:p>
          <w:p w:rsidR="0086340B" w:rsidRPr="008847EB" w:rsidRDefault="0086340B" w:rsidP="005F1ED8">
            <w:pPr>
              <w:jc w:val="center"/>
              <w:rPr>
                <w:sz w:val="20"/>
                <w:szCs w:val="20"/>
              </w:rPr>
            </w:pPr>
          </w:p>
          <w:p w:rsidR="0086340B" w:rsidRPr="008847EB" w:rsidRDefault="0086340B" w:rsidP="005F1ED8">
            <w:pPr>
              <w:jc w:val="center"/>
              <w:rPr>
                <w:sz w:val="20"/>
                <w:szCs w:val="20"/>
              </w:rPr>
            </w:pPr>
          </w:p>
        </w:tc>
        <w:tc>
          <w:tcPr>
            <w:tcW w:w="2206" w:type="pct"/>
          </w:tcPr>
          <w:p w:rsidR="0086340B" w:rsidRPr="008847EB" w:rsidRDefault="0086340B" w:rsidP="005F1ED8">
            <w:pPr>
              <w:rPr>
                <w:sz w:val="20"/>
                <w:szCs w:val="20"/>
              </w:rPr>
            </w:pPr>
          </w:p>
        </w:tc>
      </w:tr>
    </w:tbl>
    <w:p w:rsidR="008277C4" w:rsidRPr="008847EB" w:rsidRDefault="008277C4" w:rsidP="00F40249">
      <w:pPr>
        <w:rPr>
          <w:sz w:val="20"/>
          <w:szCs w:val="20"/>
        </w:rPr>
      </w:pPr>
    </w:p>
    <w:p w:rsidR="00F40249" w:rsidRPr="008847EB" w:rsidRDefault="00F40249" w:rsidP="00F40249">
      <w:pPr>
        <w:rPr>
          <w:sz w:val="20"/>
          <w:szCs w:val="20"/>
        </w:rPr>
      </w:pPr>
    </w:p>
    <w:p w:rsidR="0010587F" w:rsidRPr="008847EB" w:rsidRDefault="0010587F" w:rsidP="00F40249">
      <w:pPr>
        <w:rPr>
          <w:sz w:val="20"/>
          <w:szCs w:val="20"/>
        </w:rPr>
      </w:pPr>
    </w:p>
    <w:p w:rsidR="00EB2B90" w:rsidRPr="008847EB" w:rsidRDefault="00EB2B90" w:rsidP="00F40249">
      <w:pPr>
        <w:rPr>
          <w:sz w:val="20"/>
          <w:szCs w:val="20"/>
        </w:rPr>
        <w:sectPr w:rsidR="00EB2B90" w:rsidRPr="008847EB"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567602" w:rsidRPr="008847EB" w:rsidRDefault="001434B9" w:rsidP="00567602">
      <w:pPr>
        <w:pStyle w:val="Header1StyleE"/>
        <w:pBdr>
          <w:bottom w:val="single" w:sz="12" w:space="1" w:color="auto"/>
        </w:pBdr>
        <w:rPr>
          <w:lang w:val="fr-CA"/>
        </w:rPr>
      </w:pPr>
      <w:bookmarkStart w:id="8" w:name="_Toc24980677"/>
      <w:r w:rsidRPr="008847EB">
        <w:rPr>
          <w:lang w:val="fr-CA"/>
        </w:rPr>
        <w:lastRenderedPageBreak/>
        <w:t>Notices of discontinuance filed since the last issue</w:t>
      </w:r>
      <w:r w:rsidR="00271E1E" w:rsidRPr="008847EB">
        <w:rPr>
          <w:lang w:val="fr-CA"/>
        </w:rPr>
        <w:t xml:space="preserve"> / </w:t>
      </w:r>
      <w:r w:rsidR="00567602" w:rsidRPr="008847EB">
        <w:rPr>
          <w:lang w:val="fr-CA"/>
        </w:rPr>
        <w:br/>
      </w:r>
      <w:r w:rsidRPr="008847EB">
        <w:rPr>
          <w:lang w:val="fr-CA"/>
        </w:rPr>
        <w:t>Avis de désistement déposés depuis la dernière parution</w:t>
      </w:r>
      <w:bookmarkEnd w:id="8"/>
    </w:p>
    <w:p w:rsidR="00BB15A8" w:rsidRPr="008847EB" w:rsidRDefault="00BB15A8" w:rsidP="00567602">
      <w:pPr>
        <w:rPr>
          <w:b/>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8847EB" w:rsidTr="00E8544A">
        <w:trPr>
          <w:cantSplit/>
        </w:trPr>
        <w:tc>
          <w:tcPr>
            <w:tcW w:w="4251" w:type="dxa"/>
            <w:shd w:val="clear" w:color="auto" w:fill="auto"/>
          </w:tcPr>
          <w:p w:rsidR="00C1697B" w:rsidRPr="008847EB" w:rsidRDefault="00AB5672" w:rsidP="00C1697B">
            <w:pPr>
              <w:rPr>
                <w:sz w:val="20"/>
                <w:szCs w:val="20"/>
              </w:rPr>
            </w:pPr>
            <w:r w:rsidRPr="008847EB">
              <w:rPr>
                <w:sz w:val="20"/>
                <w:szCs w:val="20"/>
              </w:rPr>
              <w:t>November</w:t>
            </w:r>
            <w:r w:rsidR="00717608" w:rsidRPr="008847EB">
              <w:rPr>
                <w:sz w:val="20"/>
                <w:szCs w:val="20"/>
              </w:rPr>
              <w:t xml:space="preserve"> 1</w:t>
            </w:r>
            <w:r w:rsidRPr="008847EB">
              <w:rPr>
                <w:sz w:val="20"/>
                <w:szCs w:val="20"/>
              </w:rPr>
              <w:t>5</w:t>
            </w:r>
            <w:r w:rsidR="00717608" w:rsidRPr="008847EB">
              <w:rPr>
                <w:sz w:val="20"/>
                <w:szCs w:val="20"/>
              </w:rPr>
              <w:t>, 2019</w:t>
            </w:r>
          </w:p>
          <w:p w:rsidR="00C1697B" w:rsidRPr="008847EB" w:rsidRDefault="00C1697B" w:rsidP="00C1697B">
            <w:pPr>
              <w:rPr>
                <w:sz w:val="20"/>
                <w:szCs w:val="20"/>
              </w:rPr>
            </w:pPr>
          </w:p>
          <w:p w:rsidR="00C1697B" w:rsidRPr="008847EB" w:rsidRDefault="00AB5672" w:rsidP="00C1697B">
            <w:pPr>
              <w:rPr>
                <w:b/>
                <w:sz w:val="20"/>
                <w:szCs w:val="20"/>
              </w:rPr>
            </w:pPr>
            <w:r w:rsidRPr="008847EB">
              <w:rPr>
                <w:b/>
                <w:sz w:val="20"/>
                <w:szCs w:val="20"/>
              </w:rPr>
              <w:t>Glacier Resorts Ltd.</w:t>
            </w:r>
          </w:p>
          <w:p w:rsidR="00C1697B" w:rsidRPr="008847EB" w:rsidRDefault="00C1697B" w:rsidP="00C1697B">
            <w:pPr>
              <w:rPr>
                <w:b/>
                <w:sz w:val="20"/>
                <w:szCs w:val="20"/>
              </w:rPr>
            </w:pPr>
          </w:p>
          <w:p w:rsidR="00C1697B" w:rsidRPr="008847EB" w:rsidRDefault="00C1697B" w:rsidP="00C1697B">
            <w:pPr>
              <w:rPr>
                <w:b/>
                <w:sz w:val="20"/>
                <w:szCs w:val="20"/>
              </w:rPr>
            </w:pPr>
            <w:r w:rsidRPr="008847EB">
              <w:rPr>
                <w:b/>
                <w:sz w:val="20"/>
                <w:szCs w:val="20"/>
              </w:rPr>
              <w:tab/>
              <w:t>v. (3</w:t>
            </w:r>
            <w:r w:rsidR="00AB5672" w:rsidRPr="008847EB">
              <w:rPr>
                <w:b/>
                <w:sz w:val="20"/>
                <w:szCs w:val="20"/>
              </w:rPr>
              <w:t>8848</w:t>
            </w:r>
            <w:r w:rsidRPr="008847EB">
              <w:rPr>
                <w:b/>
                <w:sz w:val="20"/>
                <w:szCs w:val="20"/>
              </w:rPr>
              <w:t>)</w:t>
            </w:r>
          </w:p>
          <w:p w:rsidR="00C1697B" w:rsidRPr="008847EB" w:rsidRDefault="00C1697B" w:rsidP="00C1697B">
            <w:pPr>
              <w:rPr>
                <w:b/>
                <w:sz w:val="20"/>
                <w:szCs w:val="20"/>
              </w:rPr>
            </w:pPr>
          </w:p>
          <w:p w:rsidR="00C1697B" w:rsidRPr="008847EB" w:rsidRDefault="00AB5672" w:rsidP="00C1697B">
            <w:pPr>
              <w:rPr>
                <w:b/>
                <w:sz w:val="20"/>
                <w:szCs w:val="20"/>
              </w:rPr>
            </w:pPr>
            <w:r w:rsidRPr="008847EB">
              <w:rPr>
                <w:b/>
                <w:sz w:val="20"/>
                <w:szCs w:val="20"/>
              </w:rPr>
              <w:t xml:space="preserve">Minister of Environment </w:t>
            </w:r>
            <w:r w:rsidR="00C1697B" w:rsidRPr="008847EB">
              <w:rPr>
                <w:b/>
                <w:sz w:val="20"/>
                <w:szCs w:val="20"/>
              </w:rPr>
              <w:t>(</w:t>
            </w:r>
            <w:r w:rsidRPr="008847EB">
              <w:rPr>
                <w:b/>
                <w:sz w:val="20"/>
                <w:szCs w:val="20"/>
              </w:rPr>
              <w:t>B.C</w:t>
            </w:r>
            <w:r w:rsidR="00C1697B" w:rsidRPr="008847EB">
              <w:rPr>
                <w:b/>
                <w:sz w:val="20"/>
                <w:szCs w:val="20"/>
              </w:rPr>
              <w:t xml:space="preserve">.) </w:t>
            </w:r>
          </w:p>
          <w:p w:rsidR="00C1697B" w:rsidRPr="008847EB" w:rsidRDefault="00C1697B" w:rsidP="00C1697B">
            <w:pPr>
              <w:rPr>
                <w:sz w:val="20"/>
                <w:szCs w:val="20"/>
              </w:rPr>
            </w:pPr>
          </w:p>
          <w:p w:rsidR="00C1697B" w:rsidRPr="008847EB" w:rsidRDefault="00C1697B" w:rsidP="00C1697B">
            <w:pPr>
              <w:rPr>
                <w:sz w:val="20"/>
                <w:szCs w:val="20"/>
              </w:rPr>
            </w:pPr>
            <w:r w:rsidRPr="008847EB">
              <w:rPr>
                <w:sz w:val="20"/>
                <w:szCs w:val="20"/>
              </w:rPr>
              <w:t>(By Leave)</w:t>
            </w:r>
          </w:p>
          <w:p w:rsidR="00802863" w:rsidRPr="008847EB" w:rsidRDefault="00802863" w:rsidP="00697C62">
            <w:pPr>
              <w:rPr>
                <w:sz w:val="20"/>
                <w:szCs w:val="20"/>
              </w:rPr>
            </w:pPr>
          </w:p>
          <w:p w:rsidR="00802863" w:rsidRPr="008847EB" w:rsidRDefault="0011194E" w:rsidP="00697C62">
            <w:pPr>
              <w:rPr>
                <w:sz w:val="20"/>
                <w:szCs w:val="20"/>
                <w:lang w:val="fr-CA"/>
              </w:rPr>
            </w:pPr>
            <w:r>
              <w:rPr>
                <w:sz w:val="20"/>
                <w:szCs w:val="20"/>
                <w:lang w:val="fr-CA"/>
              </w:rPr>
              <w:pict>
                <v:rect id="_x0000_i1055" style="width:108pt;height:1pt" o:hrpct="0" o:hralign="center" o:hrstd="t" o:hrnoshade="t" o:hr="t" fillcolor="black [3213]" stroked="f"/>
              </w:pict>
            </w:r>
          </w:p>
        </w:tc>
        <w:tc>
          <w:tcPr>
            <w:tcW w:w="1042" w:type="dxa"/>
            <w:shd w:val="clear" w:color="auto" w:fill="auto"/>
          </w:tcPr>
          <w:p w:rsidR="00802863" w:rsidRPr="008847EB" w:rsidRDefault="00802863" w:rsidP="00802863">
            <w:pPr>
              <w:jc w:val="center"/>
              <w:rPr>
                <w:sz w:val="20"/>
                <w:szCs w:val="20"/>
                <w:lang w:val="fr-CA"/>
              </w:rPr>
            </w:pPr>
          </w:p>
          <w:p w:rsidR="003B3977" w:rsidRPr="008847EB" w:rsidRDefault="003B3977" w:rsidP="00802863">
            <w:pPr>
              <w:jc w:val="center"/>
              <w:rPr>
                <w:sz w:val="20"/>
                <w:szCs w:val="20"/>
                <w:lang w:val="fr-CA"/>
              </w:rPr>
            </w:pPr>
          </w:p>
          <w:p w:rsidR="003B3977" w:rsidRPr="008847EB" w:rsidRDefault="003B3977" w:rsidP="00802863">
            <w:pPr>
              <w:jc w:val="center"/>
              <w:rPr>
                <w:sz w:val="20"/>
                <w:szCs w:val="20"/>
                <w:lang w:val="fr-CA"/>
              </w:rPr>
            </w:pPr>
          </w:p>
          <w:p w:rsidR="003B3977" w:rsidRPr="008847EB" w:rsidRDefault="003B3977" w:rsidP="00802863">
            <w:pPr>
              <w:jc w:val="center"/>
              <w:rPr>
                <w:sz w:val="20"/>
                <w:szCs w:val="20"/>
                <w:lang w:val="fr-CA"/>
              </w:rPr>
            </w:pPr>
          </w:p>
          <w:p w:rsidR="003B3977" w:rsidRPr="008847EB" w:rsidRDefault="003B3977" w:rsidP="00802863">
            <w:pPr>
              <w:jc w:val="center"/>
              <w:rPr>
                <w:sz w:val="20"/>
                <w:szCs w:val="20"/>
                <w:lang w:val="fr-CA"/>
              </w:rPr>
            </w:pPr>
          </w:p>
          <w:p w:rsidR="003B3977" w:rsidRPr="008847EB" w:rsidRDefault="003B3977" w:rsidP="00802863">
            <w:pPr>
              <w:jc w:val="center"/>
              <w:rPr>
                <w:sz w:val="20"/>
                <w:szCs w:val="20"/>
                <w:lang w:val="fr-CA"/>
              </w:rPr>
            </w:pPr>
          </w:p>
          <w:p w:rsidR="003B3977" w:rsidRPr="008847EB" w:rsidRDefault="003B3977" w:rsidP="00802863">
            <w:pPr>
              <w:jc w:val="center"/>
              <w:rPr>
                <w:sz w:val="20"/>
                <w:szCs w:val="20"/>
                <w:lang w:val="fr-CA"/>
              </w:rPr>
            </w:pPr>
          </w:p>
          <w:p w:rsidR="003B3977" w:rsidRPr="008847EB" w:rsidRDefault="003B3977" w:rsidP="00802863">
            <w:pPr>
              <w:jc w:val="center"/>
              <w:rPr>
                <w:sz w:val="20"/>
                <w:szCs w:val="20"/>
                <w:lang w:val="fr-CA"/>
              </w:rPr>
            </w:pPr>
          </w:p>
          <w:p w:rsidR="003B3977" w:rsidRPr="008847EB" w:rsidRDefault="003B3977" w:rsidP="00802863">
            <w:pPr>
              <w:jc w:val="center"/>
              <w:rPr>
                <w:sz w:val="20"/>
                <w:szCs w:val="20"/>
                <w:lang w:val="fr-CA"/>
              </w:rPr>
            </w:pPr>
          </w:p>
          <w:p w:rsidR="003B3977" w:rsidRPr="008847EB" w:rsidRDefault="003B3977" w:rsidP="00802863">
            <w:pPr>
              <w:jc w:val="center"/>
              <w:rPr>
                <w:sz w:val="20"/>
                <w:szCs w:val="20"/>
                <w:lang w:val="fr-CA"/>
              </w:rPr>
            </w:pPr>
          </w:p>
          <w:p w:rsidR="003B3977" w:rsidRPr="008847EB" w:rsidRDefault="003B3977" w:rsidP="00802863">
            <w:pPr>
              <w:jc w:val="center"/>
              <w:rPr>
                <w:sz w:val="20"/>
                <w:szCs w:val="20"/>
                <w:lang w:val="fr-CA"/>
              </w:rPr>
            </w:pPr>
          </w:p>
          <w:p w:rsidR="003B3977" w:rsidRPr="008847EB" w:rsidRDefault="003B3977" w:rsidP="00802863">
            <w:pPr>
              <w:jc w:val="center"/>
              <w:rPr>
                <w:sz w:val="20"/>
                <w:szCs w:val="20"/>
                <w:lang w:val="fr-CA"/>
              </w:rPr>
            </w:pPr>
          </w:p>
        </w:tc>
        <w:tc>
          <w:tcPr>
            <w:tcW w:w="4326" w:type="dxa"/>
            <w:shd w:val="clear" w:color="auto" w:fill="auto"/>
          </w:tcPr>
          <w:p w:rsidR="00802863" w:rsidRPr="008847EB" w:rsidRDefault="00802863" w:rsidP="00802863">
            <w:pPr>
              <w:rPr>
                <w:sz w:val="20"/>
                <w:szCs w:val="20"/>
                <w:lang w:val="fr-CA"/>
              </w:rPr>
            </w:pPr>
          </w:p>
        </w:tc>
      </w:tr>
    </w:tbl>
    <w:p w:rsidR="00802863" w:rsidRPr="008847EB" w:rsidRDefault="00802863" w:rsidP="00802863">
      <w:pPr>
        <w:rPr>
          <w:sz w:val="20"/>
          <w:szCs w:val="20"/>
          <w:lang w:val="fr-CA"/>
        </w:rPr>
      </w:pPr>
    </w:p>
    <w:p w:rsidR="00E8544A" w:rsidRPr="008847EB" w:rsidRDefault="00E8544A" w:rsidP="00802863">
      <w:pPr>
        <w:rPr>
          <w:sz w:val="20"/>
          <w:szCs w:val="20"/>
          <w:lang w:val="fr-CA"/>
        </w:rPr>
      </w:pPr>
    </w:p>
    <w:p w:rsidR="00D94028" w:rsidRPr="008847EB" w:rsidRDefault="00D94028" w:rsidP="00802863">
      <w:pPr>
        <w:rPr>
          <w:sz w:val="20"/>
          <w:szCs w:val="20"/>
          <w:lang w:val="fr-CA"/>
        </w:rPr>
      </w:pPr>
    </w:p>
    <w:p w:rsidR="00802863" w:rsidRPr="008847EB" w:rsidRDefault="00802863" w:rsidP="00802863">
      <w:pPr>
        <w:rPr>
          <w:sz w:val="20"/>
          <w:szCs w:val="20"/>
        </w:rPr>
      </w:pPr>
    </w:p>
    <w:p w:rsidR="00802863" w:rsidRPr="008847EB" w:rsidRDefault="00802863" w:rsidP="00831CA9">
      <w:pPr>
        <w:jc w:val="both"/>
        <w:rPr>
          <w:sz w:val="20"/>
          <w:szCs w:val="20"/>
        </w:rPr>
        <w:sectPr w:rsidR="00802863" w:rsidRPr="008847EB" w:rsidSect="00802863">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272"/>
        </w:sectPr>
      </w:pPr>
    </w:p>
    <w:p w:rsidR="00567602" w:rsidRPr="008847EB" w:rsidRDefault="001434B9" w:rsidP="00567602">
      <w:pPr>
        <w:pStyle w:val="Header1StyleE"/>
        <w:pBdr>
          <w:bottom w:val="single" w:sz="12" w:space="1" w:color="auto"/>
        </w:pBdr>
        <w:rPr>
          <w:lang w:val="fr-CA"/>
        </w:rPr>
      </w:pPr>
      <w:bookmarkStart w:id="9" w:name="_Toc24980678"/>
      <w:r w:rsidRPr="008847EB">
        <w:rPr>
          <w:lang w:val="fr-CA"/>
        </w:rPr>
        <w:lastRenderedPageBreak/>
        <w:t>Pronouncements of reserved</w:t>
      </w:r>
      <w:r w:rsidR="00271E1E" w:rsidRPr="008847EB">
        <w:rPr>
          <w:lang w:val="fr-CA"/>
        </w:rPr>
        <w:t xml:space="preserve"> appeals / </w:t>
      </w:r>
      <w:r w:rsidR="00567602" w:rsidRPr="008847EB">
        <w:rPr>
          <w:lang w:val="fr-CA"/>
        </w:rPr>
        <w:br/>
      </w:r>
      <w:r w:rsidRPr="008847EB">
        <w:rPr>
          <w:lang w:val="fr-CA"/>
        </w:rPr>
        <w:t>Jugements rendus sur les appels en délibéré</w:t>
      </w:r>
      <w:bookmarkEnd w:id="9"/>
    </w:p>
    <w:p w:rsidR="00567602" w:rsidRPr="008847EB" w:rsidRDefault="00567602" w:rsidP="00FF6EEC">
      <w:pPr>
        <w:rPr>
          <w:b/>
          <w:sz w:val="20"/>
          <w:szCs w:val="20"/>
          <w:lang w:val="fr-CA"/>
        </w:rPr>
      </w:pPr>
    </w:p>
    <w:p w:rsidR="00102792" w:rsidRPr="008847EB" w:rsidRDefault="00102792" w:rsidP="00102792">
      <w:pPr>
        <w:rPr>
          <w:b/>
          <w:sz w:val="20"/>
          <w:szCs w:val="20"/>
          <w:lang w:val="fr-CA"/>
        </w:rPr>
      </w:pPr>
      <w:r w:rsidRPr="008847EB">
        <w:rPr>
          <w:b/>
          <w:sz w:val="20"/>
          <w:szCs w:val="20"/>
          <w:lang w:val="fr-CA"/>
        </w:rPr>
        <w:t xml:space="preserve">NOVEMBER </w:t>
      </w:r>
      <w:r w:rsidR="00500745" w:rsidRPr="008847EB">
        <w:rPr>
          <w:b/>
          <w:sz w:val="20"/>
          <w:szCs w:val="20"/>
          <w:lang w:val="fr-CA"/>
        </w:rPr>
        <w:t>22</w:t>
      </w:r>
      <w:r w:rsidRPr="008847EB">
        <w:rPr>
          <w:b/>
          <w:sz w:val="20"/>
          <w:szCs w:val="20"/>
          <w:lang w:val="fr-CA"/>
        </w:rPr>
        <w:t xml:space="preserve">, </w:t>
      </w:r>
      <w:r w:rsidR="0034657E" w:rsidRPr="008847EB">
        <w:rPr>
          <w:b/>
          <w:sz w:val="20"/>
          <w:szCs w:val="20"/>
          <w:lang w:val="fr-CA"/>
        </w:rPr>
        <w:t>2019</w:t>
      </w:r>
      <w:r w:rsidRPr="008847EB">
        <w:rPr>
          <w:b/>
          <w:sz w:val="20"/>
          <w:szCs w:val="20"/>
          <w:lang w:val="fr-CA"/>
        </w:rPr>
        <w:t xml:space="preserve"> / LE </w:t>
      </w:r>
      <w:r w:rsidR="00500745" w:rsidRPr="008847EB">
        <w:rPr>
          <w:b/>
          <w:sz w:val="20"/>
          <w:szCs w:val="20"/>
          <w:lang w:val="fr-CA"/>
        </w:rPr>
        <w:t>22</w:t>
      </w:r>
      <w:r w:rsidRPr="008847EB">
        <w:rPr>
          <w:b/>
          <w:sz w:val="20"/>
          <w:szCs w:val="20"/>
          <w:lang w:val="fr-CA"/>
        </w:rPr>
        <w:t xml:space="preserve"> NOVEMBRE </w:t>
      </w:r>
      <w:r w:rsidR="0034657E" w:rsidRPr="008847EB">
        <w:rPr>
          <w:b/>
          <w:sz w:val="20"/>
          <w:szCs w:val="20"/>
          <w:lang w:val="fr-CA"/>
        </w:rPr>
        <w:t>2019</w:t>
      </w:r>
    </w:p>
    <w:p w:rsidR="00102792" w:rsidRPr="008847EB" w:rsidRDefault="00102792" w:rsidP="00102792">
      <w:pPr>
        <w:rPr>
          <w:sz w:val="20"/>
          <w:szCs w:val="20"/>
          <w:lang w:val="fr-CA"/>
        </w:rPr>
      </w:pPr>
    </w:p>
    <w:p w:rsidR="00102792" w:rsidRPr="008847EB" w:rsidRDefault="00102792" w:rsidP="00102792">
      <w:pPr>
        <w:ind w:left="1440" w:hanging="1440"/>
        <w:jc w:val="both"/>
        <w:rPr>
          <w:rFonts w:eastAsia="Times New Roman" w:cs="Times New Roman"/>
          <w:color w:val="000000"/>
          <w:sz w:val="20"/>
          <w:szCs w:val="20"/>
          <w:lang w:val="fr-CA"/>
        </w:rPr>
      </w:pPr>
      <w:r w:rsidRPr="008847EB">
        <w:rPr>
          <w:rFonts w:eastAsia="Times New Roman" w:cs="Times New Roman"/>
          <w:b/>
          <w:bCs/>
          <w:color w:val="000000"/>
          <w:sz w:val="20"/>
          <w:szCs w:val="20"/>
          <w:lang w:val="fr-CA"/>
        </w:rPr>
        <w:t>3</w:t>
      </w:r>
      <w:r w:rsidR="00E62728" w:rsidRPr="008847EB">
        <w:rPr>
          <w:rFonts w:eastAsia="Times New Roman" w:cs="Times New Roman"/>
          <w:b/>
          <w:bCs/>
          <w:color w:val="000000"/>
          <w:sz w:val="20"/>
          <w:szCs w:val="20"/>
          <w:lang w:val="fr-CA"/>
        </w:rPr>
        <w:t>8066</w:t>
      </w:r>
      <w:r w:rsidR="00E62728" w:rsidRPr="008847EB">
        <w:rPr>
          <w:rFonts w:eastAsia="Times New Roman" w:cs="Times New Roman"/>
          <w:b/>
          <w:bCs/>
          <w:color w:val="000000"/>
          <w:sz w:val="20"/>
          <w:szCs w:val="20"/>
          <w:lang w:val="fr-CA"/>
        </w:rPr>
        <w:tab/>
      </w:r>
      <w:r w:rsidR="00C512F1" w:rsidRPr="008847EB">
        <w:rPr>
          <w:rFonts w:eastAsia="Times New Roman" w:cs="Times New Roman"/>
          <w:b/>
          <w:bCs/>
          <w:color w:val="000000"/>
          <w:sz w:val="20"/>
          <w:szCs w:val="20"/>
          <w:lang w:val="fr-CA"/>
        </w:rPr>
        <w:t>Ville de Montréal c. Octane Stratégie inc. - et - Union des municipalités du Québec et Ville de Laval</w:t>
      </w:r>
      <w:r w:rsidRPr="008847EB">
        <w:rPr>
          <w:rFonts w:eastAsia="Times New Roman" w:cs="Times New Roman"/>
          <w:b/>
          <w:bCs/>
          <w:color w:val="000000"/>
          <w:sz w:val="20"/>
          <w:szCs w:val="20"/>
          <w:lang w:val="fr-CA"/>
        </w:rPr>
        <w:t> </w:t>
      </w:r>
      <w:r w:rsidRPr="008847EB">
        <w:rPr>
          <w:rFonts w:eastAsia="Times New Roman" w:cs="Times New Roman"/>
          <w:color w:val="000000"/>
          <w:sz w:val="20"/>
          <w:szCs w:val="20"/>
          <w:lang w:val="fr-CA"/>
        </w:rPr>
        <w:t>(</w:t>
      </w:r>
      <w:r w:rsidR="00E62728" w:rsidRPr="008847EB">
        <w:rPr>
          <w:rFonts w:eastAsia="Times New Roman" w:cs="Times New Roman"/>
          <w:color w:val="000000"/>
          <w:sz w:val="20"/>
          <w:szCs w:val="20"/>
          <w:lang w:val="fr-CA"/>
        </w:rPr>
        <w:t>Qc</w:t>
      </w:r>
      <w:r w:rsidRPr="008847EB">
        <w:rPr>
          <w:rFonts w:eastAsia="Times New Roman" w:cs="Times New Roman"/>
          <w:color w:val="000000"/>
          <w:sz w:val="20"/>
          <w:szCs w:val="20"/>
          <w:lang w:val="fr-CA"/>
        </w:rPr>
        <w:t>)</w:t>
      </w:r>
    </w:p>
    <w:p w:rsidR="00102792" w:rsidRPr="008847EB" w:rsidRDefault="00102792" w:rsidP="00102792">
      <w:pPr>
        <w:ind w:left="1440"/>
        <w:jc w:val="both"/>
        <w:rPr>
          <w:rFonts w:eastAsia="Times New Roman" w:cs="Times New Roman"/>
          <w:color w:val="000000"/>
          <w:sz w:val="20"/>
          <w:szCs w:val="20"/>
          <w:lang w:val="fr-CA"/>
        </w:rPr>
      </w:pPr>
      <w:r w:rsidRPr="008847EB">
        <w:rPr>
          <w:rFonts w:eastAsia="Times New Roman" w:cs="Times New Roman"/>
          <w:b/>
          <w:bCs/>
          <w:color w:val="000000"/>
          <w:sz w:val="20"/>
          <w:szCs w:val="20"/>
          <w:lang w:val="fr-CA"/>
        </w:rPr>
        <w:t>2018 SCC 5</w:t>
      </w:r>
      <w:r w:rsidR="00E62728" w:rsidRPr="008847EB">
        <w:rPr>
          <w:rFonts w:eastAsia="Times New Roman" w:cs="Times New Roman"/>
          <w:b/>
          <w:bCs/>
          <w:color w:val="000000"/>
          <w:sz w:val="20"/>
          <w:szCs w:val="20"/>
          <w:lang w:val="fr-CA"/>
        </w:rPr>
        <w:t>7</w:t>
      </w:r>
      <w:r w:rsidRPr="008847EB">
        <w:rPr>
          <w:rFonts w:eastAsia="Times New Roman" w:cs="Times New Roman"/>
          <w:b/>
          <w:bCs/>
          <w:color w:val="000000"/>
          <w:sz w:val="20"/>
          <w:szCs w:val="20"/>
          <w:lang w:val="fr-CA"/>
        </w:rPr>
        <w:t xml:space="preserve"> / 2018 CSC 5</w:t>
      </w:r>
      <w:r w:rsidR="00E62728" w:rsidRPr="008847EB">
        <w:rPr>
          <w:rFonts w:eastAsia="Times New Roman" w:cs="Times New Roman"/>
          <w:b/>
          <w:bCs/>
          <w:color w:val="000000"/>
          <w:sz w:val="20"/>
          <w:szCs w:val="20"/>
          <w:lang w:val="fr-CA"/>
        </w:rPr>
        <w:t>7</w:t>
      </w:r>
    </w:p>
    <w:p w:rsidR="00102792" w:rsidRPr="008847EB" w:rsidRDefault="00102792" w:rsidP="00102792">
      <w:pPr>
        <w:jc w:val="both"/>
        <w:rPr>
          <w:rFonts w:eastAsia="Times New Roman" w:cs="Times New Roman"/>
          <w:color w:val="000000"/>
          <w:sz w:val="20"/>
          <w:szCs w:val="20"/>
          <w:lang w:val="fr-CA"/>
        </w:rPr>
      </w:pPr>
    </w:p>
    <w:p w:rsidR="00102792" w:rsidRPr="008847EB" w:rsidRDefault="00E62728" w:rsidP="00102792">
      <w:pPr>
        <w:ind w:left="1440" w:hanging="1440"/>
        <w:rPr>
          <w:rFonts w:eastAsia="Times New Roman" w:cs="Times New Roman"/>
          <w:color w:val="000000"/>
          <w:sz w:val="20"/>
          <w:szCs w:val="20"/>
          <w:lang w:val="fr-CA"/>
        </w:rPr>
      </w:pPr>
      <w:r w:rsidRPr="008847EB">
        <w:rPr>
          <w:rFonts w:eastAsia="Times New Roman" w:cs="Times New Roman"/>
          <w:color w:val="000000"/>
          <w:sz w:val="20"/>
          <w:szCs w:val="20"/>
          <w:lang w:val="fr-CA"/>
        </w:rPr>
        <w:t>Coram:</w:t>
      </w:r>
      <w:r w:rsidRPr="008847EB">
        <w:rPr>
          <w:rFonts w:eastAsia="Times New Roman" w:cs="Times New Roman"/>
          <w:color w:val="000000"/>
          <w:sz w:val="20"/>
          <w:szCs w:val="20"/>
          <w:lang w:val="fr-CA"/>
        </w:rPr>
        <w:tab/>
      </w:r>
      <w:r w:rsidR="003C664E" w:rsidRPr="008847EB">
        <w:rPr>
          <w:rFonts w:eastAsia="Times New Roman" w:cs="Times New Roman"/>
          <w:color w:val="000000"/>
          <w:sz w:val="20"/>
          <w:szCs w:val="20"/>
          <w:lang w:val="fr-CA"/>
        </w:rPr>
        <w:t>Le juge en chef Wagner et les juges Abella, Moldaver, Karakatsanis, Gascon, Côté, Brown, Rowe et Martin</w:t>
      </w:r>
    </w:p>
    <w:p w:rsidR="00102792" w:rsidRPr="008847EB" w:rsidRDefault="00102792" w:rsidP="00102792">
      <w:pPr>
        <w:ind w:left="1440" w:hanging="1440"/>
        <w:rPr>
          <w:rFonts w:eastAsia="Times New Roman" w:cs="Times New Roman"/>
          <w:color w:val="000000"/>
          <w:sz w:val="20"/>
          <w:szCs w:val="20"/>
          <w:lang w:val="fr-CA"/>
        </w:rPr>
      </w:pPr>
    </w:p>
    <w:p w:rsidR="00E62728" w:rsidRPr="008847EB" w:rsidRDefault="0090742F" w:rsidP="00E62728">
      <w:pPr>
        <w:jc w:val="both"/>
        <w:rPr>
          <w:rFonts w:eastAsia="Times New Roman" w:cs="Times New Roman"/>
          <w:color w:val="000000"/>
          <w:sz w:val="20"/>
          <w:szCs w:val="20"/>
          <w:lang w:val="en-US"/>
        </w:rPr>
      </w:pPr>
      <w:r w:rsidRPr="008847EB">
        <w:rPr>
          <w:sz w:val="20"/>
          <w:szCs w:val="20"/>
          <w:lang w:val="fr-CA"/>
        </w:rPr>
        <w:t xml:space="preserve">L’appel interjeté contre l’arrêt de la Cour d’appel du Québec (Montréal), numéro 500-09-025740-150, 2018 QCCA 223, daté du 14 février 2018, entendu le 20 février 2019, est rejeté avec dépens en faveur de l’intimée sur la base habituelle de dépens dans cette Cour et dans les juridictions inférieures. </w:t>
      </w:r>
      <w:r w:rsidRPr="008847EB">
        <w:rPr>
          <w:sz w:val="20"/>
          <w:szCs w:val="20"/>
        </w:rPr>
        <w:t xml:space="preserve">Les juges Moldaver, Côté </w:t>
      </w:r>
      <w:proofErr w:type="gramStart"/>
      <w:r w:rsidRPr="008847EB">
        <w:rPr>
          <w:sz w:val="20"/>
          <w:szCs w:val="20"/>
        </w:rPr>
        <w:t>et</w:t>
      </w:r>
      <w:proofErr w:type="gramEnd"/>
      <w:r w:rsidRPr="008847EB">
        <w:rPr>
          <w:sz w:val="20"/>
          <w:szCs w:val="20"/>
        </w:rPr>
        <w:t xml:space="preserve"> Brown sont dissidents.</w:t>
      </w:r>
    </w:p>
    <w:p w:rsidR="00E62728" w:rsidRPr="008847EB" w:rsidRDefault="00E62728" w:rsidP="00102792">
      <w:pPr>
        <w:ind w:left="1440" w:hanging="1440"/>
        <w:rPr>
          <w:rFonts w:eastAsia="Times New Roman" w:cs="Times New Roman"/>
          <w:color w:val="000000"/>
          <w:sz w:val="20"/>
          <w:szCs w:val="20"/>
          <w:lang w:val="en-US"/>
        </w:rPr>
      </w:pPr>
    </w:p>
    <w:p w:rsidR="00102792" w:rsidRPr="008847EB" w:rsidRDefault="0090742F" w:rsidP="00102792">
      <w:pPr>
        <w:jc w:val="both"/>
        <w:rPr>
          <w:rFonts w:eastAsia="Times New Roman" w:cs="Times New Roman"/>
          <w:color w:val="000000"/>
          <w:sz w:val="20"/>
          <w:szCs w:val="20"/>
          <w:lang w:val="en-US"/>
        </w:rPr>
      </w:pPr>
      <w:r w:rsidRPr="008847EB">
        <w:rPr>
          <w:sz w:val="20"/>
          <w:szCs w:val="20"/>
          <w:lang w:val="en-US"/>
        </w:rPr>
        <w:t>The appeal from the judgment of the Court of Appeal of Quebec (Montréal)</w:t>
      </w:r>
      <w:r w:rsidRPr="008847EB">
        <w:rPr>
          <w:sz w:val="20"/>
          <w:szCs w:val="20"/>
        </w:rPr>
        <w:t xml:space="preserve">, Number </w:t>
      </w:r>
      <w:r w:rsidRPr="008847EB">
        <w:rPr>
          <w:sz w:val="20"/>
          <w:szCs w:val="20"/>
          <w:lang w:val="en-US"/>
        </w:rPr>
        <w:t>500-09-025740-150</w:t>
      </w:r>
      <w:r w:rsidRPr="008847EB">
        <w:rPr>
          <w:sz w:val="20"/>
          <w:szCs w:val="20"/>
        </w:rPr>
        <w:t xml:space="preserve">, </w:t>
      </w:r>
      <w:r w:rsidRPr="008847EB">
        <w:rPr>
          <w:sz w:val="20"/>
          <w:szCs w:val="20"/>
          <w:lang w:val="en-US"/>
        </w:rPr>
        <w:t>2018 QCCA 223,</w:t>
      </w:r>
      <w:r w:rsidRPr="008847EB">
        <w:rPr>
          <w:sz w:val="20"/>
          <w:szCs w:val="20"/>
        </w:rPr>
        <w:t xml:space="preserve"> dated </w:t>
      </w:r>
      <w:r w:rsidRPr="008847EB">
        <w:rPr>
          <w:sz w:val="20"/>
          <w:szCs w:val="20"/>
          <w:lang w:val="en-US"/>
        </w:rPr>
        <w:t>February 14, 2018</w:t>
      </w:r>
      <w:r w:rsidRPr="008847EB">
        <w:rPr>
          <w:sz w:val="20"/>
          <w:szCs w:val="20"/>
        </w:rPr>
        <w:t xml:space="preserve">, heard on </w:t>
      </w:r>
      <w:r w:rsidRPr="008847EB">
        <w:rPr>
          <w:sz w:val="20"/>
          <w:szCs w:val="20"/>
          <w:lang w:val="en-US"/>
        </w:rPr>
        <w:t>February 20, 2019</w:t>
      </w:r>
      <w:r w:rsidRPr="008847EB">
        <w:rPr>
          <w:sz w:val="20"/>
          <w:szCs w:val="20"/>
        </w:rPr>
        <w:t xml:space="preserve">, is dismissed with costs to the respondent on the usual basis </w:t>
      </w:r>
      <w:r w:rsidRPr="008847EB">
        <w:rPr>
          <w:sz w:val="20"/>
          <w:szCs w:val="20"/>
          <w:lang w:val="en-US"/>
        </w:rPr>
        <w:t xml:space="preserve">in this Court and the courts below. </w:t>
      </w:r>
      <w:r w:rsidRPr="008847EB">
        <w:rPr>
          <w:sz w:val="20"/>
          <w:szCs w:val="20"/>
        </w:rPr>
        <w:t xml:space="preserve">Moldaver, Côté and Brown JJ. </w:t>
      </w:r>
      <w:proofErr w:type="gramStart"/>
      <w:r w:rsidRPr="008847EB">
        <w:rPr>
          <w:sz w:val="20"/>
          <w:szCs w:val="20"/>
        </w:rPr>
        <w:t>dissent</w:t>
      </w:r>
      <w:proofErr w:type="gramEnd"/>
      <w:r w:rsidRPr="008847EB">
        <w:rPr>
          <w:sz w:val="20"/>
          <w:szCs w:val="20"/>
        </w:rPr>
        <w:t>.</w:t>
      </w:r>
    </w:p>
    <w:p w:rsidR="00102792" w:rsidRPr="008847EB" w:rsidRDefault="00102792" w:rsidP="00102792">
      <w:pPr>
        <w:tabs>
          <w:tab w:val="left" w:pos="1440"/>
        </w:tabs>
        <w:jc w:val="both"/>
        <w:rPr>
          <w:rFonts w:eastAsia="Times New Roman" w:cs="Times New Roman"/>
          <w:color w:val="000000"/>
          <w:sz w:val="20"/>
          <w:szCs w:val="20"/>
          <w:lang w:val="en-US"/>
        </w:rPr>
      </w:pPr>
    </w:p>
    <w:p w:rsidR="00102792" w:rsidRPr="008847EB" w:rsidRDefault="0011194E" w:rsidP="00102792">
      <w:pPr>
        <w:rPr>
          <w:sz w:val="20"/>
          <w:szCs w:val="20"/>
          <w:lang w:val="fr-CA"/>
        </w:rPr>
      </w:pPr>
      <w:hyperlink r:id="rId47" w:history="1">
        <w:r w:rsidR="00506BE1" w:rsidRPr="008847EB">
          <w:rPr>
            <w:rStyle w:val="Hyperlink"/>
            <w:sz w:val="20"/>
            <w:szCs w:val="20"/>
            <w:lang w:val="fr-CA"/>
          </w:rPr>
          <w:t xml:space="preserve">LINK TO </w:t>
        </w:r>
        <w:r w:rsidR="00D82BFF" w:rsidRPr="008847EB">
          <w:rPr>
            <w:rStyle w:val="Hyperlink"/>
            <w:sz w:val="20"/>
            <w:szCs w:val="20"/>
            <w:lang w:val="fr-CA"/>
          </w:rPr>
          <w:t>REASONS</w:t>
        </w:r>
      </w:hyperlink>
      <w:r w:rsidR="00102792" w:rsidRPr="008847EB">
        <w:rPr>
          <w:sz w:val="20"/>
          <w:szCs w:val="20"/>
          <w:lang w:val="fr-CA"/>
        </w:rPr>
        <w:t xml:space="preserve"> / </w:t>
      </w:r>
      <w:hyperlink r:id="rId48" w:history="1">
        <w:r w:rsidR="00D82BFF" w:rsidRPr="008847EB">
          <w:rPr>
            <w:rStyle w:val="Hyperlink"/>
            <w:sz w:val="20"/>
            <w:szCs w:val="20"/>
            <w:lang w:val="fr-CA"/>
          </w:rPr>
          <w:t>LIEN VERS LES MOTIFS</w:t>
        </w:r>
      </w:hyperlink>
    </w:p>
    <w:p w:rsidR="00102792" w:rsidRPr="008847EB" w:rsidRDefault="00102792" w:rsidP="00102792">
      <w:pPr>
        <w:rPr>
          <w:sz w:val="20"/>
          <w:szCs w:val="20"/>
          <w:lang w:val="fr-CA"/>
        </w:rPr>
      </w:pPr>
    </w:p>
    <w:p w:rsidR="00D004FC" w:rsidRPr="008847EB" w:rsidRDefault="0011194E" w:rsidP="00102792">
      <w:pPr>
        <w:jc w:val="both"/>
        <w:rPr>
          <w:rFonts w:cs="Times New Roman"/>
          <w:b/>
          <w:sz w:val="20"/>
          <w:szCs w:val="20"/>
        </w:rPr>
      </w:pPr>
      <w:r>
        <w:rPr>
          <w:b/>
          <w:sz w:val="20"/>
          <w:szCs w:val="20"/>
        </w:rPr>
        <w:pict>
          <v:rect id="_x0000_i1058" style="width:144.3pt;height:1pt" o:hrpct="300" o:hralign="center" o:hrstd="t" o:hrnoshade="t" o:hr="t" fillcolor="black [3213]" stroked="f"/>
        </w:pict>
      </w:r>
    </w:p>
    <w:p w:rsidR="00D004FC" w:rsidRPr="008847EB" w:rsidRDefault="00D004FC" w:rsidP="00D004FC">
      <w:pPr>
        <w:jc w:val="both"/>
        <w:rPr>
          <w:rFonts w:cs="Times New Roman"/>
          <w:sz w:val="20"/>
          <w:szCs w:val="20"/>
        </w:rPr>
      </w:pPr>
    </w:p>
    <w:p w:rsidR="00500745" w:rsidRPr="008847EB" w:rsidRDefault="00500745" w:rsidP="00500745">
      <w:pPr>
        <w:ind w:left="1440" w:hanging="1440"/>
        <w:jc w:val="both"/>
        <w:rPr>
          <w:rFonts w:eastAsia="Times New Roman" w:cs="Times New Roman"/>
          <w:color w:val="000000"/>
          <w:sz w:val="20"/>
          <w:szCs w:val="20"/>
          <w:lang w:val="fr-CA"/>
        </w:rPr>
      </w:pPr>
      <w:r w:rsidRPr="008847EB">
        <w:rPr>
          <w:rFonts w:eastAsia="Times New Roman" w:cs="Times New Roman"/>
          <w:b/>
          <w:bCs/>
          <w:color w:val="000000"/>
          <w:sz w:val="20"/>
          <w:szCs w:val="20"/>
          <w:lang w:val="fr-CA"/>
        </w:rPr>
        <w:t>38073</w:t>
      </w:r>
      <w:r w:rsidRPr="008847EB">
        <w:rPr>
          <w:rFonts w:eastAsia="Times New Roman" w:cs="Times New Roman"/>
          <w:b/>
          <w:bCs/>
          <w:color w:val="000000"/>
          <w:sz w:val="20"/>
          <w:szCs w:val="20"/>
          <w:lang w:val="fr-CA"/>
        </w:rPr>
        <w:tab/>
      </w:r>
      <w:r w:rsidR="00C512F1" w:rsidRPr="008847EB">
        <w:rPr>
          <w:rFonts w:eastAsia="Times New Roman" w:cs="Times New Roman"/>
          <w:b/>
          <w:bCs/>
          <w:color w:val="000000"/>
          <w:sz w:val="20"/>
          <w:szCs w:val="20"/>
          <w:lang w:val="fr-CA"/>
        </w:rPr>
        <w:t>Octane Stratégie inc. c. Richard Thériault et Ville de Montréal</w:t>
      </w:r>
      <w:r w:rsidRPr="008847EB">
        <w:rPr>
          <w:rFonts w:eastAsia="Times New Roman" w:cs="Times New Roman"/>
          <w:b/>
          <w:bCs/>
          <w:color w:val="000000"/>
          <w:sz w:val="20"/>
          <w:szCs w:val="20"/>
          <w:lang w:val="fr-CA"/>
        </w:rPr>
        <w:t> </w:t>
      </w:r>
      <w:r w:rsidRPr="008847EB">
        <w:rPr>
          <w:rFonts w:eastAsia="Times New Roman" w:cs="Times New Roman"/>
          <w:color w:val="000000"/>
          <w:sz w:val="20"/>
          <w:szCs w:val="20"/>
          <w:lang w:val="fr-CA"/>
        </w:rPr>
        <w:t>(Qc)</w:t>
      </w:r>
    </w:p>
    <w:p w:rsidR="00500745" w:rsidRPr="008847EB" w:rsidRDefault="00500745" w:rsidP="00500745">
      <w:pPr>
        <w:ind w:left="1440"/>
        <w:jc w:val="both"/>
        <w:rPr>
          <w:rFonts w:eastAsia="Times New Roman" w:cs="Times New Roman"/>
          <w:color w:val="000000"/>
          <w:sz w:val="20"/>
          <w:szCs w:val="20"/>
          <w:lang w:val="fr-CA"/>
        </w:rPr>
      </w:pPr>
      <w:r w:rsidRPr="008847EB">
        <w:rPr>
          <w:rFonts w:eastAsia="Times New Roman" w:cs="Times New Roman"/>
          <w:b/>
          <w:bCs/>
          <w:color w:val="000000"/>
          <w:sz w:val="20"/>
          <w:szCs w:val="20"/>
          <w:lang w:val="fr-CA"/>
        </w:rPr>
        <w:t>2018 SCC 57 / 2018 CSC 57</w:t>
      </w:r>
    </w:p>
    <w:p w:rsidR="00500745" w:rsidRPr="008847EB" w:rsidRDefault="00500745" w:rsidP="00500745">
      <w:pPr>
        <w:jc w:val="both"/>
        <w:rPr>
          <w:rFonts w:eastAsia="Times New Roman" w:cs="Times New Roman"/>
          <w:color w:val="000000"/>
          <w:sz w:val="20"/>
          <w:szCs w:val="20"/>
          <w:lang w:val="fr-CA"/>
        </w:rPr>
      </w:pPr>
    </w:p>
    <w:p w:rsidR="00500745" w:rsidRPr="008847EB" w:rsidRDefault="00500745" w:rsidP="00500745">
      <w:pPr>
        <w:ind w:left="1440" w:hanging="1440"/>
        <w:rPr>
          <w:rFonts w:eastAsia="Times New Roman" w:cs="Times New Roman"/>
          <w:color w:val="000000"/>
          <w:sz w:val="20"/>
          <w:szCs w:val="20"/>
          <w:lang w:val="fr-CA"/>
        </w:rPr>
      </w:pPr>
      <w:r w:rsidRPr="008847EB">
        <w:rPr>
          <w:rFonts w:eastAsia="Times New Roman" w:cs="Times New Roman"/>
          <w:color w:val="000000"/>
          <w:sz w:val="20"/>
          <w:szCs w:val="20"/>
          <w:lang w:val="fr-CA"/>
        </w:rPr>
        <w:t>Coram:</w:t>
      </w:r>
      <w:r w:rsidRPr="008847EB">
        <w:rPr>
          <w:rFonts w:eastAsia="Times New Roman" w:cs="Times New Roman"/>
          <w:color w:val="000000"/>
          <w:sz w:val="20"/>
          <w:szCs w:val="20"/>
          <w:lang w:val="fr-CA"/>
        </w:rPr>
        <w:tab/>
      </w:r>
      <w:r w:rsidR="003C664E" w:rsidRPr="008847EB">
        <w:rPr>
          <w:rFonts w:eastAsia="Times New Roman" w:cs="Times New Roman"/>
          <w:color w:val="000000"/>
          <w:sz w:val="20"/>
          <w:szCs w:val="20"/>
          <w:lang w:val="fr-CA"/>
        </w:rPr>
        <w:t>Le juge en chef Wagner et les juges Abella, Moldaver, Karakatsanis, Gascon, Côté, Brown, Rowe et Martin</w:t>
      </w:r>
    </w:p>
    <w:p w:rsidR="00500745" w:rsidRPr="008847EB" w:rsidRDefault="00500745" w:rsidP="00500745">
      <w:pPr>
        <w:ind w:left="1440" w:hanging="1440"/>
        <w:rPr>
          <w:rFonts w:eastAsia="Times New Roman" w:cs="Times New Roman"/>
          <w:color w:val="000000"/>
          <w:sz w:val="20"/>
          <w:szCs w:val="20"/>
          <w:lang w:val="fr-CA"/>
        </w:rPr>
      </w:pPr>
    </w:p>
    <w:p w:rsidR="00500745" w:rsidRPr="008847EB" w:rsidRDefault="005E3897" w:rsidP="00500745">
      <w:pPr>
        <w:jc w:val="both"/>
        <w:rPr>
          <w:rFonts w:eastAsia="Times New Roman" w:cs="Times New Roman"/>
          <w:color w:val="000000"/>
          <w:sz w:val="20"/>
          <w:szCs w:val="20"/>
          <w:lang w:val="fr-CA"/>
        </w:rPr>
      </w:pPr>
      <w:r w:rsidRPr="008847EB">
        <w:rPr>
          <w:sz w:val="20"/>
          <w:szCs w:val="20"/>
          <w:lang w:val="fr-CA"/>
        </w:rPr>
        <w:t xml:space="preserve">L’appel interjeté contre l’arrêt de la Cour d’appel du Québec (Montréal), numéro 500-09-026456-160, 2018 QCCA 223, daté du 14 février 2018, entendu le 20 février 2019, est sans objet. </w:t>
      </w:r>
      <w:proofErr w:type="gramStart"/>
      <w:r w:rsidRPr="008847EB">
        <w:rPr>
          <w:sz w:val="20"/>
          <w:szCs w:val="20"/>
          <w:lang w:val="fr-CA"/>
        </w:rPr>
        <w:t>Aucun</w:t>
      </w:r>
      <w:proofErr w:type="gramEnd"/>
      <w:r w:rsidRPr="008847EB">
        <w:rPr>
          <w:sz w:val="20"/>
          <w:szCs w:val="20"/>
          <w:lang w:val="fr-CA"/>
        </w:rPr>
        <w:t xml:space="preserve"> dépens n’est octroyé. Les juges Moldaver, Côté et Brown sont dissidents.</w:t>
      </w:r>
    </w:p>
    <w:p w:rsidR="00500745" w:rsidRPr="008847EB" w:rsidRDefault="00500745" w:rsidP="00500745">
      <w:pPr>
        <w:ind w:left="1440" w:hanging="1440"/>
        <w:rPr>
          <w:rFonts w:eastAsia="Times New Roman" w:cs="Times New Roman"/>
          <w:color w:val="000000"/>
          <w:sz w:val="20"/>
          <w:szCs w:val="20"/>
          <w:lang w:val="fr-CA"/>
        </w:rPr>
      </w:pPr>
    </w:p>
    <w:p w:rsidR="00500745" w:rsidRPr="008847EB" w:rsidRDefault="005E3897" w:rsidP="00500745">
      <w:pPr>
        <w:jc w:val="both"/>
        <w:rPr>
          <w:rFonts w:eastAsia="Times New Roman" w:cs="Times New Roman"/>
          <w:color w:val="000000"/>
          <w:sz w:val="20"/>
          <w:szCs w:val="20"/>
          <w:lang w:val="en-US"/>
        </w:rPr>
      </w:pPr>
      <w:r w:rsidRPr="008847EB">
        <w:rPr>
          <w:sz w:val="20"/>
          <w:szCs w:val="20"/>
        </w:rPr>
        <w:t xml:space="preserve">The appeal from the judgment of the </w:t>
      </w:r>
      <w:r w:rsidRPr="008847EB">
        <w:rPr>
          <w:sz w:val="20"/>
          <w:szCs w:val="20"/>
          <w:lang w:val="en-US"/>
        </w:rPr>
        <w:t>Court of Appeal of Quebec (Montréal)</w:t>
      </w:r>
      <w:r w:rsidRPr="008847EB">
        <w:rPr>
          <w:sz w:val="20"/>
          <w:szCs w:val="20"/>
        </w:rPr>
        <w:t>, Number</w:t>
      </w:r>
      <w:r w:rsidRPr="008847EB">
        <w:rPr>
          <w:sz w:val="20"/>
          <w:szCs w:val="20"/>
          <w:lang w:val="en-US"/>
        </w:rPr>
        <w:t>, 500-09-026456-160</w:t>
      </w:r>
      <w:r w:rsidRPr="008847EB">
        <w:rPr>
          <w:sz w:val="20"/>
          <w:szCs w:val="20"/>
        </w:rPr>
        <w:t xml:space="preserve">, </w:t>
      </w:r>
      <w:proofErr w:type="gramStart"/>
      <w:r w:rsidRPr="008847EB">
        <w:rPr>
          <w:sz w:val="20"/>
          <w:szCs w:val="20"/>
          <w:lang w:val="en-US"/>
        </w:rPr>
        <w:t>2018</w:t>
      </w:r>
      <w:proofErr w:type="gramEnd"/>
      <w:r w:rsidRPr="008847EB">
        <w:rPr>
          <w:sz w:val="20"/>
          <w:szCs w:val="20"/>
          <w:lang w:val="en-US"/>
        </w:rPr>
        <w:t xml:space="preserve"> QCCA 223, </w:t>
      </w:r>
      <w:r w:rsidRPr="008847EB">
        <w:rPr>
          <w:sz w:val="20"/>
          <w:szCs w:val="20"/>
        </w:rPr>
        <w:t xml:space="preserve">dated </w:t>
      </w:r>
      <w:r w:rsidRPr="008847EB">
        <w:rPr>
          <w:sz w:val="20"/>
          <w:szCs w:val="20"/>
          <w:lang w:val="en-US"/>
        </w:rPr>
        <w:t>February 14, 2018</w:t>
      </w:r>
      <w:r w:rsidRPr="008847EB">
        <w:rPr>
          <w:sz w:val="20"/>
          <w:szCs w:val="20"/>
        </w:rPr>
        <w:t xml:space="preserve">, heard on </w:t>
      </w:r>
      <w:r w:rsidRPr="008847EB">
        <w:rPr>
          <w:sz w:val="20"/>
          <w:szCs w:val="20"/>
          <w:lang w:val="en-US"/>
        </w:rPr>
        <w:t>February 20, 2019</w:t>
      </w:r>
      <w:r w:rsidRPr="008847EB">
        <w:rPr>
          <w:sz w:val="20"/>
          <w:szCs w:val="20"/>
        </w:rPr>
        <w:t xml:space="preserve">, is moot. </w:t>
      </w:r>
      <w:r w:rsidRPr="008847EB">
        <w:rPr>
          <w:rFonts w:cs="Times New Roman"/>
          <w:sz w:val="20"/>
          <w:szCs w:val="20"/>
        </w:rPr>
        <w:t xml:space="preserve">No costs are awarded. </w:t>
      </w:r>
      <w:r w:rsidRPr="008847EB">
        <w:rPr>
          <w:sz w:val="20"/>
          <w:szCs w:val="20"/>
        </w:rPr>
        <w:t xml:space="preserve">Moldaver, Côté and Brown JJ. </w:t>
      </w:r>
      <w:proofErr w:type="gramStart"/>
      <w:r w:rsidRPr="008847EB">
        <w:rPr>
          <w:sz w:val="20"/>
          <w:szCs w:val="20"/>
        </w:rPr>
        <w:t>dissent</w:t>
      </w:r>
      <w:proofErr w:type="gramEnd"/>
      <w:r w:rsidRPr="008847EB">
        <w:rPr>
          <w:sz w:val="20"/>
          <w:szCs w:val="20"/>
        </w:rPr>
        <w:t>.</w:t>
      </w:r>
    </w:p>
    <w:p w:rsidR="00500745" w:rsidRPr="008847EB" w:rsidRDefault="00500745" w:rsidP="00500745">
      <w:pPr>
        <w:tabs>
          <w:tab w:val="left" w:pos="1440"/>
        </w:tabs>
        <w:jc w:val="both"/>
        <w:rPr>
          <w:rFonts w:eastAsia="Times New Roman" w:cs="Times New Roman"/>
          <w:color w:val="000000"/>
          <w:sz w:val="20"/>
          <w:szCs w:val="20"/>
          <w:lang w:val="en-US"/>
        </w:rPr>
      </w:pPr>
    </w:p>
    <w:p w:rsidR="00500745" w:rsidRPr="008847EB" w:rsidRDefault="0011194E" w:rsidP="00500745">
      <w:pPr>
        <w:rPr>
          <w:sz w:val="20"/>
          <w:szCs w:val="20"/>
          <w:lang w:val="fr-CA"/>
        </w:rPr>
      </w:pPr>
      <w:hyperlink r:id="rId49" w:history="1">
        <w:r w:rsidR="00500745" w:rsidRPr="008847EB">
          <w:rPr>
            <w:rStyle w:val="Hyperlink"/>
            <w:sz w:val="20"/>
            <w:szCs w:val="20"/>
            <w:lang w:val="fr-CA"/>
          </w:rPr>
          <w:t>LINK TO REASONS</w:t>
        </w:r>
      </w:hyperlink>
      <w:r w:rsidR="00500745" w:rsidRPr="008847EB">
        <w:rPr>
          <w:sz w:val="20"/>
          <w:szCs w:val="20"/>
          <w:lang w:val="fr-CA"/>
        </w:rPr>
        <w:t xml:space="preserve"> / </w:t>
      </w:r>
      <w:hyperlink r:id="rId50" w:history="1">
        <w:r w:rsidR="00500745" w:rsidRPr="008847EB">
          <w:rPr>
            <w:rStyle w:val="Hyperlink"/>
            <w:sz w:val="20"/>
            <w:szCs w:val="20"/>
            <w:lang w:val="fr-CA"/>
          </w:rPr>
          <w:t>LIEN VERS LES MOTIFS</w:t>
        </w:r>
      </w:hyperlink>
    </w:p>
    <w:p w:rsidR="00500745" w:rsidRPr="008847EB" w:rsidRDefault="00500745" w:rsidP="00500745">
      <w:pPr>
        <w:rPr>
          <w:sz w:val="20"/>
          <w:szCs w:val="20"/>
          <w:lang w:val="fr-CA"/>
        </w:rPr>
      </w:pPr>
    </w:p>
    <w:p w:rsidR="00500745" w:rsidRPr="008847EB" w:rsidRDefault="0011194E" w:rsidP="00D004FC">
      <w:pPr>
        <w:jc w:val="both"/>
        <w:rPr>
          <w:rFonts w:cs="Times New Roman"/>
          <w:sz w:val="20"/>
          <w:szCs w:val="20"/>
        </w:rPr>
      </w:pPr>
      <w:r>
        <w:rPr>
          <w:b/>
          <w:sz w:val="20"/>
          <w:szCs w:val="20"/>
        </w:rPr>
        <w:pict>
          <v:rect id="_x0000_i1059" style="width:144.3pt;height:1pt" o:hrpct="300" o:hralign="center" o:hrstd="t" o:hrnoshade="t" o:hr="t" fillcolor="black [3213]" stroked="f"/>
        </w:pict>
      </w:r>
    </w:p>
    <w:p w:rsidR="00500745" w:rsidRPr="008847EB" w:rsidRDefault="00500745" w:rsidP="00D004FC">
      <w:pPr>
        <w:jc w:val="both"/>
        <w:rPr>
          <w:rFonts w:cs="Times New Roman"/>
          <w:sz w:val="20"/>
          <w:szCs w:val="20"/>
        </w:rPr>
      </w:pPr>
    </w:p>
    <w:p w:rsidR="00500745" w:rsidRPr="008847EB" w:rsidRDefault="00500745" w:rsidP="00D004FC">
      <w:pPr>
        <w:jc w:val="both"/>
        <w:rPr>
          <w:rFonts w:cs="Times New Roman"/>
          <w:sz w:val="20"/>
          <w:szCs w:val="20"/>
        </w:rPr>
      </w:pPr>
    </w:p>
    <w:p w:rsidR="0056248C" w:rsidRPr="008847EB" w:rsidRDefault="0056248C" w:rsidP="00091BA6">
      <w:pPr>
        <w:rPr>
          <w:lang w:val="fr-CA"/>
        </w:rPr>
      </w:pPr>
    </w:p>
    <w:p w:rsidR="00102926" w:rsidRPr="008847EB" w:rsidRDefault="00102926" w:rsidP="00782AE4">
      <w:pPr>
        <w:jc w:val="both"/>
        <w:rPr>
          <w:sz w:val="20"/>
          <w:szCs w:val="20"/>
        </w:rPr>
        <w:sectPr w:rsidR="00102926" w:rsidRPr="008847EB" w:rsidSect="00782AE4">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576" w:footer="960" w:gutter="0"/>
          <w:cols w:space="720"/>
          <w:titlePg/>
          <w:docGrid w:linePitch="272"/>
        </w:sectPr>
      </w:pPr>
    </w:p>
    <w:p w:rsidR="00567602" w:rsidRPr="008847EB" w:rsidRDefault="001434B9" w:rsidP="001434B9">
      <w:pPr>
        <w:pStyle w:val="Header1StyleE"/>
        <w:pBdr>
          <w:bottom w:val="single" w:sz="12" w:space="0" w:color="auto"/>
        </w:pBdr>
        <w:rPr>
          <w:lang w:val="fr-CA"/>
        </w:rPr>
      </w:pPr>
      <w:bookmarkStart w:id="10" w:name="_Toc24980679"/>
      <w:r w:rsidRPr="008847EB">
        <w:rPr>
          <w:lang w:val="fr-CA"/>
        </w:rPr>
        <w:lastRenderedPageBreak/>
        <w:t xml:space="preserve">Agenda and case summaries for </w:t>
      </w:r>
      <w:r w:rsidR="00B9459D" w:rsidRPr="008847EB">
        <w:rPr>
          <w:lang w:val="fr-CA"/>
        </w:rPr>
        <w:t>December</w:t>
      </w:r>
      <w:r w:rsidR="00567602" w:rsidRPr="008847EB">
        <w:rPr>
          <w:lang w:val="fr-CA"/>
        </w:rPr>
        <w:t xml:space="preserve"> </w:t>
      </w:r>
      <w:r w:rsidR="0034657E" w:rsidRPr="008847EB">
        <w:rPr>
          <w:lang w:val="fr-CA"/>
        </w:rPr>
        <w:t>2019</w:t>
      </w:r>
      <w:r w:rsidR="00271E1E" w:rsidRPr="008847EB">
        <w:rPr>
          <w:lang w:val="fr-CA"/>
        </w:rPr>
        <w:t xml:space="preserve"> / </w:t>
      </w:r>
      <w:r w:rsidR="00567602" w:rsidRPr="008847EB">
        <w:rPr>
          <w:lang w:val="fr-CA"/>
        </w:rPr>
        <w:br/>
      </w:r>
      <w:r w:rsidRPr="008847EB">
        <w:rPr>
          <w:lang w:val="fr-CA"/>
        </w:rPr>
        <w:t>Calendrier et sommaires des causes d</w:t>
      </w:r>
      <w:r w:rsidR="00B9459D" w:rsidRPr="008847EB">
        <w:rPr>
          <w:lang w:val="fr-CA"/>
        </w:rPr>
        <w:t>e décem</w:t>
      </w:r>
      <w:r w:rsidRPr="008847EB">
        <w:rPr>
          <w:lang w:val="fr-CA"/>
        </w:rPr>
        <w:t>bre</w:t>
      </w:r>
      <w:r w:rsidR="00567602" w:rsidRPr="008847EB">
        <w:rPr>
          <w:lang w:val="fr-CA"/>
        </w:rPr>
        <w:t xml:space="preserve"> </w:t>
      </w:r>
      <w:r w:rsidR="0034657E" w:rsidRPr="008847EB">
        <w:rPr>
          <w:lang w:val="fr-CA"/>
        </w:rPr>
        <w:t>2019</w:t>
      </w:r>
      <w:bookmarkEnd w:id="10"/>
    </w:p>
    <w:p w:rsidR="00567602" w:rsidRPr="008847EB" w:rsidRDefault="00567602" w:rsidP="004B66B4">
      <w:pPr>
        <w:rPr>
          <w:b/>
          <w:sz w:val="20"/>
          <w:szCs w:val="20"/>
          <w:lang w:val="fr-CA"/>
        </w:rPr>
      </w:pPr>
    </w:p>
    <w:p w:rsidR="00102926" w:rsidRPr="008847EB" w:rsidRDefault="00B9459D" w:rsidP="00782AE4">
      <w:pPr>
        <w:jc w:val="both"/>
        <w:rPr>
          <w:b/>
          <w:sz w:val="20"/>
          <w:szCs w:val="20"/>
          <w:lang w:val="fr-CA"/>
        </w:rPr>
      </w:pPr>
      <w:r w:rsidRPr="008847EB">
        <w:rPr>
          <w:b/>
          <w:sz w:val="20"/>
          <w:szCs w:val="20"/>
          <w:lang w:val="fr-CA"/>
        </w:rPr>
        <w:t>NOVEMB</w:t>
      </w:r>
      <w:r w:rsidR="00102792" w:rsidRPr="008847EB">
        <w:rPr>
          <w:b/>
          <w:sz w:val="20"/>
          <w:szCs w:val="20"/>
          <w:lang w:val="fr-CA"/>
        </w:rPr>
        <w:t>ER 2</w:t>
      </w:r>
      <w:r w:rsidRPr="008847EB">
        <w:rPr>
          <w:b/>
          <w:sz w:val="20"/>
          <w:szCs w:val="20"/>
          <w:lang w:val="fr-CA"/>
        </w:rPr>
        <w:t>2</w:t>
      </w:r>
      <w:r w:rsidR="00102792" w:rsidRPr="008847EB">
        <w:rPr>
          <w:b/>
          <w:sz w:val="20"/>
          <w:szCs w:val="20"/>
          <w:lang w:val="fr-CA"/>
        </w:rPr>
        <w:t xml:space="preserve">, </w:t>
      </w:r>
      <w:r w:rsidR="0034657E" w:rsidRPr="008847EB">
        <w:rPr>
          <w:b/>
          <w:sz w:val="20"/>
          <w:szCs w:val="20"/>
          <w:lang w:val="fr-CA"/>
        </w:rPr>
        <w:t>2019</w:t>
      </w:r>
      <w:r w:rsidR="00102792" w:rsidRPr="008847EB">
        <w:rPr>
          <w:b/>
          <w:sz w:val="20"/>
          <w:szCs w:val="20"/>
          <w:lang w:val="fr-CA"/>
        </w:rPr>
        <w:t xml:space="preserve"> / LE 2</w:t>
      </w:r>
      <w:r w:rsidRPr="008847EB">
        <w:rPr>
          <w:b/>
          <w:sz w:val="20"/>
          <w:szCs w:val="20"/>
          <w:lang w:val="fr-CA"/>
        </w:rPr>
        <w:t>2</w:t>
      </w:r>
      <w:r w:rsidR="00102792" w:rsidRPr="008847EB">
        <w:rPr>
          <w:b/>
          <w:sz w:val="20"/>
          <w:szCs w:val="20"/>
          <w:lang w:val="fr-CA"/>
        </w:rPr>
        <w:t xml:space="preserve"> </w:t>
      </w:r>
      <w:r w:rsidRPr="008847EB">
        <w:rPr>
          <w:b/>
          <w:sz w:val="20"/>
          <w:szCs w:val="20"/>
          <w:lang w:val="fr-CA"/>
        </w:rPr>
        <w:t>NOVEMBRE</w:t>
      </w:r>
      <w:r w:rsidR="00102792" w:rsidRPr="008847EB">
        <w:rPr>
          <w:b/>
          <w:sz w:val="20"/>
          <w:szCs w:val="20"/>
          <w:lang w:val="fr-CA"/>
        </w:rPr>
        <w:t xml:space="preserve"> </w:t>
      </w:r>
      <w:r w:rsidR="0034657E" w:rsidRPr="008847EB">
        <w:rPr>
          <w:b/>
          <w:sz w:val="20"/>
          <w:szCs w:val="20"/>
          <w:lang w:val="fr-CA"/>
        </w:rPr>
        <w:t>2019</w:t>
      </w:r>
    </w:p>
    <w:p w:rsidR="00102792" w:rsidRPr="008847EB" w:rsidRDefault="00102792" w:rsidP="00782AE4">
      <w:pPr>
        <w:jc w:val="both"/>
        <w:rPr>
          <w:sz w:val="20"/>
          <w:szCs w:val="20"/>
          <w:lang w:val="fr-CA"/>
        </w:rPr>
      </w:pPr>
    </w:p>
    <w:tbl>
      <w:tblPr>
        <w:tblW w:w="5000" w:type="pct"/>
        <w:tblCellMar>
          <w:top w:w="15" w:type="dxa"/>
          <w:left w:w="15" w:type="dxa"/>
          <w:bottom w:w="15" w:type="dxa"/>
          <w:right w:w="15" w:type="dxa"/>
        </w:tblCellMar>
        <w:tblLook w:val="04A0" w:firstRow="1" w:lastRow="0" w:firstColumn="1" w:lastColumn="0" w:noHBand="0" w:noVBand="1"/>
      </w:tblPr>
      <w:tblGrid>
        <w:gridCol w:w="2332"/>
        <w:gridCol w:w="7287"/>
      </w:tblGrid>
      <w:tr w:rsidR="001E76BA" w:rsidRPr="00684C75" w:rsidTr="002832B0">
        <w:trPr>
          <w:trHeight w:val="593"/>
        </w:trPr>
        <w:tc>
          <w:tcPr>
            <w:tcW w:w="1212" w:type="pct"/>
            <w:shd w:val="clear" w:color="auto" w:fill="auto"/>
            <w:tcMar>
              <w:top w:w="0" w:type="dxa"/>
              <w:left w:w="45" w:type="dxa"/>
              <w:bottom w:w="0" w:type="dxa"/>
              <w:right w:w="45" w:type="dxa"/>
            </w:tcMar>
            <w:hideMark/>
          </w:tcPr>
          <w:p w:rsidR="001E76BA" w:rsidRPr="008847EB" w:rsidRDefault="001E76BA" w:rsidP="002832B0">
            <w:pPr>
              <w:rPr>
                <w:color w:val="333333"/>
                <w:sz w:val="20"/>
              </w:rPr>
            </w:pPr>
            <w:r w:rsidRPr="008847EB">
              <w:rPr>
                <w:color w:val="333333"/>
                <w:sz w:val="20"/>
              </w:rPr>
              <w:t>DATE OF HEARING /</w:t>
            </w:r>
            <w:r w:rsidRPr="008847EB">
              <w:rPr>
                <w:color w:val="333333"/>
                <w:sz w:val="20"/>
              </w:rPr>
              <w:br/>
              <w:t>DATE D’AUDITION</w:t>
            </w:r>
          </w:p>
        </w:tc>
        <w:tc>
          <w:tcPr>
            <w:tcW w:w="3788" w:type="pct"/>
            <w:shd w:val="clear" w:color="auto" w:fill="auto"/>
            <w:tcMar>
              <w:top w:w="0" w:type="dxa"/>
              <w:left w:w="45" w:type="dxa"/>
              <w:bottom w:w="0" w:type="dxa"/>
              <w:right w:w="45" w:type="dxa"/>
            </w:tcMar>
            <w:hideMark/>
          </w:tcPr>
          <w:p w:rsidR="001E76BA" w:rsidRPr="008847EB" w:rsidRDefault="001E76BA" w:rsidP="002832B0">
            <w:pPr>
              <w:rPr>
                <w:color w:val="333333"/>
                <w:sz w:val="20"/>
                <w:lang w:val="fr-CA"/>
              </w:rPr>
            </w:pPr>
            <w:r w:rsidRPr="008847EB">
              <w:rPr>
                <w:color w:val="333333"/>
                <w:sz w:val="20"/>
                <w:lang w:val="fr-CA"/>
              </w:rPr>
              <w:t>NAME AND CASE NUMBER /</w:t>
            </w:r>
            <w:r w:rsidRPr="008847EB">
              <w:rPr>
                <w:color w:val="333333"/>
                <w:sz w:val="20"/>
                <w:lang w:val="fr-CA"/>
              </w:rPr>
              <w:br/>
              <w:t>NOM DE LA CAUSE ET NUMÉRO</w:t>
            </w:r>
          </w:p>
        </w:tc>
      </w:tr>
      <w:tr w:rsidR="001E76BA" w:rsidRPr="008847EB" w:rsidTr="002832B0">
        <w:trPr>
          <w:trHeight w:val="573"/>
        </w:trPr>
        <w:tc>
          <w:tcPr>
            <w:tcW w:w="1212"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color w:val="333333"/>
                <w:sz w:val="20"/>
              </w:rPr>
              <w:t>2019-12-03</w:t>
            </w:r>
          </w:p>
        </w:tc>
        <w:tc>
          <w:tcPr>
            <w:tcW w:w="3788"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i/>
                <w:iCs/>
                <w:color w:val="333333"/>
                <w:sz w:val="20"/>
              </w:rPr>
              <w:t>Atlantic Lottery Corporation Inc., et al. v. Douglas Babstock, et al.</w:t>
            </w:r>
            <w:r w:rsidRPr="008847EB">
              <w:rPr>
                <w:color w:val="333333"/>
                <w:sz w:val="20"/>
              </w:rPr>
              <w:t xml:space="preserve"> (N.L.) (Civil) (By Leave) (</w:t>
            </w:r>
            <w:hyperlink r:id="rId57" w:history="1">
              <w:r w:rsidRPr="008847EB">
                <w:rPr>
                  <w:rStyle w:val="Hyperlink"/>
                  <w:sz w:val="20"/>
                </w:rPr>
                <w:t>38521</w:t>
              </w:r>
            </w:hyperlink>
            <w:r w:rsidRPr="008847EB">
              <w:rPr>
                <w:color w:val="333333"/>
                <w:sz w:val="20"/>
              </w:rPr>
              <w:t>)</w:t>
            </w:r>
          </w:p>
        </w:tc>
      </w:tr>
      <w:tr w:rsidR="001E76BA" w:rsidRPr="008847EB" w:rsidTr="002832B0">
        <w:trPr>
          <w:trHeight w:val="567"/>
        </w:trPr>
        <w:tc>
          <w:tcPr>
            <w:tcW w:w="1212"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color w:val="333333"/>
                <w:sz w:val="20"/>
              </w:rPr>
              <w:t>2019-12-04</w:t>
            </w:r>
          </w:p>
        </w:tc>
        <w:tc>
          <w:tcPr>
            <w:tcW w:w="3788"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i/>
                <w:iCs/>
                <w:color w:val="333333"/>
                <w:sz w:val="20"/>
              </w:rPr>
              <w:t>Chaycen Michael Zora v. Her Majesty the Queen</w:t>
            </w:r>
            <w:r w:rsidRPr="008847EB">
              <w:rPr>
                <w:color w:val="333333"/>
                <w:sz w:val="20"/>
              </w:rPr>
              <w:t xml:space="preserve"> (B.C.) (Criminal) (By Leave) (</w:t>
            </w:r>
            <w:hyperlink r:id="rId58" w:history="1">
              <w:r w:rsidRPr="008847EB">
                <w:rPr>
                  <w:rStyle w:val="Hyperlink"/>
                  <w:sz w:val="20"/>
                </w:rPr>
                <w:t>38540</w:t>
              </w:r>
            </w:hyperlink>
            <w:r w:rsidRPr="008847EB">
              <w:rPr>
                <w:color w:val="333333"/>
                <w:sz w:val="20"/>
              </w:rPr>
              <w:t>)</w:t>
            </w:r>
          </w:p>
        </w:tc>
      </w:tr>
      <w:tr w:rsidR="001E76BA" w:rsidRPr="008847EB" w:rsidTr="002832B0">
        <w:trPr>
          <w:trHeight w:val="561"/>
        </w:trPr>
        <w:tc>
          <w:tcPr>
            <w:tcW w:w="1212"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color w:val="333333"/>
                <w:sz w:val="20"/>
              </w:rPr>
              <w:t>2019-12-05</w:t>
            </w:r>
          </w:p>
        </w:tc>
        <w:tc>
          <w:tcPr>
            <w:tcW w:w="3788"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lang w:val="fr-CA"/>
              </w:rPr>
            </w:pPr>
            <w:r w:rsidRPr="008847EB">
              <w:rPr>
                <w:i/>
                <w:iCs/>
                <w:color w:val="333333"/>
                <w:sz w:val="20"/>
                <w:lang w:val="fr-CA"/>
              </w:rPr>
              <w:t>Desjardins Cabinet de services financiers inc., et al. c. Ronald Asselin</w:t>
            </w:r>
            <w:r w:rsidRPr="008847EB">
              <w:rPr>
                <w:color w:val="333333"/>
                <w:sz w:val="20"/>
                <w:lang w:val="fr-CA"/>
              </w:rPr>
              <w:t xml:space="preserve"> (Qc) (Civile) (Autorisation) (</w:t>
            </w:r>
            <w:hyperlink r:id="rId59" w:history="1">
              <w:r w:rsidRPr="008847EB">
                <w:rPr>
                  <w:rStyle w:val="Hyperlink"/>
                  <w:sz w:val="20"/>
                  <w:lang w:val="fr-CA"/>
                </w:rPr>
                <w:t>37898</w:t>
              </w:r>
            </w:hyperlink>
            <w:r w:rsidRPr="008847EB">
              <w:rPr>
                <w:color w:val="333333"/>
                <w:sz w:val="20"/>
                <w:lang w:val="fr-CA"/>
              </w:rPr>
              <w:t>)</w:t>
            </w:r>
          </w:p>
          <w:p w:rsidR="001E76BA" w:rsidRPr="008847EB" w:rsidRDefault="001E76BA" w:rsidP="002832B0">
            <w:pPr>
              <w:rPr>
                <w:color w:val="333333"/>
                <w:sz w:val="20"/>
                <w:lang w:val="fr-CA"/>
              </w:rPr>
            </w:pPr>
            <w:r w:rsidRPr="008847EB">
              <w:rPr>
                <w:color w:val="333333"/>
                <w:sz w:val="20"/>
                <w:lang w:val="fr-CA"/>
              </w:rPr>
              <w:t>(Start time: 10:00 a.m. / Audience débutant à 10 h)</w:t>
            </w:r>
          </w:p>
        </w:tc>
      </w:tr>
      <w:tr w:rsidR="001E76BA" w:rsidRPr="008847EB" w:rsidTr="002832B0">
        <w:trPr>
          <w:trHeight w:val="271"/>
        </w:trPr>
        <w:tc>
          <w:tcPr>
            <w:tcW w:w="1212"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color w:val="333333"/>
                <w:sz w:val="20"/>
              </w:rPr>
              <w:t>2019-12-06</w:t>
            </w:r>
          </w:p>
        </w:tc>
        <w:tc>
          <w:tcPr>
            <w:tcW w:w="3788"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i/>
                <w:iCs/>
                <w:color w:val="333333"/>
                <w:sz w:val="20"/>
              </w:rPr>
              <w:t>C.M. Callow Inc. v. Tammy Zollinger, et al.</w:t>
            </w:r>
            <w:r w:rsidRPr="008847EB">
              <w:rPr>
                <w:color w:val="333333"/>
                <w:sz w:val="20"/>
              </w:rPr>
              <w:t xml:space="preserve"> (Ont.) (Civil) (By Leave) (</w:t>
            </w:r>
            <w:hyperlink r:id="rId60" w:history="1">
              <w:r w:rsidRPr="008847EB">
                <w:rPr>
                  <w:rStyle w:val="Hyperlink"/>
                  <w:sz w:val="20"/>
                </w:rPr>
                <w:t>38463</w:t>
              </w:r>
            </w:hyperlink>
            <w:r w:rsidRPr="008847EB">
              <w:rPr>
                <w:color w:val="333333"/>
                <w:sz w:val="20"/>
              </w:rPr>
              <w:t>)</w:t>
            </w:r>
          </w:p>
        </w:tc>
      </w:tr>
      <w:tr w:rsidR="001E76BA" w:rsidRPr="008847EB" w:rsidTr="002832B0">
        <w:trPr>
          <w:trHeight w:val="572"/>
        </w:trPr>
        <w:tc>
          <w:tcPr>
            <w:tcW w:w="1212"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color w:val="333333"/>
                <w:sz w:val="20"/>
              </w:rPr>
              <w:t>2019-12-06</w:t>
            </w:r>
          </w:p>
        </w:tc>
        <w:tc>
          <w:tcPr>
            <w:tcW w:w="3788"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i/>
                <w:iCs/>
                <w:color w:val="333333"/>
                <w:sz w:val="20"/>
              </w:rPr>
              <w:t>Wastech Services Ltd. v. Greater Vancouver Sewerage and Drainage District</w:t>
            </w:r>
            <w:r w:rsidRPr="008847EB">
              <w:rPr>
                <w:color w:val="333333"/>
                <w:sz w:val="20"/>
              </w:rPr>
              <w:t xml:space="preserve"> (B.C.) (Civil) (By Leave) (</w:t>
            </w:r>
            <w:hyperlink r:id="rId61" w:history="1">
              <w:r w:rsidRPr="008847EB">
                <w:rPr>
                  <w:rStyle w:val="Hyperlink"/>
                  <w:sz w:val="20"/>
                </w:rPr>
                <w:t>38601</w:t>
              </w:r>
            </w:hyperlink>
            <w:r w:rsidRPr="008847EB">
              <w:rPr>
                <w:color w:val="333333"/>
                <w:sz w:val="20"/>
              </w:rPr>
              <w:t>)</w:t>
            </w:r>
          </w:p>
        </w:tc>
      </w:tr>
      <w:tr w:rsidR="001E76BA" w:rsidRPr="008847EB" w:rsidTr="002832B0">
        <w:trPr>
          <w:trHeight w:val="566"/>
        </w:trPr>
        <w:tc>
          <w:tcPr>
            <w:tcW w:w="1212"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color w:val="333333"/>
                <w:sz w:val="20"/>
              </w:rPr>
              <w:t>2019-12-09</w:t>
            </w:r>
          </w:p>
        </w:tc>
        <w:tc>
          <w:tcPr>
            <w:tcW w:w="3788"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i/>
                <w:iCs/>
                <w:color w:val="333333"/>
                <w:sz w:val="20"/>
              </w:rPr>
              <w:t>Attorney General of British Columbia v. Provincial Court Judges' Association of British Columbia</w:t>
            </w:r>
            <w:r w:rsidRPr="008847EB">
              <w:rPr>
                <w:color w:val="333333"/>
                <w:sz w:val="20"/>
              </w:rPr>
              <w:t xml:space="preserve"> (B.C.) (Civil) (By Leave) (</w:t>
            </w:r>
            <w:hyperlink r:id="rId62" w:history="1">
              <w:r w:rsidRPr="008847EB">
                <w:rPr>
                  <w:rStyle w:val="Hyperlink"/>
                  <w:sz w:val="20"/>
                </w:rPr>
                <w:t>38381</w:t>
              </w:r>
            </w:hyperlink>
            <w:r w:rsidRPr="008847EB">
              <w:rPr>
                <w:color w:val="333333"/>
                <w:sz w:val="20"/>
              </w:rPr>
              <w:t>)</w:t>
            </w:r>
          </w:p>
        </w:tc>
      </w:tr>
      <w:tr w:rsidR="001E76BA" w:rsidRPr="008847EB" w:rsidTr="002832B0">
        <w:trPr>
          <w:trHeight w:val="999"/>
        </w:trPr>
        <w:tc>
          <w:tcPr>
            <w:tcW w:w="1212"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color w:val="333333"/>
                <w:sz w:val="20"/>
              </w:rPr>
              <w:t>2019-12-09</w:t>
            </w:r>
          </w:p>
        </w:tc>
        <w:tc>
          <w:tcPr>
            <w:tcW w:w="3788"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i/>
                <w:iCs/>
                <w:color w:val="333333"/>
                <w:sz w:val="20"/>
              </w:rPr>
              <w:t>Attorney General of Nova Scotia representing Her Majesty the Queen in Right of the Province of Nova Scotia, et al. v. Judges of the Provincial Court and Family Court of Nova Scotia, as represented by the Nova Scotia Provincial Judges Association</w:t>
            </w:r>
            <w:r w:rsidRPr="008847EB">
              <w:rPr>
                <w:color w:val="333333"/>
                <w:sz w:val="20"/>
              </w:rPr>
              <w:t xml:space="preserve"> (N.S.) (Civil) (By Leave) (</w:t>
            </w:r>
            <w:hyperlink r:id="rId63" w:history="1">
              <w:r w:rsidRPr="008847EB">
                <w:rPr>
                  <w:rStyle w:val="Hyperlink"/>
                  <w:sz w:val="20"/>
                </w:rPr>
                <w:t>38459</w:t>
              </w:r>
            </w:hyperlink>
            <w:r w:rsidRPr="008847EB">
              <w:rPr>
                <w:color w:val="333333"/>
                <w:sz w:val="20"/>
              </w:rPr>
              <w:t>)</w:t>
            </w:r>
          </w:p>
        </w:tc>
      </w:tr>
      <w:tr w:rsidR="001E76BA" w:rsidRPr="008847EB" w:rsidTr="002832B0">
        <w:trPr>
          <w:trHeight w:val="284"/>
        </w:trPr>
        <w:tc>
          <w:tcPr>
            <w:tcW w:w="1212"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color w:val="333333"/>
                <w:sz w:val="20"/>
              </w:rPr>
              <w:t>2019-12-10</w:t>
            </w:r>
          </w:p>
        </w:tc>
        <w:tc>
          <w:tcPr>
            <w:tcW w:w="3788"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i/>
                <w:iCs/>
                <w:color w:val="333333"/>
                <w:sz w:val="20"/>
                <w:lang w:val="fr-CA"/>
              </w:rPr>
              <w:t>Hydro-Québec c. Louise Matta, et al.</w:t>
            </w:r>
            <w:r w:rsidRPr="008847EB">
              <w:rPr>
                <w:color w:val="333333"/>
                <w:sz w:val="20"/>
                <w:lang w:val="fr-CA"/>
              </w:rPr>
              <w:t xml:space="preserve"> </w:t>
            </w:r>
            <w:r w:rsidRPr="008847EB">
              <w:rPr>
                <w:color w:val="333333"/>
                <w:sz w:val="20"/>
              </w:rPr>
              <w:t>(Qc) (Civile) (Autorisation) (</w:t>
            </w:r>
            <w:hyperlink r:id="rId64" w:history="1">
              <w:r w:rsidRPr="008847EB">
                <w:rPr>
                  <w:rStyle w:val="Hyperlink"/>
                  <w:sz w:val="20"/>
                </w:rPr>
                <w:t>38254</w:t>
              </w:r>
            </w:hyperlink>
            <w:r w:rsidRPr="008847EB">
              <w:rPr>
                <w:color w:val="333333"/>
                <w:sz w:val="20"/>
              </w:rPr>
              <w:t>)</w:t>
            </w:r>
          </w:p>
        </w:tc>
      </w:tr>
      <w:tr w:rsidR="001E76BA" w:rsidRPr="008847EB" w:rsidTr="002832B0">
        <w:trPr>
          <w:trHeight w:val="571"/>
        </w:trPr>
        <w:tc>
          <w:tcPr>
            <w:tcW w:w="1212"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color w:val="333333"/>
                <w:sz w:val="20"/>
              </w:rPr>
              <w:t>2019-12-11</w:t>
            </w:r>
          </w:p>
        </w:tc>
        <w:tc>
          <w:tcPr>
            <w:tcW w:w="3788"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i/>
                <w:iCs/>
                <w:color w:val="333333"/>
                <w:sz w:val="20"/>
                <w:lang w:val="fr-CA"/>
              </w:rPr>
              <w:t>International Air Transport Association, et al. v. Instrubel, N.V., et al.</w:t>
            </w:r>
            <w:r w:rsidRPr="008847EB">
              <w:rPr>
                <w:color w:val="333333"/>
                <w:sz w:val="20"/>
                <w:lang w:val="fr-CA"/>
              </w:rPr>
              <w:t xml:space="preserve"> </w:t>
            </w:r>
            <w:r w:rsidRPr="008847EB">
              <w:rPr>
                <w:color w:val="333333"/>
                <w:sz w:val="20"/>
              </w:rPr>
              <w:t>(Que.) (Civil) (By Leave) (</w:t>
            </w:r>
            <w:hyperlink r:id="rId65" w:history="1">
              <w:r w:rsidRPr="008847EB">
                <w:rPr>
                  <w:rStyle w:val="Hyperlink"/>
                  <w:sz w:val="20"/>
                </w:rPr>
                <w:t>38562</w:t>
              </w:r>
            </w:hyperlink>
            <w:r w:rsidRPr="008847EB">
              <w:rPr>
                <w:color w:val="333333"/>
                <w:sz w:val="20"/>
              </w:rPr>
              <w:t>)</w:t>
            </w:r>
          </w:p>
        </w:tc>
      </w:tr>
      <w:tr w:rsidR="001E76BA" w:rsidRPr="008847EB" w:rsidTr="002832B0">
        <w:trPr>
          <w:trHeight w:val="281"/>
        </w:trPr>
        <w:tc>
          <w:tcPr>
            <w:tcW w:w="1212"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color w:val="333333"/>
                <w:sz w:val="20"/>
              </w:rPr>
              <w:t>2019-12-12</w:t>
            </w:r>
          </w:p>
        </w:tc>
        <w:tc>
          <w:tcPr>
            <w:tcW w:w="3788"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i/>
                <w:iCs/>
                <w:color w:val="333333"/>
                <w:sz w:val="20"/>
              </w:rPr>
              <w:t>Joanne Fraser, et al. v. Attorney General of Canada</w:t>
            </w:r>
            <w:r w:rsidRPr="008847EB">
              <w:rPr>
                <w:color w:val="333333"/>
                <w:sz w:val="20"/>
              </w:rPr>
              <w:t xml:space="preserve"> (F.C.) (Civil) (By Leave) (</w:t>
            </w:r>
            <w:hyperlink r:id="rId66" w:history="1">
              <w:r w:rsidRPr="008847EB">
                <w:rPr>
                  <w:rStyle w:val="Hyperlink"/>
                  <w:sz w:val="20"/>
                </w:rPr>
                <w:t>38505</w:t>
              </w:r>
            </w:hyperlink>
            <w:r w:rsidRPr="008847EB">
              <w:rPr>
                <w:color w:val="333333"/>
                <w:sz w:val="20"/>
              </w:rPr>
              <w:t>)</w:t>
            </w:r>
          </w:p>
        </w:tc>
      </w:tr>
      <w:tr w:rsidR="001E76BA" w:rsidRPr="00684C75" w:rsidTr="002832B0">
        <w:trPr>
          <w:trHeight w:val="286"/>
        </w:trPr>
        <w:tc>
          <w:tcPr>
            <w:tcW w:w="1212"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rPr>
            </w:pPr>
            <w:r w:rsidRPr="008847EB">
              <w:rPr>
                <w:color w:val="333333"/>
                <w:sz w:val="20"/>
              </w:rPr>
              <w:t>2019-12-13</w:t>
            </w:r>
          </w:p>
        </w:tc>
        <w:tc>
          <w:tcPr>
            <w:tcW w:w="3788" w:type="pct"/>
            <w:shd w:val="clear" w:color="auto" w:fill="auto"/>
            <w:tcMar>
              <w:top w:w="0" w:type="dxa"/>
              <w:left w:w="45" w:type="dxa"/>
              <w:bottom w:w="0" w:type="dxa"/>
              <w:right w:w="45" w:type="dxa"/>
            </w:tcMar>
            <w:hideMark/>
          </w:tcPr>
          <w:p w:rsidR="001E76BA" w:rsidRPr="008847EB" w:rsidRDefault="001E76BA" w:rsidP="002832B0">
            <w:pPr>
              <w:spacing w:before="120"/>
              <w:rPr>
                <w:color w:val="333333"/>
                <w:sz w:val="20"/>
                <w:lang w:val="fr-CA"/>
              </w:rPr>
            </w:pPr>
            <w:r w:rsidRPr="008847EB">
              <w:rPr>
                <w:i/>
                <w:iCs/>
                <w:color w:val="333333"/>
                <w:sz w:val="20"/>
                <w:lang w:val="fr-CA"/>
              </w:rPr>
              <w:t>Alexandre Collin c. Sa Majesté la Reine</w:t>
            </w:r>
            <w:r w:rsidRPr="008847EB">
              <w:rPr>
                <w:color w:val="333333"/>
                <w:sz w:val="20"/>
                <w:lang w:val="fr-CA"/>
              </w:rPr>
              <w:t xml:space="preserve"> (Qc) (Criminelle) (De plein droit) (</w:t>
            </w:r>
            <w:hyperlink r:id="rId67" w:history="1">
              <w:r w:rsidRPr="008847EB">
                <w:rPr>
                  <w:rStyle w:val="Hyperlink"/>
                  <w:sz w:val="20"/>
                  <w:lang w:val="fr-CA"/>
                </w:rPr>
                <w:t>38681</w:t>
              </w:r>
            </w:hyperlink>
            <w:r w:rsidRPr="008847EB">
              <w:rPr>
                <w:color w:val="333333"/>
                <w:sz w:val="20"/>
                <w:lang w:val="fr-CA"/>
              </w:rPr>
              <w:t>)</w:t>
            </w:r>
          </w:p>
        </w:tc>
      </w:tr>
    </w:tbl>
    <w:p w:rsidR="001E76BA" w:rsidRPr="008847EB" w:rsidRDefault="001E76BA" w:rsidP="001E76BA">
      <w:pPr>
        <w:widowControl w:val="0"/>
        <w:rPr>
          <w:sz w:val="20"/>
          <w:lang w:val="fr-CA"/>
        </w:rPr>
      </w:pPr>
    </w:p>
    <w:p w:rsidR="001E76BA" w:rsidRPr="008847EB" w:rsidRDefault="001E76BA" w:rsidP="001E76BA">
      <w:pPr>
        <w:widowControl w:val="0"/>
        <w:jc w:val="both"/>
        <w:rPr>
          <w:sz w:val="20"/>
        </w:rPr>
      </w:pPr>
      <w:r w:rsidRPr="008847EB">
        <w:rPr>
          <w:b/>
          <w:sz w:val="20"/>
        </w:rPr>
        <w:t>NOTE:</w:t>
      </w:r>
      <w:r w:rsidRPr="008847EB">
        <w:rPr>
          <w:sz w:val="20"/>
        </w:rPr>
        <w:t xml:space="preserve"> This agenda is subject to change. Hearings normally commence at 9:30 a.m. EST;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E76BA" w:rsidRPr="008847EB" w:rsidRDefault="001E76BA" w:rsidP="001E76BA">
      <w:pPr>
        <w:widowControl w:val="0"/>
        <w:jc w:val="both"/>
        <w:rPr>
          <w:sz w:val="20"/>
        </w:rPr>
      </w:pPr>
    </w:p>
    <w:p w:rsidR="001E76BA" w:rsidRPr="008847EB" w:rsidRDefault="001E76BA" w:rsidP="001E76BA">
      <w:pPr>
        <w:jc w:val="both"/>
        <w:rPr>
          <w:sz w:val="20"/>
          <w:lang w:val="fr-CA"/>
        </w:rPr>
      </w:pPr>
      <w:r w:rsidRPr="008847EB">
        <w:rPr>
          <w:sz w:val="20"/>
          <w:lang w:val="fr-CA"/>
        </w:rPr>
        <w:t>Ce calendrier est sujet à modification. Les audiences débutent normalement à 9 h 30 HNE;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E76BA" w:rsidRPr="008847EB" w:rsidRDefault="001E76BA" w:rsidP="001E76BA">
      <w:pPr>
        <w:widowControl w:val="0"/>
        <w:jc w:val="both"/>
        <w:rPr>
          <w:sz w:val="20"/>
          <w:lang w:val="fr-CA"/>
        </w:rPr>
      </w:pPr>
    </w:p>
    <w:p w:rsidR="00DC6CB2" w:rsidRPr="008847EB" w:rsidRDefault="0011194E" w:rsidP="001E76BA">
      <w:pPr>
        <w:widowControl w:val="0"/>
        <w:jc w:val="both"/>
        <w:rPr>
          <w:sz w:val="20"/>
          <w:lang w:val="fr-CA"/>
        </w:rPr>
      </w:pPr>
      <w:r>
        <w:rPr>
          <w:szCs w:val="24"/>
          <w:lang w:val="fr-CA"/>
        </w:rPr>
        <w:pict>
          <v:rect id="_x0000_i1062" style="width:108pt;height:1pt" o:hrpct="0" o:hralign="center" o:hrstd="t" o:hrnoshade="t" o:hr="t" fillcolor="black [3213]" stroked="f"/>
        </w:pict>
      </w:r>
    </w:p>
    <w:p w:rsidR="004B4392" w:rsidRPr="008847EB" w:rsidRDefault="004B4392" w:rsidP="004B4392">
      <w:pPr>
        <w:widowControl w:val="0"/>
        <w:jc w:val="both"/>
        <w:rPr>
          <w:sz w:val="20"/>
          <w:lang w:val="fr-CA"/>
        </w:rPr>
      </w:pPr>
    </w:p>
    <w:p w:rsidR="004B4392" w:rsidRPr="008847EB" w:rsidRDefault="004B4392" w:rsidP="004B4392">
      <w:pPr>
        <w:pStyle w:val="SCCLsocParty"/>
        <w:jc w:val="both"/>
        <w:rPr>
          <w:b/>
          <w:sz w:val="20"/>
          <w:szCs w:val="20"/>
          <w:lang w:val="en-US"/>
        </w:rPr>
      </w:pPr>
      <w:r w:rsidRPr="008847EB">
        <w:rPr>
          <w:sz w:val="20"/>
          <w:szCs w:val="20"/>
        </w:rPr>
        <w:fldChar w:fldCharType="begin"/>
      </w:r>
      <w:r w:rsidRPr="008847EB">
        <w:rPr>
          <w:sz w:val="20"/>
          <w:szCs w:val="20"/>
          <w:lang w:val="en-US"/>
        </w:rPr>
        <w:instrText xml:space="preserve"> SEQ CHAPTER \h \r 1</w:instrText>
      </w:r>
      <w:r w:rsidRPr="008847EB">
        <w:rPr>
          <w:sz w:val="20"/>
          <w:szCs w:val="20"/>
        </w:rPr>
        <w:fldChar w:fldCharType="end"/>
      </w:r>
      <w:r w:rsidRPr="008847EB">
        <w:rPr>
          <w:rStyle w:val="SCCFileNumberChar"/>
          <w:rFonts w:eastAsiaTheme="minorHAnsi"/>
          <w:sz w:val="20"/>
          <w:szCs w:val="20"/>
        </w:rPr>
        <w:t>38521</w:t>
      </w:r>
      <w:r w:rsidRPr="008847EB">
        <w:rPr>
          <w:b/>
          <w:sz w:val="20"/>
          <w:szCs w:val="20"/>
          <w:lang w:val="en-US"/>
        </w:rPr>
        <w:tab/>
      </w:r>
      <w:r w:rsidRPr="008847EB">
        <w:rPr>
          <w:b/>
          <w:i/>
          <w:sz w:val="20"/>
          <w:szCs w:val="20"/>
          <w:lang w:val="en-US"/>
        </w:rPr>
        <w:t>Atlantic Lottery Corporation Inc. v. Douglas Babstock, Fred Small</w:t>
      </w:r>
    </w:p>
    <w:p w:rsidR="004B4392" w:rsidRPr="008847EB" w:rsidRDefault="004B4392" w:rsidP="004B4392">
      <w:pPr>
        <w:ind w:firstLine="720"/>
        <w:jc w:val="both"/>
        <w:rPr>
          <w:b/>
          <w:i/>
          <w:sz w:val="20"/>
        </w:rPr>
      </w:pPr>
      <w:r w:rsidRPr="008847EB">
        <w:rPr>
          <w:b/>
          <w:i/>
          <w:sz w:val="20"/>
        </w:rPr>
        <w:t xml:space="preserve">- </w:t>
      </w:r>
      <w:proofErr w:type="gramStart"/>
      <w:r w:rsidRPr="008847EB">
        <w:rPr>
          <w:b/>
          <w:i/>
          <w:sz w:val="20"/>
        </w:rPr>
        <w:t>and</w:t>
      </w:r>
      <w:proofErr w:type="gramEnd"/>
      <w:r w:rsidRPr="008847EB">
        <w:rPr>
          <w:b/>
          <w:i/>
          <w:sz w:val="20"/>
        </w:rPr>
        <w:t xml:space="preserve"> -</w:t>
      </w:r>
    </w:p>
    <w:p w:rsidR="004B4392" w:rsidRPr="008847EB" w:rsidRDefault="004B4392" w:rsidP="004B4392">
      <w:pPr>
        <w:ind w:firstLine="720"/>
        <w:jc w:val="both"/>
        <w:rPr>
          <w:b/>
          <w:i/>
          <w:sz w:val="20"/>
        </w:rPr>
      </w:pPr>
      <w:r w:rsidRPr="008847EB">
        <w:rPr>
          <w:b/>
          <w:i/>
          <w:sz w:val="20"/>
        </w:rPr>
        <w:t>Bally Gaming Canada Ltd. And Bally Gaming Inc.</w:t>
      </w:r>
    </w:p>
    <w:p w:rsidR="004B4392" w:rsidRPr="008847EB" w:rsidRDefault="004B4392" w:rsidP="004B4392">
      <w:pPr>
        <w:pStyle w:val="SCCLsocSubfileSeparator0"/>
        <w:ind w:firstLine="720"/>
        <w:rPr>
          <w:i/>
          <w:sz w:val="20"/>
          <w:szCs w:val="20"/>
        </w:rPr>
      </w:pPr>
      <w:r w:rsidRPr="008847EB">
        <w:rPr>
          <w:i/>
          <w:sz w:val="20"/>
          <w:szCs w:val="20"/>
        </w:rPr>
        <w:t xml:space="preserve">- </w:t>
      </w:r>
      <w:proofErr w:type="gramStart"/>
      <w:r w:rsidRPr="008847EB">
        <w:rPr>
          <w:i/>
          <w:sz w:val="20"/>
          <w:szCs w:val="20"/>
        </w:rPr>
        <w:t>and</w:t>
      </w:r>
      <w:proofErr w:type="gramEnd"/>
      <w:r w:rsidRPr="008847EB">
        <w:rPr>
          <w:i/>
          <w:sz w:val="20"/>
          <w:szCs w:val="20"/>
        </w:rPr>
        <w:t xml:space="preserve"> between -</w:t>
      </w:r>
    </w:p>
    <w:p w:rsidR="004B4392" w:rsidRPr="008847EB" w:rsidRDefault="004B4392" w:rsidP="004B4392">
      <w:pPr>
        <w:pStyle w:val="SCCLsocParty"/>
        <w:ind w:left="720"/>
        <w:jc w:val="both"/>
        <w:rPr>
          <w:b/>
          <w:i/>
          <w:sz w:val="20"/>
          <w:szCs w:val="20"/>
          <w:lang w:val="en-US"/>
        </w:rPr>
      </w:pPr>
      <w:r w:rsidRPr="008847EB">
        <w:rPr>
          <w:b/>
          <w:i/>
          <w:sz w:val="20"/>
          <w:szCs w:val="20"/>
          <w:lang w:val="en-US"/>
        </w:rPr>
        <w:t>VLC, Inc., IGT-Canada Inc., International Game Technology, Spielo International Canada ULC, Tech Link International Entertainment Limited v. Douglas Babstock, Fred Small</w:t>
      </w:r>
    </w:p>
    <w:p w:rsidR="004B4392" w:rsidRPr="008847EB" w:rsidRDefault="004B4392" w:rsidP="004B4392">
      <w:pPr>
        <w:pStyle w:val="SCCLsocOtherPartySeparator"/>
        <w:ind w:firstLine="720"/>
        <w:rPr>
          <w:i w:val="0"/>
          <w:sz w:val="20"/>
          <w:szCs w:val="20"/>
        </w:rPr>
      </w:pPr>
      <w:r w:rsidRPr="008847EB">
        <w:rPr>
          <w:sz w:val="20"/>
          <w:szCs w:val="20"/>
        </w:rPr>
        <w:t xml:space="preserve">- </w:t>
      </w:r>
      <w:proofErr w:type="gramStart"/>
      <w:r w:rsidRPr="008847EB">
        <w:rPr>
          <w:sz w:val="20"/>
          <w:szCs w:val="20"/>
        </w:rPr>
        <w:t>and</w:t>
      </w:r>
      <w:proofErr w:type="gramEnd"/>
      <w:r w:rsidRPr="008847EB">
        <w:rPr>
          <w:sz w:val="20"/>
          <w:szCs w:val="20"/>
        </w:rPr>
        <w:t xml:space="preserve"> -</w:t>
      </w:r>
    </w:p>
    <w:p w:rsidR="004B4392" w:rsidRPr="008847EB" w:rsidRDefault="004B4392" w:rsidP="004B4392">
      <w:pPr>
        <w:pStyle w:val="SCCLsocParty"/>
        <w:ind w:firstLine="720"/>
        <w:jc w:val="both"/>
        <w:rPr>
          <w:b/>
          <w:i/>
          <w:sz w:val="20"/>
          <w:szCs w:val="20"/>
          <w:lang w:val="en-US"/>
        </w:rPr>
      </w:pPr>
      <w:r w:rsidRPr="008847EB">
        <w:rPr>
          <w:b/>
          <w:i/>
          <w:sz w:val="20"/>
          <w:szCs w:val="20"/>
          <w:lang w:val="en-US"/>
        </w:rPr>
        <w:t>Bally Gaming Canada Ltd. and Bally Gaming Inc.</w:t>
      </w:r>
    </w:p>
    <w:p w:rsidR="004B4392" w:rsidRPr="008847EB" w:rsidRDefault="004B4392" w:rsidP="004B4392">
      <w:pPr>
        <w:widowControl w:val="0"/>
        <w:ind w:firstLine="720"/>
        <w:jc w:val="both"/>
        <w:rPr>
          <w:sz w:val="20"/>
        </w:rPr>
      </w:pPr>
      <w:bookmarkStart w:id="11" w:name="4"/>
      <w:bookmarkEnd w:id="11"/>
      <w:r w:rsidRPr="008847EB">
        <w:rPr>
          <w:sz w:val="20"/>
        </w:rPr>
        <w:t>(N.L.) (Civil) (By Leave)</w:t>
      </w:r>
    </w:p>
    <w:p w:rsidR="004B4392" w:rsidRPr="008847EB" w:rsidRDefault="004B4392" w:rsidP="004B4392">
      <w:pPr>
        <w:pStyle w:val="SCCCaseDescriptor0"/>
        <w:jc w:val="both"/>
        <w:rPr>
          <w:b w:val="0"/>
          <w:sz w:val="20"/>
        </w:rPr>
      </w:pPr>
    </w:p>
    <w:p w:rsidR="004B4392" w:rsidRPr="008847EB" w:rsidRDefault="004B4392" w:rsidP="004B4392">
      <w:pPr>
        <w:jc w:val="both"/>
        <w:rPr>
          <w:sz w:val="20"/>
        </w:rPr>
      </w:pPr>
      <w:r w:rsidRPr="008847EB">
        <w:rPr>
          <w:sz w:val="20"/>
        </w:rPr>
        <w:t>Torts – Duty of care – Causation – Contracts – Breach – Disgorgement of profits – Whether a new cause of action should be recognized entitling a plaintiff to a disgorgement remedy upon proof of the breach of a duty of care in negligence, absent damage, injury or loss – Whether the proper analytical framework was applied for disgorgement in breach of contract – Whether the proper interpretation of “three-card monte” discloses any reasonable prospect of the plaintiffs succeeding – Whether certification of the class action should have been denied</w:t>
      </w:r>
    </w:p>
    <w:p w:rsidR="004B4392" w:rsidRPr="008847EB" w:rsidRDefault="004B4392" w:rsidP="004B4392">
      <w:pPr>
        <w:jc w:val="both"/>
        <w:rPr>
          <w:sz w:val="20"/>
        </w:rPr>
      </w:pPr>
    </w:p>
    <w:p w:rsidR="004B4392" w:rsidRPr="008847EB" w:rsidRDefault="004B4392" w:rsidP="004B4392">
      <w:pPr>
        <w:jc w:val="both"/>
        <w:rPr>
          <w:color w:val="000000"/>
          <w:sz w:val="20"/>
          <w:shd w:val="clear" w:color="auto" w:fill="FFFFFF"/>
        </w:rPr>
      </w:pPr>
      <w:r w:rsidRPr="008847EB">
        <w:rPr>
          <w:sz w:val="20"/>
        </w:rPr>
        <w:t xml:space="preserve">The Atlantic Lottery Corporation (ALC) </w:t>
      </w:r>
      <w:r w:rsidRPr="008847EB">
        <w:rPr>
          <w:color w:val="000000"/>
          <w:sz w:val="20"/>
          <w:shd w:val="clear" w:color="auto" w:fill="FFFFFF"/>
        </w:rPr>
        <w:t xml:space="preserve">is a corporation constituted by the governments of the four Atlantic Provinces to conduct lotteries and other gambling activities on behalf of the Crown. Douglas Babstock and Fred Small brought an application for certification as representatives of a class action against ALC and several other third party suppliers to ALC. The proposed class action alleged harm by video lottery terminals which offered line games similar to slot machines. The seven causes of action included (amongst others) breach of contract, negligence, unjust enrichment, and waiver of tort. In two separate decisions, a judge of the Supreme Court of Newfoundland &amp; Labrador refused a motion to strike and then certified the class action. A majority of the Court of Appeal affirmed the certification except for claims under the </w:t>
      </w:r>
      <w:r w:rsidRPr="008847EB">
        <w:rPr>
          <w:i/>
          <w:color w:val="000000"/>
          <w:sz w:val="20"/>
          <w:shd w:val="clear" w:color="auto" w:fill="FFFFFF"/>
        </w:rPr>
        <w:t>Competition Act</w:t>
      </w:r>
      <w:r w:rsidRPr="008847EB">
        <w:rPr>
          <w:color w:val="000000"/>
          <w:sz w:val="20"/>
          <w:shd w:val="clear" w:color="auto" w:fill="FFFFFF"/>
        </w:rPr>
        <w:t xml:space="preserve"> and </w:t>
      </w:r>
      <w:r w:rsidRPr="008847EB">
        <w:rPr>
          <w:i/>
          <w:color w:val="000000"/>
          <w:sz w:val="20"/>
          <w:shd w:val="clear" w:color="auto" w:fill="FFFFFF"/>
        </w:rPr>
        <w:t>Statute of Anne, 1710</w:t>
      </w:r>
      <w:r w:rsidRPr="008847EB">
        <w:rPr>
          <w:color w:val="000000"/>
          <w:sz w:val="20"/>
          <w:shd w:val="clear" w:color="auto" w:fill="FFFFFF"/>
        </w:rPr>
        <w:t xml:space="preserve">. </w:t>
      </w:r>
      <w:r w:rsidRPr="008847EB">
        <w:rPr>
          <w:sz w:val="20"/>
        </w:rPr>
        <w:t>In a dissenting opinion, Welsh J.A. would have allowed the appeal, set aside the certification order, and struck the claim in its entirety.</w:t>
      </w:r>
    </w:p>
    <w:p w:rsidR="004B4392" w:rsidRPr="008847EB" w:rsidRDefault="004B4392" w:rsidP="004B4392">
      <w:pPr>
        <w:jc w:val="both"/>
        <w:rPr>
          <w:sz w:val="20"/>
        </w:rPr>
      </w:pPr>
    </w:p>
    <w:p w:rsidR="004B4392" w:rsidRPr="008847EB" w:rsidRDefault="0011194E" w:rsidP="004B4392">
      <w:pPr>
        <w:jc w:val="both"/>
        <w:rPr>
          <w:sz w:val="20"/>
        </w:rPr>
      </w:pPr>
      <w:r>
        <w:rPr>
          <w:szCs w:val="24"/>
          <w:lang w:val="fr-CA"/>
        </w:rPr>
        <w:pict>
          <v:rect id="_x0000_i1063" style="width:108pt;height:1pt" o:hrpct="0" o:hralign="center" o:hrstd="t" o:hrnoshade="t" o:hr="t" fillcolor="black [3213]" stroked="f"/>
        </w:pict>
      </w:r>
    </w:p>
    <w:p w:rsidR="004B4392" w:rsidRPr="008847EB" w:rsidRDefault="004B4392" w:rsidP="004B4392">
      <w:pPr>
        <w:jc w:val="both"/>
        <w:rPr>
          <w:sz w:val="20"/>
        </w:rPr>
      </w:pPr>
    </w:p>
    <w:p w:rsidR="004B4392" w:rsidRPr="008847EB" w:rsidRDefault="004B4392" w:rsidP="004B4392">
      <w:pPr>
        <w:pStyle w:val="SCCLsocParty"/>
        <w:jc w:val="both"/>
        <w:rPr>
          <w:b/>
          <w:i/>
          <w:sz w:val="20"/>
          <w:szCs w:val="20"/>
        </w:rPr>
      </w:pPr>
      <w:r w:rsidRPr="008847EB">
        <w:rPr>
          <w:sz w:val="20"/>
          <w:szCs w:val="20"/>
        </w:rPr>
        <w:fldChar w:fldCharType="begin"/>
      </w:r>
      <w:r w:rsidRPr="008847EB">
        <w:rPr>
          <w:sz w:val="20"/>
          <w:szCs w:val="20"/>
        </w:rPr>
        <w:instrText xml:space="preserve"> SEQ CHAPTER \h \r 1</w:instrText>
      </w:r>
      <w:r w:rsidRPr="008847EB">
        <w:rPr>
          <w:sz w:val="20"/>
          <w:szCs w:val="20"/>
        </w:rPr>
        <w:fldChar w:fldCharType="end"/>
      </w:r>
      <w:r w:rsidRPr="008847EB">
        <w:rPr>
          <w:rStyle w:val="SCCFileNumberChar"/>
          <w:rFonts w:eastAsiaTheme="minorHAnsi"/>
          <w:sz w:val="20"/>
          <w:szCs w:val="20"/>
          <w:lang w:val="fr-CA"/>
        </w:rPr>
        <w:t>38521</w:t>
      </w:r>
      <w:r w:rsidRPr="008847EB">
        <w:rPr>
          <w:sz w:val="20"/>
          <w:szCs w:val="20"/>
        </w:rPr>
        <w:tab/>
      </w:r>
      <w:r w:rsidRPr="008847EB">
        <w:rPr>
          <w:b/>
          <w:i/>
          <w:sz w:val="20"/>
          <w:szCs w:val="20"/>
        </w:rPr>
        <w:t>Société des loteries de l’Atlantique inc. c. Douglas Babstock, Fred Small</w:t>
      </w:r>
    </w:p>
    <w:p w:rsidR="004B4392" w:rsidRPr="008847EB" w:rsidRDefault="004B4392" w:rsidP="004B4392">
      <w:pPr>
        <w:ind w:firstLine="720"/>
        <w:jc w:val="both"/>
        <w:rPr>
          <w:b/>
          <w:i/>
          <w:sz w:val="20"/>
        </w:rPr>
      </w:pPr>
      <w:r w:rsidRPr="008847EB">
        <w:rPr>
          <w:b/>
          <w:i/>
          <w:sz w:val="20"/>
        </w:rPr>
        <w:t xml:space="preserve">- </w:t>
      </w:r>
      <w:proofErr w:type="gramStart"/>
      <w:r w:rsidRPr="008847EB">
        <w:rPr>
          <w:b/>
          <w:i/>
          <w:sz w:val="20"/>
        </w:rPr>
        <w:t>et</w:t>
      </w:r>
      <w:proofErr w:type="gramEnd"/>
      <w:r w:rsidRPr="008847EB">
        <w:rPr>
          <w:b/>
          <w:i/>
          <w:sz w:val="20"/>
        </w:rPr>
        <w:t xml:space="preserve"> -</w:t>
      </w:r>
    </w:p>
    <w:p w:rsidR="004B4392" w:rsidRPr="008847EB" w:rsidRDefault="004B4392" w:rsidP="004B4392">
      <w:pPr>
        <w:ind w:firstLine="720"/>
        <w:jc w:val="both"/>
        <w:rPr>
          <w:b/>
          <w:i/>
          <w:sz w:val="20"/>
        </w:rPr>
      </w:pPr>
      <w:r w:rsidRPr="008847EB">
        <w:rPr>
          <w:b/>
          <w:i/>
          <w:sz w:val="20"/>
        </w:rPr>
        <w:t xml:space="preserve">Bally Gaming Canada Ltd. </w:t>
      </w:r>
      <w:proofErr w:type="gramStart"/>
      <w:r w:rsidRPr="008847EB">
        <w:rPr>
          <w:b/>
          <w:i/>
          <w:sz w:val="20"/>
        </w:rPr>
        <w:t>et</w:t>
      </w:r>
      <w:proofErr w:type="gramEnd"/>
      <w:r w:rsidRPr="008847EB">
        <w:rPr>
          <w:b/>
          <w:i/>
          <w:sz w:val="20"/>
        </w:rPr>
        <w:t xml:space="preserve"> Bally Gaming Inc.</w:t>
      </w:r>
    </w:p>
    <w:p w:rsidR="004B4392" w:rsidRPr="008847EB" w:rsidRDefault="004B4392" w:rsidP="004B4392">
      <w:pPr>
        <w:pStyle w:val="SCCLsocSubfileSeparator0"/>
        <w:ind w:firstLine="720"/>
        <w:rPr>
          <w:i/>
          <w:sz w:val="20"/>
          <w:szCs w:val="20"/>
        </w:rPr>
      </w:pPr>
      <w:r w:rsidRPr="008847EB">
        <w:rPr>
          <w:i/>
          <w:sz w:val="20"/>
          <w:szCs w:val="20"/>
        </w:rPr>
        <w:t xml:space="preserve">- </w:t>
      </w:r>
      <w:proofErr w:type="gramStart"/>
      <w:r w:rsidRPr="008847EB">
        <w:rPr>
          <w:i/>
          <w:sz w:val="20"/>
          <w:szCs w:val="20"/>
        </w:rPr>
        <w:t>et</w:t>
      </w:r>
      <w:proofErr w:type="gramEnd"/>
      <w:r w:rsidRPr="008847EB">
        <w:rPr>
          <w:i/>
          <w:sz w:val="20"/>
          <w:szCs w:val="20"/>
        </w:rPr>
        <w:t xml:space="preserve"> entre -</w:t>
      </w:r>
    </w:p>
    <w:p w:rsidR="004B4392" w:rsidRPr="008847EB" w:rsidRDefault="004B4392" w:rsidP="004B4392">
      <w:pPr>
        <w:pStyle w:val="SCCLsocParty"/>
        <w:ind w:left="720"/>
        <w:jc w:val="both"/>
        <w:rPr>
          <w:b/>
          <w:i/>
          <w:sz w:val="20"/>
          <w:szCs w:val="20"/>
          <w:lang w:val="en-US"/>
        </w:rPr>
      </w:pPr>
      <w:r w:rsidRPr="008847EB">
        <w:rPr>
          <w:b/>
          <w:i/>
          <w:sz w:val="20"/>
          <w:szCs w:val="20"/>
          <w:lang w:val="en-US"/>
        </w:rPr>
        <w:t>VLC, Inc., IGT-Canada Inc., International Game Technology, Spielo International Canada ULC, Tech Link International Entertainment Limited c. Douglas Babstock, Fred Small</w:t>
      </w:r>
    </w:p>
    <w:p w:rsidR="004B4392" w:rsidRPr="008847EB" w:rsidRDefault="004B4392" w:rsidP="004B4392">
      <w:pPr>
        <w:pStyle w:val="SCCLsocOtherPartySeparator"/>
        <w:ind w:firstLine="720"/>
        <w:rPr>
          <w:i w:val="0"/>
          <w:sz w:val="20"/>
          <w:szCs w:val="20"/>
        </w:rPr>
      </w:pPr>
      <w:r w:rsidRPr="008847EB">
        <w:rPr>
          <w:sz w:val="20"/>
          <w:szCs w:val="20"/>
        </w:rPr>
        <w:t xml:space="preserve">- </w:t>
      </w:r>
      <w:proofErr w:type="gramStart"/>
      <w:r w:rsidRPr="008847EB">
        <w:rPr>
          <w:sz w:val="20"/>
          <w:szCs w:val="20"/>
        </w:rPr>
        <w:t>et</w:t>
      </w:r>
      <w:proofErr w:type="gramEnd"/>
      <w:r w:rsidRPr="008847EB">
        <w:rPr>
          <w:sz w:val="20"/>
          <w:szCs w:val="20"/>
        </w:rPr>
        <w:t xml:space="preserve"> -</w:t>
      </w:r>
    </w:p>
    <w:p w:rsidR="004B4392" w:rsidRPr="008847EB" w:rsidRDefault="004B4392" w:rsidP="004B4392">
      <w:pPr>
        <w:pStyle w:val="SCCLsocParty"/>
        <w:ind w:firstLine="720"/>
        <w:jc w:val="both"/>
        <w:rPr>
          <w:b/>
          <w:i/>
          <w:sz w:val="20"/>
          <w:szCs w:val="20"/>
          <w:lang w:val="en-US"/>
        </w:rPr>
      </w:pPr>
      <w:r w:rsidRPr="008847EB">
        <w:rPr>
          <w:b/>
          <w:i/>
          <w:sz w:val="20"/>
          <w:szCs w:val="20"/>
          <w:lang w:val="en-US"/>
        </w:rPr>
        <w:t xml:space="preserve">Bally Gaming Canada Ltd. </w:t>
      </w:r>
      <w:proofErr w:type="gramStart"/>
      <w:r w:rsidRPr="008847EB">
        <w:rPr>
          <w:b/>
          <w:i/>
          <w:sz w:val="20"/>
          <w:szCs w:val="20"/>
          <w:lang w:val="en-US"/>
        </w:rPr>
        <w:t>et</w:t>
      </w:r>
      <w:proofErr w:type="gramEnd"/>
      <w:r w:rsidRPr="008847EB">
        <w:rPr>
          <w:b/>
          <w:i/>
          <w:sz w:val="20"/>
          <w:szCs w:val="20"/>
          <w:lang w:val="en-US"/>
        </w:rPr>
        <w:t xml:space="preserve"> Bally Gaming Inc.</w:t>
      </w:r>
    </w:p>
    <w:p w:rsidR="004B4392" w:rsidRPr="008847EB" w:rsidRDefault="004B4392" w:rsidP="004B4392">
      <w:pPr>
        <w:widowControl w:val="0"/>
        <w:ind w:firstLine="720"/>
        <w:jc w:val="both"/>
        <w:rPr>
          <w:sz w:val="20"/>
          <w:lang w:val="fr-CA"/>
        </w:rPr>
      </w:pPr>
      <w:r w:rsidRPr="008847EB">
        <w:rPr>
          <w:sz w:val="20"/>
          <w:lang w:val="fr-CA"/>
        </w:rPr>
        <w:t>(T.-N.-L.) (Civile) (Autorisation)</w:t>
      </w:r>
    </w:p>
    <w:p w:rsidR="004B4392" w:rsidRPr="008847EB" w:rsidRDefault="004B4392" w:rsidP="004B4392">
      <w:pPr>
        <w:pStyle w:val="SCCCaseDescriptor0"/>
        <w:jc w:val="both"/>
        <w:rPr>
          <w:b w:val="0"/>
          <w:sz w:val="20"/>
          <w:lang w:val="fr-CA"/>
        </w:rPr>
      </w:pPr>
    </w:p>
    <w:p w:rsidR="004B4392" w:rsidRPr="008847EB" w:rsidRDefault="004B4392" w:rsidP="004B4392">
      <w:pPr>
        <w:jc w:val="both"/>
        <w:rPr>
          <w:sz w:val="20"/>
          <w:lang w:val="fr-CA"/>
        </w:rPr>
      </w:pPr>
      <w:r w:rsidRPr="008847EB">
        <w:rPr>
          <w:sz w:val="20"/>
          <w:lang w:val="fr-CA"/>
        </w:rPr>
        <w:t>Responsabilité délictuelle - Obligation de diligence - Causalité - Contrats - Violation - Restitution des profits - Convient-il de reconnaître une nouvelle cause d’action conférant au demandeur le droit d’intenter un recours en restitution s’il prouve une violation de l’obligation de diligence en l’absence de dommage, de préjudice ou de perte? - A-t-on appliqué le bon cadre d’analyse en ce qui concerne la restitution pour violation de contrat? - La bonne interprétation de « bonneteau » présente-t-elle une possibilité raisonnable que les demandeurs aient gain de cause? - Aurait-on dû refuser la certification du recours collectif?</w:t>
      </w:r>
    </w:p>
    <w:p w:rsidR="004B4392" w:rsidRPr="008847EB" w:rsidRDefault="004B4392" w:rsidP="004B4392">
      <w:pPr>
        <w:jc w:val="both"/>
        <w:rPr>
          <w:sz w:val="20"/>
          <w:lang w:val="fr-CA"/>
        </w:rPr>
      </w:pPr>
    </w:p>
    <w:p w:rsidR="004B4392" w:rsidRPr="008847EB" w:rsidRDefault="004B4392" w:rsidP="004B4392">
      <w:pPr>
        <w:jc w:val="both"/>
        <w:rPr>
          <w:sz w:val="20"/>
          <w:lang w:val="fr-CA"/>
        </w:rPr>
      </w:pPr>
      <w:r w:rsidRPr="008847EB">
        <w:rPr>
          <w:sz w:val="20"/>
          <w:lang w:val="fr-CA"/>
        </w:rPr>
        <w:t xml:space="preserve">La Société des loteries de l’Atlantique (SLA) est une personne morale constituée par les gouvernements des quatre provinces de l’Atlantique pour administrer des loteries et exercer d’autres activités de jeu au nom de l’État. Douglas Babstock et Fred Small ont présenté une demande de certification comme représentants d’un recours collectif exercé contre la SLA et plusieurs autres tiers fournisseurs de la SLA. Le recours collectif proposé allègue un préjudice causé par des terminaux de loterie qui offraient de jeux en ligne semblables à des machines à sous. Les sept causes d’action comprenaient notamment la violation de contrat, la négligence, l’enrichissement injustifié et la renonciation à un recours délictuel. Dans deux jugements distincts, un juge de la Cour suprême de Terre-Neuve-et-Labrador a rejeté une requête en radiation et a ensuite certifié l’action à titre de recours collectif. Les juges majoritaires de la Cour d’appel de Terre-Neuve-et-Labrador ont confirmé la certification, à l’exception des allégations fondées sur la </w:t>
      </w:r>
      <w:r w:rsidRPr="008847EB">
        <w:rPr>
          <w:i/>
          <w:iCs/>
          <w:sz w:val="20"/>
          <w:lang w:val="fr-CA"/>
        </w:rPr>
        <w:t>Loi sur la concurrence</w:t>
      </w:r>
      <w:r w:rsidRPr="008847EB">
        <w:rPr>
          <w:sz w:val="20"/>
          <w:lang w:val="fr-CA"/>
        </w:rPr>
        <w:t xml:space="preserve"> et la </w:t>
      </w:r>
      <w:proofErr w:type="spellStart"/>
      <w:r w:rsidRPr="008847EB">
        <w:rPr>
          <w:i/>
          <w:iCs/>
          <w:sz w:val="20"/>
          <w:lang w:val="fr-CA"/>
        </w:rPr>
        <w:t>Statute</w:t>
      </w:r>
      <w:proofErr w:type="spellEnd"/>
      <w:r w:rsidRPr="008847EB">
        <w:rPr>
          <w:i/>
          <w:iCs/>
          <w:sz w:val="20"/>
          <w:lang w:val="fr-CA"/>
        </w:rPr>
        <w:t xml:space="preserve"> of Anne, 1710</w:t>
      </w:r>
      <w:r w:rsidRPr="008847EB">
        <w:rPr>
          <w:sz w:val="20"/>
          <w:lang w:val="fr-CA"/>
        </w:rPr>
        <w:t xml:space="preserve">. Dans une opinion dissidente, la juge </w:t>
      </w:r>
      <w:proofErr w:type="spellStart"/>
      <w:r w:rsidRPr="008847EB">
        <w:rPr>
          <w:sz w:val="20"/>
          <w:lang w:val="fr-CA"/>
        </w:rPr>
        <w:t>Welsh</w:t>
      </w:r>
      <w:proofErr w:type="spellEnd"/>
      <w:r w:rsidRPr="008847EB">
        <w:rPr>
          <w:sz w:val="20"/>
          <w:lang w:val="fr-CA"/>
        </w:rPr>
        <w:t xml:space="preserve"> aurait accueilli l’appel, annulé l’ordonnance de certification et radié la demande au complet.</w:t>
      </w:r>
    </w:p>
    <w:p w:rsidR="004B4392" w:rsidRPr="008847EB" w:rsidRDefault="004B4392" w:rsidP="004B4392">
      <w:pPr>
        <w:widowControl w:val="0"/>
        <w:jc w:val="both"/>
        <w:outlineLvl w:val="0"/>
        <w:rPr>
          <w:sz w:val="20"/>
          <w:lang w:val="fr-CA"/>
        </w:rPr>
      </w:pPr>
    </w:p>
    <w:p w:rsidR="004B4392" w:rsidRPr="008847EB" w:rsidRDefault="0011194E" w:rsidP="004B4392">
      <w:pPr>
        <w:widowControl w:val="0"/>
        <w:jc w:val="both"/>
        <w:outlineLvl w:val="0"/>
        <w:rPr>
          <w:sz w:val="20"/>
          <w:lang w:val="fr-CA"/>
        </w:rPr>
      </w:pPr>
      <w:r>
        <w:rPr>
          <w:szCs w:val="24"/>
          <w:lang w:val="fr-CA"/>
        </w:rPr>
        <w:pict>
          <v:rect id="_x0000_i1064" style="width:108pt;height:1pt" o:hrpct="0" o:hralign="center" o:hrstd="t" o:hrnoshade="t" o:hr="t" fillcolor="black [3213]" stroked="f"/>
        </w:pict>
      </w:r>
    </w:p>
    <w:p w:rsidR="004B4392" w:rsidRPr="008847EB" w:rsidRDefault="004B4392" w:rsidP="004B4392">
      <w:pPr>
        <w:widowControl w:val="0"/>
        <w:jc w:val="both"/>
        <w:outlineLvl w:val="0"/>
        <w:rPr>
          <w:sz w:val="20"/>
          <w:lang w:val="fr-CA"/>
        </w:rPr>
      </w:pPr>
    </w:p>
    <w:p w:rsidR="004B4392" w:rsidRPr="008847EB" w:rsidRDefault="004B4392" w:rsidP="004B4392">
      <w:pPr>
        <w:pStyle w:val="SCCLsocParty"/>
        <w:tabs>
          <w:tab w:val="left" w:pos="567"/>
        </w:tabs>
        <w:jc w:val="both"/>
        <w:rPr>
          <w:b/>
          <w:sz w:val="20"/>
          <w:szCs w:val="20"/>
          <w:lang w:val="en-US"/>
        </w:rPr>
      </w:pPr>
      <w:r w:rsidRPr="008847EB">
        <w:rPr>
          <w:b/>
          <w:sz w:val="20"/>
          <w:szCs w:val="20"/>
          <w:lang w:val="en-US"/>
        </w:rPr>
        <w:t>38540</w:t>
      </w:r>
      <w:r w:rsidRPr="008847EB">
        <w:rPr>
          <w:b/>
          <w:sz w:val="20"/>
          <w:szCs w:val="20"/>
          <w:lang w:val="en-US"/>
        </w:rPr>
        <w:tab/>
      </w:r>
      <w:r w:rsidRPr="008847EB">
        <w:rPr>
          <w:b/>
          <w:sz w:val="20"/>
          <w:szCs w:val="20"/>
          <w:lang w:val="en-US"/>
        </w:rPr>
        <w:tab/>
      </w:r>
      <w:r w:rsidRPr="008847EB">
        <w:rPr>
          <w:b/>
          <w:i/>
          <w:sz w:val="20"/>
          <w:szCs w:val="20"/>
          <w:lang w:val="en-US"/>
        </w:rPr>
        <w:t>Chaycen Michael Zora v. Her Majesty the Queen</w:t>
      </w:r>
    </w:p>
    <w:p w:rsidR="004B4392" w:rsidRPr="008847EB" w:rsidRDefault="004B4392" w:rsidP="004B4392">
      <w:pPr>
        <w:widowControl w:val="0"/>
        <w:tabs>
          <w:tab w:val="left" w:pos="567"/>
        </w:tabs>
        <w:ind w:firstLine="720"/>
        <w:jc w:val="both"/>
        <w:rPr>
          <w:sz w:val="20"/>
        </w:rPr>
      </w:pPr>
      <w:r w:rsidRPr="008847EB">
        <w:rPr>
          <w:sz w:val="20"/>
        </w:rPr>
        <w:t>(B.C.) (Criminal) (By Leave)</w:t>
      </w:r>
    </w:p>
    <w:p w:rsidR="004B4392" w:rsidRPr="008847EB" w:rsidRDefault="004B4392" w:rsidP="004B4392">
      <w:pPr>
        <w:widowControl w:val="0"/>
        <w:jc w:val="both"/>
        <w:rPr>
          <w:sz w:val="20"/>
        </w:rPr>
      </w:pPr>
    </w:p>
    <w:p w:rsidR="004046FF" w:rsidRPr="008847EB" w:rsidRDefault="004046FF">
      <w:pPr>
        <w:rPr>
          <w:sz w:val="20"/>
        </w:rPr>
      </w:pPr>
      <w:r w:rsidRPr="008847EB">
        <w:rPr>
          <w:sz w:val="20"/>
        </w:rPr>
        <w:br w:type="page"/>
      </w:r>
    </w:p>
    <w:p w:rsidR="004B4392" w:rsidRPr="008847EB" w:rsidRDefault="004B4392" w:rsidP="004B4392">
      <w:pPr>
        <w:widowControl w:val="0"/>
        <w:jc w:val="both"/>
        <w:rPr>
          <w:sz w:val="20"/>
        </w:rPr>
      </w:pPr>
      <w:r w:rsidRPr="008847EB">
        <w:rPr>
          <w:sz w:val="20"/>
        </w:rPr>
        <w:lastRenderedPageBreak/>
        <w:t xml:space="preserve">Criminal law – </w:t>
      </w:r>
      <w:r w:rsidRPr="008847EB">
        <w:rPr>
          <w:sz w:val="20"/>
          <w:lang w:val="en"/>
        </w:rPr>
        <w:t xml:space="preserve">Failure to comply with condition of undertaking or recognizance </w:t>
      </w:r>
      <w:r w:rsidRPr="008847EB">
        <w:rPr>
          <w:sz w:val="20"/>
        </w:rPr>
        <w:t xml:space="preserve">– Elements of the offence – </w:t>
      </w:r>
      <w:proofErr w:type="spellStart"/>
      <w:r w:rsidRPr="008847EB">
        <w:rPr>
          <w:i/>
          <w:sz w:val="20"/>
        </w:rPr>
        <w:t>Mens</w:t>
      </w:r>
      <w:proofErr w:type="spellEnd"/>
      <w:r w:rsidRPr="008847EB">
        <w:rPr>
          <w:i/>
          <w:sz w:val="20"/>
        </w:rPr>
        <w:t xml:space="preserve"> rea</w:t>
      </w:r>
      <w:r w:rsidRPr="008847EB">
        <w:rPr>
          <w:sz w:val="20"/>
        </w:rPr>
        <w:t xml:space="preserve"> – Whether </w:t>
      </w:r>
      <w:proofErr w:type="spellStart"/>
      <w:r w:rsidRPr="008847EB">
        <w:rPr>
          <w:i/>
          <w:sz w:val="20"/>
        </w:rPr>
        <w:t>mens</w:t>
      </w:r>
      <w:proofErr w:type="spellEnd"/>
      <w:r w:rsidRPr="008847EB">
        <w:rPr>
          <w:i/>
          <w:sz w:val="20"/>
        </w:rPr>
        <w:t xml:space="preserve"> rea</w:t>
      </w:r>
      <w:r w:rsidRPr="008847EB">
        <w:rPr>
          <w:sz w:val="20"/>
        </w:rPr>
        <w:t xml:space="preserve"> for offence of f</w:t>
      </w:r>
      <w:r w:rsidRPr="008847EB">
        <w:rPr>
          <w:sz w:val="20"/>
          <w:lang w:val="en"/>
        </w:rPr>
        <w:t>ailing to comply with condition of undertaking or recognizance</w:t>
      </w:r>
      <w:r w:rsidRPr="008847EB">
        <w:rPr>
          <w:sz w:val="20"/>
        </w:rPr>
        <w:t xml:space="preserve"> should be assessed objectively or subjectively – </w:t>
      </w:r>
      <w:r w:rsidRPr="008847EB">
        <w:rPr>
          <w:i/>
          <w:sz w:val="20"/>
        </w:rPr>
        <w:t>Criminal Code</w:t>
      </w:r>
      <w:r w:rsidRPr="008847EB">
        <w:rPr>
          <w:sz w:val="20"/>
        </w:rPr>
        <w:t>, R.S.C. 1985, c. C-46, s. 145(3).</w:t>
      </w:r>
    </w:p>
    <w:p w:rsidR="004B4392" w:rsidRPr="008847EB" w:rsidRDefault="004B4392" w:rsidP="004B4392">
      <w:pPr>
        <w:widowControl w:val="0"/>
        <w:jc w:val="both"/>
        <w:rPr>
          <w:sz w:val="20"/>
        </w:rPr>
      </w:pPr>
    </w:p>
    <w:p w:rsidR="004B4392" w:rsidRPr="008847EB" w:rsidRDefault="004B4392" w:rsidP="004B4392">
      <w:pPr>
        <w:jc w:val="both"/>
        <w:rPr>
          <w:sz w:val="20"/>
        </w:rPr>
      </w:pPr>
      <w:r w:rsidRPr="008847EB">
        <w:rPr>
          <w:sz w:val="20"/>
        </w:rPr>
        <w:t xml:space="preserve">Mr. Zora, appellant, was charged with several drug offences and was granted bail on the condition that he obey a curfew and present himself at his front door within five minutes of a police officer or bail supervisor attending to confirm his compliance with those conditions. On two occasions, Mr. Zora failed to present himself and he was ultimately convicted of breach of recognizance. Mr. Zora appealed his conviction on the basis that the trial judge erred by applying the wrong </w:t>
      </w:r>
      <w:proofErr w:type="spellStart"/>
      <w:r w:rsidRPr="008847EB">
        <w:rPr>
          <w:i/>
          <w:sz w:val="20"/>
        </w:rPr>
        <w:t>mens</w:t>
      </w:r>
      <w:proofErr w:type="spellEnd"/>
      <w:r w:rsidRPr="008847EB">
        <w:rPr>
          <w:i/>
          <w:sz w:val="20"/>
        </w:rPr>
        <w:t xml:space="preserve"> rea</w:t>
      </w:r>
      <w:r w:rsidRPr="008847EB">
        <w:rPr>
          <w:sz w:val="20"/>
        </w:rPr>
        <w:t xml:space="preserve"> standard to the offence. The trial court and a majority of the Court of Appeal dismissed his appeals. They found that while s. 145(3) was ambiguous and that there was conflict in the jurisprudence on the issue, the correct approach was to assess the </w:t>
      </w:r>
      <w:proofErr w:type="spellStart"/>
      <w:r w:rsidRPr="008847EB">
        <w:rPr>
          <w:i/>
          <w:sz w:val="20"/>
        </w:rPr>
        <w:t>mens</w:t>
      </w:r>
      <w:proofErr w:type="spellEnd"/>
      <w:r w:rsidRPr="008847EB">
        <w:rPr>
          <w:i/>
          <w:sz w:val="20"/>
        </w:rPr>
        <w:t xml:space="preserve"> rea</w:t>
      </w:r>
      <w:r w:rsidRPr="008847EB">
        <w:rPr>
          <w:sz w:val="20"/>
        </w:rPr>
        <w:t xml:space="preserve"> of the offence objectively. </w:t>
      </w:r>
      <w:proofErr w:type="spellStart"/>
      <w:r w:rsidRPr="008847EB">
        <w:rPr>
          <w:sz w:val="20"/>
        </w:rPr>
        <w:t>Fenlon</w:t>
      </w:r>
      <w:proofErr w:type="spellEnd"/>
      <w:r w:rsidRPr="008847EB">
        <w:rPr>
          <w:sz w:val="20"/>
        </w:rPr>
        <w:t xml:space="preserve"> J.A., however, would have applied a subjective standard. In her view, neither the words nor the design of the offence supports a clear legislative intent to displace the presumptive subjective fault element that is the foundational principle of the criminal law.</w:t>
      </w:r>
    </w:p>
    <w:p w:rsidR="004B4392" w:rsidRPr="008847EB" w:rsidRDefault="004B4392" w:rsidP="004B4392">
      <w:pPr>
        <w:widowControl w:val="0"/>
        <w:jc w:val="both"/>
        <w:rPr>
          <w:sz w:val="20"/>
        </w:rPr>
      </w:pPr>
    </w:p>
    <w:p w:rsidR="004B4392" w:rsidRPr="008847EB" w:rsidRDefault="0011194E" w:rsidP="004B4392">
      <w:pPr>
        <w:widowControl w:val="0"/>
        <w:jc w:val="both"/>
        <w:rPr>
          <w:sz w:val="20"/>
        </w:rPr>
      </w:pPr>
      <w:r>
        <w:rPr>
          <w:szCs w:val="24"/>
          <w:lang w:val="fr-CA"/>
        </w:rPr>
        <w:pict>
          <v:rect id="_x0000_i1065" style="width:108pt;height:1pt" o:hrpct="0" o:hralign="center" o:hrstd="t" o:hrnoshade="t" o:hr="t" fillcolor="black [3213]" stroked="f"/>
        </w:pict>
      </w:r>
    </w:p>
    <w:p w:rsidR="004B4392" w:rsidRPr="008847EB" w:rsidRDefault="004B4392" w:rsidP="004B4392">
      <w:pPr>
        <w:widowControl w:val="0"/>
        <w:jc w:val="both"/>
        <w:rPr>
          <w:sz w:val="20"/>
        </w:rPr>
      </w:pPr>
    </w:p>
    <w:p w:rsidR="004B4392" w:rsidRPr="008847EB" w:rsidRDefault="004B4392" w:rsidP="004B4392">
      <w:pPr>
        <w:pStyle w:val="SCCLsocParty"/>
        <w:jc w:val="both"/>
        <w:rPr>
          <w:i/>
          <w:sz w:val="20"/>
          <w:szCs w:val="20"/>
        </w:rPr>
      </w:pPr>
      <w:r w:rsidRPr="008847EB">
        <w:rPr>
          <w:rStyle w:val="SCCFileNumberChar"/>
          <w:sz w:val="20"/>
          <w:szCs w:val="20"/>
          <w:lang w:val="fr-CA"/>
        </w:rPr>
        <w:t>38540</w:t>
      </w:r>
      <w:r w:rsidRPr="008847EB">
        <w:rPr>
          <w:rStyle w:val="SCCFileNumberChar"/>
          <w:sz w:val="20"/>
          <w:szCs w:val="20"/>
          <w:lang w:val="fr-CA"/>
        </w:rPr>
        <w:tab/>
      </w:r>
      <w:r w:rsidRPr="008847EB">
        <w:rPr>
          <w:b/>
          <w:i/>
          <w:sz w:val="20"/>
          <w:szCs w:val="20"/>
        </w:rPr>
        <w:t>Chaycen Michael Zora c. Sa Majesté la Reine</w:t>
      </w:r>
    </w:p>
    <w:p w:rsidR="004B4392" w:rsidRPr="008847EB" w:rsidRDefault="004B4392" w:rsidP="004B4392">
      <w:pPr>
        <w:widowControl w:val="0"/>
        <w:ind w:firstLine="720"/>
        <w:jc w:val="both"/>
        <w:rPr>
          <w:sz w:val="20"/>
          <w:lang w:val="fr-CA"/>
        </w:rPr>
      </w:pPr>
      <w:r w:rsidRPr="008847EB">
        <w:rPr>
          <w:sz w:val="20"/>
          <w:lang w:val="fr-CA"/>
        </w:rPr>
        <w:t>(C.</w:t>
      </w:r>
      <w:r w:rsidRPr="008847EB">
        <w:rPr>
          <w:sz w:val="20"/>
          <w:lang w:val="fr-CA"/>
        </w:rPr>
        <w:noBreakHyphen/>
        <w:t>B.) (Criminelle) (Autorisation)</w:t>
      </w:r>
    </w:p>
    <w:p w:rsidR="004B4392" w:rsidRPr="008847EB" w:rsidRDefault="004B4392" w:rsidP="004B4392">
      <w:pPr>
        <w:widowControl w:val="0"/>
        <w:jc w:val="both"/>
        <w:rPr>
          <w:sz w:val="20"/>
          <w:lang w:val="fr-CA"/>
        </w:rPr>
      </w:pPr>
    </w:p>
    <w:p w:rsidR="004B4392" w:rsidRPr="008847EB" w:rsidRDefault="004B4392" w:rsidP="004B4392">
      <w:pPr>
        <w:jc w:val="both"/>
        <w:rPr>
          <w:sz w:val="20"/>
          <w:lang w:val="fr-CA"/>
        </w:rPr>
      </w:pPr>
    </w:p>
    <w:p w:rsidR="004B4392" w:rsidRPr="008847EB" w:rsidRDefault="004B4392" w:rsidP="004B4392">
      <w:pPr>
        <w:widowControl w:val="0"/>
        <w:jc w:val="both"/>
        <w:rPr>
          <w:sz w:val="20"/>
          <w:lang w:val="fr-CA"/>
        </w:rPr>
      </w:pPr>
      <w:r w:rsidRPr="008847EB">
        <w:rPr>
          <w:sz w:val="20"/>
          <w:lang w:val="fr-CA"/>
        </w:rPr>
        <w:t xml:space="preserve">Droit criminel - Omission de se conformer à une condition d’une promesse ou d’un engagement - Éléments de l’infraction - </w:t>
      </w:r>
      <w:r w:rsidRPr="008847EB">
        <w:rPr>
          <w:i/>
          <w:sz w:val="20"/>
          <w:lang w:val="fr-CA"/>
        </w:rPr>
        <w:t xml:space="preserve">Mens </w:t>
      </w:r>
      <w:proofErr w:type="spellStart"/>
      <w:r w:rsidRPr="008847EB">
        <w:rPr>
          <w:i/>
          <w:sz w:val="20"/>
          <w:lang w:val="fr-CA"/>
        </w:rPr>
        <w:t>rea</w:t>
      </w:r>
      <w:proofErr w:type="spellEnd"/>
      <w:r w:rsidRPr="008847EB">
        <w:rPr>
          <w:sz w:val="20"/>
          <w:lang w:val="fr-CA"/>
        </w:rPr>
        <w:t xml:space="preserve"> - La </w:t>
      </w:r>
      <w:r w:rsidRPr="008847EB">
        <w:rPr>
          <w:i/>
          <w:sz w:val="20"/>
          <w:lang w:val="fr-CA"/>
        </w:rPr>
        <w:t xml:space="preserve">mens </w:t>
      </w:r>
      <w:proofErr w:type="spellStart"/>
      <w:r w:rsidRPr="008847EB">
        <w:rPr>
          <w:i/>
          <w:sz w:val="20"/>
          <w:lang w:val="fr-CA"/>
        </w:rPr>
        <w:t>rea</w:t>
      </w:r>
      <w:proofErr w:type="spellEnd"/>
      <w:r w:rsidRPr="008847EB">
        <w:rPr>
          <w:sz w:val="20"/>
          <w:lang w:val="fr-CA"/>
        </w:rPr>
        <w:t xml:space="preserve"> de l’infraction d’omission de se conformer à une condition d’une promesse ou d’un engagement doit</w:t>
      </w:r>
      <w:r w:rsidRPr="008847EB">
        <w:rPr>
          <w:sz w:val="20"/>
          <w:lang w:val="fr-CA"/>
        </w:rPr>
        <w:noBreakHyphen/>
        <w:t xml:space="preserve">elle être évaluée objectivement ou subjectivement? - </w:t>
      </w:r>
      <w:r w:rsidRPr="008847EB">
        <w:rPr>
          <w:i/>
          <w:sz w:val="20"/>
          <w:lang w:val="fr-CA"/>
        </w:rPr>
        <w:t>Code criminel</w:t>
      </w:r>
      <w:r w:rsidRPr="008847EB">
        <w:rPr>
          <w:sz w:val="20"/>
          <w:lang w:val="fr-CA"/>
        </w:rPr>
        <w:t>, L.R.C. 1985, c. C</w:t>
      </w:r>
      <w:r w:rsidRPr="008847EB">
        <w:rPr>
          <w:sz w:val="20"/>
          <w:lang w:val="fr-CA"/>
        </w:rPr>
        <w:noBreakHyphen/>
        <w:t>46, art. 145(3).</w:t>
      </w:r>
    </w:p>
    <w:p w:rsidR="004B4392" w:rsidRPr="008847EB" w:rsidRDefault="004B4392" w:rsidP="004B4392">
      <w:pPr>
        <w:widowControl w:val="0"/>
        <w:jc w:val="both"/>
        <w:rPr>
          <w:sz w:val="20"/>
          <w:lang w:val="fr-CA"/>
        </w:rPr>
      </w:pPr>
    </w:p>
    <w:p w:rsidR="004B4392" w:rsidRPr="008847EB" w:rsidRDefault="004B4392" w:rsidP="004B4392">
      <w:pPr>
        <w:widowControl w:val="0"/>
        <w:jc w:val="both"/>
        <w:rPr>
          <w:sz w:val="20"/>
          <w:lang w:val="fr-CA"/>
        </w:rPr>
      </w:pPr>
      <w:r w:rsidRPr="008847EB">
        <w:rPr>
          <w:sz w:val="20"/>
          <w:lang w:val="fr-CA"/>
        </w:rPr>
        <w:t>Monsieur Zora, l’appelant, a été accusé de plusieurs infractions liées à la drogue et a obtenu une mise en liberté sous caution à la condition de respecter un couvre</w:t>
      </w:r>
      <w:r w:rsidRPr="008847EB">
        <w:rPr>
          <w:sz w:val="20"/>
          <w:lang w:val="fr-CA"/>
        </w:rPr>
        <w:noBreakHyphen/>
        <w:t xml:space="preserve">feu et de se présenter à sa porte d’entrée dans les cinq minutes de l’arrivée d’un policier ou d’un surveillant de sa mise en liberté sous caution pour confirmer son respect de ces conditions. À deux occasions, M. Zora ne s’est pas présenté et il a fini par être déclaré coupable de manquement à un engagement. Monsieur Zora a interjeté appel de la déclaration de culpabilité, plaidant que le juge du procès avait commis une erreur en appliquant la mauvaise norme relative à la </w:t>
      </w:r>
      <w:r w:rsidRPr="008847EB">
        <w:rPr>
          <w:i/>
          <w:sz w:val="20"/>
          <w:lang w:val="fr-CA"/>
        </w:rPr>
        <w:t xml:space="preserve">mens </w:t>
      </w:r>
      <w:proofErr w:type="spellStart"/>
      <w:r w:rsidRPr="008847EB">
        <w:rPr>
          <w:i/>
          <w:sz w:val="20"/>
          <w:lang w:val="fr-CA"/>
        </w:rPr>
        <w:t>rea</w:t>
      </w:r>
      <w:proofErr w:type="spellEnd"/>
      <w:r w:rsidRPr="008847EB">
        <w:rPr>
          <w:sz w:val="20"/>
          <w:lang w:val="fr-CA"/>
        </w:rPr>
        <w:t xml:space="preserve"> de l’infraction. Le tribunal de première instance et les juges majoritaires de la Cour d’appel ont rejeté ses appels. Ils ont conclu que même si le par. 145(3) était ambigu et qu’il y avait conflit jurisprudentiel sur la question, la bonne approche consistait à évaluer la </w:t>
      </w:r>
      <w:r w:rsidRPr="008847EB">
        <w:rPr>
          <w:i/>
          <w:sz w:val="20"/>
          <w:lang w:val="fr-CA"/>
        </w:rPr>
        <w:t xml:space="preserve">mens </w:t>
      </w:r>
      <w:proofErr w:type="spellStart"/>
      <w:r w:rsidRPr="008847EB">
        <w:rPr>
          <w:i/>
          <w:sz w:val="20"/>
          <w:lang w:val="fr-CA"/>
        </w:rPr>
        <w:t>rea</w:t>
      </w:r>
      <w:proofErr w:type="spellEnd"/>
      <w:r w:rsidRPr="008847EB">
        <w:rPr>
          <w:sz w:val="20"/>
          <w:lang w:val="fr-CA"/>
        </w:rPr>
        <w:t xml:space="preserve"> de l’infraction objectivement. Toutefois, la juge </w:t>
      </w:r>
      <w:proofErr w:type="spellStart"/>
      <w:r w:rsidRPr="008847EB">
        <w:rPr>
          <w:sz w:val="20"/>
          <w:lang w:val="fr-CA"/>
        </w:rPr>
        <w:t>Fenlon</w:t>
      </w:r>
      <w:proofErr w:type="spellEnd"/>
      <w:r w:rsidRPr="008847EB">
        <w:rPr>
          <w:sz w:val="20"/>
          <w:lang w:val="fr-CA"/>
        </w:rPr>
        <w:t xml:space="preserve"> aurait appliqué une norme subjective. À son avis, ni le libellé ni l’économie de l’infraction ne confirme une intention clairement exprimée par le législateur à l’effet de déplacer la présomption de faute subjective qui est le principe fondamental du droit criminel.</w:t>
      </w:r>
    </w:p>
    <w:p w:rsidR="004B4392" w:rsidRPr="008847EB" w:rsidRDefault="004B4392" w:rsidP="004B4392">
      <w:pPr>
        <w:widowControl w:val="0"/>
        <w:jc w:val="both"/>
        <w:rPr>
          <w:sz w:val="20"/>
          <w:lang w:val="fr-CA"/>
        </w:rPr>
      </w:pPr>
    </w:p>
    <w:p w:rsidR="004B4392" w:rsidRPr="008847EB" w:rsidRDefault="0011194E" w:rsidP="004B4392">
      <w:pPr>
        <w:widowControl w:val="0"/>
        <w:jc w:val="both"/>
        <w:rPr>
          <w:sz w:val="20"/>
          <w:lang w:val="fr-CA"/>
        </w:rPr>
      </w:pPr>
      <w:r>
        <w:rPr>
          <w:szCs w:val="24"/>
          <w:lang w:val="fr-CA"/>
        </w:rPr>
        <w:pict>
          <v:rect id="_x0000_i1066" style="width:108pt;height:1pt" o:hrpct="0" o:hralign="center" o:hrstd="t" o:hrnoshade="t" o:hr="t" fillcolor="black [3213]" stroked="f"/>
        </w:pict>
      </w:r>
    </w:p>
    <w:p w:rsidR="004B4392" w:rsidRPr="008847EB" w:rsidRDefault="004B4392" w:rsidP="004B4392">
      <w:pPr>
        <w:widowControl w:val="0"/>
        <w:jc w:val="both"/>
        <w:rPr>
          <w:sz w:val="20"/>
          <w:lang w:val="fr-CA"/>
        </w:rPr>
      </w:pPr>
    </w:p>
    <w:p w:rsidR="004B4392" w:rsidRPr="008847EB" w:rsidRDefault="004B4392" w:rsidP="004B4392">
      <w:pPr>
        <w:pStyle w:val="SCCLsocParty"/>
        <w:ind w:left="720" w:hanging="720"/>
        <w:jc w:val="both"/>
        <w:rPr>
          <w:b/>
          <w:i/>
          <w:sz w:val="20"/>
          <w:szCs w:val="20"/>
          <w:lang w:val="en-CA"/>
        </w:rPr>
      </w:pPr>
      <w:r w:rsidRPr="008847EB">
        <w:rPr>
          <w:b/>
          <w:sz w:val="20"/>
          <w:lang w:val="en-US"/>
        </w:rPr>
        <w:t>37898</w:t>
      </w:r>
      <w:r w:rsidRPr="008847EB">
        <w:rPr>
          <w:b/>
          <w:sz w:val="20"/>
          <w:lang w:val="en-US"/>
        </w:rPr>
        <w:tab/>
      </w:r>
      <w:r w:rsidRPr="008847EB">
        <w:rPr>
          <w:b/>
          <w:i/>
          <w:sz w:val="20"/>
          <w:szCs w:val="20"/>
          <w:lang w:val="en-CA"/>
        </w:rPr>
        <w:t>Desjardins Financial Services Firm Inc., Desjardins Global Asset Management Inc., a lawfully constituted legal person, formerly Desjardins Asset Management Inc. v. Ronald Asselin</w:t>
      </w:r>
    </w:p>
    <w:p w:rsidR="004B4392" w:rsidRPr="008847EB" w:rsidRDefault="004B4392" w:rsidP="004B4392">
      <w:pPr>
        <w:ind w:firstLine="720"/>
        <w:jc w:val="both"/>
        <w:rPr>
          <w:sz w:val="20"/>
          <w:szCs w:val="20"/>
        </w:rPr>
      </w:pPr>
      <w:r w:rsidRPr="008847EB">
        <w:rPr>
          <w:sz w:val="20"/>
          <w:szCs w:val="20"/>
        </w:rPr>
        <w:t>(Que.) (Civil) (By Leave)</w:t>
      </w:r>
    </w:p>
    <w:p w:rsidR="004B4392" w:rsidRPr="008847EB" w:rsidRDefault="004B4392" w:rsidP="004B4392">
      <w:pPr>
        <w:widowControl w:val="0"/>
        <w:jc w:val="both"/>
        <w:rPr>
          <w:sz w:val="20"/>
          <w:lang w:val="en-US"/>
        </w:rPr>
      </w:pPr>
    </w:p>
    <w:p w:rsidR="004B4392" w:rsidRPr="008847EB" w:rsidRDefault="004B4392" w:rsidP="004B4392">
      <w:pPr>
        <w:widowControl w:val="0"/>
        <w:jc w:val="both"/>
        <w:rPr>
          <w:sz w:val="20"/>
          <w:lang w:val="en-US"/>
        </w:rPr>
      </w:pPr>
      <w:r w:rsidRPr="008847EB">
        <w:rPr>
          <w:sz w:val="20"/>
          <w:szCs w:val="20"/>
        </w:rPr>
        <w:t xml:space="preserve">Civil procedure - Class action - Authorization criteria - Common questions - Arguable case - Class action in contractual and </w:t>
      </w:r>
      <w:proofErr w:type="spellStart"/>
      <w:r w:rsidRPr="008847EB">
        <w:rPr>
          <w:sz w:val="20"/>
          <w:szCs w:val="20"/>
        </w:rPr>
        <w:t>extracontractual</w:t>
      </w:r>
      <w:proofErr w:type="spellEnd"/>
      <w:r w:rsidRPr="008847EB">
        <w:rPr>
          <w:sz w:val="20"/>
          <w:szCs w:val="20"/>
        </w:rPr>
        <w:t xml:space="preserve"> civil liability - Whether Court of Appeal erred in authorizing class action based on representations made individually by hundreds of financial advisors to thousands of investors in context of their personal financial planning under art. 1003(a) [now 575 para. 1] of </w:t>
      </w:r>
      <w:r w:rsidRPr="008847EB">
        <w:rPr>
          <w:i/>
          <w:sz w:val="20"/>
          <w:szCs w:val="20"/>
        </w:rPr>
        <w:t>Code of Civil Procedure</w:t>
      </w:r>
      <w:r w:rsidRPr="008847EB">
        <w:rPr>
          <w:sz w:val="20"/>
          <w:szCs w:val="20"/>
        </w:rPr>
        <w:t xml:space="preserve"> - Whether, in light of release and injunction in homologation order, cause of action based on ABCP (asset</w:t>
      </w:r>
      <w:r w:rsidRPr="008847EB">
        <w:rPr>
          <w:sz w:val="20"/>
          <w:szCs w:val="20"/>
        </w:rPr>
        <w:noBreakHyphen/>
        <w:t xml:space="preserve">backed commercial paper) was “arguable” for purposes of art. 1003(b) [now 575 para. 2] of </w:t>
      </w:r>
      <w:r w:rsidRPr="008847EB">
        <w:rPr>
          <w:i/>
          <w:sz w:val="20"/>
          <w:szCs w:val="20"/>
        </w:rPr>
        <w:t>Code of Civil Procedure</w:t>
      </w:r>
      <w:r w:rsidRPr="008847EB">
        <w:rPr>
          <w:sz w:val="20"/>
          <w:szCs w:val="20"/>
        </w:rPr>
        <w:t xml:space="preserve"> - Whether Court of Appeal erred in concluding that purely speculative allegations concerning alleged error of design and management sufficed to establish arguable cause of action for purposes of art. 1003(b) [now 575 para. 2] of </w:t>
      </w:r>
      <w:r w:rsidRPr="008847EB">
        <w:rPr>
          <w:i/>
          <w:sz w:val="20"/>
          <w:szCs w:val="20"/>
        </w:rPr>
        <w:t>Code of Civil Procedure</w:t>
      </w:r>
      <w:r w:rsidRPr="008847EB">
        <w:rPr>
          <w:sz w:val="20"/>
          <w:szCs w:val="20"/>
        </w:rPr>
        <w:t xml:space="preserve"> - </w:t>
      </w:r>
      <w:r w:rsidRPr="008847EB">
        <w:rPr>
          <w:i/>
          <w:sz w:val="20"/>
          <w:szCs w:val="20"/>
        </w:rPr>
        <w:t>Code of Civil Procedure</w:t>
      </w:r>
      <w:r w:rsidRPr="008847EB">
        <w:rPr>
          <w:sz w:val="20"/>
          <w:szCs w:val="20"/>
        </w:rPr>
        <w:t>, CQLR,</w:t>
      </w:r>
      <w:r w:rsidRPr="008847EB">
        <w:rPr>
          <w:i/>
          <w:sz w:val="20"/>
          <w:szCs w:val="20"/>
        </w:rPr>
        <w:t xml:space="preserve"> </w:t>
      </w:r>
      <w:r w:rsidRPr="008847EB">
        <w:rPr>
          <w:sz w:val="20"/>
          <w:szCs w:val="20"/>
        </w:rPr>
        <w:t xml:space="preserve">c. C-25, art. 1003 (repealed) </w:t>
      </w:r>
      <w:r w:rsidRPr="008847EB">
        <w:rPr>
          <w:rFonts w:cs="Times New Roman"/>
          <w:sz w:val="20"/>
          <w:szCs w:val="20"/>
        </w:rPr>
        <w:t>-</w:t>
      </w:r>
      <w:r w:rsidRPr="008847EB">
        <w:rPr>
          <w:sz w:val="20"/>
          <w:szCs w:val="20"/>
        </w:rPr>
        <w:t xml:space="preserve"> </w:t>
      </w:r>
      <w:r w:rsidRPr="008847EB">
        <w:rPr>
          <w:i/>
          <w:sz w:val="20"/>
          <w:szCs w:val="20"/>
        </w:rPr>
        <w:t>Code of Civil Procedure</w:t>
      </w:r>
      <w:r w:rsidRPr="008847EB">
        <w:rPr>
          <w:sz w:val="20"/>
          <w:szCs w:val="20"/>
        </w:rPr>
        <w:t xml:space="preserve">, CQLR, </w:t>
      </w:r>
      <w:proofErr w:type="gramStart"/>
      <w:r w:rsidRPr="008847EB">
        <w:rPr>
          <w:sz w:val="20"/>
          <w:szCs w:val="20"/>
        </w:rPr>
        <w:t>c</w:t>
      </w:r>
      <w:proofErr w:type="gramEnd"/>
      <w:r w:rsidRPr="008847EB">
        <w:rPr>
          <w:sz w:val="20"/>
          <w:szCs w:val="20"/>
        </w:rPr>
        <w:t xml:space="preserve">. C-25.01, art. 575 - </w:t>
      </w:r>
      <w:r w:rsidRPr="008847EB">
        <w:rPr>
          <w:i/>
          <w:sz w:val="20"/>
          <w:szCs w:val="20"/>
        </w:rPr>
        <w:t>Companies’ Creditors Arrangement Act</w:t>
      </w:r>
      <w:r w:rsidRPr="008847EB">
        <w:rPr>
          <w:sz w:val="20"/>
          <w:szCs w:val="20"/>
        </w:rPr>
        <w:t>, R.S.C. 1985, c. C</w:t>
      </w:r>
      <w:r w:rsidRPr="008847EB">
        <w:rPr>
          <w:sz w:val="20"/>
          <w:szCs w:val="20"/>
        </w:rPr>
        <w:noBreakHyphen/>
        <w:t>36, ss. 16 and 17.</w:t>
      </w:r>
    </w:p>
    <w:p w:rsidR="004B4392" w:rsidRPr="008847EB" w:rsidRDefault="004B4392" w:rsidP="004B4392">
      <w:pPr>
        <w:widowControl w:val="0"/>
        <w:jc w:val="both"/>
        <w:rPr>
          <w:sz w:val="20"/>
          <w:lang w:val="en-US"/>
        </w:rPr>
      </w:pPr>
    </w:p>
    <w:p w:rsidR="004046FF" w:rsidRPr="008847EB" w:rsidRDefault="004046FF">
      <w:pPr>
        <w:rPr>
          <w:sz w:val="20"/>
          <w:szCs w:val="20"/>
        </w:rPr>
      </w:pPr>
      <w:r w:rsidRPr="008847EB">
        <w:rPr>
          <w:sz w:val="20"/>
          <w:szCs w:val="20"/>
        </w:rPr>
        <w:br w:type="page"/>
      </w:r>
    </w:p>
    <w:p w:rsidR="004B4392" w:rsidRPr="008847EB" w:rsidRDefault="004B4392" w:rsidP="004B4392">
      <w:pPr>
        <w:widowControl w:val="0"/>
        <w:jc w:val="both"/>
        <w:rPr>
          <w:sz w:val="20"/>
        </w:rPr>
      </w:pPr>
      <w:r w:rsidRPr="008847EB">
        <w:rPr>
          <w:sz w:val="20"/>
          <w:szCs w:val="20"/>
        </w:rPr>
        <w:lastRenderedPageBreak/>
        <w:t xml:space="preserve">The respondent, Ronald Asselin, made investments with </w:t>
      </w:r>
      <w:proofErr w:type="spellStart"/>
      <w:r w:rsidRPr="008847EB">
        <w:rPr>
          <w:sz w:val="20"/>
          <w:szCs w:val="20"/>
        </w:rPr>
        <w:t>Caisse</w:t>
      </w:r>
      <w:proofErr w:type="spellEnd"/>
      <w:r w:rsidRPr="008847EB">
        <w:rPr>
          <w:sz w:val="20"/>
          <w:szCs w:val="20"/>
        </w:rPr>
        <w:t xml:space="preserve"> Desjardins de </w:t>
      </w:r>
      <w:proofErr w:type="spellStart"/>
      <w:r w:rsidRPr="008847EB">
        <w:rPr>
          <w:sz w:val="20"/>
          <w:szCs w:val="20"/>
        </w:rPr>
        <w:t>Sherbrooke</w:t>
      </w:r>
      <w:proofErr w:type="spellEnd"/>
      <w:r w:rsidRPr="008847EB">
        <w:rPr>
          <w:sz w:val="20"/>
          <w:szCs w:val="20"/>
        </w:rPr>
        <w:noBreakHyphen/>
        <w:t xml:space="preserve">Est. Called “Perspectives </w:t>
      </w:r>
      <w:proofErr w:type="gramStart"/>
      <w:r w:rsidRPr="008847EB">
        <w:rPr>
          <w:sz w:val="20"/>
          <w:szCs w:val="20"/>
        </w:rPr>
        <w:t>Plus</w:t>
      </w:r>
      <w:proofErr w:type="gramEnd"/>
      <w:r w:rsidRPr="008847EB">
        <w:rPr>
          <w:sz w:val="20"/>
          <w:szCs w:val="20"/>
        </w:rPr>
        <w:t xml:space="preserve"> Term Savings” and “Alternative Term Savings”, they were principal</w:t>
      </w:r>
      <w:r w:rsidRPr="008847EB">
        <w:rPr>
          <w:sz w:val="20"/>
          <w:szCs w:val="20"/>
        </w:rPr>
        <w:noBreakHyphen/>
        <w:t xml:space="preserve">protected term deposits that were not cashable before maturity. Following the economic crisis of 2008, Mr. Asselin was informed in March 2009 that although the principal was still protected, the investments would not yield any return and would continue not to be cashable until the end of the term. In 2011, Mr. Asselin filed an application for authorization to institute a class action in contractual civil liability against the appellant Desjardins Financial Services Firm Inc. on the ground that it had encouraged people to make investments that were represented to be safe even though they involved a specific risk that could affect their yield potential, and in </w:t>
      </w:r>
      <w:proofErr w:type="spellStart"/>
      <w:r w:rsidRPr="008847EB">
        <w:rPr>
          <w:sz w:val="20"/>
          <w:szCs w:val="20"/>
        </w:rPr>
        <w:t>extracontractual</w:t>
      </w:r>
      <w:proofErr w:type="spellEnd"/>
      <w:r w:rsidRPr="008847EB">
        <w:rPr>
          <w:sz w:val="20"/>
          <w:szCs w:val="20"/>
        </w:rPr>
        <w:t xml:space="preserve"> civil liability against the appellant Desjardins Global Asset Management Inc. on the ground that it had designed and managed the investments in question in a reckless and incompetent manner that was not in keeping with the risk associated with a financial product represented to be safe, and that it had used inappropriate financial strategies.</w:t>
      </w:r>
    </w:p>
    <w:p w:rsidR="004B4392" w:rsidRPr="008847EB" w:rsidRDefault="004B4392" w:rsidP="004B4392">
      <w:pPr>
        <w:widowControl w:val="0"/>
        <w:jc w:val="both"/>
        <w:rPr>
          <w:sz w:val="20"/>
        </w:rPr>
      </w:pPr>
    </w:p>
    <w:p w:rsidR="004B4392" w:rsidRPr="008847EB" w:rsidRDefault="0011194E" w:rsidP="004B4392">
      <w:pPr>
        <w:widowControl w:val="0"/>
        <w:jc w:val="both"/>
        <w:rPr>
          <w:sz w:val="20"/>
        </w:rPr>
      </w:pPr>
      <w:r>
        <w:rPr>
          <w:szCs w:val="24"/>
          <w:lang w:val="fr-CA"/>
        </w:rPr>
        <w:pict>
          <v:rect id="_x0000_i1067" style="width:108pt;height:1pt" o:hrpct="0" o:hralign="center" o:hrstd="t" o:hrnoshade="t" o:hr="t" fillcolor="black [3213]" stroked="f"/>
        </w:pict>
      </w:r>
    </w:p>
    <w:p w:rsidR="004B4392" w:rsidRPr="008847EB" w:rsidRDefault="004B4392" w:rsidP="004B4392">
      <w:pPr>
        <w:widowControl w:val="0"/>
        <w:jc w:val="both"/>
        <w:rPr>
          <w:sz w:val="20"/>
        </w:rPr>
      </w:pPr>
    </w:p>
    <w:p w:rsidR="004B4392" w:rsidRPr="008847EB" w:rsidRDefault="004B4392" w:rsidP="004B4392">
      <w:pPr>
        <w:pStyle w:val="SCCLsocParty"/>
        <w:ind w:left="720" w:hanging="720"/>
        <w:jc w:val="both"/>
        <w:rPr>
          <w:b/>
          <w:i/>
          <w:sz w:val="20"/>
          <w:szCs w:val="20"/>
        </w:rPr>
      </w:pPr>
      <w:r w:rsidRPr="008847EB">
        <w:rPr>
          <w:b/>
          <w:sz w:val="20"/>
        </w:rPr>
        <w:t>37898</w:t>
      </w:r>
      <w:r w:rsidRPr="008847EB">
        <w:rPr>
          <w:b/>
          <w:sz w:val="20"/>
        </w:rPr>
        <w:tab/>
      </w:r>
      <w:r w:rsidRPr="008847EB">
        <w:rPr>
          <w:b/>
          <w:i/>
          <w:sz w:val="20"/>
          <w:szCs w:val="20"/>
        </w:rPr>
        <w:t>Desjardins Cabinet de services financiers inc., Desjardins Gestion internationale d’actifs inc., personne morale légalement constituée, anciennement Desjardins Gestion d’actifs inc. c. Ronald Asselin</w:t>
      </w:r>
    </w:p>
    <w:p w:rsidR="004B4392" w:rsidRPr="008847EB" w:rsidRDefault="004B4392" w:rsidP="004B4392">
      <w:pPr>
        <w:widowControl w:val="0"/>
        <w:ind w:firstLine="720"/>
        <w:jc w:val="both"/>
        <w:rPr>
          <w:b/>
          <w:sz w:val="20"/>
          <w:lang w:val="fr-CA"/>
        </w:rPr>
      </w:pPr>
      <w:r w:rsidRPr="008847EB">
        <w:rPr>
          <w:sz w:val="20"/>
          <w:szCs w:val="20"/>
          <w:lang w:val="fr-CA"/>
        </w:rPr>
        <w:t>(Qc) (Civile) (Autorisation)</w:t>
      </w:r>
    </w:p>
    <w:p w:rsidR="004B4392" w:rsidRPr="008847EB" w:rsidRDefault="004B4392" w:rsidP="004B4392">
      <w:pPr>
        <w:widowControl w:val="0"/>
        <w:jc w:val="both"/>
        <w:rPr>
          <w:sz w:val="20"/>
          <w:lang w:val="fr-CA"/>
        </w:rPr>
      </w:pPr>
    </w:p>
    <w:p w:rsidR="004B4392" w:rsidRPr="008847EB" w:rsidRDefault="004B4392" w:rsidP="004B4392">
      <w:pPr>
        <w:widowControl w:val="0"/>
        <w:jc w:val="both"/>
        <w:rPr>
          <w:sz w:val="20"/>
          <w:lang w:val="fr-CA"/>
        </w:rPr>
      </w:pPr>
      <w:r w:rsidRPr="008847EB">
        <w:rPr>
          <w:sz w:val="20"/>
          <w:szCs w:val="20"/>
          <w:lang w:val="fr-CA"/>
        </w:rPr>
        <w:t xml:space="preserve">Procédure civile - Recours collectif - Critères d’autorisation - Questions communes - Cause défendable - Action collective en responsabilité civile contractuelle et extracontractuelle - La Cour d’appel a-t-elle erré en autorisant une action collective fondée sur les représentations faites individuellement par des centaines de conseillers financiers à des milliers investisseurs, dans le cadre de leur planification financière personnelle, de l’art. 1003(a) [maintenant 575 par. 1] du </w:t>
      </w:r>
      <w:r w:rsidRPr="008847EB">
        <w:rPr>
          <w:i/>
          <w:sz w:val="20"/>
          <w:szCs w:val="20"/>
          <w:lang w:val="fr-CA"/>
        </w:rPr>
        <w:t>Code de procédure civile</w:t>
      </w:r>
      <w:r w:rsidRPr="008847EB">
        <w:rPr>
          <w:sz w:val="20"/>
          <w:szCs w:val="20"/>
          <w:lang w:val="fr-CA"/>
        </w:rPr>
        <w:t xml:space="preserve">? - À la lumière de la quittance et de l’injonction contenues à l’Ordonnance d’homologation la cause d’action fondée sur les PCAA (papiers commerciaux adossés à des actifs) était-elle « défendable » au sens de l’art. 1003(b) [maintenant 575 par. 2] du </w:t>
      </w:r>
      <w:r w:rsidRPr="008847EB">
        <w:rPr>
          <w:i/>
          <w:sz w:val="20"/>
          <w:szCs w:val="20"/>
          <w:lang w:val="fr-CA"/>
        </w:rPr>
        <w:t>Code de procédure civile</w:t>
      </w:r>
      <w:r w:rsidRPr="008847EB">
        <w:rPr>
          <w:sz w:val="20"/>
          <w:szCs w:val="20"/>
          <w:lang w:val="fr-CA"/>
        </w:rPr>
        <w:t xml:space="preserve">? - La Cour d’appel erre-t-elle en concluant que les allégations purement spéculatives relatives à la prétendue faute de conception et de gestion permettent d’établir une cause d’action défendable au sens de l’art. 1003(b) [maintenant 575 par. 2] du </w:t>
      </w:r>
      <w:r w:rsidRPr="008847EB">
        <w:rPr>
          <w:i/>
          <w:sz w:val="20"/>
          <w:szCs w:val="20"/>
          <w:lang w:val="fr-CA"/>
        </w:rPr>
        <w:t>Code de procédure civile</w:t>
      </w:r>
      <w:r w:rsidRPr="008847EB">
        <w:rPr>
          <w:sz w:val="20"/>
          <w:szCs w:val="20"/>
          <w:lang w:val="fr-CA"/>
        </w:rPr>
        <w:t xml:space="preserve">? - </w:t>
      </w:r>
      <w:r w:rsidRPr="008847EB">
        <w:rPr>
          <w:i/>
          <w:sz w:val="20"/>
          <w:szCs w:val="20"/>
          <w:lang w:val="fr-CA"/>
        </w:rPr>
        <w:t>Code de procédure civile</w:t>
      </w:r>
      <w:r w:rsidRPr="008847EB">
        <w:rPr>
          <w:sz w:val="20"/>
          <w:szCs w:val="20"/>
          <w:lang w:val="fr-CA"/>
        </w:rPr>
        <w:t xml:space="preserve">, RLRQ c. C-25, art. 1003 (abrogé) </w:t>
      </w:r>
      <w:r w:rsidRPr="008847EB">
        <w:rPr>
          <w:rFonts w:cs="Times New Roman"/>
          <w:sz w:val="20"/>
          <w:szCs w:val="20"/>
          <w:lang w:val="fr-CA"/>
        </w:rPr>
        <w:t>-</w:t>
      </w:r>
      <w:r w:rsidRPr="008847EB">
        <w:rPr>
          <w:sz w:val="20"/>
          <w:szCs w:val="20"/>
          <w:lang w:val="fr-CA"/>
        </w:rPr>
        <w:t xml:space="preserve"> </w:t>
      </w:r>
      <w:r w:rsidRPr="008847EB">
        <w:rPr>
          <w:i/>
          <w:sz w:val="20"/>
          <w:szCs w:val="20"/>
          <w:lang w:val="fr-CA"/>
        </w:rPr>
        <w:t>Code de procédure civile</w:t>
      </w:r>
      <w:r w:rsidRPr="008847EB">
        <w:rPr>
          <w:sz w:val="20"/>
          <w:szCs w:val="20"/>
          <w:lang w:val="fr-CA"/>
        </w:rPr>
        <w:t xml:space="preserve">, RLRQ c. C-25.01, art. 575 - </w:t>
      </w:r>
      <w:r w:rsidRPr="008847EB">
        <w:rPr>
          <w:i/>
          <w:sz w:val="20"/>
          <w:szCs w:val="20"/>
          <w:lang w:val="fr-CA"/>
        </w:rPr>
        <w:t>Loi sur les arrangements avec les créanciers des compagnies</w:t>
      </w:r>
      <w:r w:rsidRPr="008847EB">
        <w:rPr>
          <w:sz w:val="20"/>
          <w:szCs w:val="20"/>
          <w:lang w:val="fr-CA"/>
        </w:rPr>
        <w:t>, LRC 1985, c. C-36, art. 16 et 17.</w:t>
      </w:r>
    </w:p>
    <w:p w:rsidR="004B4392" w:rsidRPr="008847EB" w:rsidRDefault="004B4392" w:rsidP="004B4392">
      <w:pPr>
        <w:widowControl w:val="0"/>
        <w:jc w:val="both"/>
        <w:rPr>
          <w:sz w:val="20"/>
          <w:lang w:val="fr-CA"/>
        </w:rPr>
      </w:pPr>
    </w:p>
    <w:p w:rsidR="004B4392" w:rsidRPr="008847EB" w:rsidRDefault="004B4392" w:rsidP="004B4392">
      <w:pPr>
        <w:widowControl w:val="0"/>
        <w:jc w:val="both"/>
        <w:rPr>
          <w:sz w:val="20"/>
          <w:lang w:val="fr-CA"/>
        </w:rPr>
      </w:pPr>
      <w:r w:rsidRPr="008847EB">
        <w:rPr>
          <w:sz w:val="20"/>
          <w:szCs w:val="20"/>
          <w:lang w:val="fr-CA"/>
        </w:rPr>
        <w:t xml:space="preserve">L’intimé, Monsieur Ronald Asselin, a investi dans des placements auprès de la Caisse Desjardins de Sherbrooke-Est à savoir, des dépôts à terme à capital protégé non encaissables avant l’échéance appelés « placement à terme perspective plus » et « placement épargne à terme gestion active ». Des suites de la crise économique de 2008, M. Asselin est informé en mars 2009 que bien que le capital demeure protégé, ces placements ne produiraient aucun rendement et qu’ils resteraient non encaissables jusqu’à la fin du terme. En 2011, M. Asselin dépose une demande d’autorisation d’action collective en responsabilité civile contractuelle contre l’appelante Desjardins Cabinet de services financiers inc. au motif qu’elle aurait incité à contracter des placements présentés comme sûrs alors qu’ils comportaient un risque particulier pouvant affecter leur potentiel de rendement et en responsabilité civile extracontractuelle contre l’appelante Desjardins Gestion internationale d’actifs inc. au motif qu’elle aurait </w:t>
      </w:r>
      <w:r w:rsidRPr="008847EB">
        <w:rPr>
          <w:sz w:val="20"/>
          <w:szCs w:val="20"/>
          <w:lang w:val="fr-FR"/>
        </w:rPr>
        <w:t>conçu et géré les placements en question d’une façon téméraire et incompétente, qui ne concordait pas avec le risque associé à un produit financier présenté comme sûr, et d’avoir usé de stratégies financières inappropriées.</w:t>
      </w:r>
    </w:p>
    <w:p w:rsidR="004B4392" w:rsidRPr="008847EB" w:rsidRDefault="004B4392" w:rsidP="004B4392">
      <w:pPr>
        <w:widowControl w:val="0"/>
        <w:jc w:val="both"/>
        <w:outlineLvl w:val="0"/>
        <w:rPr>
          <w:sz w:val="20"/>
          <w:lang w:val="fr-CA"/>
        </w:rPr>
      </w:pPr>
    </w:p>
    <w:p w:rsidR="004B4392" w:rsidRPr="008847EB" w:rsidRDefault="0011194E" w:rsidP="004B4392">
      <w:pPr>
        <w:widowControl w:val="0"/>
        <w:jc w:val="both"/>
        <w:outlineLvl w:val="0"/>
        <w:rPr>
          <w:sz w:val="20"/>
        </w:rPr>
      </w:pPr>
      <w:r>
        <w:rPr>
          <w:szCs w:val="24"/>
          <w:lang w:val="fr-CA"/>
        </w:rPr>
        <w:pict>
          <v:rect id="_x0000_i1068" style="width:108pt;height:1pt" o:hrpct="0" o:hralign="center" o:hrstd="t" o:hrnoshade="t" o:hr="t" fillcolor="black [3213]" stroked="f"/>
        </w:pict>
      </w:r>
    </w:p>
    <w:p w:rsidR="004B4392" w:rsidRPr="008847EB" w:rsidRDefault="004B4392" w:rsidP="004B4392">
      <w:pPr>
        <w:widowControl w:val="0"/>
        <w:jc w:val="both"/>
        <w:outlineLvl w:val="0"/>
        <w:rPr>
          <w:sz w:val="20"/>
        </w:rPr>
      </w:pPr>
    </w:p>
    <w:p w:rsidR="004B4392" w:rsidRPr="008847EB" w:rsidRDefault="004B4392" w:rsidP="004B4392">
      <w:pPr>
        <w:pStyle w:val="SCCLsocParty"/>
        <w:ind w:left="720" w:hanging="720"/>
        <w:jc w:val="both"/>
        <w:rPr>
          <w:b/>
          <w:i/>
          <w:sz w:val="20"/>
          <w:szCs w:val="20"/>
          <w:lang w:val="en-US"/>
        </w:rPr>
      </w:pPr>
      <w:r w:rsidRPr="008847EB">
        <w:rPr>
          <w:b/>
          <w:sz w:val="20"/>
          <w:szCs w:val="20"/>
        </w:rPr>
        <w:fldChar w:fldCharType="begin"/>
      </w:r>
      <w:r w:rsidRPr="008847EB">
        <w:rPr>
          <w:b/>
          <w:sz w:val="20"/>
          <w:szCs w:val="20"/>
          <w:lang w:val="en-US"/>
        </w:rPr>
        <w:instrText xml:space="preserve"> SEQ CHAPTER \h \r 1</w:instrText>
      </w:r>
      <w:r w:rsidRPr="008847EB">
        <w:rPr>
          <w:b/>
          <w:sz w:val="20"/>
          <w:szCs w:val="20"/>
        </w:rPr>
        <w:fldChar w:fldCharType="end"/>
      </w:r>
      <w:r w:rsidRPr="008847EB">
        <w:rPr>
          <w:rStyle w:val="SCCFileNumberChar"/>
          <w:rFonts w:eastAsiaTheme="minorHAnsi"/>
          <w:sz w:val="20"/>
          <w:szCs w:val="20"/>
        </w:rPr>
        <w:t>38463</w:t>
      </w:r>
      <w:r w:rsidRPr="008847EB">
        <w:rPr>
          <w:sz w:val="20"/>
          <w:szCs w:val="20"/>
          <w:lang w:val="en-US"/>
        </w:rPr>
        <w:tab/>
      </w:r>
      <w:r w:rsidRPr="008847EB">
        <w:rPr>
          <w:b/>
          <w:i/>
          <w:sz w:val="20"/>
          <w:szCs w:val="20"/>
          <w:lang w:val="en-US"/>
        </w:rPr>
        <w:t>C.M. Callow Inc. v. Tammy Zollinger, Condominium Management Group, Carleton Condominium Corporation No. 703, Carleton Condominium Corporation No. 726, Carleton Condominium Corporation No. 742, Carleton Condominium Corporation No. 765, Carleton Condominium Corporation No. 783, Carleton Condominium Corporation No. 791, Carleton Condominium Corporation No. 806, Carleton Condominium Corporation No. 826, Carleton Condominium Corporation No. 839 and Carleton Condominium Corporation No. 877</w:t>
      </w:r>
    </w:p>
    <w:p w:rsidR="004B4392" w:rsidRPr="008847EB" w:rsidRDefault="004B4392" w:rsidP="004B4392">
      <w:pPr>
        <w:pStyle w:val="SCCLsocParty"/>
        <w:ind w:left="720" w:hanging="720"/>
        <w:jc w:val="both"/>
        <w:rPr>
          <w:sz w:val="20"/>
          <w:szCs w:val="20"/>
          <w:lang w:val="en-US"/>
        </w:rPr>
      </w:pPr>
      <w:r w:rsidRPr="008847EB">
        <w:rPr>
          <w:rStyle w:val="SCCFileNumberChar"/>
          <w:rFonts w:eastAsiaTheme="minorHAnsi"/>
          <w:sz w:val="20"/>
          <w:szCs w:val="20"/>
        </w:rPr>
        <w:tab/>
      </w:r>
      <w:r w:rsidRPr="008847EB">
        <w:rPr>
          <w:sz w:val="20"/>
          <w:szCs w:val="20"/>
          <w:lang w:val="en-US"/>
        </w:rPr>
        <w:t>(Ont.) (Civil) (By Leave)</w:t>
      </w:r>
    </w:p>
    <w:p w:rsidR="004B4392" w:rsidRPr="008847EB" w:rsidRDefault="004B4392" w:rsidP="004B4392">
      <w:pPr>
        <w:pStyle w:val="SCCCaseDescriptor0"/>
        <w:jc w:val="both"/>
        <w:rPr>
          <w:b w:val="0"/>
          <w:sz w:val="20"/>
        </w:rPr>
      </w:pPr>
    </w:p>
    <w:p w:rsidR="004B4392" w:rsidRPr="008847EB" w:rsidRDefault="004B4392" w:rsidP="004B4392">
      <w:pPr>
        <w:jc w:val="both"/>
        <w:rPr>
          <w:sz w:val="20"/>
          <w:szCs w:val="20"/>
        </w:rPr>
      </w:pPr>
      <w:r w:rsidRPr="008847EB">
        <w:rPr>
          <w:sz w:val="20"/>
          <w:szCs w:val="20"/>
        </w:rPr>
        <w:t xml:space="preserve">Contracts - Commercial contracts - Performance - Duty of honest performance - Active non-disclosure - Whether the condos’ active non-disclosure breached a duty of good faith - For what damages could the respondents be held liable - </w:t>
      </w:r>
      <w:proofErr w:type="spellStart"/>
      <w:r w:rsidRPr="008847EB">
        <w:rPr>
          <w:i/>
          <w:sz w:val="20"/>
          <w:szCs w:val="20"/>
        </w:rPr>
        <w:t>Bhasin</w:t>
      </w:r>
      <w:proofErr w:type="spellEnd"/>
      <w:r w:rsidRPr="008847EB">
        <w:rPr>
          <w:i/>
          <w:sz w:val="20"/>
          <w:szCs w:val="20"/>
        </w:rPr>
        <w:t xml:space="preserve"> v </w:t>
      </w:r>
      <w:proofErr w:type="spellStart"/>
      <w:r w:rsidRPr="008847EB">
        <w:rPr>
          <w:i/>
          <w:sz w:val="20"/>
          <w:szCs w:val="20"/>
        </w:rPr>
        <w:t>Hrynew</w:t>
      </w:r>
      <w:proofErr w:type="spellEnd"/>
      <w:r w:rsidRPr="008847EB">
        <w:rPr>
          <w:sz w:val="20"/>
          <w:szCs w:val="20"/>
        </w:rPr>
        <w:t>, 2014 SCC 71.</w:t>
      </w:r>
    </w:p>
    <w:p w:rsidR="004B4392" w:rsidRPr="008847EB" w:rsidRDefault="004B4392" w:rsidP="004B4392">
      <w:pPr>
        <w:jc w:val="both"/>
        <w:rPr>
          <w:sz w:val="20"/>
          <w:szCs w:val="20"/>
        </w:rPr>
      </w:pPr>
    </w:p>
    <w:p w:rsidR="004B4392" w:rsidRPr="008847EB" w:rsidRDefault="004B4392" w:rsidP="004B4392">
      <w:pPr>
        <w:jc w:val="both"/>
        <w:rPr>
          <w:sz w:val="20"/>
        </w:rPr>
      </w:pPr>
      <w:r w:rsidRPr="008847EB">
        <w:rPr>
          <w:sz w:val="20"/>
          <w:szCs w:val="20"/>
        </w:rPr>
        <w:t xml:space="preserve">C.M. Callow Inc. (owned and operated by Christopher Callow) provided maintenance services to ten condominium corporations. Those combined corporations formed a Joint Use Committee (JUC) to make decisions regarding joint and shared assets of the corporations and, in April 2012, entered into two two-year maintenance contracts with Mr. Callow. One contract covered summer maintenance work and the other covered winter maintenance. The winter contract, which ran from November 2012 to April 2014, contained a provision allowing for early termination by the JUC on 10 days’ notice. In March or April of 2013, the JUC decided to terminate the winter contract, but did not provide Mr. Callow with notice of termination. During the summer of 2013 Mr. Callow, of his own volition, performed extra “freebie” landscaping work in the hope that this would act as an incentive for the JUC to renew the contracts. In September of 2013 the JUC gave notice it intended to terminate the contracts. Mr. Callow sued for breach of contract. The Ontario Superior Court of Justice determined that the JUC breached their contractual duty of honest performance by acting in bad faith. The Court of Appeal allowed the appeal and determined that the trial judge improperly expanded the duty of honest performance. Relying on </w:t>
      </w:r>
      <w:proofErr w:type="spellStart"/>
      <w:r w:rsidRPr="008847EB">
        <w:rPr>
          <w:i/>
          <w:sz w:val="20"/>
          <w:szCs w:val="20"/>
        </w:rPr>
        <w:t>Bhasin</w:t>
      </w:r>
      <w:proofErr w:type="spellEnd"/>
      <w:r w:rsidRPr="008847EB">
        <w:rPr>
          <w:i/>
          <w:sz w:val="20"/>
          <w:szCs w:val="20"/>
        </w:rPr>
        <w:t xml:space="preserve"> v </w:t>
      </w:r>
      <w:proofErr w:type="spellStart"/>
      <w:r w:rsidRPr="008847EB">
        <w:rPr>
          <w:i/>
          <w:sz w:val="20"/>
          <w:szCs w:val="20"/>
        </w:rPr>
        <w:t>Hrynew</w:t>
      </w:r>
      <w:proofErr w:type="spellEnd"/>
      <w:r w:rsidRPr="008847EB">
        <w:rPr>
          <w:sz w:val="20"/>
          <w:szCs w:val="20"/>
        </w:rPr>
        <w:t>, 2014 SCC 71, the Court of Appeal found that the JUC owed Mr. Callow nothing beyond the 10-day formal notice period and that failure to provide notice on a more timely basis was not in itself evidence of bad faith. The Court of Appeal emphasized that there is no unilateral duty to disclose.</w:t>
      </w:r>
    </w:p>
    <w:p w:rsidR="004B4392" w:rsidRPr="008847EB" w:rsidRDefault="004B4392" w:rsidP="004B4392">
      <w:pPr>
        <w:jc w:val="both"/>
        <w:rPr>
          <w:sz w:val="20"/>
        </w:rPr>
      </w:pPr>
    </w:p>
    <w:p w:rsidR="004B4392" w:rsidRPr="008847EB" w:rsidRDefault="0011194E" w:rsidP="004B4392">
      <w:pPr>
        <w:jc w:val="both"/>
        <w:rPr>
          <w:sz w:val="20"/>
        </w:rPr>
      </w:pPr>
      <w:r>
        <w:rPr>
          <w:szCs w:val="24"/>
          <w:lang w:val="fr-CA"/>
        </w:rPr>
        <w:pict>
          <v:rect id="_x0000_i1069" style="width:108pt;height:1pt" o:hrpct="0" o:hralign="center" o:hrstd="t" o:hrnoshade="t" o:hr="t" fillcolor="black [3213]" stroked="f"/>
        </w:pict>
      </w:r>
    </w:p>
    <w:p w:rsidR="004B4392" w:rsidRPr="008847EB" w:rsidRDefault="004B4392" w:rsidP="004B4392">
      <w:pPr>
        <w:jc w:val="both"/>
        <w:rPr>
          <w:sz w:val="20"/>
          <w:szCs w:val="20"/>
        </w:rPr>
      </w:pPr>
    </w:p>
    <w:p w:rsidR="004B4392" w:rsidRPr="008847EB" w:rsidRDefault="004B4392" w:rsidP="004B4392">
      <w:pPr>
        <w:pStyle w:val="SCCLsocParty"/>
        <w:ind w:left="720" w:hanging="720"/>
        <w:jc w:val="both"/>
        <w:rPr>
          <w:b/>
          <w:i/>
          <w:sz w:val="20"/>
          <w:szCs w:val="20"/>
          <w:lang w:val="en-US"/>
        </w:rPr>
      </w:pPr>
      <w:r w:rsidRPr="008847EB">
        <w:rPr>
          <w:b/>
          <w:sz w:val="20"/>
          <w:szCs w:val="20"/>
        </w:rPr>
        <w:fldChar w:fldCharType="begin"/>
      </w:r>
      <w:r w:rsidRPr="008847EB">
        <w:rPr>
          <w:b/>
          <w:sz w:val="20"/>
          <w:szCs w:val="20"/>
          <w:lang w:val="en-US"/>
        </w:rPr>
        <w:instrText xml:space="preserve"> SEQ CHAPTER \h \r 1</w:instrText>
      </w:r>
      <w:r w:rsidRPr="008847EB">
        <w:rPr>
          <w:b/>
          <w:sz w:val="20"/>
          <w:szCs w:val="20"/>
        </w:rPr>
        <w:fldChar w:fldCharType="end"/>
      </w:r>
      <w:r w:rsidRPr="008847EB">
        <w:rPr>
          <w:rStyle w:val="SCCFileNumberChar"/>
          <w:rFonts w:eastAsiaTheme="minorHAnsi"/>
          <w:sz w:val="20"/>
          <w:szCs w:val="20"/>
        </w:rPr>
        <w:t>38463</w:t>
      </w:r>
      <w:r w:rsidRPr="008847EB">
        <w:rPr>
          <w:sz w:val="20"/>
          <w:szCs w:val="20"/>
          <w:lang w:val="en-US"/>
        </w:rPr>
        <w:tab/>
      </w:r>
      <w:r w:rsidRPr="008847EB">
        <w:rPr>
          <w:b/>
          <w:i/>
          <w:sz w:val="20"/>
          <w:szCs w:val="20"/>
          <w:lang w:val="en-US"/>
        </w:rPr>
        <w:t>C.M. Callow Inc. c. Tammy Zollinger, Condominium Management Group, Carleton Condominium Corporation No. 703, Carleton Condominium Corporation No. 726. Carleton Condominium Corporation No. 742, Carleton Condominium Corporation No. 765, Carleton Condominium Corporation No. 783, Carleton Condominium Corporation No. 791, Carleton Condominium Corporation No. 806, Carleton Condominium Corporation No. 826, Carleton Condominium Corporation No. 839 et Carleton Condominium Corporation No. 877</w:t>
      </w:r>
    </w:p>
    <w:p w:rsidR="004B4392" w:rsidRPr="008847EB" w:rsidRDefault="004B4392" w:rsidP="004B4392">
      <w:pPr>
        <w:pStyle w:val="SCCLsocParty"/>
        <w:ind w:left="720"/>
        <w:jc w:val="both"/>
        <w:rPr>
          <w:sz w:val="20"/>
          <w:szCs w:val="20"/>
        </w:rPr>
      </w:pPr>
      <w:r w:rsidRPr="008847EB">
        <w:rPr>
          <w:sz w:val="20"/>
          <w:szCs w:val="20"/>
        </w:rPr>
        <w:t>(Ont.) (Civile) (Autorisation)</w:t>
      </w:r>
    </w:p>
    <w:p w:rsidR="004B4392" w:rsidRPr="008847EB" w:rsidRDefault="004B4392" w:rsidP="004B4392">
      <w:pPr>
        <w:pStyle w:val="SCCCaseDescriptor0"/>
        <w:jc w:val="both"/>
        <w:rPr>
          <w:b w:val="0"/>
          <w:sz w:val="20"/>
          <w:lang w:val="fr-CA"/>
        </w:rPr>
      </w:pPr>
    </w:p>
    <w:p w:rsidR="004B4392" w:rsidRPr="008847EB" w:rsidRDefault="004B4392" w:rsidP="004B4392">
      <w:pPr>
        <w:jc w:val="both"/>
        <w:rPr>
          <w:sz w:val="20"/>
          <w:szCs w:val="20"/>
          <w:lang w:val="fr-CA"/>
        </w:rPr>
      </w:pPr>
      <w:r w:rsidRPr="008847EB">
        <w:rPr>
          <w:sz w:val="20"/>
          <w:szCs w:val="20"/>
          <w:lang w:val="fr-CA"/>
        </w:rPr>
        <w:t xml:space="preserve">Contrats - Contrats commerciaux - Exécution - Obligation d’exécution honnête - Non-divulgation active - Par leur non-divulgation active, les sociétés </w:t>
      </w:r>
      <w:proofErr w:type="spellStart"/>
      <w:r w:rsidRPr="008847EB">
        <w:rPr>
          <w:sz w:val="20"/>
          <w:szCs w:val="20"/>
          <w:lang w:val="fr-CA"/>
        </w:rPr>
        <w:t>condominiales</w:t>
      </w:r>
      <w:proofErr w:type="spellEnd"/>
      <w:r w:rsidRPr="008847EB">
        <w:rPr>
          <w:sz w:val="20"/>
          <w:szCs w:val="20"/>
          <w:lang w:val="fr-CA"/>
        </w:rPr>
        <w:t xml:space="preserve"> </w:t>
      </w:r>
      <w:proofErr w:type="spellStart"/>
      <w:r w:rsidRPr="008847EB">
        <w:rPr>
          <w:sz w:val="20"/>
          <w:szCs w:val="20"/>
          <w:lang w:val="fr-CA"/>
        </w:rPr>
        <w:t>ont-elles</w:t>
      </w:r>
      <w:proofErr w:type="spellEnd"/>
      <w:r w:rsidRPr="008847EB">
        <w:rPr>
          <w:sz w:val="20"/>
          <w:szCs w:val="20"/>
          <w:lang w:val="fr-CA"/>
        </w:rPr>
        <w:t xml:space="preserve"> violé une obligation d’agir de bonne foi? - Pour quels dommages les intimées peuvent-elles être tenues responsables? - </w:t>
      </w:r>
      <w:proofErr w:type="spellStart"/>
      <w:r w:rsidRPr="008847EB">
        <w:rPr>
          <w:i/>
          <w:sz w:val="20"/>
          <w:szCs w:val="20"/>
          <w:lang w:val="fr-CA"/>
        </w:rPr>
        <w:t>Bhasin</w:t>
      </w:r>
      <w:proofErr w:type="spellEnd"/>
      <w:r w:rsidRPr="008847EB">
        <w:rPr>
          <w:i/>
          <w:sz w:val="20"/>
          <w:szCs w:val="20"/>
          <w:lang w:val="fr-CA"/>
        </w:rPr>
        <w:t xml:space="preserve"> c. </w:t>
      </w:r>
      <w:proofErr w:type="spellStart"/>
      <w:r w:rsidRPr="008847EB">
        <w:rPr>
          <w:i/>
          <w:sz w:val="20"/>
          <w:szCs w:val="20"/>
          <w:lang w:val="fr-CA"/>
        </w:rPr>
        <w:t>Hrynew</w:t>
      </w:r>
      <w:proofErr w:type="spellEnd"/>
      <w:r w:rsidRPr="008847EB">
        <w:rPr>
          <w:sz w:val="20"/>
          <w:szCs w:val="20"/>
          <w:lang w:val="fr-CA"/>
        </w:rPr>
        <w:t>, 2014 CSC 71.</w:t>
      </w:r>
    </w:p>
    <w:p w:rsidR="004B4392" w:rsidRPr="008847EB" w:rsidRDefault="004B4392" w:rsidP="004B4392">
      <w:pPr>
        <w:jc w:val="both"/>
        <w:rPr>
          <w:sz w:val="20"/>
          <w:szCs w:val="20"/>
          <w:lang w:val="fr-CA"/>
        </w:rPr>
      </w:pPr>
    </w:p>
    <w:p w:rsidR="004B4392" w:rsidRPr="008847EB" w:rsidRDefault="004B4392" w:rsidP="004B4392">
      <w:pPr>
        <w:jc w:val="both"/>
        <w:rPr>
          <w:sz w:val="20"/>
          <w:szCs w:val="20"/>
          <w:lang w:val="fr-CA"/>
        </w:rPr>
      </w:pPr>
      <w:r w:rsidRPr="008847EB">
        <w:rPr>
          <w:sz w:val="20"/>
          <w:szCs w:val="20"/>
          <w:lang w:val="fr-CA"/>
        </w:rPr>
        <w:t xml:space="preserve">C.M. Callow Inc. (exploitée par Christopher Callow, qui en est aussi le propriétaire) fournissait des services d’entretien à dix sociétés </w:t>
      </w:r>
      <w:proofErr w:type="spellStart"/>
      <w:r w:rsidRPr="008847EB">
        <w:rPr>
          <w:sz w:val="20"/>
          <w:szCs w:val="20"/>
          <w:lang w:val="fr-CA"/>
        </w:rPr>
        <w:t>condominiales</w:t>
      </w:r>
      <w:proofErr w:type="spellEnd"/>
      <w:r w:rsidRPr="008847EB">
        <w:rPr>
          <w:sz w:val="20"/>
          <w:szCs w:val="20"/>
          <w:lang w:val="fr-CA"/>
        </w:rPr>
        <w:t>. Ces sociétés formaient ensemble un [</w:t>
      </w:r>
      <w:r w:rsidRPr="008847EB">
        <w:rPr>
          <w:smallCaps/>
          <w:sz w:val="20"/>
          <w:szCs w:val="20"/>
          <w:lang w:val="fr-CA"/>
        </w:rPr>
        <w:t>traduction</w:t>
      </w:r>
      <w:r w:rsidRPr="008847EB">
        <w:rPr>
          <w:sz w:val="20"/>
          <w:szCs w:val="20"/>
          <w:lang w:val="fr-CA"/>
        </w:rPr>
        <w:t xml:space="preserve">] « comité d’utilisation commune » (le « comité ») pour prendre des décisions relatives aux éléments d’actif conjoints et partagés des sociétés et, en avril 2012, elles ont conclu avec M. Callow deux contrats d’entretien d’une durée de deux ans. Un des contrats avait pour objet les travaux d’entretien estival et l’autre avait pour objet l’entretien hivernal. Le contrat d’entretien hivernal, en vigueur de novembre 2012 à avril 2014, renfermait une disposition qui autorisait le comité à résilier le contrat par anticipation moyennant un préavis de dix jours. En mars ou avril 2013, le comité a décidé de résilier le contrat d’entretien hivernal, mais il n’a pas donné de prévis de résiliation à M. Callow. Au cours de l’été de 2013, M. Callow, de son propre gré, a exécuté gratuitement des travaux paysagers supplémentaires dans l’espoir que cela inciterait le comité à renouveler les contrats. En septembre 2013, le comité a donné un préavis de son intention de résilier les contrats. Monsieur Callow a poursuivi pour inexécution de contrat. La Cour supérieure de justice de l’Ontario a conclu que le comité avait violé son obligation contractuelle d’exécution honnête en agissant de mauvaise foi. La Cour d’appel a accueilli l’appel et a conclu que le juge de première instance avait élargi à tort l’obligation d’exécution honnête. S’appuyant sur l’arrêt </w:t>
      </w:r>
      <w:proofErr w:type="spellStart"/>
      <w:r w:rsidRPr="008847EB">
        <w:rPr>
          <w:i/>
          <w:sz w:val="20"/>
          <w:szCs w:val="20"/>
          <w:lang w:val="fr-CA"/>
        </w:rPr>
        <w:t>Bhasin</w:t>
      </w:r>
      <w:proofErr w:type="spellEnd"/>
      <w:r w:rsidRPr="008847EB">
        <w:rPr>
          <w:i/>
          <w:sz w:val="20"/>
          <w:szCs w:val="20"/>
          <w:lang w:val="fr-CA"/>
        </w:rPr>
        <w:t xml:space="preserve"> c. </w:t>
      </w:r>
      <w:proofErr w:type="spellStart"/>
      <w:r w:rsidRPr="008847EB">
        <w:rPr>
          <w:i/>
          <w:sz w:val="20"/>
          <w:szCs w:val="20"/>
          <w:lang w:val="fr-CA"/>
        </w:rPr>
        <w:t>Hrynew</w:t>
      </w:r>
      <w:proofErr w:type="spellEnd"/>
      <w:r w:rsidRPr="008847EB">
        <w:rPr>
          <w:sz w:val="20"/>
          <w:szCs w:val="20"/>
          <w:lang w:val="fr-CA"/>
        </w:rPr>
        <w:t>, 2014 CSC 71, la Cour d’appel a conclu que le comité ne devait rien à M. Callow en dehors du délai de préavis officiel de dix jours et que le défaut d’avoir donné un préavis en temps plus opportun ne constituait pas en soi une preuve de mauvaise foi. La Cour d’appel a souligné qu’il n’existe aucune obligation unilatérale de divulgation.</w:t>
      </w:r>
    </w:p>
    <w:p w:rsidR="004B4392" w:rsidRPr="008847EB" w:rsidRDefault="004B4392" w:rsidP="004B4392">
      <w:pPr>
        <w:widowControl w:val="0"/>
        <w:jc w:val="both"/>
        <w:outlineLvl w:val="0"/>
        <w:rPr>
          <w:sz w:val="20"/>
          <w:lang w:val="fr-CA"/>
        </w:rPr>
      </w:pPr>
    </w:p>
    <w:p w:rsidR="004B4392" w:rsidRPr="008847EB" w:rsidRDefault="0011194E" w:rsidP="004B4392">
      <w:pPr>
        <w:widowControl w:val="0"/>
        <w:jc w:val="both"/>
        <w:outlineLvl w:val="0"/>
        <w:rPr>
          <w:sz w:val="20"/>
        </w:rPr>
      </w:pPr>
      <w:r>
        <w:rPr>
          <w:szCs w:val="24"/>
          <w:lang w:val="fr-CA"/>
        </w:rPr>
        <w:pict>
          <v:rect id="_x0000_i1070" style="width:108pt;height:1pt" o:hrpct="0" o:hralign="center" o:hrstd="t" o:hrnoshade="t" o:hr="t" fillcolor="black [3213]" stroked="f"/>
        </w:pict>
      </w:r>
    </w:p>
    <w:p w:rsidR="004B4392" w:rsidRPr="008847EB" w:rsidRDefault="004B4392" w:rsidP="004B4392">
      <w:pPr>
        <w:widowControl w:val="0"/>
        <w:jc w:val="both"/>
        <w:outlineLvl w:val="0"/>
        <w:rPr>
          <w:sz w:val="20"/>
        </w:rPr>
      </w:pPr>
    </w:p>
    <w:p w:rsidR="004B4392" w:rsidRPr="008847EB" w:rsidRDefault="004B4392" w:rsidP="004B4392">
      <w:pPr>
        <w:pStyle w:val="SCCLsocParty"/>
        <w:ind w:left="720" w:hanging="720"/>
        <w:jc w:val="both"/>
        <w:rPr>
          <w:b/>
          <w:i/>
          <w:sz w:val="20"/>
          <w:szCs w:val="20"/>
          <w:lang w:val="en-US"/>
        </w:rPr>
      </w:pPr>
      <w:r w:rsidRPr="008847EB">
        <w:rPr>
          <w:b/>
          <w:sz w:val="20"/>
          <w:szCs w:val="20"/>
        </w:rPr>
        <w:fldChar w:fldCharType="begin"/>
      </w:r>
      <w:r w:rsidRPr="008847EB">
        <w:rPr>
          <w:b/>
          <w:sz w:val="20"/>
          <w:szCs w:val="20"/>
          <w:lang w:val="en-US"/>
        </w:rPr>
        <w:instrText xml:space="preserve"> SEQ CHAPTER \h \r 1</w:instrText>
      </w:r>
      <w:r w:rsidRPr="008847EB">
        <w:rPr>
          <w:b/>
          <w:sz w:val="20"/>
          <w:szCs w:val="20"/>
        </w:rPr>
        <w:fldChar w:fldCharType="end"/>
      </w:r>
      <w:r w:rsidRPr="008847EB">
        <w:rPr>
          <w:rStyle w:val="SCCFileNumberChar"/>
          <w:rFonts w:eastAsiaTheme="minorHAnsi"/>
          <w:sz w:val="20"/>
          <w:szCs w:val="20"/>
        </w:rPr>
        <w:t>38601</w:t>
      </w:r>
      <w:r w:rsidRPr="008847EB">
        <w:rPr>
          <w:sz w:val="20"/>
          <w:szCs w:val="20"/>
          <w:lang w:val="en-US"/>
        </w:rPr>
        <w:tab/>
      </w:r>
      <w:r w:rsidRPr="008847EB">
        <w:rPr>
          <w:b/>
          <w:i/>
          <w:sz w:val="20"/>
          <w:szCs w:val="20"/>
          <w:lang w:val="en-US"/>
        </w:rPr>
        <w:t>Wastech Services Ltd. v. Greater Vancouver Sewerage and Drainage District</w:t>
      </w:r>
    </w:p>
    <w:p w:rsidR="004B4392" w:rsidRPr="008847EB" w:rsidRDefault="004B4392" w:rsidP="004B4392">
      <w:pPr>
        <w:pStyle w:val="SCCLsocParty"/>
        <w:ind w:left="720"/>
        <w:jc w:val="left"/>
        <w:rPr>
          <w:sz w:val="20"/>
          <w:szCs w:val="20"/>
          <w:lang w:val="en-US"/>
        </w:rPr>
      </w:pPr>
      <w:r w:rsidRPr="008847EB">
        <w:rPr>
          <w:sz w:val="20"/>
          <w:szCs w:val="20"/>
          <w:lang w:val="en-US"/>
        </w:rPr>
        <w:t>(B.C.) (Civil) (By Leave)</w:t>
      </w:r>
    </w:p>
    <w:p w:rsidR="004B4392" w:rsidRPr="008847EB" w:rsidRDefault="004B4392" w:rsidP="004B4392">
      <w:pPr>
        <w:pStyle w:val="SCCCaseDescriptor0"/>
        <w:jc w:val="both"/>
        <w:rPr>
          <w:b w:val="0"/>
          <w:sz w:val="20"/>
        </w:rPr>
      </w:pPr>
    </w:p>
    <w:p w:rsidR="004046FF" w:rsidRPr="008847EB" w:rsidRDefault="004046FF">
      <w:pPr>
        <w:rPr>
          <w:sz w:val="20"/>
          <w:szCs w:val="20"/>
        </w:rPr>
      </w:pPr>
      <w:r w:rsidRPr="008847EB">
        <w:rPr>
          <w:sz w:val="20"/>
          <w:szCs w:val="20"/>
        </w:rPr>
        <w:br w:type="page"/>
      </w:r>
    </w:p>
    <w:p w:rsidR="004B4392" w:rsidRPr="008847EB" w:rsidRDefault="004B4392" w:rsidP="004B4392">
      <w:pPr>
        <w:jc w:val="both"/>
        <w:rPr>
          <w:sz w:val="20"/>
          <w:szCs w:val="20"/>
        </w:rPr>
      </w:pPr>
      <w:r w:rsidRPr="008847EB">
        <w:rPr>
          <w:sz w:val="20"/>
          <w:szCs w:val="20"/>
        </w:rPr>
        <w:lastRenderedPageBreak/>
        <w:t>Contracts - Performance - Doctrine of good faith - Contractual discretion - Legitimate expectation - Whether the arbitrator erred in concluding that the duty of good faith could be implied by law - Whether the arbitrator erred in concluding that Wastech had a legitimate expectation that Metro would compensate Wastech over and above adjustments provided for in their agreement - Whether a breach of the duty of good faith required a finding that the parties’ agreement was nullified or eviscerated - Whether a breach of the duty of good faith required proof of subjective dishonesty - Whether the arbitrator’s good faith conclusions are reviewable.</w:t>
      </w:r>
    </w:p>
    <w:p w:rsidR="004B4392" w:rsidRPr="008847EB" w:rsidRDefault="004B4392" w:rsidP="004B4392">
      <w:pPr>
        <w:jc w:val="both"/>
        <w:rPr>
          <w:sz w:val="20"/>
          <w:szCs w:val="20"/>
        </w:rPr>
      </w:pPr>
    </w:p>
    <w:p w:rsidR="004B4392" w:rsidRPr="008847EB" w:rsidRDefault="004B4392" w:rsidP="004B4392">
      <w:pPr>
        <w:jc w:val="both"/>
        <w:rPr>
          <w:sz w:val="20"/>
        </w:rPr>
      </w:pPr>
      <w:r w:rsidRPr="008847EB">
        <w:rPr>
          <w:sz w:val="20"/>
          <w:szCs w:val="20"/>
        </w:rPr>
        <w:t xml:space="preserve">Wastech Services Ltd. and Greater Vancouver Sewerage and Drainage District (“Metro”) were involved in a 20 year contract for the disposal of solid waste from the Vancouver regional district. A dispute arose in 2011 over Metro’s discretionary allocation of solid waste to various dumping sites which negatively impacted </w:t>
      </w:r>
      <w:proofErr w:type="spellStart"/>
      <w:r w:rsidRPr="008847EB">
        <w:rPr>
          <w:sz w:val="20"/>
          <w:szCs w:val="20"/>
        </w:rPr>
        <w:t>Wastech’s</w:t>
      </w:r>
      <w:proofErr w:type="spellEnd"/>
      <w:r w:rsidRPr="008847EB">
        <w:rPr>
          <w:sz w:val="20"/>
          <w:szCs w:val="20"/>
        </w:rPr>
        <w:t xml:space="preserve"> contractual profit margin. The dispute went to arbitration. The arbitrator refused to include an implied term restricting Metro’s discretion to allocate waste between waste sites since this had been a possibility considered by the parties and purposefully omitted. The arbitrator found that Metro did not exercise its discretion capriciously or arbitrarily. He accepted that the basis for Metro’s conduct was the furtherance of its own objectives and held that Metro was both honest and reasonable from its own perspective. However, the arbitrator determined that Metro breached its duty of good faith in the exercise of its discretion because it lacked the appropriate regard for </w:t>
      </w:r>
      <w:proofErr w:type="spellStart"/>
      <w:r w:rsidRPr="008847EB">
        <w:rPr>
          <w:sz w:val="20"/>
          <w:szCs w:val="20"/>
        </w:rPr>
        <w:t>Wastech’s</w:t>
      </w:r>
      <w:proofErr w:type="spellEnd"/>
      <w:r w:rsidRPr="008847EB">
        <w:rPr>
          <w:sz w:val="20"/>
          <w:szCs w:val="20"/>
        </w:rPr>
        <w:t xml:space="preserve"> legitimate expectations. In the arbitrator’s opinion, it was open to Metro to exercise its discretion in a manner that negatively impacted Wastech financially, but it could not do so to an extent that eliminated any possibility for Wastech to achieve its contractual profit margin. The arbitrator awarded damages to Wastech. Leave to appeal to the Supreme Court of British Columbia was granted on two issues related to good faith in contracts. In granting the appeal, the judge found that the arbitrator made two errors. The judge concluded that an imposition of any duty must be based on the terms of the contract itself which the arbitrator failed to do. An appeal to the Court of Appeal for British Columbia was dismissed but for different reasons than that of the chambers judge. It concluded that bad faith required at least a subjective element of improper motive or dishonesty, neither of which were present in this case.</w:t>
      </w:r>
    </w:p>
    <w:p w:rsidR="004B4392" w:rsidRPr="008847EB" w:rsidRDefault="004B4392" w:rsidP="004B4392">
      <w:pPr>
        <w:jc w:val="both"/>
        <w:rPr>
          <w:sz w:val="20"/>
        </w:rPr>
      </w:pPr>
    </w:p>
    <w:p w:rsidR="004B4392" w:rsidRPr="008847EB" w:rsidRDefault="0011194E" w:rsidP="004B4392">
      <w:pPr>
        <w:jc w:val="both"/>
        <w:rPr>
          <w:sz w:val="20"/>
        </w:rPr>
      </w:pPr>
      <w:r>
        <w:rPr>
          <w:szCs w:val="24"/>
          <w:lang w:val="fr-CA"/>
        </w:rPr>
        <w:pict>
          <v:rect id="_x0000_i1071" style="width:108pt;height:1pt" o:hrpct="0" o:hralign="center" o:hrstd="t" o:hrnoshade="t" o:hr="t" fillcolor="black [3213]" stroked="f"/>
        </w:pict>
      </w:r>
    </w:p>
    <w:p w:rsidR="004B4392" w:rsidRPr="008847EB" w:rsidRDefault="004B4392" w:rsidP="004B4392">
      <w:pPr>
        <w:jc w:val="both"/>
        <w:rPr>
          <w:sz w:val="20"/>
          <w:szCs w:val="20"/>
        </w:rPr>
      </w:pPr>
    </w:p>
    <w:p w:rsidR="004B4392" w:rsidRPr="008847EB" w:rsidRDefault="004B4392" w:rsidP="004B4392">
      <w:pPr>
        <w:pStyle w:val="SCCLsocParty"/>
        <w:ind w:left="720" w:hanging="720"/>
        <w:jc w:val="both"/>
        <w:rPr>
          <w:b/>
          <w:i/>
          <w:sz w:val="20"/>
          <w:szCs w:val="20"/>
          <w:lang w:val="en-US"/>
        </w:rPr>
      </w:pPr>
      <w:r w:rsidRPr="008847EB">
        <w:rPr>
          <w:b/>
          <w:sz w:val="20"/>
          <w:szCs w:val="20"/>
        </w:rPr>
        <w:fldChar w:fldCharType="begin"/>
      </w:r>
      <w:r w:rsidRPr="008847EB">
        <w:rPr>
          <w:b/>
          <w:sz w:val="20"/>
          <w:szCs w:val="20"/>
          <w:lang w:val="en-US"/>
        </w:rPr>
        <w:instrText xml:space="preserve"> SEQ CHAPTER \h \r 1</w:instrText>
      </w:r>
      <w:r w:rsidRPr="008847EB">
        <w:rPr>
          <w:b/>
          <w:sz w:val="20"/>
          <w:szCs w:val="20"/>
        </w:rPr>
        <w:fldChar w:fldCharType="end"/>
      </w:r>
      <w:r w:rsidRPr="008847EB">
        <w:rPr>
          <w:rStyle w:val="SCCFileNumberChar"/>
          <w:rFonts w:eastAsiaTheme="minorHAnsi"/>
          <w:sz w:val="20"/>
          <w:szCs w:val="20"/>
        </w:rPr>
        <w:t>38601</w:t>
      </w:r>
      <w:r w:rsidRPr="008847EB">
        <w:rPr>
          <w:sz w:val="20"/>
          <w:szCs w:val="20"/>
          <w:lang w:val="en-US"/>
        </w:rPr>
        <w:tab/>
      </w:r>
      <w:r w:rsidRPr="008847EB">
        <w:rPr>
          <w:b/>
          <w:i/>
          <w:sz w:val="20"/>
          <w:szCs w:val="20"/>
          <w:lang w:val="en-US"/>
        </w:rPr>
        <w:t>Wastech Services Ltd. c. Greater Vancouver Sewerage and Drainage District</w:t>
      </w:r>
    </w:p>
    <w:p w:rsidR="004B4392" w:rsidRPr="008847EB" w:rsidRDefault="004B4392" w:rsidP="004B4392">
      <w:pPr>
        <w:pStyle w:val="SCCLsocParty"/>
        <w:ind w:left="720" w:hanging="720"/>
        <w:jc w:val="both"/>
        <w:rPr>
          <w:sz w:val="20"/>
          <w:szCs w:val="20"/>
        </w:rPr>
      </w:pPr>
      <w:r w:rsidRPr="008847EB">
        <w:rPr>
          <w:rStyle w:val="SCCFileNumberChar"/>
          <w:rFonts w:eastAsiaTheme="minorHAnsi"/>
          <w:sz w:val="20"/>
          <w:szCs w:val="20"/>
        </w:rPr>
        <w:tab/>
      </w:r>
      <w:r w:rsidRPr="008847EB">
        <w:rPr>
          <w:rStyle w:val="SCCFileNumberChar"/>
          <w:rFonts w:eastAsiaTheme="minorHAnsi"/>
          <w:sz w:val="20"/>
          <w:szCs w:val="20"/>
          <w:lang w:val="fr-CA"/>
        </w:rPr>
        <w:t>(</w:t>
      </w:r>
      <w:r w:rsidRPr="008847EB">
        <w:rPr>
          <w:sz w:val="20"/>
          <w:szCs w:val="20"/>
        </w:rPr>
        <w:t>C.-B.) (Civile) (Autorisation)</w:t>
      </w:r>
    </w:p>
    <w:p w:rsidR="004B4392" w:rsidRPr="008847EB" w:rsidRDefault="004B4392" w:rsidP="004B4392">
      <w:pPr>
        <w:pStyle w:val="SCCCaseDescriptor0"/>
        <w:jc w:val="both"/>
        <w:rPr>
          <w:b w:val="0"/>
          <w:sz w:val="20"/>
          <w:lang w:val="fr-CA"/>
        </w:rPr>
      </w:pPr>
    </w:p>
    <w:p w:rsidR="004B4392" w:rsidRPr="008847EB" w:rsidRDefault="004B4392" w:rsidP="004B4392">
      <w:pPr>
        <w:jc w:val="both"/>
        <w:rPr>
          <w:sz w:val="20"/>
          <w:szCs w:val="20"/>
          <w:lang w:val="fr-CA"/>
        </w:rPr>
      </w:pPr>
      <w:r w:rsidRPr="008847EB">
        <w:rPr>
          <w:sz w:val="20"/>
          <w:szCs w:val="20"/>
          <w:lang w:val="fr-CA"/>
        </w:rPr>
        <w:t>Contrats - Exécution - Doctrine de la bonne foi - Pouvoir discrétionnaire en matière contractuelle - Attente légitime - L’arbitre a-t-il eu tort de conclure que l’obligation d’agir de bonne foi pouvait être implicite par l’effet de la loi? - L’arbitre a-t-il eu tort de conclure que Wastech pouvait légitimement s’attendre à que Metro l’indemnise en sus des ajustements prévus dans leur entente? - Une violation de l’obligation d’agir de bonne foi exigeait-elle une conclusion selon laquelle l’entente des parties était frappée de nullité ou vidée de son sens? - Une violation de l’obligation d’agir de bonne foi exigeait-elle une preuve de malhonnêteté subjective? - Les conclusions de l’arbitre relatives à la bonne foi sont-elles susceptibles de révision?</w:t>
      </w:r>
    </w:p>
    <w:p w:rsidR="004B4392" w:rsidRPr="008847EB" w:rsidRDefault="004B4392" w:rsidP="004B4392">
      <w:pPr>
        <w:jc w:val="both"/>
        <w:rPr>
          <w:sz w:val="20"/>
          <w:szCs w:val="20"/>
          <w:lang w:val="fr-CA"/>
        </w:rPr>
      </w:pPr>
    </w:p>
    <w:p w:rsidR="004046FF" w:rsidRPr="008847EB" w:rsidRDefault="004046FF">
      <w:pPr>
        <w:rPr>
          <w:sz w:val="20"/>
          <w:szCs w:val="20"/>
          <w:lang w:val="fr-CA"/>
        </w:rPr>
      </w:pPr>
      <w:r w:rsidRPr="008847EB">
        <w:rPr>
          <w:sz w:val="20"/>
          <w:szCs w:val="20"/>
          <w:lang w:val="fr-CA"/>
        </w:rPr>
        <w:br w:type="page"/>
      </w:r>
    </w:p>
    <w:p w:rsidR="004B4392" w:rsidRPr="008847EB" w:rsidRDefault="004B4392" w:rsidP="004B4392">
      <w:pPr>
        <w:jc w:val="both"/>
        <w:rPr>
          <w:sz w:val="20"/>
          <w:szCs w:val="20"/>
          <w:lang w:val="fr-CA"/>
        </w:rPr>
      </w:pPr>
      <w:r w:rsidRPr="008847EB">
        <w:rPr>
          <w:sz w:val="20"/>
          <w:szCs w:val="20"/>
          <w:lang w:val="fr-CA"/>
        </w:rPr>
        <w:lastRenderedPageBreak/>
        <w:t xml:space="preserve">Wastech Services Ltd. et </w:t>
      </w:r>
      <w:proofErr w:type="spellStart"/>
      <w:r w:rsidRPr="008847EB">
        <w:rPr>
          <w:sz w:val="20"/>
          <w:szCs w:val="20"/>
          <w:lang w:val="fr-CA"/>
        </w:rPr>
        <w:t>Greater</w:t>
      </w:r>
      <w:proofErr w:type="spellEnd"/>
      <w:r w:rsidRPr="008847EB">
        <w:rPr>
          <w:sz w:val="20"/>
          <w:szCs w:val="20"/>
          <w:lang w:val="fr-CA"/>
        </w:rPr>
        <w:t xml:space="preserve"> Vancouver </w:t>
      </w:r>
      <w:proofErr w:type="spellStart"/>
      <w:r w:rsidRPr="008847EB">
        <w:rPr>
          <w:sz w:val="20"/>
          <w:szCs w:val="20"/>
          <w:lang w:val="fr-CA"/>
        </w:rPr>
        <w:t>Sewerage</w:t>
      </w:r>
      <w:proofErr w:type="spellEnd"/>
      <w:r w:rsidRPr="008847EB">
        <w:rPr>
          <w:sz w:val="20"/>
          <w:szCs w:val="20"/>
          <w:lang w:val="fr-CA"/>
        </w:rPr>
        <w:t xml:space="preserve"> and Drainage District (« Metro ») étaient parties à un contrat de 20 ans pour l’élimination des déchets solides du district régional de Vancouver. Un litige a pris naissance en 2011 à propos de la répartition discrétionnaire par Metro de déchets solides entre plusieurs sites de dépôt, ce qui a nui à sa marge de profit liée au contrat. Le litige a été soumis à l’arbitrage. L’arbitre a refusé d’ajouter une condition tacite limitant le pouvoir discrétionnaire de Metro de répartir les déchets entre sites de dépôt, puisque les parties avaient envisagé et volontairement omis cette possibilité. L’arbitre a conclu que Metro n’avait pas exercé son pouvoir discrétionnaire de façon abusive ou arbitraire. Il a reconnu que Metro avait agi de la sorte dans le but de réaliser ses propres objectifs et jugé que Metro s’était comportée de façon honnête et raisonnable de son propre point de vue. Il a toutefois décidé que Metro avait manqué à son obligation d’agir de bonne foi dans l’exercice de son pouvoir discrétionnaire parce qu’elle n’avait pas bien tenu compte des attentes légitimes de Wastech. De l’avis de l’arbitre, il était loisible à Metro d’exercer son pouvoir discrétionnaire d’une manière qui avait une incidence négative sur Wastech financièrement, mais qu’elle ne pouvait pas le faire au point de priver Wastech de toute possibilité de réaliser sa marge de profit liée au contrat.  L’arbitre a octroyé des dommages-intérêts à Wastech. L’autorisation d’interjeter appel à la Cour suprême de la Colombie-Britannique a été accordée relativement à deux questions liées à la bonne foi en matière contractuelle. En accueillant l’appel, le juge a conclu que l’arbitre avait commis deux erreurs. Le juge a conclu que l’imposition d’une obligation devait être fondée sur les dispositions du contrat lui-même, ce que n’a pas fait l’arbitre. Un appel à la Cour d’appel de la Colombie-Britannique a été rejeté, mais pour des motifs différents de ceux du juge en cabinet. Elle a conclu que la mauvaise foi exigeait au moins un élément subjectif de motif illégitime ou de malhonnêteté, et que ni l’un ni l’autre n’était présent en l’espèce.</w:t>
      </w:r>
    </w:p>
    <w:p w:rsidR="004B4392" w:rsidRPr="008847EB" w:rsidRDefault="004B4392" w:rsidP="004B4392">
      <w:pPr>
        <w:widowControl w:val="0"/>
        <w:jc w:val="both"/>
        <w:outlineLvl w:val="0"/>
        <w:rPr>
          <w:sz w:val="20"/>
          <w:lang w:val="fr-CA"/>
        </w:rPr>
      </w:pPr>
    </w:p>
    <w:p w:rsidR="004B4392" w:rsidRPr="008847EB" w:rsidRDefault="0011194E" w:rsidP="004B4392">
      <w:pPr>
        <w:widowControl w:val="0"/>
        <w:jc w:val="both"/>
        <w:outlineLvl w:val="0"/>
        <w:rPr>
          <w:sz w:val="20"/>
        </w:rPr>
      </w:pPr>
      <w:r>
        <w:rPr>
          <w:szCs w:val="24"/>
          <w:lang w:val="fr-CA"/>
        </w:rPr>
        <w:pict>
          <v:rect id="_x0000_i1072" style="width:108pt;height:1pt" o:hrpct="0" o:hralign="center" o:hrstd="t" o:hrnoshade="t" o:hr="t" fillcolor="black [3213]" stroked="f"/>
        </w:pict>
      </w:r>
    </w:p>
    <w:p w:rsidR="004B4392" w:rsidRPr="008847EB" w:rsidRDefault="004B4392" w:rsidP="004B4392">
      <w:pPr>
        <w:widowControl w:val="0"/>
        <w:jc w:val="both"/>
        <w:outlineLvl w:val="0"/>
        <w:rPr>
          <w:sz w:val="20"/>
        </w:rPr>
      </w:pPr>
    </w:p>
    <w:p w:rsidR="004B4392" w:rsidRPr="008847EB" w:rsidRDefault="004B4392" w:rsidP="004B4392">
      <w:pPr>
        <w:widowControl w:val="0"/>
        <w:ind w:left="720" w:hanging="720"/>
        <w:jc w:val="both"/>
        <w:rPr>
          <w:b/>
          <w:i/>
          <w:sz w:val="20"/>
        </w:rPr>
      </w:pPr>
      <w:r w:rsidRPr="008847EB">
        <w:rPr>
          <w:b/>
          <w:sz w:val="20"/>
        </w:rPr>
        <w:fldChar w:fldCharType="begin"/>
      </w:r>
      <w:r w:rsidRPr="008847EB">
        <w:rPr>
          <w:b/>
          <w:sz w:val="20"/>
        </w:rPr>
        <w:instrText xml:space="preserve"> SEQ CHAPTER \h \r 1</w:instrText>
      </w:r>
      <w:r w:rsidRPr="008847EB">
        <w:rPr>
          <w:b/>
          <w:sz w:val="20"/>
        </w:rPr>
        <w:fldChar w:fldCharType="end"/>
      </w:r>
      <w:r w:rsidRPr="008847EB">
        <w:rPr>
          <w:b/>
          <w:sz w:val="20"/>
        </w:rPr>
        <w:t>38381</w:t>
      </w:r>
      <w:r w:rsidRPr="008847EB">
        <w:rPr>
          <w:sz w:val="20"/>
        </w:rPr>
        <w:tab/>
      </w:r>
      <w:r w:rsidRPr="008847EB">
        <w:rPr>
          <w:b/>
          <w:i/>
          <w:sz w:val="20"/>
        </w:rPr>
        <w:t>Attorney General of British Columbia v. Provincial Court Judges' Association of British Columbia</w:t>
      </w:r>
    </w:p>
    <w:p w:rsidR="004B4392" w:rsidRPr="008847EB" w:rsidRDefault="004B4392" w:rsidP="004B4392">
      <w:pPr>
        <w:pStyle w:val="SCCCaseDescriptor0"/>
        <w:jc w:val="both"/>
        <w:rPr>
          <w:b w:val="0"/>
          <w:sz w:val="20"/>
        </w:rPr>
      </w:pPr>
      <w:r w:rsidRPr="008847EB">
        <w:rPr>
          <w:b w:val="0"/>
          <w:i/>
          <w:sz w:val="20"/>
        </w:rPr>
        <w:tab/>
      </w:r>
      <w:r w:rsidRPr="008847EB">
        <w:rPr>
          <w:b w:val="0"/>
          <w:sz w:val="20"/>
        </w:rPr>
        <w:t>(B.C.) (Civil) (By Leave)</w:t>
      </w:r>
    </w:p>
    <w:p w:rsidR="004B4392" w:rsidRPr="008847EB" w:rsidRDefault="004B4392" w:rsidP="004B4392">
      <w:pPr>
        <w:widowControl w:val="0"/>
        <w:jc w:val="both"/>
        <w:rPr>
          <w:sz w:val="20"/>
        </w:rPr>
      </w:pPr>
    </w:p>
    <w:p w:rsidR="004B4392" w:rsidRPr="008847EB" w:rsidRDefault="004B4392" w:rsidP="004B4392">
      <w:pPr>
        <w:jc w:val="both"/>
        <w:rPr>
          <w:sz w:val="20"/>
        </w:rPr>
      </w:pPr>
      <w:r w:rsidRPr="008847EB">
        <w:rPr>
          <w:sz w:val="20"/>
        </w:rPr>
        <w:t xml:space="preserve">Constitutional law – Division of powers – Judicial independence – Judicial compensation – Public interest immunity – Cabinet confidentiality – Administrative law – Judicial review – Whether the Cabinet Submission is relevant to the </w:t>
      </w:r>
      <w:r w:rsidRPr="008847EB">
        <w:rPr>
          <w:i/>
          <w:sz w:val="20"/>
        </w:rPr>
        <w:t xml:space="preserve">Bodner </w:t>
      </w:r>
      <w:r w:rsidRPr="008847EB">
        <w:rPr>
          <w:sz w:val="20"/>
        </w:rPr>
        <w:t>test – How reviewing courts should consider public interest immunity should confidential Cabinet records be produced as a matter of routine</w:t>
      </w:r>
    </w:p>
    <w:p w:rsidR="004B4392" w:rsidRPr="008847EB" w:rsidRDefault="004B4392" w:rsidP="004B4392">
      <w:pPr>
        <w:widowControl w:val="0"/>
        <w:jc w:val="both"/>
        <w:rPr>
          <w:sz w:val="20"/>
        </w:rPr>
      </w:pPr>
    </w:p>
    <w:p w:rsidR="004B4392" w:rsidRPr="008847EB" w:rsidRDefault="004B4392" w:rsidP="004B4392">
      <w:pPr>
        <w:jc w:val="both"/>
        <w:rPr>
          <w:sz w:val="20"/>
        </w:rPr>
      </w:pPr>
      <w:r w:rsidRPr="008847EB">
        <w:rPr>
          <w:sz w:val="20"/>
        </w:rPr>
        <w:t xml:space="preserve">A Judicial Compensation Commission (JCC) is formed every three years in British Columbia according to the </w:t>
      </w:r>
      <w:r w:rsidRPr="008847EB">
        <w:rPr>
          <w:i/>
          <w:sz w:val="20"/>
        </w:rPr>
        <w:t>Judicial Compensation Act</w:t>
      </w:r>
      <w:r w:rsidRPr="008847EB">
        <w:rPr>
          <w:sz w:val="20"/>
        </w:rPr>
        <w:t>, SBC 2003, c. 59, (the Act). The JCC makes recommendations to the Chief Judge of the provincial court and the Attorney General of British Columbia about pay and benefits for provincial court judges. The Act requires the Attorney General to provide the JCC’s final report to the legislative assembly. The JCC’s recommendations are not binding. The legislature can accept or reject one or more of the recommendations and set the pay and benefits for judges. However, the legislature must provide reasons for rejecting any of the JCC’s recommendations. Prior to tabling the JCC report in the legislature in October 2017, Cabinet received a confidential submission from the Attorney General concerning the JCC’s 2016 recommendations. After Cabinet considered the submission, the Attorney General tabled the JCC report and moved that the legislature resolve to accept eight and reject two of the JCC’s recommendations. Accompanying reasons were also tabled setting out the government’s proposed response. The Provincial Court Judges’ Association filed for judicial review of the two JCC recommendations rejected by the legislature. A Master of the Supreme Court of British Columbia ordered the confidential Cabinet submission disclosed. Subsequent appeals to the Supreme Court of British Columbia and the Court of Appeal for British Columbia were dismissed.</w:t>
      </w:r>
    </w:p>
    <w:p w:rsidR="004B4392" w:rsidRPr="008847EB" w:rsidRDefault="004B4392" w:rsidP="004B4392">
      <w:pPr>
        <w:jc w:val="both"/>
        <w:rPr>
          <w:sz w:val="20"/>
        </w:rPr>
      </w:pPr>
    </w:p>
    <w:p w:rsidR="004B4392" w:rsidRPr="008847EB" w:rsidRDefault="0011194E" w:rsidP="004B4392">
      <w:pPr>
        <w:jc w:val="both"/>
        <w:rPr>
          <w:sz w:val="20"/>
        </w:rPr>
      </w:pPr>
      <w:r>
        <w:rPr>
          <w:szCs w:val="24"/>
          <w:lang w:val="fr-CA"/>
        </w:rPr>
        <w:pict>
          <v:rect id="_x0000_i1073" style="width:108pt;height:1pt" o:hrpct="0" o:hralign="center" o:hrstd="t" o:hrnoshade="t" o:hr="t" fillcolor="black [3213]" stroked="f"/>
        </w:pict>
      </w:r>
    </w:p>
    <w:p w:rsidR="004B4392" w:rsidRPr="008847EB" w:rsidRDefault="004B4392" w:rsidP="004B4392">
      <w:pPr>
        <w:jc w:val="both"/>
        <w:rPr>
          <w:sz w:val="20"/>
        </w:rPr>
      </w:pPr>
    </w:p>
    <w:p w:rsidR="004B4392" w:rsidRPr="008847EB" w:rsidRDefault="004B4392" w:rsidP="004B4392">
      <w:pPr>
        <w:pStyle w:val="SCCLsocParty"/>
        <w:ind w:left="720" w:hanging="720"/>
        <w:jc w:val="both"/>
        <w:rPr>
          <w:i/>
          <w:sz w:val="20"/>
          <w:szCs w:val="20"/>
        </w:rPr>
      </w:pPr>
      <w:r w:rsidRPr="008847EB">
        <w:rPr>
          <w:rStyle w:val="SCCFileNumberChar"/>
          <w:sz w:val="20"/>
          <w:szCs w:val="20"/>
          <w:lang w:val="fr-CA"/>
        </w:rPr>
        <w:t>38381</w:t>
      </w:r>
      <w:r w:rsidRPr="008847EB">
        <w:rPr>
          <w:rStyle w:val="SCCFileNumberChar"/>
          <w:sz w:val="20"/>
          <w:szCs w:val="20"/>
          <w:lang w:val="fr-CA"/>
        </w:rPr>
        <w:tab/>
      </w:r>
      <w:r w:rsidRPr="008847EB">
        <w:rPr>
          <w:b/>
          <w:i/>
          <w:sz w:val="20"/>
          <w:szCs w:val="20"/>
        </w:rPr>
        <w:t>Procureur général de la Colombie-Britannique c. Provincial Court Judges' Association of British Columbia</w:t>
      </w:r>
    </w:p>
    <w:p w:rsidR="004B4392" w:rsidRPr="008847EB" w:rsidRDefault="004B4392" w:rsidP="004B4392">
      <w:pPr>
        <w:ind w:firstLine="720"/>
        <w:jc w:val="both"/>
        <w:rPr>
          <w:sz w:val="20"/>
          <w:lang w:val="fr-CA"/>
        </w:rPr>
      </w:pPr>
      <w:r w:rsidRPr="008847EB">
        <w:rPr>
          <w:sz w:val="20"/>
          <w:lang w:val="fr-CA"/>
        </w:rPr>
        <w:t>(C.-B.) (Civile) (Sur autorisation)</w:t>
      </w:r>
    </w:p>
    <w:p w:rsidR="004B4392" w:rsidRPr="008847EB" w:rsidRDefault="004B4392" w:rsidP="004B4392">
      <w:pPr>
        <w:jc w:val="both"/>
        <w:rPr>
          <w:sz w:val="20"/>
          <w:lang w:val="fr-CA"/>
        </w:rPr>
      </w:pPr>
    </w:p>
    <w:p w:rsidR="004B4392" w:rsidRPr="008847EB" w:rsidRDefault="004B4392" w:rsidP="004B4392">
      <w:pPr>
        <w:jc w:val="both"/>
        <w:rPr>
          <w:sz w:val="20"/>
          <w:lang w:val="fr-CA"/>
        </w:rPr>
      </w:pPr>
    </w:p>
    <w:p w:rsidR="004B4392" w:rsidRPr="008847EB" w:rsidRDefault="004B4392" w:rsidP="004B4392">
      <w:pPr>
        <w:jc w:val="both"/>
        <w:rPr>
          <w:sz w:val="20"/>
          <w:lang w:val="fr-CA"/>
        </w:rPr>
      </w:pPr>
      <w:r w:rsidRPr="008847EB">
        <w:rPr>
          <w:sz w:val="20"/>
          <w:lang w:val="fr-CA"/>
        </w:rPr>
        <w:t xml:space="preserve">Droit constitutionnel — Partage des compétences — Indépendance judiciaire — Rémunération des juges — Exception d’intérêt public — Confidentialité des délibérations du Cabinet — Droit administratif — Contrôle judiciaire —Une présentation au Cabinet est-elle pertinente pour le critère énoncé dans </w:t>
      </w:r>
      <w:r w:rsidRPr="008847EB">
        <w:rPr>
          <w:i/>
          <w:sz w:val="20"/>
          <w:lang w:val="fr-CA"/>
        </w:rPr>
        <w:t>Bodner</w:t>
      </w:r>
      <w:r w:rsidRPr="008847EB">
        <w:rPr>
          <w:sz w:val="20"/>
          <w:lang w:val="fr-CA"/>
        </w:rPr>
        <w:t>? — De quelle manière la cour de révision devrait-elle examiner l’exception d’intérêt public s’il faut produire couramment des documents confidentiels du cabinet?</w:t>
      </w:r>
    </w:p>
    <w:p w:rsidR="004B4392" w:rsidRPr="008847EB" w:rsidRDefault="004B4392" w:rsidP="004B4392">
      <w:pPr>
        <w:jc w:val="both"/>
        <w:rPr>
          <w:sz w:val="20"/>
          <w:lang w:val="fr-CA"/>
        </w:rPr>
      </w:pPr>
    </w:p>
    <w:p w:rsidR="004B4392" w:rsidRPr="008847EB" w:rsidRDefault="004B4392" w:rsidP="004B4392">
      <w:pPr>
        <w:jc w:val="both"/>
        <w:rPr>
          <w:sz w:val="20"/>
          <w:lang w:val="fr-CA"/>
        </w:rPr>
      </w:pPr>
      <w:r w:rsidRPr="008847EB">
        <w:rPr>
          <w:sz w:val="20"/>
          <w:lang w:val="fr-CA"/>
        </w:rPr>
        <w:lastRenderedPageBreak/>
        <w:t xml:space="preserve">Une commission chargée d’examiner la rémunération des juges (« CERJ ») est constituée tous les trois ans en Colombie-Britannique conformément à la </w:t>
      </w:r>
      <w:proofErr w:type="spellStart"/>
      <w:r w:rsidRPr="008847EB">
        <w:rPr>
          <w:i/>
          <w:sz w:val="20"/>
          <w:lang w:val="fr-CA"/>
        </w:rPr>
        <w:t>Judicial</w:t>
      </w:r>
      <w:proofErr w:type="spellEnd"/>
      <w:r w:rsidRPr="008847EB">
        <w:rPr>
          <w:i/>
          <w:sz w:val="20"/>
          <w:lang w:val="fr-CA"/>
        </w:rPr>
        <w:t xml:space="preserve"> Compensation Act</w:t>
      </w:r>
      <w:r w:rsidRPr="008847EB">
        <w:rPr>
          <w:sz w:val="20"/>
          <w:lang w:val="fr-CA"/>
        </w:rPr>
        <w:t>, SBC 2003, c. 59, (la Loi). La CERJ fait des recommandations au juge en chef de la cour provinciale et au procureur général de la Colombie-Britannique sur la rémunération et les avantages sociaux des juges de la cour provinciale. La Loi oblige le procureur général à communiquer le rapport définitif de la CERJ à l’assemblée législative. Les recommandations de la CERJ ne sont pas contraignantes. La législature peut accepter ou rejeter une ou plusieurs des recommandations et fixer la rémunération et les avantages sociaux des juges, mais elle doit motiver le rejet de toute recommandation de la CERJ. Avant de déposer le rapport de la CERJ devant la législature en octobre 2017, le Cabinet a reçu une présentation confidentielle du procureur général au sujet des recommandations faites par la CERJ en 2016. Après que le Cabinet eut étudié la présentation, le procureur général a déposé le rapport de la CERJ et proposé que la législature décide d’accepter huit recommandations de la CERJ et en rejette deux. On a aussi déposé des motifs à l’appui exposant la proposition de réponse du gouvernement. La Provincial Court Judges’ Association a déposé une demande de contrôle judiciaire visant le rejet par la législature des deux recommandations de la CERJ. Lors de cette instance, un protonotaire de la Cour suprême de la Colombie-Britannique a ordonné la divulgation de la présentation confidentielle au Cabinet. Des appels subséquents de la décision du protonotaire ont été rejetés et en Cour suprême et en Cour d’appel de la Colombie-Britannique.</w:t>
      </w:r>
    </w:p>
    <w:p w:rsidR="004B4392" w:rsidRPr="008847EB" w:rsidRDefault="004B4392" w:rsidP="004B4392">
      <w:pPr>
        <w:jc w:val="both"/>
        <w:rPr>
          <w:sz w:val="20"/>
          <w:lang w:val="fr-CA"/>
        </w:rPr>
      </w:pPr>
    </w:p>
    <w:p w:rsidR="004B4392" w:rsidRPr="008847EB" w:rsidRDefault="0011194E" w:rsidP="004B4392">
      <w:pPr>
        <w:jc w:val="both"/>
        <w:rPr>
          <w:sz w:val="20"/>
          <w:lang w:val="fr-CA"/>
        </w:rPr>
      </w:pPr>
      <w:r>
        <w:rPr>
          <w:szCs w:val="24"/>
          <w:lang w:val="fr-CA"/>
        </w:rPr>
        <w:pict>
          <v:rect id="_x0000_i1074" style="width:108pt;height:1pt" o:hrpct="0" o:hralign="center" o:hrstd="t" o:hrnoshade="t" o:hr="t" fillcolor="black [3213]" stroked="f"/>
        </w:pict>
      </w:r>
    </w:p>
    <w:p w:rsidR="004B4392" w:rsidRPr="008847EB" w:rsidRDefault="004B4392" w:rsidP="004B4392">
      <w:pPr>
        <w:widowControl w:val="0"/>
        <w:jc w:val="both"/>
        <w:outlineLvl w:val="0"/>
        <w:rPr>
          <w:sz w:val="20"/>
          <w:lang w:val="fr-CA"/>
        </w:rPr>
      </w:pPr>
    </w:p>
    <w:p w:rsidR="004B4392" w:rsidRPr="008847EB" w:rsidRDefault="004B4392" w:rsidP="004B4392">
      <w:pPr>
        <w:widowControl w:val="0"/>
        <w:ind w:left="720" w:hanging="720"/>
        <w:jc w:val="both"/>
        <w:rPr>
          <w:b/>
          <w:i/>
          <w:sz w:val="20"/>
        </w:rPr>
      </w:pPr>
      <w:r w:rsidRPr="008847EB">
        <w:rPr>
          <w:b/>
          <w:sz w:val="20"/>
        </w:rPr>
        <w:fldChar w:fldCharType="begin"/>
      </w:r>
      <w:r w:rsidRPr="008847EB">
        <w:rPr>
          <w:b/>
          <w:sz w:val="20"/>
        </w:rPr>
        <w:instrText xml:space="preserve"> SEQ CHAPTER \h \r 1</w:instrText>
      </w:r>
      <w:r w:rsidRPr="008847EB">
        <w:rPr>
          <w:b/>
          <w:sz w:val="20"/>
        </w:rPr>
        <w:fldChar w:fldCharType="end"/>
      </w:r>
      <w:r w:rsidRPr="008847EB">
        <w:rPr>
          <w:b/>
          <w:sz w:val="20"/>
        </w:rPr>
        <w:t>38459</w:t>
      </w:r>
      <w:r w:rsidRPr="008847EB">
        <w:rPr>
          <w:b/>
          <w:sz w:val="20"/>
        </w:rPr>
        <w:tab/>
      </w:r>
      <w:r w:rsidRPr="008847EB">
        <w:rPr>
          <w:b/>
          <w:i/>
          <w:sz w:val="20"/>
        </w:rPr>
        <w:t>Attorney General of Nova Scotia representing Her Majesty the Queen in Right of the Province of Nova Scotia, Governor in Council v. Judges of the Provincial Court and Family Court of Nova Scotia, as represented by the Nova Scotia Provincial Judges Association</w:t>
      </w:r>
    </w:p>
    <w:p w:rsidR="004B4392" w:rsidRPr="008847EB" w:rsidRDefault="004B4392" w:rsidP="004B4392">
      <w:pPr>
        <w:pStyle w:val="SCCCaseDescriptor0"/>
        <w:jc w:val="both"/>
        <w:rPr>
          <w:b w:val="0"/>
          <w:sz w:val="20"/>
        </w:rPr>
      </w:pPr>
      <w:r w:rsidRPr="008847EB">
        <w:rPr>
          <w:b w:val="0"/>
          <w:i/>
          <w:sz w:val="20"/>
        </w:rPr>
        <w:tab/>
      </w:r>
      <w:r w:rsidRPr="008847EB">
        <w:rPr>
          <w:b w:val="0"/>
          <w:sz w:val="20"/>
        </w:rPr>
        <w:t>(N.S.) (Civil) (By Leave)</w:t>
      </w:r>
    </w:p>
    <w:p w:rsidR="004B4392" w:rsidRPr="008847EB" w:rsidRDefault="004B4392" w:rsidP="004B4392">
      <w:pPr>
        <w:widowControl w:val="0"/>
        <w:jc w:val="both"/>
        <w:rPr>
          <w:sz w:val="20"/>
        </w:rPr>
      </w:pPr>
    </w:p>
    <w:p w:rsidR="004B4392" w:rsidRPr="008847EB" w:rsidRDefault="004B4392" w:rsidP="004B4392">
      <w:pPr>
        <w:pStyle w:val="SCCBanSummary0"/>
        <w:rPr>
          <w:sz w:val="20"/>
          <w:szCs w:val="20"/>
        </w:rPr>
      </w:pPr>
      <w:r w:rsidRPr="008847EB">
        <w:rPr>
          <w:sz w:val="20"/>
          <w:szCs w:val="20"/>
        </w:rPr>
        <w:t>(Publication ban in case) (Sealing order) (Court file contains information that is not available for inspection by the public)</w:t>
      </w:r>
    </w:p>
    <w:p w:rsidR="004B4392" w:rsidRPr="008847EB" w:rsidRDefault="004B4392" w:rsidP="004B4392">
      <w:pPr>
        <w:widowControl w:val="0"/>
        <w:jc w:val="both"/>
        <w:rPr>
          <w:sz w:val="20"/>
        </w:rPr>
      </w:pPr>
    </w:p>
    <w:p w:rsidR="004B4392" w:rsidRPr="008847EB" w:rsidRDefault="004B4392" w:rsidP="004B4392">
      <w:pPr>
        <w:jc w:val="both"/>
        <w:rPr>
          <w:sz w:val="20"/>
        </w:rPr>
      </w:pPr>
      <w:r w:rsidRPr="008847EB">
        <w:rPr>
          <w:sz w:val="20"/>
        </w:rPr>
        <w:t>Constitutional law – Division of powers – Judicial independence – Judicial compensation – Public interest immunity – Cabinet confidentiality – Administrative law – Judicial review – Are confidential Cabinet records relevant in an application for judicial review? – If confidential Cabinet records are relevant to judicial review, how do such requests for disclosure impact public interest immunity and the parliamentary tradition of Cabinet confidentiality?</w:t>
      </w:r>
    </w:p>
    <w:p w:rsidR="004B4392" w:rsidRPr="008847EB" w:rsidRDefault="004B4392" w:rsidP="004B4392">
      <w:pPr>
        <w:widowControl w:val="0"/>
        <w:jc w:val="both"/>
        <w:rPr>
          <w:sz w:val="20"/>
        </w:rPr>
      </w:pPr>
    </w:p>
    <w:p w:rsidR="004B4392" w:rsidRPr="008847EB" w:rsidRDefault="004B4392" w:rsidP="004B4392">
      <w:pPr>
        <w:jc w:val="both"/>
        <w:rPr>
          <w:sz w:val="20"/>
        </w:rPr>
      </w:pPr>
      <w:r w:rsidRPr="008847EB">
        <w:rPr>
          <w:sz w:val="20"/>
        </w:rPr>
        <w:t xml:space="preserve">The Provincial Judges’ Salary and Benefits Tribunal (the Tribunal) reports to the Minister of Justice on the appropriate level of pay for judges of the Provincial and Family Courts of Nova Scotia. The </w:t>
      </w:r>
      <w:r w:rsidRPr="008847EB">
        <w:rPr>
          <w:i/>
          <w:sz w:val="20"/>
        </w:rPr>
        <w:t>Provincial Court Act</w:t>
      </w:r>
      <w:r w:rsidRPr="008847EB">
        <w:rPr>
          <w:sz w:val="20"/>
        </w:rPr>
        <w:t>, RSNC c. 238 (the Act) requires the Minister of Justice to deliver the Tribunal report to the Governor in Council which occurred in December of 2016. Under the Act, the Governor in Council may confirm, vary or reject the Tribunal’s recommendations along with reasons. Statutory matters delegated to the Governor in Council are submitted to the Executive Council in a Report and Recommendation (R&amp;R). Before the Governor in Council made a decision, Cabinet received a confidential submission set out in the R&amp;R, signed by the Attorney General, concerning the Tribunal’s report. The Governor in Council varied one of the five recommendations of the Tribunal and provided reasons for the variation. In March of 2017, the Nova Scotia Provincial Court Judges’ Association (PCJA) applied for judicial review of the variation. A motion by the PCJA requested the Governor in Council produce the R&amp;R and to include an affidavit by the Honourable James H. Burrill. The Supreme Court of Nova Scotia held that the Governor in Council should produce the R&amp;R except passages covered by solicitor-client privilege. An appeal to the Nova Scotia Court of Appeal was dismissed and cross-appeal was allowed in part on the basis of the Burrill affidavit.</w:t>
      </w:r>
    </w:p>
    <w:p w:rsidR="004B4392" w:rsidRPr="008847EB" w:rsidRDefault="004B4392" w:rsidP="004B4392">
      <w:pPr>
        <w:jc w:val="both"/>
        <w:rPr>
          <w:sz w:val="20"/>
        </w:rPr>
      </w:pPr>
    </w:p>
    <w:p w:rsidR="004B4392" w:rsidRPr="008847EB" w:rsidRDefault="0011194E" w:rsidP="004B4392">
      <w:pPr>
        <w:jc w:val="both"/>
        <w:rPr>
          <w:sz w:val="20"/>
        </w:rPr>
      </w:pPr>
      <w:r>
        <w:rPr>
          <w:szCs w:val="24"/>
          <w:lang w:val="fr-CA"/>
        </w:rPr>
        <w:pict>
          <v:rect id="_x0000_i1075" style="width:108pt;height:1pt" o:hrpct="0" o:hralign="center" o:hrstd="t" o:hrnoshade="t" o:hr="t" fillcolor="black [3213]" stroked="f"/>
        </w:pict>
      </w:r>
    </w:p>
    <w:p w:rsidR="004B4392" w:rsidRPr="008847EB" w:rsidRDefault="004B4392" w:rsidP="004B4392">
      <w:pPr>
        <w:jc w:val="both"/>
        <w:rPr>
          <w:sz w:val="20"/>
        </w:rPr>
      </w:pPr>
    </w:p>
    <w:p w:rsidR="004B4392" w:rsidRPr="008847EB" w:rsidRDefault="004B4392" w:rsidP="004B4392">
      <w:pPr>
        <w:pStyle w:val="SCCLsocParty"/>
        <w:ind w:left="720" w:hanging="720"/>
        <w:jc w:val="both"/>
        <w:rPr>
          <w:i/>
          <w:sz w:val="20"/>
          <w:szCs w:val="20"/>
          <w:lang w:val="en-US"/>
        </w:rPr>
      </w:pPr>
      <w:r w:rsidRPr="008847EB">
        <w:rPr>
          <w:rStyle w:val="SCCFileNumberChar"/>
          <w:sz w:val="20"/>
          <w:szCs w:val="20"/>
          <w:lang w:val="en-US"/>
        </w:rPr>
        <w:t>38459</w:t>
      </w:r>
      <w:r w:rsidRPr="008847EB">
        <w:rPr>
          <w:rStyle w:val="SCCFileNumberChar"/>
          <w:sz w:val="20"/>
          <w:szCs w:val="20"/>
          <w:lang w:val="en-US"/>
        </w:rPr>
        <w:tab/>
      </w:r>
      <w:r w:rsidRPr="008847EB">
        <w:rPr>
          <w:b/>
          <w:i/>
          <w:sz w:val="20"/>
          <w:szCs w:val="20"/>
          <w:lang w:val="en-US"/>
        </w:rPr>
        <w:t>Attorney General of Nova Scotia representing Her Majesty the Queen in right of the Province of Nova Scotia, Governor in Council c. Judges of the Provincial Court and Family Court of Nova Scotia, as represented by the Nova Scotia Provincial Judges Association</w:t>
      </w:r>
    </w:p>
    <w:p w:rsidR="004B4392" w:rsidRPr="008847EB" w:rsidRDefault="004B4392" w:rsidP="004B4392">
      <w:pPr>
        <w:ind w:firstLine="720"/>
        <w:jc w:val="both"/>
        <w:rPr>
          <w:sz w:val="20"/>
          <w:lang w:val="fr-CA"/>
        </w:rPr>
      </w:pPr>
      <w:r w:rsidRPr="008847EB">
        <w:rPr>
          <w:sz w:val="20"/>
          <w:lang w:val="fr-CA"/>
        </w:rPr>
        <w:t>(N.-É.) (Civile) (Sur autorisation)</w:t>
      </w:r>
    </w:p>
    <w:p w:rsidR="004B4392" w:rsidRPr="008847EB" w:rsidRDefault="004B4392" w:rsidP="004B4392">
      <w:pPr>
        <w:jc w:val="both"/>
        <w:rPr>
          <w:sz w:val="20"/>
          <w:lang w:val="fr-CA"/>
        </w:rPr>
      </w:pPr>
    </w:p>
    <w:p w:rsidR="004B4392" w:rsidRPr="008847EB" w:rsidRDefault="004B4392" w:rsidP="004B4392">
      <w:pPr>
        <w:pStyle w:val="SCCBanSummary0"/>
        <w:rPr>
          <w:smallCaps w:val="0"/>
          <w:sz w:val="20"/>
          <w:szCs w:val="20"/>
          <w:lang w:val="fr-CA"/>
        </w:rPr>
      </w:pPr>
      <w:r w:rsidRPr="008847EB">
        <w:rPr>
          <w:sz w:val="20"/>
          <w:szCs w:val="20"/>
          <w:lang w:val="fr-CA"/>
        </w:rPr>
        <w:t>(Ordonnance de non-publication dans le dossier) (Ordonnance de mise sous scellés) (Le dossier de la cour renferme des données que le public n’est pas autorisé à consulter)</w:t>
      </w:r>
    </w:p>
    <w:p w:rsidR="004B4392" w:rsidRPr="008847EB" w:rsidRDefault="004B4392" w:rsidP="004B4392">
      <w:pPr>
        <w:pStyle w:val="SCCBanSummary0"/>
        <w:rPr>
          <w:smallCaps w:val="0"/>
          <w:sz w:val="20"/>
          <w:szCs w:val="20"/>
          <w:lang w:val="fr-CA"/>
        </w:rPr>
      </w:pPr>
    </w:p>
    <w:p w:rsidR="004B4392" w:rsidRPr="008847EB" w:rsidRDefault="004B4392" w:rsidP="004B4392">
      <w:pPr>
        <w:jc w:val="both"/>
        <w:rPr>
          <w:sz w:val="20"/>
          <w:lang w:val="fr-CA"/>
        </w:rPr>
      </w:pPr>
      <w:r w:rsidRPr="008847EB">
        <w:rPr>
          <w:sz w:val="20"/>
          <w:lang w:val="fr-CA"/>
        </w:rPr>
        <w:lastRenderedPageBreak/>
        <w:t>Droit constitutionnel — Partage des compétences — Indépendance judiciaire — Rémunération des juges — Exception d’intérêt public — Confidentialité des délibérations du Cabinet — Droit administratif — Contrôle judiciaire — Les documents confidentiels du Cabinet sont-ils utiles dans le cadre d’une demande de contrôle judiciaire? — Si les documents confidentiels du Cabinet sont utiles dans le cadre du contrôle judiciaire, quelle est l’incidence de ces demandes de communication sur l’exception d’intérêt public et la tradition parlementaire de la confidentialité des délibérations du Cabinet?</w:t>
      </w:r>
    </w:p>
    <w:p w:rsidR="004B4392" w:rsidRPr="008847EB" w:rsidRDefault="004B4392" w:rsidP="004B4392">
      <w:pPr>
        <w:jc w:val="both"/>
        <w:rPr>
          <w:sz w:val="20"/>
          <w:lang w:val="fr-CA"/>
        </w:rPr>
      </w:pPr>
    </w:p>
    <w:p w:rsidR="004B4392" w:rsidRPr="008847EB" w:rsidRDefault="004B4392" w:rsidP="004B4392">
      <w:pPr>
        <w:jc w:val="both"/>
        <w:rPr>
          <w:sz w:val="20"/>
          <w:lang w:val="fr-CA"/>
        </w:rPr>
      </w:pPr>
      <w:r w:rsidRPr="008847EB">
        <w:rPr>
          <w:sz w:val="20"/>
          <w:lang w:val="fr-CA"/>
        </w:rPr>
        <w:t xml:space="preserve">Le Provincial Judges’ </w:t>
      </w:r>
      <w:proofErr w:type="spellStart"/>
      <w:r w:rsidRPr="008847EB">
        <w:rPr>
          <w:sz w:val="20"/>
          <w:lang w:val="fr-CA"/>
        </w:rPr>
        <w:t>Salary</w:t>
      </w:r>
      <w:proofErr w:type="spellEnd"/>
      <w:r w:rsidRPr="008847EB">
        <w:rPr>
          <w:sz w:val="20"/>
          <w:lang w:val="fr-CA"/>
        </w:rPr>
        <w:t xml:space="preserve"> and </w:t>
      </w:r>
      <w:proofErr w:type="spellStart"/>
      <w:r w:rsidRPr="008847EB">
        <w:rPr>
          <w:sz w:val="20"/>
          <w:lang w:val="fr-CA"/>
        </w:rPr>
        <w:t>Benefits</w:t>
      </w:r>
      <w:proofErr w:type="spellEnd"/>
      <w:r w:rsidRPr="008847EB">
        <w:rPr>
          <w:sz w:val="20"/>
          <w:lang w:val="fr-CA"/>
        </w:rPr>
        <w:t xml:space="preserve"> Tribunal (le Tribunal) fait rapport au ministre de la Justice concernant la rémunération appropriée des juges des tribunaux provinciaux et des tribunaux de la famille de la Nouvelle-Écosse. La </w:t>
      </w:r>
      <w:r w:rsidRPr="008847EB">
        <w:rPr>
          <w:i/>
          <w:sz w:val="20"/>
          <w:lang w:val="fr-CA"/>
        </w:rPr>
        <w:t>Provincial Court Act</w:t>
      </w:r>
      <w:r w:rsidRPr="008847EB">
        <w:rPr>
          <w:sz w:val="20"/>
          <w:lang w:val="fr-CA"/>
        </w:rPr>
        <w:t xml:space="preserve">, RSNC, c. 238 (la Loi) oblige le ministre de la Justice à  remettre au gouverneur en conseil le rapport du tribunal, qui est daté de décembre 2016 en l’espèce. Selon la Loi, le gouverneur en conseil peut confirmer, modifier ou rejeter les recommandations du Tribunal en motivant sa décision. Les questions législatives déléguées au gouverneur en conseil sont soumises au Conseil exécutif dans un document intitulé Rapport et recommandation (R et R). Avant que le gouverneur en conseil ne prenne une décision, le Cabinet a reçu une présentation confidentielle dans le R et R signé par le procureur général concernant le rapport du Tribunal. Le gouverneur en conseil a modifié l’une des cinq recommandations du Tribunal et a motivé sa modification. En mars 2017, la Nova Scotia Provincial Court Judges’ Association (PCJA) a demandé un contrôle judiciaire de la modification. La PCJA a demandé dans une requête que le gouverneur en conseil produise le R et R ainsi qu’un affidavit de l’honorable James H. </w:t>
      </w:r>
      <w:proofErr w:type="spellStart"/>
      <w:r w:rsidRPr="008847EB">
        <w:rPr>
          <w:sz w:val="20"/>
          <w:lang w:val="fr-CA"/>
        </w:rPr>
        <w:t>Burrill</w:t>
      </w:r>
      <w:proofErr w:type="spellEnd"/>
      <w:r w:rsidRPr="008847EB">
        <w:rPr>
          <w:sz w:val="20"/>
          <w:lang w:val="fr-CA"/>
        </w:rPr>
        <w:t xml:space="preserve">. La Cour suprême de Nouvelle-Écosse a statué que le gouverneur en conseil devrait produire le R et R sauf les passages visés par le secret professionnel de l’avocat. Un appel à la Cour d’appel de la Nouvelle-Écosse a été rejeté et l’appel incident a été accueilli en partie sur la foi de l’affidavit du juge </w:t>
      </w:r>
      <w:proofErr w:type="spellStart"/>
      <w:r w:rsidRPr="008847EB">
        <w:rPr>
          <w:sz w:val="20"/>
          <w:lang w:val="fr-CA"/>
        </w:rPr>
        <w:t>Burrill</w:t>
      </w:r>
      <w:proofErr w:type="spellEnd"/>
      <w:r w:rsidRPr="008847EB">
        <w:rPr>
          <w:sz w:val="20"/>
          <w:lang w:val="fr-CA"/>
        </w:rPr>
        <w:t>.</w:t>
      </w:r>
    </w:p>
    <w:p w:rsidR="004B4392" w:rsidRPr="008847EB" w:rsidRDefault="004B4392" w:rsidP="004B4392">
      <w:pPr>
        <w:jc w:val="both"/>
        <w:rPr>
          <w:sz w:val="20"/>
          <w:lang w:val="fr-CA"/>
        </w:rPr>
      </w:pPr>
    </w:p>
    <w:p w:rsidR="004B4392" w:rsidRPr="008847EB" w:rsidRDefault="0011194E" w:rsidP="004B4392">
      <w:pPr>
        <w:jc w:val="both"/>
        <w:rPr>
          <w:sz w:val="20"/>
          <w:lang w:val="fr-CA"/>
        </w:rPr>
      </w:pPr>
      <w:r>
        <w:rPr>
          <w:szCs w:val="24"/>
          <w:lang w:val="fr-CA"/>
        </w:rPr>
        <w:pict>
          <v:rect id="_x0000_i1076" style="width:108pt;height:1pt" o:hrpct="0" o:hralign="center" o:hrstd="t" o:hrnoshade="t" o:hr="t" fillcolor="black [3213]" stroked="f"/>
        </w:pict>
      </w:r>
    </w:p>
    <w:p w:rsidR="004B4392" w:rsidRPr="008847EB" w:rsidRDefault="004B4392" w:rsidP="004B4392">
      <w:pPr>
        <w:jc w:val="both"/>
        <w:rPr>
          <w:sz w:val="20"/>
          <w:lang w:val="fr-CA"/>
        </w:rPr>
      </w:pPr>
    </w:p>
    <w:p w:rsidR="004B4392" w:rsidRPr="008847EB" w:rsidRDefault="004B4392" w:rsidP="004B4392">
      <w:pPr>
        <w:widowControl w:val="0"/>
        <w:ind w:left="709" w:hanging="709"/>
        <w:jc w:val="both"/>
        <w:rPr>
          <w:b/>
          <w:i/>
          <w:sz w:val="20"/>
          <w:szCs w:val="20"/>
          <w:lang w:val="fr-CA"/>
        </w:rPr>
      </w:pPr>
      <w:r w:rsidRPr="008847EB">
        <w:rPr>
          <w:b/>
          <w:sz w:val="20"/>
          <w:szCs w:val="20"/>
        </w:rPr>
        <w:fldChar w:fldCharType="begin"/>
      </w:r>
      <w:r w:rsidRPr="008847EB">
        <w:rPr>
          <w:b/>
          <w:sz w:val="20"/>
          <w:szCs w:val="20"/>
          <w:lang w:val="fr-CA"/>
        </w:rPr>
        <w:instrText xml:space="preserve"> SEQ CHAPTER \h \r 1</w:instrText>
      </w:r>
      <w:r w:rsidRPr="008847EB">
        <w:rPr>
          <w:b/>
          <w:sz w:val="20"/>
          <w:szCs w:val="20"/>
        </w:rPr>
        <w:fldChar w:fldCharType="end"/>
      </w:r>
      <w:r w:rsidRPr="008847EB">
        <w:rPr>
          <w:b/>
          <w:sz w:val="20"/>
          <w:szCs w:val="20"/>
          <w:lang w:val="fr-CA"/>
        </w:rPr>
        <w:t>38254</w:t>
      </w:r>
      <w:r w:rsidRPr="008847EB">
        <w:rPr>
          <w:sz w:val="20"/>
          <w:szCs w:val="20"/>
          <w:lang w:val="fr-CA"/>
        </w:rPr>
        <w:tab/>
      </w:r>
      <w:r w:rsidRPr="008847EB">
        <w:rPr>
          <w:b/>
          <w:i/>
          <w:sz w:val="20"/>
          <w:szCs w:val="20"/>
          <w:lang w:val="fr-CA"/>
        </w:rPr>
        <w:t xml:space="preserve">Hydro-Québec v. Louise Matta, Claude Ouellet, Christiane Léveillé, Diane Ouellet, </w:t>
      </w:r>
      <w:r w:rsidRPr="008847EB">
        <w:rPr>
          <w:b/>
          <w:i/>
          <w:sz w:val="20"/>
          <w:szCs w:val="20"/>
          <w:lang w:val="fr-CA"/>
        </w:rPr>
        <w:tab/>
        <w:t xml:space="preserve">Patrick Léveillé, Josée Léveillé, Entreprises Caslon Inc. </w:t>
      </w:r>
    </w:p>
    <w:p w:rsidR="004B4392" w:rsidRPr="008847EB" w:rsidRDefault="004B4392" w:rsidP="004B4392">
      <w:pPr>
        <w:widowControl w:val="0"/>
        <w:ind w:left="709" w:hanging="709"/>
        <w:jc w:val="both"/>
        <w:rPr>
          <w:sz w:val="20"/>
          <w:szCs w:val="20"/>
        </w:rPr>
      </w:pPr>
      <w:r w:rsidRPr="008847EB">
        <w:rPr>
          <w:b/>
          <w:i/>
          <w:sz w:val="20"/>
          <w:szCs w:val="20"/>
          <w:lang w:val="fr-CA"/>
        </w:rPr>
        <w:tab/>
      </w:r>
      <w:r w:rsidRPr="008847EB">
        <w:rPr>
          <w:sz w:val="20"/>
          <w:szCs w:val="20"/>
        </w:rPr>
        <w:t>(Que.) (Civil) (By Leave)</w:t>
      </w:r>
    </w:p>
    <w:p w:rsidR="004B4392" w:rsidRPr="008847EB" w:rsidRDefault="004B4392" w:rsidP="004B4392">
      <w:pPr>
        <w:widowControl w:val="0"/>
        <w:jc w:val="both"/>
        <w:rPr>
          <w:sz w:val="20"/>
          <w:szCs w:val="20"/>
        </w:rPr>
      </w:pPr>
    </w:p>
    <w:p w:rsidR="004B4392" w:rsidRPr="008847EB" w:rsidRDefault="004B4392" w:rsidP="004B4392">
      <w:pPr>
        <w:widowControl w:val="0"/>
        <w:jc w:val="both"/>
        <w:rPr>
          <w:sz w:val="20"/>
          <w:szCs w:val="20"/>
        </w:rPr>
      </w:pPr>
      <w:r w:rsidRPr="008847EB">
        <w:rPr>
          <w:sz w:val="20"/>
          <w:szCs w:val="20"/>
        </w:rPr>
        <w:t xml:space="preserve">Expropriation - Real rights - Servitudes - Conventional servitudes - Legal servitudes - Extinction of servitude - Indemnity - High-voltage line - Whether scope of conventional servitude acquired after expropriation process was begun is limited by content of order in council that preceded deed of servitude negotiated with owner of servient land and published in land register - Whether interpretation of order in council 3360-72 and deeds of servitude adopted by Court of Appeal is erroneous and whether it compromises principle of stability of real rights that underlies network of Hydro-Québec - Whether Court of Appeal exceeded its jurisdiction by conducting </w:t>
      </w:r>
      <w:r w:rsidRPr="008847EB">
        <w:rPr>
          <w:i/>
          <w:sz w:val="20"/>
          <w:szCs w:val="20"/>
        </w:rPr>
        <w:t>de novo</w:t>
      </w:r>
      <w:r w:rsidRPr="008847EB">
        <w:rPr>
          <w:sz w:val="20"/>
          <w:szCs w:val="20"/>
        </w:rPr>
        <w:t xml:space="preserve"> analysis of evidence and whether it undermined fairness of proceeding by doing its own research without giving parties opportunity to make representations.</w:t>
      </w:r>
    </w:p>
    <w:p w:rsidR="004B4392" w:rsidRPr="008847EB" w:rsidRDefault="004B4392" w:rsidP="004B4392">
      <w:pPr>
        <w:widowControl w:val="0"/>
        <w:jc w:val="both"/>
        <w:rPr>
          <w:sz w:val="20"/>
          <w:szCs w:val="20"/>
        </w:rPr>
      </w:pPr>
    </w:p>
    <w:p w:rsidR="004B4392" w:rsidRPr="008847EB" w:rsidRDefault="004B4392" w:rsidP="004B4392">
      <w:pPr>
        <w:widowControl w:val="0"/>
        <w:jc w:val="both"/>
        <w:rPr>
          <w:sz w:val="20"/>
          <w:szCs w:val="20"/>
        </w:rPr>
      </w:pPr>
      <w:r w:rsidRPr="008847EB">
        <w:rPr>
          <w:sz w:val="20"/>
          <w:szCs w:val="20"/>
        </w:rPr>
        <w:t xml:space="preserve">In 1972, the Quebec government authorized Hydro-Québec to build an electric power transmission and distribution line between the Jacques-Cartier and </w:t>
      </w:r>
      <w:proofErr w:type="spellStart"/>
      <w:r w:rsidRPr="008847EB">
        <w:rPr>
          <w:sz w:val="20"/>
          <w:szCs w:val="20"/>
        </w:rPr>
        <w:t>Duvernay</w:t>
      </w:r>
      <w:proofErr w:type="spellEnd"/>
      <w:r w:rsidRPr="008847EB">
        <w:rPr>
          <w:sz w:val="20"/>
          <w:szCs w:val="20"/>
        </w:rPr>
        <w:t xml:space="preserve"> transformer stations. Hydro-Québec acquired the perpetual real rights of servitude it needed by expropriation and signed, with the owners of the </w:t>
      </w:r>
      <w:proofErr w:type="spellStart"/>
      <w:r w:rsidRPr="008847EB">
        <w:rPr>
          <w:sz w:val="20"/>
          <w:szCs w:val="20"/>
        </w:rPr>
        <w:t>immovables</w:t>
      </w:r>
      <w:proofErr w:type="spellEnd"/>
      <w:r w:rsidRPr="008847EB">
        <w:rPr>
          <w:sz w:val="20"/>
          <w:szCs w:val="20"/>
        </w:rPr>
        <w:t xml:space="preserve"> concerned, an agreement setting out, among other things, the purpose of the servitude and the indemnity being paid. In 1982, Hydro-Québec made changes that resulted in the power in various lines being redirected; from that time on, the transmission line on the land expropriated in 1972 was used for electricity coming from James Bay. The owners were not informed of those changes. In 2015, the Quebec government authorized Hydro-Québec’s project to build the Chamouchouane-Bout-de-</w:t>
      </w:r>
      <w:proofErr w:type="spellStart"/>
      <w:r w:rsidRPr="008847EB">
        <w:rPr>
          <w:sz w:val="20"/>
          <w:szCs w:val="20"/>
        </w:rPr>
        <w:t>l’Île</w:t>
      </w:r>
      <w:proofErr w:type="spellEnd"/>
      <w:r w:rsidRPr="008847EB">
        <w:rPr>
          <w:sz w:val="20"/>
          <w:szCs w:val="20"/>
        </w:rPr>
        <w:t xml:space="preserve"> transmission line. The route of that new line was to be partly on the site of the servitudes acquired in 1972, parallel to the line already built. The respondents, the current owners, opposed Hydro-Québec’s project and refused to provide access to their </w:t>
      </w:r>
      <w:proofErr w:type="spellStart"/>
      <w:r w:rsidRPr="008847EB">
        <w:rPr>
          <w:sz w:val="20"/>
          <w:szCs w:val="20"/>
        </w:rPr>
        <w:t>immovables</w:t>
      </w:r>
      <w:proofErr w:type="spellEnd"/>
      <w:r w:rsidRPr="008847EB">
        <w:rPr>
          <w:sz w:val="20"/>
          <w:szCs w:val="20"/>
        </w:rPr>
        <w:t xml:space="preserve">. On November 23, 2015, Hydro-Québec applied for an injunction. The respondents argued that the servitudes on their </w:t>
      </w:r>
      <w:proofErr w:type="spellStart"/>
      <w:r w:rsidRPr="008847EB">
        <w:rPr>
          <w:sz w:val="20"/>
          <w:szCs w:val="20"/>
        </w:rPr>
        <w:t>immovables</w:t>
      </w:r>
      <w:proofErr w:type="spellEnd"/>
      <w:r w:rsidRPr="008847EB">
        <w:rPr>
          <w:sz w:val="20"/>
          <w:szCs w:val="20"/>
        </w:rPr>
        <w:t xml:space="preserve"> did not permit the construction of new transmission lines between transformer stations apart from the ones contemplated in 1972. In their cross application, they claimed damages for unauthorized use of the servitudes since 1982, for the increase in the power going through the lines and for the inconvenience associated with neighbourhood disturbances. </w:t>
      </w:r>
    </w:p>
    <w:p w:rsidR="004B4392" w:rsidRPr="008847EB" w:rsidRDefault="004B4392" w:rsidP="004B4392">
      <w:pPr>
        <w:widowControl w:val="0"/>
        <w:jc w:val="both"/>
        <w:rPr>
          <w:sz w:val="20"/>
          <w:szCs w:val="20"/>
        </w:rPr>
      </w:pPr>
    </w:p>
    <w:p w:rsidR="007E1853" w:rsidRPr="008847EB" w:rsidRDefault="007E1853">
      <w:pPr>
        <w:rPr>
          <w:sz w:val="20"/>
          <w:szCs w:val="20"/>
        </w:rPr>
      </w:pPr>
      <w:r w:rsidRPr="008847EB">
        <w:rPr>
          <w:sz w:val="20"/>
          <w:szCs w:val="20"/>
        </w:rPr>
        <w:br w:type="page"/>
      </w:r>
    </w:p>
    <w:p w:rsidR="004B4392" w:rsidRPr="008847EB" w:rsidRDefault="004B4392" w:rsidP="004B4392">
      <w:pPr>
        <w:widowControl w:val="0"/>
        <w:jc w:val="both"/>
        <w:rPr>
          <w:sz w:val="20"/>
        </w:rPr>
      </w:pPr>
      <w:r w:rsidRPr="008847EB">
        <w:rPr>
          <w:sz w:val="20"/>
          <w:szCs w:val="20"/>
        </w:rPr>
        <w:lastRenderedPageBreak/>
        <w:t xml:space="preserve">On May 31, 2017, the Superior Court allowed Hydro-Québec’s application for a permanent injunction and ordered the respondents to cease any obstruction and to provide unrestricted access to the </w:t>
      </w:r>
      <w:proofErr w:type="spellStart"/>
      <w:r w:rsidRPr="008847EB">
        <w:rPr>
          <w:sz w:val="20"/>
          <w:szCs w:val="20"/>
        </w:rPr>
        <w:t>immovables</w:t>
      </w:r>
      <w:proofErr w:type="spellEnd"/>
      <w:r w:rsidRPr="008847EB">
        <w:rPr>
          <w:sz w:val="20"/>
          <w:szCs w:val="20"/>
        </w:rPr>
        <w:t xml:space="preserve"> so that Hydro-Québec could perform all the work required to carry out the project. On May 25, 2018, the Court of Appeal allowed the respondents’ appeal against Hydro-Québec, set aside the trial judge’s decision, declared that Hydro-Québec had no real right that allowed it to use the respondents’ properties to set up the Chamouchouane-Bout-de-</w:t>
      </w:r>
      <w:proofErr w:type="spellStart"/>
      <w:r w:rsidRPr="008847EB">
        <w:rPr>
          <w:sz w:val="20"/>
          <w:szCs w:val="20"/>
        </w:rPr>
        <w:t>l’Île</w:t>
      </w:r>
      <w:proofErr w:type="spellEnd"/>
      <w:r w:rsidRPr="008847EB">
        <w:rPr>
          <w:sz w:val="20"/>
          <w:szCs w:val="20"/>
        </w:rPr>
        <w:t xml:space="preserve"> line, declared that the servitudes established by the parties had not been extinguished, and remitted the matter to the Superior Court to hear the cross application.</w:t>
      </w:r>
    </w:p>
    <w:p w:rsidR="004B4392" w:rsidRPr="008847EB" w:rsidRDefault="004B4392" w:rsidP="004B4392">
      <w:pPr>
        <w:widowControl w:val="0"/>
        <w:jc w:val="both"/>
        <w:rPr>
          <w:sz w:val="20"/>
        </w:rPr>
      </w:pPr>
    </w:p>
    <w:p w:rsidR="004B4392" w:rsidRPr="008847EB" w:rsidRDefault="0011194E" w:rsidP="004B4392">
      <w:pPr>
        <w:widowControl w:val="0"/>
        <w:jc w:val="both"/>
        <w:rPr>
          <w:sz w:val="20"/>
        </w:rPr>
      </w:pPr>
      <w:r>
        <w:rPr>
          <w:szCs w:val="24"/>
          <w:lang w:val="fr-CA"/>
        </w:rPr>
        <w:pict>
          <v:rect id="_x0000_i1077" style="width:108pt;height:1pt" o:hrpct="0" o:hralign="center" o:hrstd="t" o:hrnoshade="t" o:hr="t" fillcolor="black [3213]" stroked="f"/>
        </w:pict>
      </w:r>
    </w:p>
    <w:p w:rsidR="004B4392" w:rsidRPr="008847EB" w:rsidRDefault="004B4392" w:rsidP="004B4392">
      <w:pPr>
        <w:widowControl w:val="0"/>
        <w:jc w:val="both"/>
        <w:rPr>
          <w:sz w:val="20"/>
          <w:szCs w:val="20"/>
        </w:rPr>
      </w:pPr>
    </w:p>
    <w:p w:rsidR="004B4392" w:rsidRPr="008847EB" w:rsidRDefault="004B4392" w:rsidP="004B4392">
      <w:pPr>
        <w:widowControl w:val="0"/>
        <w:ind w:left="709" w:hanging="709"/>
        <w:jc w:val="both"/>
        <w:rPr>
          <w:b/>
          <w:i/>
          <w:sz w:val="20"/>
          <w:szCs w:val="20"/>
          <w:lang w:val="fr-CA"/>
        </w:rPr>
      </w:pPr>
      <w:r w:rsidRPr="008847EB">
        <w:rPr>
          <w:b/>
          <w:sz w:val="20"/>
          <w:szCs w:val="20"/>
          <w:lang w:val="fr-CA"/>
        </w:rPr>
        <w:fldChar w:fldCharType="begin"/>
      </w:r>
      <w:r w:rsidRPr="008847EB">
        <w:rPr>
          <w:b/>
          <w:sz w:val="20"/>
          <w:szCs w:val="20"/>
          <w:lang w:val="fr-CA"/>
        </w:rPr>
        <w:instrText xml:space="preserve"> SEQ CHAPTER \h \r 1</w:instrText>
      </w:r>
      <w:r w:rsidRPr="008847EB">
        <w:rPr>
          <w:b/>
          <w:sz w:val="20"/>
          <w:szCs w:val="20"/>
        </w:rPr>
        <w:fldChar w:fldCharType="end"/>
      </w:r>
      <w:r w:rsidRPr="008847EB">
        <w:rPr>
          <w:b/>
          <w:sz w:val="20"/>
          <w:szCs w:val="20"/>
          <w:lang w:val="fr-CA"/>
        </w:rPr>
        <w:t>38254</w:t>
      </w:r>
      <w:r w:rsidRPr="008847EB">
        <w:rPr>
          <w:sz w:val="20"/>
          <w:szCs w:val="20"/>
          <w:lang w:val="fr-CA"/>
        </w:rPr>
        <w:tab/>
      </w:r>
      <w:r w:rsidRPr="008847EB">
        <w:rPr>
          <w:b/>
          <w:i/>
          <w:sz w:val="20"/>
          <w:szCs w:val="20"/>
          <w:lang w:val="fr-CA"/>
        </w:rPr>
        <w:t xml:space="preserve">Hydro-Québec c. Louise Matta, Claude Ouellet, Christiane Léveillé, Diane Ouellet, </w:t>
      </w:r>
      <w:r w:rsidRPr="008847EB">
        <w:rPr>
          <w:b/>
          <w:i/>
          <w:sz w:val="20"/>
          <w:szCs w:val="20"/>
          <w:lang w:val="fr-CA"/>
        </w:rPr>
        <w:tab/>
        <w:t xml:space="preserve">Patrick Léveillé, Josée Léveillé, Entreprises Caslon Inc. </w:t>
      </w:r>
    </w:p>
    <w:p w:rsidR="004B4392" w:rsidRPr="008847EB" w:rsidRDefault="004B4392" w:rsidP="004B4392">
      <w:pPr>
        <w:widowControl w:val="0"/>
        <w:ind w:left="709" w:hanging="709"/>
        <w:jc w:val="both"/>
        <w:rPr>
          <w:sz w:val="20"/>
          <w:szCs w:val="20"/>
          <w:lang w:val="fr-CA"/>
        </w:rPr>
      </w:pPr>
      <w:r w:rsidRPr="008847EB">
        <w:rPr>
          <w:sz w:val="20"/>
          <w:szCs w:val="20"/>
          <w:lang w:val="fr-CA"/>
        </w:rPr>
        <w:tab/>
        <w:t>(Qc) (Civile) (Autorisation)</w:t>
      </w:r>
    </w:p>
    <w:p w:rsidR="004B4392" w:rsidRPr="008847EB" w:rsidRDefault="004B4392" w:rsidP="004B4392">
      <w:pPr>
        <w:widowControl w:val="0"/>
        <w:jc w:val="both"/>
        <w:rPr>
          <w:sz w:val="20"/>
          <w:szCs w:val="20"/>
          <w:lang w:val="fr-CA"/>
        </w:rPr>
      </w:pPr>
    </w:p>
    <w:p w:rsidR="004B4392" w:rsidRPr="008847EB" w:rsidRDefault="004B4392" w:rsidP="004B4392">
      <w:pPr>
        <w:widowControl w:val="0"/>
        <w:jc w:val="both"/>
        <w:rPr>
          <w:sz w:val="20"/>
          <w:szCs w:val="20"/>
          <w:lang w:val="fr-CA"/>
        </w:rPr>
      </w:pPr>
      <w:r w:rsidRPr="008847EB">
        <w:rPr>
          <w:sz w:val="20"/>
          <w:szCs w:val="20"/>
          <w:lang w:val="fr-CA"/>
        </w:rPr>
        <w:t xml:space="preserve">Expropriation - Droits réels - Servitudes - Servitudes conventionnelles - Servitudes légales - Extinction de servitude - Indemnité - Ligne à haute tension - La portée d’une servitude conventionnelle acquise après qu’un processus d’expropriation ait été initié est-elle limitée par le contenu du décret (ou de l’arrêté en conseil selon le cas) qui a précédé l’acte de servitude négocié avec le propriétaire du fonds servant et publié au registre foncier? - L’interprétation de l’arrêté en conseil 3360-72 et des Actes de servitude retenue par la Cour d’appel est-elle erronée et compromet-elle le principe de la stabilité des droits réels qui sous-tend le Réseau d’Hydro-Québec? - La Cour d’appel a-t-elle excédé sa compétence en procédant à une analyse </w:t>
      </w:r>
      <w:r w:rsidRPr="008847EB">
        <w:rPr>
          <w:i/>
          <w:sz w:val="20"/>
          <w:szCs w:val="20"/>
          <w:lang w:val="fr-CA"/>
        </w:rPr>
        <w:t>de novo</w:t>
      </w:r>
      <w:r w:rsidRPr="008847EB">
        <w:rPr>
          <w:sz w:val="20"/>
          <w:szCs w:val="20"/>
          <w:lang w:val="fr-CA"/>
        </w:rPr>
        <w:t xml:space="preserve"> de la preuve et a-t-elle remis en cause le caractère équitable de la procédure en effectuant ses propres recherches, sans donner l’occasion aux parties de faire valoir leurs observations?</w:t>
      </w:r>
    </w:p>
    <w:p w:rsidR="004B4392" w:rsidRPr="008847EB" w:rsidRDefault="004B4392" w:rsidP="004B4392">
      <w:pPr>
        <w:widowControl w:val="0"/>
        <w:jc w:val="both"/>
        <w:rPr>
          <w:sz w:val="20"/>
          <w:szCs w:val="20"/>
          <w:lang w:val="fr-CA"/>
        </w:rPr>
      </w:pPr>
    </w:p>
    <w:p w:rsidR="004B4392" w:rsidRPr="008847EB" w:rsidRDefault="004B4392" w:rsidP="004B4392">
      <w:pPr>
        <w:widowControl w:val="0"/>
        <w:jc w:val="both"/>
        <w:rPr>
          <w:sz w:val="20"/>
          <w:szCs w:val="20"/>
          <w:lang w:val="fr-CA"/>
        </w:rPr>
      </w:pPr>
      <w:r w:rsidRPr="008847EB">
        <w:rPr>
          <w:sz w:val="20"/>
          <w:szCs w:val="20"/>
          <w:lang w:val="fr-CA"/>
        </w:rPr>
        <w:t xml:space="preserve">En 1972, le gouvernement du Québec autorise Hydro-Québec à construire une ligne de transport et de distribution d’énergie électrique entre les postes de transformation Jacques-Cartier et Duvernay. Hydro-Québec acquiert par expropriation les droits de servitude réels et perpétuels nécessaires et signe avec les propriétaires des immeubles visés une convention, précisant entre autres l’objet de la servitude et l’indemnité versée. En 1982, Hydro-Québec effectue des modifications menant à la redirection du courant de différentes lignes; la ligne de transport située sur les terrains expropriés en 1972 est désormais utilisée pour acheminer l’électricité en provenance de la Baie‑James. Les propriétaires ne sont alors pas informés de ces changements. En 2015, le gouvernement du Québec autorise le projet d’Hydro-Québec pour la construction de la ligne de transport </w:t>
      </w:r>
      <w:proofErr w:type="spellStart"/>
      <w:r w:rsidRPr="008847EB">
        <w:rPr>
          <w:sz w:val="20"/>
          <w:szCs w:val="20"/>
          <w:lang w:val="fr-CA"/>
        </w:rPr>
        <w:t>Chamouchouane</w:t>
      </w:r>
      <w:proofErr w:type="spellEnd"/>
      <w:r w:rsidRPr="008847EB">
        <w:rPr>
          <w:sz w:val="20"/>
          <w:szCs w:val="20"/>
          <w:lang w:val="fr-CA"/>
        </w:rPr>
        <w:t>-</w:t>
      </w:r>
      <w:proofErr w:type="spellStart"/>
      <w:r w:rsidRPr="008847EB">
        <w:rPr>
          <w:sz w:val="20"/>
          <w:szCs w:val="20"/>
          <w:lang w:val="fr-CA"/>
        </w:rPr>
        <w:t>Bout-de-l’Île</w:t>
      </w:r>
      <w:proofErr w:type="spellEnd"/>
      <w:r w:rsidRPr="008847EB">
        <w:rPr>
          <w:sz w:val="20"/>
          <w:szCs w:val="20"/>
          <w:lang w:val="fr-CA"/>
        </w:rPr>
        <w:t xml:space="preserve">. Le tracé de cette nouvelle ligne emprunte en partie l’assiette de servitudes acquises en 1972, parallèlement à la ligne déjà construite. Les intimés, actuels propriétaires, s’opposent au projet d’Hydro-Québec et refusent l’accès à leurs immeubles. Le 23 novembre 2015, Hydro-Québec présente une demande d’injonction. Les intimés prétendent que les servitudes grevant leurs immeubles ne permettent pas de construire de nouvelles lignes de transport entre des postes de transformation autres que ceux prévus en 1972. Dans leur demande reconventionnelle, ils réclament des dommages pour l’usage non autorisé des servitudes depuis 1982, pour l’augmentation de la puissance passant à travers les lignes et pour les inconvénients de troubles de voisinage. </w:t>
      </w:r>
    </w:p>
    <w:p w:rsidR="004B4392" w:rsidRPr="008847EB" w:rsidRDefault="004B4392" w:rsidP="004B4392">
      <w:pPr>
        <w:widowControl w:val="0"/>
        <w:jc w:val="both"/>
        <w:rPr>
          <w:sz w:val="20"/>
          <w:szCs w:val="20"/>
          <w:lang w:val="fr-CA"/>
        </w:rPr>
      </w:pPr>
    </w:p>
    <w:p w:rsidR="004B4392" w:rsidRPr="008847EB" w:rsidRDefault="004B4392" w:rsidP="004B4392">
      <w:pPr>
        <w:widowControl w:val="0"/>
        <w:jc w:val="both"/>
        <w:rPr>
          <w:sz w:val="20"/>
          <w:szCs w:val="20"/>
          <w:lang w:val="fr-CA"/>
        </w:rPr>
      </w:pPr>
      <w:r w:rsidRPr="008847EB">
        <w:rPr>
          <w:sz w:val="20"/>
          <w:szCs w:val="20"/>
          <w:lang w:val="fr-CA"/>
        </w:rPr>
        <w:t xml:space="preserve">Le 31 mai 2017, la Cour supérieure accueille la demande en injonction permanente d’Hydro-Québec et ordonne aux intimés de cesser toute obstruction et de donner libre accès aux immeubles afin de permettre à Hydro-Québec d’exécuter tous les travaux nécessaires à la réalisation du projet. Le 25 mai 2018, la Cour d’appel accueille l’appel des intimés contre Hydro-Québec, infirme le jugement de première instance, déclare qu’Hydro-Québec ne possède pas de droit réel lui permettant d’utiliser les propriétés des intimés pour l’implantation de la ligne </w:t>
      </w:r>
      <w:proofErr w:type="spellStart"/>
      <w:r w:rsidRPr="008847EB">
        <w:rPr>
          <w:sz w:val="20"/>
          <w:szCs w:val="20"/>
          <w:lang w:val="fr-CA"/>
        </w:rPr>
        <w:t>Chamouchouane</w:t>
      </w:r>
      <w:proofErr w:type="spellEnd"/>
      <w:r w:rsidRPr="008847EB">
        <w:rPr>
          <w:sz w:val="20"/>
          <w:szCs w:val="20"/>
          <w:lang w:val="fr-CA"/>
        </w:rPr>
        <w:t>-</w:t>
      </w:r>
      <w:proofErr w:type="spellStart"/>
      <w:r w:rsidRPr="008847EB">
        <w:rPr>
          <w:sz w:val="20"/>
          <w:szCs w:val="20"/>
          <w:lang w:val="fr-CA"/>
        </w:rPr>
        <w:t>Bout-de-l’Île</w:t>
      </w:r>
      <w:proofErr w:type="spellEnd"/>
      <w:r w:rsidRPr="008847EB">
        <w:rPr>
          <w:sz w:val="20"/>
          <w:szCs w:val="20"/>
          <w:lang w:val="fr-CA"/>
        </w:rPr>
        <w:t>, déclare que les servitudes établies entre les parties ne sont pas éteintes et retourne le dossier à la Cour supérieure pour l’audition de la demande reconventionnelle.</w:t>
      </w:r>
    </w:p>
    <w:p w:rsidR="004B4392" w:rsidRPr="008847EB" w:rsidRDefault="004B4392" w:rsidP="004B4392">
      <w:pPr>
        <w:widowControl w:val="0"/>
        <w:jc w:val="both"/>
        <w:outlineLvl w:val="0"/>
        <w:rPr>
          <w:sz w:val="20"/>
          <w:lang w:val="fr-CA"/>
        </w:rPr>
      </w:pPr>
    </w:p>
    <w:p w:rsidR="004B4392" w:rsidRPr="008847EB" w:rsidRDefault="0011194E" w:rsidP="004B4392">
      <w:pPr>
        <w:widowControl w:val="0"/>
        <w:jc w:val="both"/>
        <w:outlineLvl w:val="0"/>
        <w:rPr>
          <w:sz w:val="20"/>
        </w:rPr>
      </w:pPr>
      <w:r>
        <w:rPr>
          <w:szCs w:val="24"/>
          <w:lang w:val="fr-CA"/>
        </w:rPr>
        <w:pict>
          <v:rect id="_x0000_i1078" style="width:108pt;height:1pt" o:hrpct="0" o:hralign="center" o:hrstd="t" o:hrnoshade="t" o:hr="t" fillcolor="black [3213]" stroked="f"/>
        </w:pict>
      </w:r>
    </w:p>
    <w:p w:rsidR="004B4392" w:rsidRPr="008847EB" w:rsidRDefault="004B4392" w:rsidP="004B4392">
      <w:pPr>
        <w:widowControl w:val="0"/>
        <w:jc w:val="both"/>
        <w:outlineLvl w:val="0"/>
        <w:rPr>
          <w:sz w:val="20"/>
        </w:rPr>
      </w:pPr>
    </w:p>
    <w:p w:rsidR="004B4392" w:rsidRPr="008847EB" w:rsidRDefault="004B4392" w:rsidP="004B4392">
      <w:pPr>
        <w:pStyle w:val="SCCLsocParty"/>
        <w:ind w:left="720" w:hanging="720"/>
        <w:jc w:val="both"/>
        <w:rPr>
          <w:b/>
          <w:i/>
          <w:sz w:val="20"/>
          <w:szCs w:val="20"/>
          <w:lang w:val="en-US"/>
        </w:rPr>
      </w:pPr>
      <w:r w:rsidRPr="008847EB">
        <w:rPr>
          <w:b/>
          <w:sz w:val="20"/>
          <w:szCs w:val="20"/>
        </w:rPr>
        <w:fldChar w:fldCharType="begin"/>
      </w:r>
      <w:r w:rsidRPr="008847EB">
        <w:rPr>
          <w:b/>
          <w:sz w:val="20"/>
          <w:szCs w:val="20"/>
          <w:lang w:val="en-US"/>
        </w:rPr>
        <w:instrText xml:space="preserve"> SEQ CHAPTER \h \r 1</w:instrText>
      </w:r>
      <w:r w:rsidRPr="008847EB">
        <w:rPr>
          <w:b/>
          <w:sz w:val="20"/>
          <w:szCs w:val="20"/>
        </w:rPr>
        <w:fldChar w:fldCharType="end"/>
      </w:r>
      <w:r w:rsidRPr="008847EB">
        <w:rPr>
          <w:b/>
          <w:sz w:val="20"/>
          <w:szCs w:val="20"/>
          <w:lang w:val="en-US"/>
        </w:rPr>
        <w:t>38562</w:t>
      </w:r>
      <w:r w:rsidRPr="008847EB">
        <w:rPr>
          <w:sz w:val="20"/>
          <w:szCs w:val="20"/>
          <w:lang w:val="en-US"/>
        </w:rPr>
        <w:tab/>
      </w:r>
      <w:r w:rsidRPr="008847EB">
        <w:rPr>
          <w:b/>
          <w:i/>
          <w:sz w:val="20"/>
          <w:szCs w:val="20"/>
          <w:lang w:val="en-US"/>
        </w:rPr>
        <w:t>International Air Transport Association v. Instrubel, N.V.</w:t>
      </w:r>
    </w:p>
    <w:p w:rsidR="004B4392" w:rsidRPr="008847EB" w:rsidRDefault="004B4392" w:rsidP="004B4392">
      <w:pPr>
        <w:pStyle w:val="SCCLsocParty"/>
        <w:ind w:left="720" w:hanging="720"/>
        <w:jc w:val="both"/>
        <w:rPr>
          <w:b/>
          <w:i/>
          <w:sz w:val="20"/>
          <w:szCs w:val="20"/>
          <w:lang w:val="en-US"/>
        </w:rPr>
      </w:pPr>
      <w:r w:rsidRPr="008847EB">
        <w:rPr>
          <w:b/>
          <w:i/>
          <w:sz w:val="20"/>
          <w:szCs w:val="20"/>
          <w:lang w:val="en-US"/>
        </w:rPr>
        <w:tab/>
      </w:r>
      <w:proofErr w:type="gramStart"/>
      <w:r w:rsidRPr="008847EB">
        <w:rPr>
          <w:b/>
          <w:i/>
          <w:sz w:val="20"/>
          <w:szCs w:val="20"/>
          <w:lang w:val="en-US"/>
        </w:rPr>
        <w:t>and</w:t>
      </w:r>
      <w:proofErr w:type="gramEnd"/>
      <w:r w:rsidRPr="008847EB">
        <w:rPr>
          <w:b/>
          <w:i/>
          <w:sz w:val="20"/>
          <w:szCs w:val="20"/>
          <w:lang w:val="en-US"/>
        </w:rPr>
        <w:t xml:space="preserve"> -</w:t>
      </w:r>
    </w:p>
    <w:p w:rsidR="004B4392" w:rsidRPr="008847EB" w:rsidRDefault="004B4392" w:rsidP="004B4392">
      <w:pPr>
        <w:pStyle w:val="SCCLsocParty"/>
        <w:ind w:left="720" w:hanging="720"/>
        <w:jc w:val="both"/>
        <w:rPr>
          <w:b/>
          <w:i/>
          <w:sz w:val="20"/>
          <w:szCs w:val="20"/>
          <w:lang w:val="en-US"/>
        </w:rPr>
      </w:pPr>
      <w:r w:rsidRPr="008847EB">
        <w:rPr>
          <w:b/>
          <w:i/>
          <w:sz w:val="20"/>
          <w:szCs w:val="20"/>
          <w:lang w:val="en-US"/>
        </w:rPr>
        <w:tab/>
        <w:t>Republic of Iraq, Ministry of Industry of the Republic of Iraq, Ministry of Defence of the Republic of Iraq, Salah Aldin State Establishment v. Instrubel, N.V.</w:t>
      </w:r>
    </w:p>
    <w:p w:rsidR="004B4392" w:rsidRPr="008847EB" w:rsidRDefault="004B4392" w:rsidP="004B4392">
      <w:pPr>
        <w:pStyle w:val="SCCLsocParty"/>
        <w:ind w:left="720" w:hanging="720"/>
        <w:jc w:val="both"/>
        <w:rPr>
          <w:sz w:val="20"/>
          <w:szCs w:val="20"/>
          <w:lang w:val="en-US"/>
        </w:rPr>
      </w:pPr>
      <w:r w:rsidRPr="008847EB">
        <w:rPr>
          <w:sz w:val="20"/>
          <w:szCs w:val="20"/>
          <w:lang w:val="en-US"/>
        </w:rPr>
        <w:tab/>
        <w:t>(</w:t>
      </w:r>
      <w:proofErr w:type="gramStart"/>
      <w:r w:rsidRPr="008847EB">
        <w:rPr>
          <w:sz w:val="20"/>
          <w:szCs w:val="20"/>
          <w:lang w:val="en-US"/>
        </w:rPr>
        <w:t>Qc</w:t>
      </w:r>
      <w:proofErr w:type="gramEnd"/>
      <w:r w:rsidRPr="008847EB">
        <w:rPr>
          <w:sz w:val="20"/>
          <w:szCs w:val="20"/>
          <w:lang w:val="en-US"/>
        </w:rPr>
        <w:t>.) (Civil) (By leave)</w:t>
      </w:r>
    </w:p>
    <w:p w:rsidR="004B4392" w:rsidRPr="008847EB" w:rsidRDefault="004B4392" w:rsidP="004B4392">
      <w:pPr>
        <w:widowControl w:val="0"/>
        <w:jc w:val="both"/>
        <w:rPr>
          <w:sz w:val="20"/>
          <w:szCs w:val="20"/>
        </w:rPr>
      </w:pPr>
    </w:p>
    <w:p w:rsidR="007E1853" w:rsidRPr="008847EB" w:rsidRDefault="007E1853">
      <w:pPr>
        <w:rPr>
          <w:sz w:val="20"/>
          <w:szCs w:val="20"/>
        </w:rPr>
      </w:pPr>
      <w:r w:rsidRPr="008847EB">
        <w:rPr>
          <w:sz w:val="20"/>
          <w:szCs w:val="20"/>
        </w:rPr>
        <w:br w:type="page"/>
      </w:r>
    </w:p>
    <w:p w:rsidR="004B4392" w:rsidRPr="008847EB" w:rsidRDefault="004B4392" w:rsidP="004B4392">
      <w:pPr>
        <w:widowControl w:val="0"/>
        <w:jc w:val="both"/>
        <w:rPr>
          <w:sz w:val="20"/>
          <w:szCs w:val="20"/>
        </w:rPr>
      </w:pPr>
      <w:r w:rsidRPr="008847EB">
        <w:rPr>
          <w:sz w:val="20"/>
          <w:szCs w:val="20"/>
        </w:rPr>
        <w:lastRenderedPageBreak/>
        <w:t>Courts - Jurisdiction - Private international law - Extraterritoriality - Civil procedure - Provisional remedies - Seizure before judgment - Garnishment - Dutch company seeking enforcement in Quebec of international arbitration awards issued against Iraq - International Air Transport Authority (IATA) based in Montreal and collecting fees on behalf of Iraqi Civil Aviation Authority for use of Iraqi airspace by international airlines - Fees deposited in IATA bank account in Switzerland -Writ of seizure before judgment by garnishment issued against IATA as garnishee - Whether Quebec courts have territorial jurisdiction to garnish funds held outside Quebec by garnishee located within Quebec - Whether funds collected and held by mandatary on behalf of third party and deposited in mandatary bank account are property of mandatary or third party</w:t>
      </w:r>
    </w:p>
    <w:p w:rsidR="004B4392" w:rsidRPr="008847EB" w:rsidRDefault="004B4392" w:rsidP="004B4392">
      <w:pPr>
        <w:widowControl w:val="0"/>
        <w:jc w:val="both"/>
        <w:rPr>
          <w:sz w:val="20"/>
          <w:szCs w:val="20"/>
        </w:rPr>
      </w:pPr>
    </w:p>
    <w:p w:rsidR="004B4392" w:rsidRPr="008847EB" w:rsidRDefault="004B4392" w:rsidP="004B4392">
      <w:pPr>
        <w:jc w:val="both"/>
        <w:rPr>
          <w:sz w:val="20"/>
          <w:szCs w:val="20"/>
        </w:rPr>
      </w:pPr>
      <w:r w:rsidRPr="008847EB">
        <w:rPr>
          <w:sz w:val="20"/>
          <w:szCs w:val="20"/>
        </w:rPr>
        <w:t xml:space="preserve">Instrubel, N.V., a Dutch company, is suing the Republic of Iraq to recover the price of weapons and other war-related equipment it sold to Iraq during </w:t>
      </w:r>
      <w:proofErr w:type="spellStart"/>
      <w:r w:rsidRPr="008847EB">
        <w:rPr>
          <w:sz w:val="20"/>
          <w:szCs w:val="20"/>
        </w:rPr>
        <w:t>Sadam</w:t>
      </w:r>
      <w:proofErr w:type="spellEnd"/>
      <w:r w:rsidRPr="008847EB">
        <w:rPr>
          <w:sz w:val="20"/>
          <w:szCs w:val="20"/>
        </w:rPr>
        <w:t xml:space="preserve"> Hussain’s regime. </w:t>
      </w:r>
      <w:proofErr w:type="spellStart"/>
      <w:r w:rsidRPr="008847EB">
        <w:rPr>
          <w:sz w:val="20"/>
          <w:szCs w:val="20"/>
        </w:rPr>
        <w:t>Instrubel’s</w:t>
      </w:r>
      <w:proofErr w:type="spellEnd"/>
      <w:r w:rsidRPr="008847EB">
        <w:rPr>
          <w:sz w:val="20"/>
          <w:szCs w:val="20"/>
        </w:rPr>
        <w:t xml:space="preserve"> claim was recognized by the International Court of Arbitration in Paris, which issued two arbitral awards in 1996 and 2004. The value of these awards was approximately $32 million as of March 12, 2003. Thus far, Iraq has not paid any moneys due. Instrubel filed a motion for recognition and enforcement of the two arbitral awards in Quebec, alleging that Iraq has significant assets in Quebec; specifically, the International Air Transport Association (“IATA”), whose headquarters are based in Montreal, bills and collects air navigation and aerodrome charges payable by various worldwide airlines to the Iraqi Civil Aviation Authority (“ICAA”), in order to be permitted to fly over Iraq’s airspace. Instrubel therefore sought to enforce the arbitral award by seizing funds collected by IATA - which Instrubel argues IATA holds for the ICAA, for the benefit of Iraq. </w:t>
      </w:r>
    </w:p>
    <w:p w:rsidR="004B4392" w:rsidRPr="008847EB" w:rsidRDefault="004B4392" w:rsidP="004B4392">
      <w:pPr>
        <w:jc w:val="both"/>
        <w:rPr>
          <w:sz w:val="20"/>
          <w:szCs w:val="20"/>
        </w:rPr>
      </w:pPr>
    </w:p>
    <w:p w:rsidR="004B4392" w:rsidRPr="008847EB" w:rsidRDefault="004B4392" w:rsidP="004B4392">
      <w:pPr>
        <w:jc w:val="both"/>
        <w:rPr>
          <w:sz w:val="20"/>
          <w:szCs w:val="20"/>
        </w:rPr>
      </w:pPr>
      <w:r w:rsidRPr="008847EB">
        <w:rPr>
          <w:sz w:val="20"/>
          <w:szCs w:val="20"/>
        </w:rPr>
        <w:t xml:space="preserve">Instrubel then obtained (from a judge of the Superior Court of Quebec) a writ of seizure before judgment, by means of garnishment from IATA as a third party garnishee, pending final judgment of </w:t>
      </w:r>
      <w:proofErr w:type="spellStart"/>
      <w:r w:rsidRPr="008847EB">
        <w:rPr>
          <w:sz w:val="20"/>
          <w:szCs w:val="20"/>
        </w:rPr>
        <w:t>Instrubel’s</w:t>
      </w:r>
      <w:proofErr w:type="spellEnd"/>
      <w:r w:rsidRPr="008847EB">
        <w:rPr>
          <w:sz w:val="20"/>
          <w:szCs w:val="20"/>
        </w:rPr>
        <w:t xml:space="preserve"> overall claim against Iraq. The writ of seizure ordered IATA to declare all amounts of money it held for the benefit of Iraq, worldwide. In response, the Iraqi appellants filed a motion seeking to quash the writ of seizure, citing various grounds including a lack of jurisdiction by Quebec courts over property located outside Quebec, given that the funds collected and held by IATA were in fact deposited and located in a bank account outside the province, in Switzerland.</w:t>
      </w:r>
    </w:p>
    <w:p w:rsidR="004B4392" w:rsidRPr="008847EB" w:rsidRDefault="004B4392" w:rsidP="004B4392">
      <w:pPr>
        <w:jc w:val="both"/>
        <w:rPr>
          <w:sz w:val="20"/>
          <w:szCs w:val="20"/>
        </w:rPr>
      </w:pPr>
    </w:p>
    <w:p w:rsidR="004B4392" w:rsidRPr="008847EB" w:rsidRDefault="004B4392" w:rsidP="004B4392">
      <w:pPr>
        <w:jc w:val="both"/>
        <w:rPr>
          <w:sz w:val="20"/>
        </w:rPr>
      </w:pPr>
      <w:r w:rsidRPr="008847EB">
        <w:rPr>
          <w:sz w:val="20"/>
          <w:szCs w:val="20"/>
        </w:rPr>
        <w:t>The Superior Court of Quebec granted the motion to quash in part, finding that the writ of seizure was invalid insofar as it related to property located outside the province. The Quebec Court of Appeal set aside the Superior Court’s decision, reinstated the scope of the writ of seizure in full, and dismissed the motion to quash, finding that the Quebec courts did have jurisdiction to issue and enforce the writ, even with respect to property located outside the province. Both IATA and the Iraqi appellants appeal the Court of Appeal’s decision.</w:t>
      </w:r>
    </w:p>
    <w:p w:rsidR="004B4392" w:rsidRPr="008847EB" w:rsidRDefault="004B4392" w:rsidP="004B4392">
      <w:pPr>
        <w:jc w:val="both"/>
        <w:rPr>
          <w:sz w:val="20"/>
        </w:rPr>
      </w:pPr>
    </w:p>
    <w:p w:rsidR="004B4392" w:rsidRPr="008847EB" w:rsidRDefault="0011194E" w:rsidP="004B4392">
      <w:pPr>
        <w:jc w:val="both"/>
        <w:rPr>
          <w:sz w:val="20"/>
        </w:rPr>
      </w:pPr>
      <w:r>
        <w:rPr>
          <w:szCs w:val="24"/>
          <w:lang w:val="fr-CA"/>
        </w:rPr>
        <w:pict>
          <v:rect id="_x0000_i1079" style="width:108pt;height:1pt" o:hrpct="0" o:hralign="center" o:hrstd="t" o:hrnoshade="t" o:hr="t" fillcolor="black [3213]" stroked="f"/>
        </w:pict>
      </w:r>
    </w:p>
    <w:p w:rsidR="004B4392" w:rsidRPr="008847EB" w:rsidRDefault="004B4392" w:rsidP="004B4392">
      <w:pPr>
        <w:jc w:val="both"/>
        <w:rPr>
          <w:sz w:val="20"/>
          <w:szCs w:val="20"/>
        </w:rPr>
      </w:pPr>
    </w:p>
    <w:p w:rsidR="004B4392" w:rsidRPr="008847EB" w:rsidRDefault="004B4392" w:rsidP="004B4392">
      <w:pPr>
        <w:pStyle w:val="SCCLsocParty"/>
        <w:ind w:left="720" w:hanging="720"/>
        <w:jc w:val="both"/>
        <w:rPr>
          <w:b/>
          <w:i/>
          <w:sz w:val="20"/>
          <w:szCs w:val="20"/>
        </w:rPr>
      </w:pPr>
      <w:r w:rsidRPr="008847EB">
        <w:rPr>
          <w:b/>
          <w:sz w:val="20"/>
          <w:szCs w:val="20"/>
        </w:rPr>
        <w:fldChar w:fldCharType="begin"/>
      </w:r>
      <w:r w:rsidRPr="008847EB">
        <w:rPr>
          <w:b/>
          <w:sz w:val="20"/>
          <w:szCs w:val="20"/>
        </w:rPr>
        <w:instrText xml:space="preserve"> SEQ CHAPTER \h \r 1</w:instrText>
      </w:r>
      <w:r w:rsidRPr="008847EB">
        <w:rPr>
          <w:b/>
          <w:sz w:val="20"/>
          <w:szCs w:val="20"/>
        </w:rPr>
        <w:fldChar w:fldCharType="end"/>
      </w:r>
      <w:r w:rsidRPr="008847EB">
        <w:rPr>
          <w:b/>
          <w:sz w:val="20"/>
          <w:szCs w:val="20"/>
        </w:rPr>
        <w:t>38562</w:t>
      </w:r>
      <w:r w:rsidRPr="008847EB">
        <w:rPr>
          <w:sz w:val="20"/>
          <w:szCs w:val="20"/>
        </w:rPr>
        <w:tab/>
      </w:r>
      <w:r w:rsidRPr="008847EB">
        <w:rPr>
          <w:b/>
          <w:i/>
          <w:sz w:val="20"/>
          <w:szCs w:val="20"/>
        </w:rPr>
        <w:t>International Air Transport Association c. Instrubel, N.V.</w:t>
      </w:r>
    </w:p>
    <w:p w:rsidR="004B4392" w:rsidRPr="008847EB" w:rsidRDefault="004B4392" w:rsidP="004B4392">
      <w:pPr>
        <w:pStyle w:val="SCCLsocParty"/>
        <w:ind w:left="720" w:hanging="720"/>
        <w:jc w:val="both"/>
        <w:rPr>
          <w:b/>
          <w:i/>
          <w:sz w:val="20"/>
          <w:szCs w:val="20"/>
        </w:rPr>
      </w:pPr>
      <w:r w:rsidRPr="008847EB">
        <w:rPr>
          <w:b/>
          <w:i/>
          <w:sz w:val="20"/>
          <w:szCs w:val="20"/>
        </w:rPr>
        <w:tab/>
      </w:r>
      <w:proofErr w:type="gramStart"/>
      <w:r w:rsidRPr="008847EB">
        <w:rPr>
          <w:b/>
          <w:i/>
          <w:sz w:val="20"/>
          <w:szCs w:val="20"/>
        </w:rPr>
        <w:t>et</w:t>
      </w:r>
      <w:proofErr w:type="gramEnd"/>
      <w:r w:rsidRPr="008847EB">
        <w:rPr>
          <w:b/>
          <w:i/>
          <w:sz w:val="20"/>
          <w:szCs w:val="20"/>
        </w:rPr>
        <w:t xml:space="preserve"> -</w:t>
      </w:r>
    </w:p>
    <w:p w:rsidR="004B4392" w:rsidRPr="008847EB" w:rsidRDefault="004B4392" w:rsidP="004B4392">
      <w:pPr>
        <w:pStyle w:val="SCCLsocParty"/>
        <w:ind w:left="720" w:hanging="720"/>
        <w:jc w:val="both"/>
        <w:rPr>
          <w:b/>
          <w:i/>
          <w:sz w:val="20"/>
          <w:szCs w:val="20"/>
        </w:rPr>
      </w:pPr>
      <w:r w:rsidRPr="008847EB">
        <w:rPr>
          <w:b/>
          <w:i/>
          <w:sz w:val="20"/>
          <w:szCs w:val="20"/>
        </w:rPr>
        <w:tab/>
        <w:t>République d’Iraq,  ministère de l’Industrie de la République d’Iraq, ministère de la Défense de la République d’Iraq, Salah Aldin State Establishment c. Instrubel, N.V.</w:t>
      </w:r>
    </w:p>
    <w:p w:rsidR="004B4392" w:rsidRPr="008847EB" w:rsidRDefault="004B4392" w:rsidP="004B4392">
      <w:pPr>
        <w:pStyle w:val="SCCLsocParty"/>
        <w:ind w:left="720" w:hanging="720"/>
        <w:jc w:val="both"/>
        <w:rPr>
          <w:sz w:val="20"/>
          <w:szCs w:val="20"/>
        </w:rPr>
      </w:pPr>
      <w:r w:rsidRPr="008847EB">
        <w:rPr>
          <w:sz w:val="20"/>
          <w:szCs w:val="20"/>
        </w:rPr>
        <w:tab/>
        <w:t>(Qc) (Civile) (Autorisation)</w:t>
      </w:r>
    </w:p>
    <w:p w:rsidR="004B4392" w:rsidRPr="008847EB" w:rsidRDefault="004B4392" w:rsidP="004B4392">
      <w:pPr>
        <w:widowControl w:val="0"/>
        <w:jc w:val="both"/>
        <w:rPr>
          <w:sz w:val="20"/>
          <w:szCs w:val="20"/>
          <w:lang w:val="fr-CA"/>
        </w:rPr>
      </w:pPr>
    </w:p>
    <w:p w:rsidR="004B4392" w:rsidRPr="008847EB" w:rsidRDefault="004B4392" w:rsidP="004B4392">
      <w:pPr>
        <w:widowControl w:val="0"/>
        <w:jc w:val="both"/>
        <w:rPr>
          <w:sz w:val="20"/>
          <w:szCs w:val="20"/>
          <w:lang w:val="fr-CA"/>
        </w:rPr>
      </w:pPr>
      <w:r w:rsidRPr="008847EB">
        <w:rPr>
          <w:sz w:val="20"/>
          <w:szCs w:val="20"/>
          <w:lang w:val="fr-CA"/>
        </w:rPr>
        <w:t xml:space="preserve">Tribunaux - Compétence - Droit international privé - Extraterritorialité - Procédure civile - Réparations provisoires - Saisie avant le jugement - Saisie-arrêt - Société néerlandaise demandant l’exécution au Québec de sentences arbitrales internationales prononcées contre l’Iraq - Perception de droits par l’Association du Transport Aérien International (IATA) établie à Montréal au nom de l’Iraqi Civil Aviation </w:t>
      </w:r>
      <w:proofErr w:type="spellStart"/>
      <w:r w:rsidRPr="008847EB">
        <w:rPr>
          <w:sz w:val="20"/>
          <w:szCs w:val="20"/>
          <w:lang w:val="fr-CA"/>
        </w:rPr>
        <w:t>Authority</w:t>
      </w:r>
      <w:proofErr w:type="spellEnd"/>
      <w:r w:rsidRPr="008847EB">
        <w:rPr>
          <w:sz w:val="20"/>
          <w:szCs w:val="20"/>
          <w:lang w:val="fr-CA"/>
        </w:rPr>
        <w:t xml:space="preserve"> pour que les compagnies aériennes internationales puissent utiliser l’espace aérien de l’Iraq - Droits déposés dans un compte bancaire de l’IATA en Suisse - Bref de saisie-arrêt avant jugement délivré contre l’IATA à titre de tiers-saisi - Les tribunaux québécois ont-ils compétence territoriale pour saisir en main tierce des fonds détenus à l’extérieur du Québec par un tiers-saisi qui se trouve au Québec? - Les fonds recueillis et détenus par le mandataire au nom d’un tiers et déposés dans le compte bancaire du mandataire appartiennent-ils à ce dernier ou au tiers?</w:t>
      </w:r>
    </w:p>
    <w:p w:rsidR="004B4392" w:rsidRPr="008847EB" w:rsidRDefault="004B4392" w:rsidP="004B4392">
      <w:pPr>
        <w:widowControl w:val="0"/>
        <w:jc w:val="both"/>
        <w:rPr>
          <w:sz w:val="20"/>
          <w:szCs w:val="20"/>
          <w:lang w:val="fr-CA"/>
        </w:rPr>
      </w:pPr>
    </w:p>
    <w:p w:rsidR="007E1853" w:rsidRPr="008847EB" w:rsidRDefault="007E1853">
      <w:pPr>
        <w:rPr>
          <w:sz w:val="20"/>
          <w:szCs w:val="20"/>
          <w:lang w:val="fr-CA"/>
        </w:rPr>
      </w:pPr>
      <w:r w:rsidRPr="008847EB">
        <w:rPr>
          <w:sz w:val="20"/>
          <w:szCs w:val="20"/>
          <w:lang w:val="fr-CA"/>
        </w:rPr>
        <w:br w:type="page"/>
      </w:r>
    </w:p>
    <w:p w:rsidR="004B4392" w:rsidRPr="008847EB" w:rsidRDefault="004B4392" w:rsidP="004B4392">
      <w:pPr>
        <w:jc w:val="both"/>
        <w:rPr>
          <w:sz w:val="20"/>
          <w:szCs w:val="20"/>
          <w:lang w:val="fr-CA"/>
        </w:rPr>
      </w:pPr>
      <w:r w:rsidRPr="008847EB">
        <w:rPr>
          <w:sz w:val="20"/>
          <w:szCs w:val="20"/>
          <w:lang w:val="fr-CA"/>
        </w:rPr>
        <w:lastRenderedPageBreak/>
        <w:t xml:space="preserve">Instrubel, N.V., une société néerlandaise, poursuit la République d’Iraq pour recouvrer le prix d’armes et d’autre matériel de guerre qu’elle a vendus à l’Iraq pendant le régime de Saddam Hussein. La créance d’Instrubel a été reconnue par la Cour internationale d’arbitrage à Paris, qui a rendu deux sentences arbitrales, en 1996 et en 2004. Ces sentences avaient une valeur d’environ 32 millions de dollars au 12 mars 2003. Jusqu’à maintenant, l’Iraq n’a pas payé les sommes dues. Instrubel a déposé une requête en reconnaissance et en exécution des deux sentences arbitrales au Québec, alléguant que l’Iraq possède des actifs substantiels au Québec; plus précisément, l’Association du Transport Aérien International (« IATA »), dont le siège social est situé à Montréal, facture et perçoit les droits de navigation aérienne et d’aérodrome payables par diverses compagnies aériennes internationales à l’Iraqi Civil Aviation </w:t>
      </w:r>
      <w:proofErr w:type="spellStart"/>
      <w:r w:rsidRPr="008847EB">
        <w:rPr>
          <w:sz w:val="20"/>
          <w:szCs w:val="20"/>
          <w:lang w:val="fr-CA"/>
        </w:rPr>
        <w:t>Authority</w:t>
      </w:r>
      <w:proofErr w:type="spellEnd"/>
      <w:r w:rsidRPr="008847EB">
        <w:rPr>
          <w:sz w:val="20"/>
          <w:szCs w:val="20"/>
          <w:lang w:val="fr-CA"/>
        </w:rPr>
        <w:t xml:space="preserve"> (« ICAA »), afin d’être autorisées à survoler l’espace aérien iraquien. Instrubel a donc cherché à faire exécuter la sentence arbitrale en saisissant les fonds perçus par l’IATA — et que cette dernière, selon Instrubel, détient pour l’ICAA, à l’avantage de l’Iraq. </w:t>
      </w:r>
    </w:p>
    <w:p w:rsidR="004B4392" w:rsidRPr="008847EB" w:rsidRDefault="004B4392" w:rsidP="004B4392">
      <w:pPr>
        <w:jc w:val="both"/>
        <w:rPr>
          <w:sz w:val="20"/>
          <w:szCs w:val="20"/>
          <w:lang w:val="fr-CA"/>
        </w:rPr>
      </w:pPr>
    </w:p>
    <w:p w:rsidR="004B4392" w:rsidRPr="008847EB" w:rsidRDefault="004B4392" w:rsidP="004B4392">
      <w:pPr>
        <w:jc w:val="both"/>
        <w:rPr>
          <w:sz w:val="20"/>
          <w:szCs w:val="20"/>
          <w:lang w:val="fr-CA"/>
        </w:rPr>
      </w:pPr>
      <w:r w:rsidRPr="008847EB">
        <w:rPr>
          <w:sz w:val="20"/>
          <w:szCs w:val="20"/>
          <w:lang w:val="fr-CA"/>
        </w:rPr>
        <w:t>Instrubel a ensuite obtenu (d’une juge de la Cour supérieure du Québec), un bref de saisie-arrêt avant jugement contre l’IATA à titre de tiers-saisi en attente du jugement définitif sur la réclamation globale d’Instrubel contre l’Iraq. Le bref de saisie ordonnait à l’IATA de déclarer toutes les sommes d’argent qu’elle détenait à l’avantage de l’Iraq partout dans le monde. En guise de réponse, les appelants iraquiens ont déposé une requête en cassation du bref de saisie, invoquant divers moyens, notamment l’absence de compétence des tribunaux québécois à l’égard de biens situés à l’extérieur du Québec, vu que les fonds perçus et détenus par l’IATA avaient en fait été déposés dans un compte bancaire à l’extérieur de la province, en Suisse, où ils se trouvaient encore.</w:t>
      </w:r>
    </w:p>
    <w:p w:rsidR="004B4392" w:rsidRPr="008847EB" w:rsidRDefault="004B4392" w:rsidP="004B4392">
      <w:pPr>
        <w:jc w:val="both"/>
        <w:rPr>
          <w:sz w:val="20"/>
          <w:szCs w:val="20"/>
          <w:lang w:val="fr-CA"/>
        </w:rPr>
      </w:pPr>
    </w:p>
    <w:p w:rsidR="004B4392" w:rsidRPr="008847EB" w:rsidRDefault="004B4392" w:rsidP="004B4392">
      <w:pPr>
        <w:jc w:val="both"/>
        <w:rPr>
          <w:sz w:val="20"/>
          <w:szCs w:val="20"/>
          <w:lang w:val="fr-CA"/>
        </w:rPr>
      </w:pPr>
      <w:r w:rsidRPr="008847EB">
        <w:rPr>
          <w:sz w:val="20"/>
          <w:szCs w:val="20"/>
          <w:lang w:val="fr-CA"/>
        </w:rPr>
        <w:t>Le juge de la Cour supérieure du Québec a accueilli en partie la requête en cassation et conclu que le bref de saisie était invalide pour le motif qu’il portait sur des biens qui se trouvaient à l’extérieur de la province. La Cour d’appel du Québec a annulé la décision de la Cour supérieure, rétabli la portée du bref de saisie dans son intégralité et rejeté la requête en cassation, estimant que les tribunaux québécois avaient effectivement compétence pour délivrer et faire exécuter le bref, même à l’égard de biens situés à l’extérieur de la province. L’IATA et les appelants iraquiens interjettent appel de l’arrêt de la Cour d’appel.</w:t>
      </w:r>
    </w:p>
    <w:p w:rsidR="004B4392" w:rsidRPr="008847EB" w:rsidRDefault="004B4392" w:rsidP="004B4392">
      <w:pPr>
        <w:widowControl w:val="0"/>
        <w:jc w:val="both"/>
        <w:outlineLvl w:val="0"/>
        <w:rPr>
          <w:sz w:val="20"/>
          <w:lang w:val="fr-CA"/>
        </w:rPr>
      </w:pPr>
    </w:p>
    <w:p w:rsidR="004B4392" w:rsidRPr="008847EB" w:rsidRDefault="0011194E" w:rsidP="004B4392">
      <w:pPr>
        <w:widowControl w:val="0"/>
        <w:jc w:val="both"/>
        <w:outlineLvl w:val="0"/>
        <w:rPr>
          <w:sz w:val="20"/>
        </w:rPr>
      </w:pPr>
      <w:r>
        <w:rPr>
          <w:szCs w:val="24"/>
          <w:lang w:val="fr-CA"/>
        </w:rPr>
        <w:pict>
          <v:rect id="_x0000_i1080" style="width:108pt;height:1pt" o:hrpct="0" o:hralign="center" o:hrstd="t" o:hrnoshade="t" o:hr="t" fillcolor="black [3213]" stroked="f"/>
        </w:pict>
      </w:r>
    </w:p>
    <w:p w:rsidR="004B4392" w:rsidRPr="008847EB" w:rsidRDefault="004B4392" w:rsidP="004B4392">
      <w:pPr>
        <w:widowControl w:val="0"/>
        <w:jc w:val="both"/>
        <w:outlineLvl w:val="0"/>
        <w:rPr>
          <w:sz w:val="20"/>
        </w:rPr>
      </w:pPr>
    </w:p>
    <w:p w:rsidR="004B4392" w:rsidRPr="008847EB" w:rsidRDefault="004B4392" w:rsidP="004B4392">
      <w:pPr>
        <w:widowControl w:val="0"/>
        <w:ind w:left="720" w:hanging="720"/>
        <w:jc w:val="both"/>
        <w:rPr>
          <w:b/>
          <w:i/>
          <w:sz w:val="20"/>
        </w:rPr>
      </w:pPr>
      <w:r w:rsidRPr="008847EB">
        <w:rPr>
          <w:b/>
          <w:sz w:val="20"/>
        </w:rPr>
        <w:fldChar w:fldCharType="begin"/>
      </w:r>
      <w:r w:rsidRPr="008847EB">
        <w:rPr>
          <w:b/>
          <w:sz w:val="20"/>
        </w:rPr>
        <w:instrText xml:space="preserve"> SEQ CHAPTER \h \r 1</w:instrText>
      </w:r>
      <w:r w:rsidRPr="008847EB">
        <w:rPr>
          <w:b/>
          <w:sz w:val="20"/>
        </w:rPr>
        <w:fldChar w:fldCharType="end"/>
      </w:r>
      <w:r w:rsidRPr="008847EB">
        <w:rPr>
          <w:b/>
          <w:sz w:val="20"/>
        </w:rPr>
        <w:t>38505</w:t>
      </w:r>
      <w:r w:rsidRPr="008847EB">
        <w:rPr>
          <w:sz w:val="20"/>
        </w:rPr>
        <w:tab/>
      </w:r>
      <w:bookmarkStart w:id="12" w:name="3"/>
      <w:bookmarkEnd w:id="12"/>
      <w:r w:rsidRPr="008847EB">
        <w:rPr>
          <w:b/>
          <w:i/>
          <w:sz w:val="20"/>
        </w:rPr>
        <w:t>Joanne Fraser, Allison Pilgrim, Colleen Fox v. Attorney General of Canada</w:t>
      </w:r>
    </w:p>
    <w:p w:rsidR="004B4392" w:rsidRPr="008847EB" w:rsidRDefault="004B4392" w:rsidP="004B4392">
      <w:pPr>
        <w:widowControl w:val="0"/>
        <w:ind w:left="720" w:hanging="720"/>
        <w:jc w:val="both"/>
        <w:rPr>
          <w:sz w:val="20"/>
        </w:rPr>
      </w:pPr>
      <w:r w:rsidRPr="008847EB">
        <w:rPr>
          <w:sz w:val="20"/>
        </w:rPr>
        <w:tab/>
        <w:t>(F.C.A.) (Civil) (By Leave)</w:t>
      </w:r>
    </w:p>
    <w:p w:rsidR="004B4392" w:rsidRPr="008847EB" w:rsidRDefault="004B4392" w:rsidP="004B4392">
      <w:pPr>
        <w:widowControl w:val="0"/>
        <w:jc w:val="both"/>
        <w:rPr>
          <w:sz w:val="20"/>
        </w:rPr>
      </w:pPr>
    </w:p>
    <w:p w:rsidR="004B4392" w:rsidRPr="008847EB" w:rsidRDefault="004B4392" w:rsidP="004B4392">
      <w:pPr>
        <w:jc w:val="both"/>
        <w:rPr>
          <w:iCs/>
          <w:sz w:val="20"/>
        </w:rPr>
      </w:pPr>
      <w:r w:rsidRPr="008847EB">
        <w:rPr>
          <w:iCs/>
          <w:sz w:val="20"/>
          <w:lang w:val="en"/>
        </w:rPr>
        <w:t xml:space="preserve">Constitutional law - </w:t>
      </w:r>
      <w:r w:rsidRPr="008847EB">
        <w:rPr>
          <w:i/>
          <w:iCs/>
          <w:sz w:val="20"/>
          <w:lang w:val="en"/>
        </w:rPr>
        <w:t>Charter of Rights</w:t>
      </w:r>
      <w:r w:rsidRPr="008847EB">
        <w:rPr>
          <w:iCs/>
          <w:sz w:val="20"/>
          <w:lang w:val="en"/>
        </w:rPr>
        <w:t xml:space="preserve"> - Right to equality - Pensions - Pension buy-back - Job sharing agreements - Appellants opting to temporarily job-share when their children were young - Appellants denied opportunity to buy back their pension for period of time they did not work - </w:t>
      </w:r>
      <w:r w:rsidRPr="008847EB">
        <w:rPr>
          <w:iCs/>
          <w:sz w:val="20"/>
        </w:rPr>
        <w:t xml:space="preserve">Appellants alleging that pro-rated calculation of their pensions infringed their equality rights guaranteed by s. 15(1) of the </w:t>
      </w:r>
      <w:r w:rsidRPr="008847EB">
        <w:rPr>
          <w:i/>
          <w:iCs/>
          <w:sz w:val="20"/>
        </w:rPr>
        <w:t>Canadian Charter of Rights and Freedoms</w:t>
      </w:r>
      <w:r w:rsidRPr="008847EB">
        <w:rPr>
          <w:iCs/>
          <w:sz w:val="20"/>
        </w:rPr>
        <w:t xml:space="preserve"> - Federal Court and Federal Court of Appeal dismissing appellants’ claim - What is the appropriate characterization of the appellants’ employment status, as regular Royal Canadian Mounted Police (“RCMP”) members who worked temporarily-reduced hours under job-sharing agreements? - Whether provisions of the RCMP pension plan, including ss. 5, 6, 6.1, 26 and 27 of the </w:t>
      </w:r>
      <w:r w:rsidRPr="008847EB">
        <w:rPr>
          <w:i/>
          <w:sz w:val="20"/>
        </w:rPr>
        <w:t>Royal Canadian Mounted Police Superannuation Act</w:t>
      </w:r>
      <w:r w:rsidRPr="008847EB">
        <w:rPr>
          <w:sz w:val="20"/>
        </w:rPr>
        <w:t>, R.S.C. 1985, c. R-11 (“</w:t>
      </w:r>
      <w:r w:rsidRPr="008847EB">
        <w:rPr>
          <w:i/>
          <w:sz w:val="20"/>
        </w:rPr>
        <w:t>RCMPSA</w:t>
      </w:r>
      <w:r w:rsidRPr="008847EB">
        <w:rPr>
          <w:sz w:val="20"/>
        </w:rPr>
        <w:t xml:space="preserve">”), and ss. 2 and 10 to 10.10 of the </w:t>
      </w:r>
      <w:r w:rsidRPr="008847EB">
        <w:rPr>
          <w:i/>
          <w:sz w:val="20"/>
        </w:rPr>
        <w:t>Canadian Mounted Police Superannuation Regulations</w:t>
      </w:r>
      <w:r w:rsidRPr="008847EB">
        <w:rPr>
          <w:sz w:val="20"/>
        </w:rPr>
        <w:t>, C.R.C., c. 1393 (“</w:t>
      </w:r>
      <w:r w:rsidRPr="008847EB">
        <w:rPr>
          <w:i/>
          <w:sz w:val="20"/>
        </w:rPr>
        <w:t>Regulations</w:t>
      </w:r>
      <w:r w:rsidRPr="008847EB">
        <w:rPr>
          <w:sz w:val="20"/>
        </w:rPr>
        <w:t xml:space="preserve">”), infringe s. 15(1) of the </w:t>
      </w:r>
      <w:r w:rsidRPr="008847EB">
        <w:rPr>
          <w:i/>
          <w:sz w:val="20"/>
        </w:rPr>
        <w:t>Charter</w:t>
      </w:r>
      <w:r w:rsidRPr="008847EB">
        <w:rPr>
          <w:sz w:val="20"/>
        </w:rPr>
        <w:t xml:space="preserve">, in that they operate to discriminate on the basis of sex and/or parental status by denying the appellants the right to accrue full-time pension benefit credit for periods when they worked reduced hours for family reasons - If yes, whether infringement a reasonable limit prescribed by law as can be demonstrably justified in a free and democratic society under s. 1 of the </w:t>
      </w:r>
      <w:r w:rsidRPr="008847EB">
        <w:rPr>
          <w:i/>
          <w:sz w:val="20"/>
        </w:rPr>
        <w:t>Charter</w:t>
      </w:r>
      <w:r w:rsidRPr="008847EB">
        <w:rPr>
          <w:sz w:val="20"/>
        </w:rPr>
        <w:t>.</w:t>
      </w:r>
    </w:p>
    <w:p w:rsidR="004B4392" w:rsidRPr="008847EB" w:rsidRDefault="004B4392" w:rsidP="004B4392">
      <w:pPr>
        <w:widowControl w:val="0"/>
        <w:jc w:val="both"/>
        <w:rPr>
          <w:sz w:val="20"/>
        </w:rPr>
      </w:pPr>
    </w:p>
    <w:p w:rsidR="004B4392" w:rsidRPr="008847EB" w:rsidRDefault="004B4392" w:rsidP="004B4392">
      <w:pPr>
        <w:jc w:val="both"/>
        <w:rPr>
          <w:sz w:val="20"/>
        </w:rPr>
      </w:pPr>
      <w:r w:rsidRPr="008847EB">
        <w:rPr>
          <w:sz w:val="20"/>
        </w:rPr>
        <w:t xml:space="preserve">The appellants are women and mothers who are former regular members of the RCMP. In order to care for their young children, they temporarily reduced their hours of work through a job-sharing program offered by the RCMP. The women’s pension benefits were adjusted accordingly and were calculated in the same fashion as those calculated for members who worked part-time hours. The women were not given the option of treating the period for which they did not work as pensionable time, even though individuals who opted not to work at all and who took unpaid care and nurturing leave were given the option of buying back their pension. The women allege that this pro-rated calculation infringed their equality rights guaranteed by s. 15(1) of the </w:t>
      </w:r>
      <w:r w:rsidRPr="008847EB">
        <w:rPr>
          <w:i/>
          <w:sz w:val="20"/>
        </w:rPr>
        <w:t>Charter</w:t>
      </w:r>
      <w:r w:rsidRPr="008847EB">
        <w:rPr>
          <w:sz w:val="20"/>
        </w:rPr>
        <w:t xml:space="preserve">. Specifically, they argued that the </w:t>
      </w:r>
      <w:r w:rsidRPr="008847EB">
        <w:rPr>
          <w:i/>
          <w:sz w:val="20"/>
        </w:rPr>
        <w:t>RCMPSA</w:t>
      </w:r>
      <w:r w:rsidRPr="008847EB">
        <w:rPr>
          <w:sz w:val="20"/>
        </w:rPr>
        <w:t xml:space="preserve"> and the </w:t>
      </w:r>
      <w:r w:rsidRPr="008847EB">
        <w:rPr>
          <w:i/>
          <w:sz w:val="20"/>
        </w:rPr>
        <w:t>Regulations</w:t>
      </w:r>
      <w:r w:rsidRPr="008847EB">
        <w:rPr>
          <w:sz w:val="20"/>
        </w:rPr>
        <w:t xml:space="preserve"> were discriminatory on the enumerated ground of sex and the analogous ground of parental status. The Federal Court dismissed their application for declaratory and other relief and the Federal Court of Appeal dismissed the appeal.</w:t>
      </w:r>
    </w:p>
    <w:p w:rsidR="004B4392" w:rsidRPr="008847EB" w:rsidRDefault="004B4392" w:rsidP="004B4392">
      <w:pPr>
        <w:jc w:val="both"/>
        <w:rPr>
          <w:sz w:val="20"/>
        </w:rPr>
      </w:pPr>
    </w:p>
    <w:p w:rsidR="004B4392" w:rsidRPr="008847EB" w:rsidRDefault="0011194E" w:rsidP="004B4392">
      <w:pPr>
        <w:jc w:val="both"/>
        <w:rPr>
          <w:sz w:val="20"/>
        </w:rPr>
      </w:pPr>
      <w:r>
        <w:rPr>
          <w:szCs w:val="24"/>
          <w:lang w:val="fr-CA"/>
        </w:rPr>
        <w:lastRenderedPageBreak/>
        <w:pict>
          <v:rect id="_x0000_i1081" style="width:108pt;height:1pt" o:hrpct="0" o:hralign="center" o:hrstd="t" o:hrnoshade="t" o:hr="t" fillcolor="black [3213]" stroked="f"/>
        </w:pict>
      </w:r>
    </w:p>
    <w:p w:rsidR="004B4392" w:rsidRPr="008847EB" w:rsidRDefault="004B4392" w:rsidP="004B4392">
      <w:pPr>
        <w:jc w:val="both"/>
        <w:rPr>
          <w:sz w:val="20"/>
        </w:rPr>
      </w:pPr>
    </w:p>
    <w:p w:rsidR="004B4392" w:rsidRPr="008847EB" w:rsidRDefault="004B4392" w:rsidP="004B4392">
      <w:pPr>
        <w:widowControl w:val="0"/>
        <w:ind w:left="720" w:hanging="720"/>
        <w:jc w:val="both"/>
        <w:rPr>
          <w:b/>
          <w:i/>
          <w:sz w:val="20"/>
          <w:lang w:val="fr-CA"/>
        </w:rPr>
      </w:pPr>
      <w:r w:rsidRPr="008847EB">
        <w:rPr>
          <w:b/>
          <w:sz w:val="20"/>
          <w:lang w:val="fr-CA"/>
        </w:rPr>
        <w:fldChar w:fldCharType="begin"/>
      </w:r>
      <w:r w:rsidRPr="008847EB">
        <w:rPr>
          <w:b/>
          <w:sz w:val="20"/>
          <w:lang w:val="fr-CA"/>
        </w:rPr>
        <w:instrText xml:space="preserve"> SEQ CHAPTER \h \r 1</w:instrText>
      </w:r>
      <w:r w:rsidRPr="008847EB">
        <w:rPr>
          <w:b/>
          <w:sz w:val="20"/>
          <w:lang w:val="fr-CA"/>
        </w:rPr>
        <w:fldChar w:fldCharType="end"/>
      </w:r>
      <w:r w:rsidRPr="008847EB">
        <w:rPr>
          <w:b/>
          <w:sz w:val="20"/>
          <w:lang w:val="fr-CA"/>
        </w:rPr>
        <w:t>38505</w:t>
      </w:r>
      <w:r w:rsidRPr="008847EB">
        <w:rPr>
          <w:sz w:val="20"/>
          <w:lang w:val="fr-CA"/>
        </w:rPr>
        <w:tab/>
      </w:r>
      <w:r w:rsidRPr="008847EB">
        <w:rPr>
          <w:b/>
          <w:i/>
          <w:sz w:val="20"/>
          <w:lang w:val="fr-CA"/>
        </w:rPr>
        <w:t xml:space="preserve">Joanne Fraser, Allison </w:t>
      </w:r>
      <w:proofErr w:type="spellStart"/>
      <w:r w:rsidRPr="008847EB">
        <w:rPr>
          <w:b/>
          <w:i/>
          <w:sz w:val="20"/>
          <w:lang w:val="fr-CA"/>
        </w:rPr>
        <w:t>Pilgrim</w:t>
      </w:r>
      <w:proofErr w:type="spellEnd"/>
      <w:r w:rsidRPr="008847EB">
        <w:rPr>
          <w:b/>
          <w:i/>
          <w:sz w:val="20"/>
          <w:lang w:val="fr-CA"/>
        </w:rPr>
        <w:t xml:space="preserve">, </w:t>
      </w:r>
      <w:proofErr w:type="spellStart"/>
      <w:r w:rsidRPr="008847EB">
        <w:rPr>
          <w:b/>
          <w:i/>
          <w:sz w:val="20"/>
          <w:lang w:val="fr-CA"/>
        </w:rPr>
        <w:t>Colleen</w:t>
      </w:r>
      <w:proofErr w:type="spellEnd"/>
      <w:r w:rsidRPr="008847EB">
        <w:rPr>
          <w:b/>
          <w:i/>
          <w:sz w:val="20"/>
          <w:lang w:val="fr-CA"/>
        </w:rPr>
        <w:t xml:space="preserve"> Fox c. Procureur général du Canada</w:t>
      </w:r>
    </w:p>
    <w:p w:rsidR="004B4392" w:rsidRPr="008847EB" w:rsidRDefault="004B4392" w:rsidP="004B4392">
      <w:pPr>
        <w:widowControl w:val="0"/>
        <w:ind w:left="720" w:hanging="720"/>
        <w:jc w:val="both"/>
        <w:rPr>
          <w:sz w:val="20"/>
          <w:lang w:val="fr-CA"/>
        </w:rPr>
      </w:pPr>
      <w:r w:rsidRPr="008847EB">
        <w:rPr>
          <w:sz w:val="20"/>
          <w:lang w:val="fr-CA"/>
        </w:rPr>
        <w:tab/>
        <w:t>(C.A.F.) (Civile) (Autorisation)</w:t>
      </w:r>
    </w:p>
    <w:p w:rsidR="004B4392" w:rsidRPr="008847EB" w:rsidRDefault="004B4392" w:rsidP="004B4392">
      <w:pPr>
        <w:widowControl w:val="0"/>
        <w:jc w:val="both"/>
        <w:rPr>
          <w:sz w:val="20"/>
          <w:lang w:val="fr-CA"/>
        </w:rPr>
      </w:pPr>
    </w:p>
    <w:p w:rsidR="004B4392" w:rsidRPr="008847EB" w:rsidRDefault="004B4392" w:rsidP="004B4392">
      <w:pPr>
        <w:jc w:val="both"/>
        <w:rPr>
          <w:iCs/>
          <w:sz w:val="20"/>
          <w:lang w:val="fr-CA"/>
        </w:rPr>
      </w:pPr>
      <w:r w:rsidRPr="008847EB">
        <w:rPr>
          <w:iCs/>
          <w:sz w:val="20"/>
          <w:lang w:val="fr-CA"/>
        </w:rPr>
        <w:t xml:space="preserve">Droit constitutionnel - </w:t>
      </w:r>
      <w:r w:rsidRPr="008847EB">
        <w:rPr>
          <w:i/>
          <w:iCs/>
          <w:sz w:val="20"/>
          <w:lang w:val="fr-CA"/>
        </w:rPr>
        <w:t>Charte des droits</w:t>
      </w:r>
      <w:r w:rsidRPr="008847EB">
        <w:rPr>
          <w:iCs/>
          <w:sz w:val="20"/>
          <w:lang w:val="fr-CA"/>
        </w:rPr>
        <w:t xml:space="preserve"> - Droit à l’égalité - Pensions - Rachat de service - Ententes de partage de poste - Les appelantes ont choisi de partager temporairement leurs postes lorsque leurs enfants étaient en bas âge - Les appelantes se sont vu refuser l’occasion de racheter leur pension pour la période où elles n’ont pas travaillé - Les appelantes allèguent que le calcul de leurs pensions au prorata viole les droits à l’égalité que leur garantit le par. 15(1) de la </w:t>
      </w:r>
      <w:r w:rsidRPr="008847EB">
        <w:rPr>
          <w:i/>
          <w:iCs/>
          <w:sz w:val="20"/>
          <w:lang w:val="fr-CA"/>
        </w:rPr>
        <w:t>Charte canadienne des droits et libertés</w:t>
      </w:r>
      <w:r w:rsidRPr="008847EB">
        <w:rPr>
          <w:iCs/>
          <w:sz w:val="20"/>
          <w:lang w:val="fr-CA"/>
        </w:rPr>
        <w:t xml:space="preserve"> - La Cour fédérale et la Cour d’appel fédéral ont rejeté la demande des appelantes - Comment convient-il de caractériser la situation de l’emploi des appelantes, en tant que membres régulières de la Gendarmerie royale du Canada (« GRC ») qui ont travaillé des heures temporairement réduites en application d’ententes de partage de poste? - Les dispositions du régime de pensions de la GRC, y compris </w:t>
      </w:r>
      <w:proofErr w:type="gramStart"/>
      <w:r w:rsidRPr="008847EB">
        <w:rPr>
          <w:iCs/>
          <w:sz w:val="20"/>
          <w:lang w:val="fr-CA"/>
        </w:rPr>
        <w:t>les art</w:t>
      </w:r>
      <w:proofErr w:type="gramEnd"/>
      <w:r w:rsidRPr="008847EB">
        <w:rPr>
          <w:iCs/>
          <w:sz w:val="20"/>
          <w:lang w:val="fr-CA"/>
        </w:rPr>
        <w:t xml:space="preserve">. 5, 6, 6.1, 26 et 27 de la </w:t>
      </w:r>
      <w:r w:rsidRPr="008847EB">
        <w:rPr>
          <w:i/>
          <w:iCs/>
          <w:sz w:val="20"/>
          <w:lang w:val="fr-CA"/>
        </w:rPr>
        <w:t>Loi sur la pension de retraite de la Gendarmerie royale du Canada</w:t>
      </w:r>
      <w:r w:rsidRPr="008847EB">
        <w:rPr>
          <w:iCs/>
          <w:sz w:val="20"/>
          <w:lang w:val="fr-CA"/>
        </w:rPr>
        <w:t>, L.R.C. 1985, ch. R</w:t>
      </w:r>
      <w:r w:rsidRPr="008847EB">
        <w:rPr>
          <w:iCs/>
          <w:sz w:val="20"/>
          <w:lang w:val="fr-CA"/>
        </w:rPr>
        <w:noBreakHyphen/>
        <w:t>11 (« </w:t>
      </w:r>
      <w:r w:rsidRPr="008847EB">
        <w:rPr>
          <w:i/>
          <w:iCs/>
          <w:sz w:val="20"/>
          <w:lang w:val="fr-CA"/>
        </w:rPr>
        <w:t>LPRGRC</w:t>
      </w:r>
      <w:r w:rsidRPr="008847EB">
        <w:rPr>
          <w:iCs/>
          <w:sz w:val="20"/>
          <w:lang w:val="fr-CA"/>
        </w:rPr>
        <w:t xml:space="preserve"> »), et </w:t>
      </w:r>
      <w:proofErr w:type="gramStart"/>
      <w:r w:rsidRPr="008847EB">
        <w:rPr>
          <w:iCs/>
          <w:sz w:val="20"/>
          <w:lang w:val="fr-CA"/>
        </w:rPr>
        <w:t>les art</w:t>
      </w:r>
      <w:proofErr w:type="gramEnd"/>
      <w:r w:rsidRPr="008847EB">
        <w:rPr>
          <w:iCs/>
          <w:sz w:val="20"/>
          <w:lang w:val="fr-CA"/>
        </w:rPr>
        <w:t xml:space="preserve">. 2 et 10 à 10.10 du </w:t>
      </w:r>
      <w:r w:rsidRPr="008847EB">
        <w:rPr>
          <w:i/>
          <w:iCs/>
          <w:sz w:val="20"/>
          <w:lang w:val="fr-CA"/>
        </w:rPr>
        <w:t>Règlement sur la pension de retraite de la Gendarmerie royale du Canada</w:t>
      </w:r>
      <w:r w:rsidRPr="008847EB">
        <w:rPr>
          <w:iCs/>
          <w:sz w:val="20"/>
          <w:lang w:val="fr-CA"/>
        </w:rPr>
        <w:t>, C.R.C., ch. 1393 (« </w:t>
      </w:r>
      <w:r w:rsidRPr="008847EB">
        <w:rPr>
          <w:i/>
          <w:iCs/>
          <w:sz w:val="20"/>
          <w:lang w:val="fr-CA"/>
        </w:rPr>
        <w:t>Règlement</w:t>
      </w:r>
      <w:r w:rsidRPr="008847EB">
        <w:rPr>
          <w:iCs/>
          <w:sz w:val="20"/>
          <w:lang w:val="fr-CA"/>
        </w:rPr>
        <w:t xml:space="preserve"> »), violent-elles le par. 15(1) de la </w:t>
      </w:r>
      <w:r w:rsidRPr="008847EB">
        <w:rPr>
          <w:i/>
          <w:iCs/>
          <w:sz w:val="20"/>
          <w:lang w:val="fr-CA"/>
        </w:rPr>
        <w:t>Charte</w:t>
      </w:r>
      <w:r w:rsidRPr="008847EB">
        <w:rPr>
          <w:iCs/>
          <w:sz w:val="20"/>
          <w:lang w:val="fr-CA"/>
        </w:rPr>
        <w:t xml:space="preserve">, puisqu’elles ont un effet discriminatoire sur le fondement du sexe ou du statut de parent en niant aux appelantes le droit d’acquérir un droit à pension selon le taux de rémunération à temps plein pour les périodes où elles ont travaillé des heures réduites pour des raisons d’ordre familial? - Dans l’affirmative, la violation constitue-t-elle une limite raisonnable prescrite par une règle de droit dont la justification peut se démontrer dans le cadre d’une société libre et démocratique suivant l’article premier de la </w:t>
      </w:r>
      <w:r w:rsidRPr="008847EB">
        <w:rPr>
          <w:i/>
          <w:iCs/>
          <w:sz w:val="20"/>
          <w:lang w:val="fr-CA"/>
        </w:rPr>
        <w:t>Charte</w:t>
      </w:r>
      <w:r w:rsidRPr="008847EB">
        <w:rPr>
          <w:iCs/>
          <w:sz w:val="20"/>
          <w:lang w:val="fr-CA"/>
        </w:rPr>
        <w:t>?</w:t>
      </w:r>
    </w:p>
    <w:p w:rsidR="004B4392" w:rsidRPr="008847EB" w:rsidRDefault="004B4392" w:rsidP="004B4392">
      <w:pPr>
        <w:widowControl w:val="0"/>
        <w:jc w:val="both"/>
        <w:rPr>
          <w:sz w:val="20"/>
          <w:lang w:val="fr-CA"/>
        </w:rPr>
      </w:pPr>
    </w:p>
    <w:p w:rsidR="004B4392" w:rsidRPr="008847EB" w:rsidRDefault="004B4392" w:rsidP="004B4392">
      <w:pPr>
        <w:jc w:val="both"/>
        <w:rPr>
          <w:sz w:val="20"/>
          <w:lang w:val="fr-CA"/>
        </w:rPr>
      </w:pPr>
      <w:r w:rsidRPr="008847EB">
        <w:rPr>
          <w:sz w:val="20"/>
          <w:lang w:val="fr-CA"/>
        </w:rPr>
        <w:t xml:space="preserve">Les appelantes sont mères et anciennes membres régulières de la GRC. Pour s’occuper de leurs enfants en bas âge, elles ont temporairement réduit leurs heures de travail dans le cadre d’un programme de partage de poste offert par la GRC. Les prestations de pension des femmes ont été ajustées en conséquence et ont été calculées de la même façon que celles calculées pour les membres qui travaillaient à temps partiel. Les femmes ne se sont pas vu offrir la possibilité de traiter la période pendant laquelle elles n’avaient pas travaillé comme une période ouvrant droit à pension, même si les personnes qui choisissaient de ne pas travailler du tout et qui prenaient un congé non payé pour s’occuper de leurs enfants se voyaient offrir la possibilité de racheter </w:t>
      </w:r>
      <w:r w:rsidRPr="008847EB">
        <w:rPr>
          <w:iCs/>
          <w:sz w:val="20"/>
          <w:lang w:val="fr-CA"/>
        </w:rPr>
        <w:t>des périodes de service ouvrant droit à pension</w:t>
      </w:r>
      <w:r w:rsidRPr="008847EB">
        <w:rPr>
          <w:sz w:val="20"/>
          <w:lang w:val="fr-CA"/>
        </w:rPr>
        <w:t xml:space="preserve">. Les femmes allèguent que </w:t>
      </w:r>
      <w:r w:rsidRPr="008847EB">
        <w:rPr>
          <w:iCs/>
          <w:sz w:val="20"/>
          <w:lang w:val="fr-CA"/>
        </w:rPr>
        <w:t xml:space="preserve">ce calcul de leurs pensions au prorata violait les droits à l’égalité que leur garantit le par. 15(1) de la </w:t>
      </w:r>
      <w:r w:rsidRPr="008847EB">
        <w:rPr>
          <w:i/>
          <w:iCs/>
          <w:sz w:val="20"/>
          <w:lang w:val="fr-CA"/>
        </w:rPr>
        <w:t>Charte</w:t>
      </w:r>
      <w:r w:rsidRPr="008847EB">
        <w:rPr>
          <w:sz w:val="20"/>
          <w:lang w:val="fr-CA"/>
        </w:rPr>
        <w:t xml:space="preserve">. Plus particulièrement, elles ont plaidé que </w:t>
      </w:r>
      <w:r w:rsidRPr="008847EB">
        <w:rPr>
          <w:iCs/>
          <w:sz w:val="20"/>
          <w:lang w:val="fr-CA"/>
        </w:rPr>
        <w:t xml:space="preserve">la </w:t>
      </w:r>
      <w:r w:rsidRPr="008847EB">
        <w:rPr>
          <w:i/>
          <w:sz w:val="20"/>
          <w:lang w:val="fr-CA"/>
        </w:rPr>
        <w:t xml:space="preserve">LPRGRC </w:t>
      </w:r>
      <w:r w:rsidRPr="008847EB">
        <w:rPr>
          <w:sz w:val="20"/>
          <w:lang w:val="fr-CA"/>
        </w:rPr>
        <w:t xml:space="preserve">et le </w:t>
      </w:r>
      <w:r w:rsidRPr="008847EB">
        <w:rPr>
          <w:i/>
          <w:sz w:val="20"/>
          <w:lang w:val="fr-CA"/>
        </w:rPr>
        <w:t xml:space="preserve">Règlement </w:t>
      </w:r>
      <w:r w:rsidRPr="008847EB">
        <w:rPr>
          <w:sz w:val="20"/>
          <w:lang w:val="fr-CA"/>
        </w:rPr>
        <w:t xml:space="preserve">étaient discriminatoires  pour le motif énuméré du sexe et pour le motif analogue du statut de parent. La Cour fédérale a rejeté leur demande en jugement déclaratoire et d’autres réparations et la Cour d’appel fédérale a rejeté l’appel. </w:t>
      </w:r>
    </w:p>
    <w:p w:rsidR="004B4392" w:rsidRPr="008847EB" w:rsidRDefault="004B4392" w:rsidP="004B4392">
      <w:pPr>
        <w:widowControl w:val="0"/>
        <w:jc w:val="both"/>
        <w:outlineLvl w:val="0"/>
        <w:rPr>
          <w:sz w:val="20"/>
          <w:lang w:val="fr-CA"/>
        </w:rPr>
      </w:pPr>
    </w:p>
    <w:p w:rsidR="004B4392" w:rsidRPr="008847EB" w:rsidRDefault="0011194E" w:rsidP="004B4392">
      <w:pPr>
        <w:widowControl w:val="0"/>
        <w:jc w:val="both"/>
        <w:outlineLvl w:val="0"/>
        <w:rPr>
          <w:sz w:val="20"/>
          <w:lang w:val="fr-CA"/>
        </w:rPr>
      </w:pPr>
      <w:r>
        <w:rPr>
          <w:szCs w:val="24"/>
          <w:lang w:val="fr-CA"/>
        </w:rPr>
        <w:pict>
          <v:rect id="_x0000_i1082" style="width:108pt;height:1pt" o:hrpct="0" o:hralign="center" o:hrstd="t" o:hrnoshade="t" o:hr="t" fillcolor="black [3213]" stroked="f"/>
        </w:pict>
      </w:r>
    </w:p>
    <w:p w:rsidR="004B4392" w:rsidRPr="008847EB" w:rsidRDefault="004B4392" w:rsidP="004B4392">
      <w:pPr>
        <w:widowControl w:val="0"/>
        <w:jc w:val="both"/>
        <w:outlineLvl w:val="0"/>
        <w:rPr>
          <w:sz w:val="20"/>
          <w:lang w:val="fr-CA"/>
        </w:rPr>
      </w:pPr>
    </w:p>
    <w:p w:rsidR="004B4392" w:rsidRPr="008847EB" w:rsidRDefault="004B4392" w:rsidP="004B4392">
      <w:pPr>
        <w:widowControl w:val="0"/>
        <w:ind w:left="851" w:hanging="851"/>
        <w:jc w:val="both"/>
        <w:rPr>
          <w:b/>
          <w:i/>
          <w:sz w:val="20"/>
        </w:rPr>
      </w:pPr>
      <w:r w:rsidRPr="008847EB">
        <w:rPr>
          <w:b/>
          <w:sz w:val="20"/>
        </w:rPr>
        <w:fldChar w:fldCharType="begin"/>
      </w:r>
      <w:r w:rsidRPr="008847EB">
        <w:rPr>
          <w:b/>
          <w:sz w:val="20"/>
        </w:rPr>
        <w:instrText xml:space="preserve"> SEQ CHAPTER \h \r 1</w:instrText>
      </w:r>
      <w:r w:rsidRPr="008847EB">
        <w:rPr>
          <w:b/>
          <w:sz w:val="20"/>
        </w:rPr>
        <w:fldChar w:fldCharType="end"/>
      </w:r>
      <w:r w:rsidRPr="008847EB">
        <w:rPr>
          <w:b/>
          <w:sz w:val="20"/>
        </w:rPr>
        <w:t>38681</w:t>
      </w:r>
      <w:r w:rsidRPr="008847EB">
        <w:rPr>
          <w:sz w:val="20"/>
        </w:rPr>
        <w:tab/>
      </w:r>
      <w:r w:rsidRPr="008847EB">
        <w:rPr>
          <w:b/>
          <w:i/>
          <w:sz w:val="20"/>
        </w:rPr>
        <w:t>Alexandre Collin v. Her Majesty the Queen</w:t>
      </w:r>
    </w:p>
    <w:p w:rsidR="004B4392" w:rsidRPr="008847EB" w:rsidRDefault="004B4392" w:rsidP="004B4392">
      <w:pPr>
        <w:widowControl w:val="0"/>
        <w:ind w:left="851" w:hanging="720"/>
        <w:jc w:val="both"/>
        <w:rPr>
          <w:sz w:val="20"/>
        </w:rPr>
      </w:pPr>
      <w:r w:rsidRPr="008847EB">
        <w:rPr>
          <w:sz w:val="20"/>
        </w:rPr>
        <w:tab/>
        <w:t>(Que.) (Criminal) (As of Right)</w:t>
      </w:r>
    </w:p>
    <w:p w:rsidR="004B4392" w:rsidRPr="008847EB" w:rsidRDefault="004B4392" w:rsidP="004B4392">
      <w:pPr>
        <w:widowControl w:val="0"/>
        <w:jc w:val="both"/>
        <w:rPr>
          <w:sz w:val="20"/>
        </w:rPr>
      </w:pPr>
    </w:p>
    <w:p w:rsidR="004B4392" w:rsidRPr="008847EB" w:rsidRDefault="004B4392" w:rsidP="004B4392">
      <w:pPr>
        <w:widowControl w:val="0"/>
        <w:jc w:val="both"/>
        <w:rPr>
          <w:sz w:val="20"/>
        </w:rPr>
      </w:pPr>
      <w:r w:rsidRPr="008847EB">
        <w:rPr>
          <w:sz w:val="20"/>
        </w:rPr>
        <w:t>Criminal law – Appeals – Right of Attorney General to appeal under s. 676(1</w:t>
      </w:r>
      <w:proofErr w:type="gramStart"/>
      <w:r w:rsidRPr="008847EB">
        <w:rPr>
          <w:sz w:val="20"/>
        </w:rPr>
        <w:t>)(</w:t>
      </w:r>
      <w:proofErr w:type="gramEnd"/>
      <w:r w:rsidRPr="008847EB">
        <w:rPr>
          <w:sz w:val="20"/>
        </w:rPr>
        <w:t xml:space="preserve">a) of </w:t>
      </w:r>
      <w:r w:rsidRPr="008847EB">
        <w:rPr>
          <w:i/>
          <w:sz w:val="20"/>
        </w:rPr>
        <w:t>Criminal Code</w:t>
      </w:r>
      <w:r w:rsidRPr="008847EB">
        <w:rPr>
          <w:sz w:val="20"/>
        </w:rPr>
        <w:t>, R.S.C. 1985, c. C</w:t>
      </w:r>
      <w:r w:rsidRPr="008847EB">
        <w:rPr>
          <w:sz w:val="20"/>
        </w:rPr>
        <w:noBreakHyphen/>
        <w:t xml:space="preserve">46 – Dangerous driving causing bodily harm – Causation – Whether Court of Appeal erred in finding that Crown’s appeal from acquittal raised question of law alone within meaning of s. 676(1)(a) of </w:t>
      </w:r>
      <w:r w:rsidRPr="008847EB">
        <w:rPr>
          <w:i/>
          <w:sz w:val="20"/>
        </w:rPr>
        <w:t>Criminal Code</w:t>
      </w:r>
      <w:r w:rsidRPr="008847EB">
        <w:rPr>
          <w:sz w:val="20"/>
        </w:rPr>
        <w:t xml:space="preserve"> – Whether Court of Appeal erred in substituting its own findings of fact for those of trial judge.</w:t>
      </w:r>
    </w:p>
    <w:p w:rsidR="004B4392" w:rsidRPr="008847EB" w:rsidRDefault="004B4392" w:rsidP="004B4392">
      <w:pPr>
        <w:widowControl w:val="0"/>
        <w:jc w:val="both"/>
        <w:rPr>
          <w:sz w:val="20"/>
        </w:rPr>
      </w:pPr>
    </w:p>
    <w:p w:rsidR="004B4392" w:rsidRPr="008847EB" w:rsidRDefault="004B4392" w:rsidP="004B4392">
      <w:pPr>
        <w:widowControl w:val="0"/>
        <w:jc w:val="both"/>
        <w:rPr>
          <w:sz w:val="20"/>
        </w:rPr>
      </w:pPr>
      <w:r w:rsidRPr="008847EB">
        <w:rPr>
          <w:sz w:val="20"/>
        </w:rPr>
        <w:t xml:space="preserve">The appellant was acquitted of dangerous driving causing bodily harm but convicted of the included offence of dangerous driving. The trial judge found that the appellant had driven dangerously but accepted the appellant’s explanation of the cause of the accident, namely that the vehicle he was driving had not responded when he braked because the accelerator was stuck. The judge found that the dangerous driving was therefore not what had caused bodily harm to the complainant. On appeal, the Crown argued that the trial judge had erred in law by applying the wrong legal test in analyzing causation and that the error had had a material bearing on the acquittal. The Court of Appeal allowed the appeal and entered a conviction on the count of dangerous driving causing bodily harm. It began by finding that the question raised by the Crown was a question of law. It then explained that what the trial judge should have considered was whether the appellant’s dangerous driving had been a significant contributing cause of the complainant’s bodily harm, not whether it had been </w:t>
      </w:r>
      <w:r w:rsidRPr="008847EB">
        <w:rPr>
          <w:sz w:val="20"/>
          <w:u w:val="single"/>
        </w:rPr>
        <w:t>the</w:t>
      </w:r>
      <w:r w:rsidRPr="008847EB">
        <w:rPr>
          <w:sz w:val="20"/>
        </w:rPr>
        <w:t xml:space="preserve"> cause. In its view, something that happened and that complicated driving that was already criminal clearly could not, in the circumstances, negate the significant (or beyond </w:t>
      </w:r>
      <w:r w:rsidRPr="008847EB">
        <w:rPr>
          <w:i/>
          <w:sz w:val="20"/>
        </w:rPr>
        <w:t>de </w:t>
      </w:r>
      <w:proofErr w:type="spellStart"/>
      <w:r w:rsidRPr="008847EB">
        <w:rPr>
          <w:i/>
          <w:sz w:val="20"/>
        </w:rPr>
        <w:t>minimis</w:t>
      </w:r>
      <w:proofErr w:type="spellEnd"/>
      <w:r w:rsidRPr="008847EB">
        <w:rPr>
          <w:sz w:val="20"/>
        </w:rPr>
        <w:t xml:space="preserve">) contribution made by that driving to the complainant’s bodily harm. </w:t>
      </w:r>
    </w:p>
    <w:p w:rsidR="004B4392" w:rsidRPr="008847EB" w:rsidRDefault="004B4392" w:rsidP="004B4392">
      <w:pPr>
        <w:widowControl w:val="0"/>
        <w:jc w:val="both"/>
        <w:rPr>
          <w:sz w:val="20"/>
        </w:rPr>
      </w:pPr>
    </w:p>
    <w:p w:rsidR="004B4392" w:rsidRPr="008847EB" w:rsidRDefault="0011194E" w:rsidP="004B4392">
      <w:pPr>
        <w:widowControl w:val="0"/>
        <w:jc w:val="both"/>
        <w:rPr>
          <w:sz w:val="20"/>
        </w:rPr>
      </w:pPr>
      <w:r>
        <w:rPr>
          <w:szCs w:val="24"/>
          <w:lang w:val="fr-CA"/>
        </w:rPr>
        <w:pict>
          <v:rect id="_x0000_i1083" style="width:108pt;height:1pt" o:hrpct="0" o:hralign="center" o:hrstd="t" o:hrnoshade="t" o:hr="t" fillcolor="black [3213]" stroked="f"/>
        </w:pict>
      </w:r>
    </w:p>
    <w:p w:rsidR="004B4392" w:rsidRPr="008847EB" w:rsidRDefault="004B4392" w:rsidP="004B4392">
      <w:pPr>
        <w:widowControl w:val="0"/>
        <w:jc w:val="both"/>
        <w:rPr>
          <w:sz w:val="20"/>
        </w:rPr>
      </w:pPr>
    </w:p>
    <w:p w:rsidR="004B4392" w:rsidRPr="008847EB" w:rsidRDefault="004B4392" w:rsidP="004B4392">
      <w:pPr>
        <w:widowControl w:val="0"/>
        <w:ind w:left="720" w:hanging="720"/>
        <w:jc w:val="both"/>
        <w:rPr>
          <w:b/>
          <w:i/>
          <w:sz w:val="20"/>
          <w:lang w:val="fr-CA"/>
        </w:rPr>
      </w:pPr>
      <w:r w:rsidRPr="008847EB">
        <w:rPr>
          <w:b/>
          <w:sz w:val="20"/>
          <w:lang w:val="fr-CA"/>
        </w:rPr>
        <w:fldChar w:fldCharType="begin"/>
      </w:r>
      <w:r w:rsidRPr="008847EB">
        <w:rPr>
          <w:b/>
          <w:sz w:val="20"/>
          <w:lang w:val="fr-CA"/>
        </w:rPr>
        <w:instrText xml:space="preserve"> SEQ CHAPTER \h \r 1</w:instrText>
      </w:r>
      <w:r w:rsidRPr="008847EB">
        <w:rPr>
          <w:b/>
          <w:sz w:val="20"/>
        </w:rPr>
        <w:fldChar w:fldCharType="end"/>
      </w:r>
      <w:r w:rsidRPr="008847EB">
        <w:rPr>
          <w:b/>
          <w:sz w:val="20"/>
          <w:lang w:val="fr-CA"/>
        </w:rPr>
        <w:t>38681</w:t>
      </w:r>
      <w:r w:rsidRPr="008847EB">
        <w:rPr>
          <w:sz w:val="20"/>
          <w:lang w:val="fr-CA"/>
        </w:rPr>
        <w:tab/>
      </w:r>
      <w:r w:rsidRPr="008847EB">
        <w:rPr>
          <w:b/>
          <w:i/>
          <w:sz w:val="20"/>
          <w:lang w:val="fr-CA"/>
        </w:rPr>
        <w:t>Alexandre Collin c. Sa Majesté la Reine</w:t>
      </w:r>
    </w:p>
    <w:p w:rsidR="004B4392" w:rsidRPr="008847EB" w:rsidRDefault="004B4392" w:rsidP="004B4392">
      <w:pPr>
        <w:widowControl w:val="0"/>
        <w:ind w:left="720" w:hanging="720"/>
        <w:jc w:val="both"/>
        <w:rPr>
          <w:sz w:val="20"/>
          <w:lang w:val="fr-CA"/>
        </w:rPr>
      </w:pPr>
      <w:r w:rsidRPr="008847EB">
        <w:rPr>
          <w:sz w:val="20"/>
          <w:lang w:val="fr-CA"/>
        </w:rPr>
        <w:tab/>
        <w:t>(Qc) (Criminelle) (De plein droit)</w:t>
      </w:r>
    </w:p>
    <w:p w:rsidR="004B4392" w:rsidRPr="008847EB" w:rsidRDefault="004B4392" w:rsidP="004B4392">
      <w:pPr>
        <w:widowControl w:val="0"/>
        <w:jc w:val="both"/>
        <w:rPr>
          <w:sz w:val="20"/>
          <w:lang w:val="fr-CA"/>
        </w:rPr>
      </w:pPr>
    </w:p>
    <w:p w:rsidR="004B4392" w:rsidRPr="008847EB" w:rsidRDefault="004B4392" w:rsidP="004B4392">
      <w:pPr>
        <w:widowControl w:val="0"/>
        <w:jc w:val="both"/>
        <w:rPr>
          <w:sz w:val="20"/>
          <w:lang w:val="fr-CA"/>
        </w:rPr>
      </w:pPr>
      <w:r w:rsidRPr="008847EB">
        <w:rPr>
          <w:sz w:val="20"/>
          <w:lang w:val="fr-CA"/>
        </w:rPr>
        <w:t xml:space="preserve">Droit criminel - Appels - Droit d’appel du procureur général en vertu de l’article 676(1)a) du </w:t>
      </w:r>
      <w:r w:rsidRPr="008847EB">
        <w:rPr>
          <w:i/>
          <w:sz w:val="20"/>
          <w:lang w:val="fr-CA"/>
        </w:rPr>
        <w:t>Code criminel</w:t>
      </w:r>
      <w:r w:rsidRPr="008847EB">
        <w:rPr>
          <w:sz w:val="20"/>
          <w:lang w:val="fr-CA"/>
        </w:rPr>
        <w:t xml:space="preserve">, L.R.C. 1985, c. C-46 - Conduite dangereuse causant des lésions corporelles - Lien de causalité - La Cour d’appel a-t-elle fait erreur en concluant que l’appel formé par le ministère public à l’encontre de l’acquittement soulevait une question de droit seulement au sens de l’art. 676(1)a) du </w:t>
      </w:r>
      <w:r w:rsidRPr="008847EB">
        <w:rPr>
          <w:i/>
          <w:sz w:val="20"/>
          <w:lang w:val="fr-CA"/>
        </w:rPr>
        <w:t>Code criminel</w:t>
      </w:r>
      <w:r w:rsidRPr="008847EB">
        <w:rPr>
          <w:sz w:val="20"/>
          <w:lang w:val="fr-CA"/>
        </w:rPr>
        <w:t>? - La Cour d’appel a-t-elle fait erreur en substituant ses propres conclusions de fait à celles du juge du procès?</w:t>
      </w:r>
    </w:p>
    <w:p w:rsidR="004B4392" w:rsidRPr="008847EB" w:rsidRDefault="004B4392" w:rsidP="004B4392">
      <w:pPr>
        <w:widowControl w:val="0"/>
        <w:jc w:val="both"/>
        <w:rPr>
          <w:sz w:val="20"/>
          <w:lang w:val="fr-CA"/>
        </w:rPr>
      </w:pPr>
    </w:p>
    <w:p w:rsidR="004B4392" w:rsidRPr="008847EB" w:rsidRDefault="004B4392" w:rsidP="004B4392">
      <w:pPr>
        <w:widowControl w:val="0"/>
        <w:jc w:val="both"/>
        <w:rPr>
          <w:sz w:val="20"/>
          <w:lang w:val="fr-CA"/>
        </w:rPr>
      </w:pPr>
      <w:r w:rsidRPr="008847EB">
        <w:rPr>
          <w:sz w:val="20"/>
          <w:lang w:val="fr-CA"/>
        </w:rPr>
        <w:t xml:space="preserve">L’appelant a été acquitté de conduite dangereuse causant des lésions corporelles mais déclaré coupable de l’infraction incluse de conduite dangereuse. Le juge de première instance a conclu à la conduite dangereuse mais a accepté l’explication de la cause de l’accident offerte par l’appelant, soit le fait que le véhicule qu’il conduisait n’avait pas répondu à l’application des freins par un problème de blocage de l’accélérateur. Pour le juge, ce n’était donc pas la conduite dangereuse qui avait causé les lésions corporelles à la plaignante. En appel, la Couronne a reproché au juge de première instance d’avoir commis une erreur de droit en analysant le lien de causalité selon le mauvais critère juridique et que l’erreur a eu une incidence significative sur le verdict d’acquittement. La Cour d’appel a accueilli l’appel et a inscrit une déclaration de culpabilité sur le chef de conduite dangereuse causant des lésions corporelles. La cour a d’abord jugé que la question soulevée par la Couronne constituait une question de droit. Elle a ensuite expliqué que la question qu’aurait dû se poser le premier juge était celle de savoir si la conduite dangereuse de l’appelant avait contribué de façon appréciable aux lésions corporelles de la plaignante et non celle de savoir si cette conduite était </w:t>
      </w:r>
      <w:r w:rsidRPr="008847EB">
        <w:rPr>
          <w:sz w:val="20"/>
          <w:u w:val="single"/>
          <w:lang w:val="fr-CA"/>
        </w:rPr>
        <w:t>la</w:t>
      </w:r>
      <w:r w:rsidRPr="008847EB">
        <w:rPr>
          <w:sz w:val="20"/>
          <w:lang w:val="fr-CA"/>
        </w:rPr>
        <w:t xml:space="preserve"> cause. Selon la cour, un fait qui survient et complique une conduite déjà criminelle ne pouvait manifestement pas réussir, dans les circonstances, à nier la contribution appréciable (ou plus que mineure) de cette même conduite aux lésions corporelles de la plaignante. </w:t>
      </w:r>
    </w:p>
    <w:p w:rsidR="004B4392" w:rsidRPr="008847EB" w:rsidRDefault="004B4392" w:rsidP="001E76BA">
      <w:pPr>
        <w:widowControl w:val="0"/>
        <w:outlineLvl w:val="0"/>
        <w:rPr>
          <w:sz w:val="20"/>
          <w:lang w:val="fr-CA"/>
        </w:rPr>
      </w:pPr>
    </w:p>
    <w:p w:rsidR="001E76BA" w:rsidRPr="008847EB" w:rsidRDefault="0011194E" w:rsidP="001E76BA">
      <w:pPr>
        <w:jc w:val="both"/>
        <w:rPr>
          <w:sz w:val="20"/>
          <w:szCs w:val="20"/>
          <w:lang w:val="fr-CA"/>
        </w:rPr>
      </w:pPr>
      <w:r>
        <w:rPr>
          <w:szCs w:val="24"/>
          <w:lang w:val="fr-CA"/>
        </w:rPr>
        <w:pict>
          <v:rect id="_x0000_i1084" style="width:108pt;height:1pt" o:hrpct="0" o:hralign="center" o:hrstd="t" o:hrnoshade="t" o:hr="t" fillcolor="black [3213]" stroked="f"/>
        </w:pict>
      </w:r>
    </w:p>
    <w:p w:rsidR="00102792" w:rsidRPr="008847EB" w:rsidRDefault="00102792" w:rsidP="00782AE4">
      <w:pPr>
        <w:jc w:val="both"/>
        <w:rPr>
          <w:sz w:val="20"/>
          <w:szCs w:val="20"/>
          <w:lang w:val="fr-CA"/>
        </w:rPr>
      </w:pPr>
    </w:p>
    <w:p w:rsidR="004B4392" w:rsidRPr="008847EB" w:rsidRDefault="004B4392" w:rsidP="00782AE4">
      <w:pPr>
        <w:jc w:val="both"/>
        <w:rPr>
          <w:sz w:val="20"/>
          <w:szCs w:val="20"/>
          <w:lang w:val="fr-CA"/>
        </w:rPr>
      </w:pPr>
    </w:p>
    <w:p w:rsidR="0022323B" w:rsidRPr="008847EB" w:rsidRDefault="0022323B" w:rsidP="00782AE4">
      <w:pPr>
        <w:jc w:val="both"/>
        <w:rPr>
          <w:sz w:val="20"/>
          <w:szCs w:val="20"/>
          <w:lang w:val="fr-CA"/>
        </w:rPr>
      </w:pPr>
    </w:p>
    <w:p w:rsidR="004557E1" w:rsidRPr="008847EB" w:rsidRDefault="004557E1" w:rsidP="00782AE4">
      <w:pPr>
        <w:jc w:val="both"/>
        <w:rPr>
          <w:sz w:val="20"/>
          <w:szCs w:val="20"/>
          <w:lang w:val="fr-CA"/>
        </w:rPr>
        <w:sectPr w:rsidR="004557E1" w:rsidRPr="008847EB" w:rsidSect="0022323B">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p w:rsidR="00961C83" w:rsidRPr="008847EB" w:rsidRDefault="00961C83" w:rsidP="006F34C5">
      <w:pPr>
        <w:tabs>
          <w:tab w:val="center" w:pos="5220"/>
          <w:tab w:val="right" w:pos="10800"/>
        </w:tabs>
        <w:jc w:val="center"/>
        <w:rPr>
          <w:rFonts w:ascii="Arial" w:hAnsi="Arial" w:cs="Arial"/>
          <w:sz w:val="16"/>
          <w:szCs w:val="18"/>
          <w:lang w:val="fr-CA"/>
        </w:rPr>
      </w:pPr>
      <w:bookmarkStart w:id="13" w:name="1"/>
      <w:bookmarkStart w:id="14" w:name="QuickMark"/>
      <w:bookmarkEnd w:id="13"/>
      <w:bookmarkEnd w:id="14"/>
      <w:r w:rsidRPr="008847EB">
        <w:rPr>
          <w:rFonts w:ascii="Arial" w:hAnsi="Arial" w:cs="Arial"/>
          <w:b/>
          <w:i/>
          <w:szCs w:val="28"/>
          <w:lang w:val="fr-FR"/>
        </w:rPr>
        <w:lastRenderedPageBreak/>
        <w:t>- 2019 -</w:t>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961C83" w:rsidRPr="008847EB" w:rsidTr="00961C83">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8847EB"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8847EB"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DECEMBER – DÉCEMBRE</w:t>
            </w:r>
          </w:p>
        </w:tc>
      </w:tr>
      <w:tr w:rsidR="00961C83" w:rsidRPr="008847EB" w:rsidTr="00961C8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4"/>
                <w:szCs w:val="14"/>
                <w:lang w:val="fr-FR"/>
              </w:rPr>
            </w:pPr>
            <w:r w:rsidRPr="008847EB">
              <w:rPr>
                <w:rFonts w:ascii="Arial" w:hAnsi="Arial" w:cs="Arial"/>
                <w:b/>
                <w:sz w:val="14"/>
                <w:szCs w:val="14"/>
                <w:lang w:val="fr-FR"/>
              </w:rPr>
              <w:t>S</w:t>
            </w:r>
          </w:p>
          <w:p w:rsidR="00961C83" w:rsidRPr="008847EB" w:rsidRDefault="00961C83">
            <w:pPr>
              <w:tabs>
                <w:tab w:val="center" w:pos="5220"/>
                <w:tab w:val="right" w:pos="10440"/>
              </w:tabs>
              <w:jc w:val="center"/>
              <w:rPr>
                <w:rFonts w:ascii="Arial" w:hAnsi="Arial" w:cs="Arial"/>
                <w:b/>
                <w:sz w:val="14"/>
                <w:szCs w:val="14"/>
                <w:lang w:val="fr-FR"/>
              </w:rPr>
            </w:pPr>
            <w:r w:rsidRPr="008847EB">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M</w:t>
            </w:r>
          </w:p>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L</w:t>
            </w:r>
          </w:p>
        </w:tc>
        <w:tc>
          <w:tcPr>
            <w:tcW w:w="224"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T</w:t>
            </w:r>
          </w:p>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W</w:t>
            </w:r>
          </w:p>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T</w:t>
            </w:r>
          </w:p>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F</w:t>
            </w:r>
          </w:p>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S</w:t>
            </w:r>
          </w:p>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8847EB" w:rsidRDefault="00961C8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S</w:t>
            </w:r>
          </w:p>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M</w:t>
            </w:r>
          </w:p>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T</w:t>
            </w:r>
          </w:p>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W</w:t>
            </w:r>
          </w:p>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T</w:t>
            </w:r>
          </w:p>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F</w:t>
            </w:r>
          </w:p>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S</w:t>
            </w:r>
          </w:p>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8847EB" w:rsidRDefault="00961C8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S</w:t>
            </w:r>
          </w:p>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M</w:t>
            </w:r>
          </w:p>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lang w:val="fr-FR"/>
              </w:rPr>
            </w:pPr>
            <w:r w:rsidRPr="008847EB">
              <w:rPr>
                <w:rFonts w:ascii="Arial" w:hAnsi="Arial" w:cs="Arial"/>
                <w:b/>
                <w:sz w:val="13"/>
                <w:szCs w:val="13"/>
                <w:lang w:val="fr-FR"/>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W</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F</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tc>
      </w:tr>
      <w:tr w:rsidR="00961C83" w:rsidRPr="008847EB"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RH</w:t>
            </w:r>
          </w:p>
          <w:p w:rsidR="00961C83" w:rsidRPr="008847EB" w:rsidRDefault="00961C83">
            <w:pPr>
              <w:jc w:val="center"/>
              <w:rPr>
                <w:rFonts w:ascii="Arial" w:hAnsi="Arial" w:cs="Arial"/>
                <w:sz w:val="13"/>
                <w:szCs w:val="13"/>
              </w:rPr>
            </w:pPr>
            <w:r w:rsidRPr="008847EB">
              <w:rPr>
                <w:rFonts w:ascii="Arial" w:hAnsi="Arial" w:cs="Arial"/>
                <w:sz w:val="13"/>
                <w:szCs w:val="13"/>
              </w:rPr>
              <w:t>1</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CC</w:t>
            </w:r>
          </w:p>
          <w:p w:rsidR="00961C83" w:rsidRPr="008847EB" w:rsidRDefault="00961C83">
            <w:pPr>
              <w:jc w:val="center"/>
              <w:rPr>
                <w:rFonts w:ascii="Arial" w:hAnsi="Arial" w:cs="Arial"/>
                <w:sz w:val="13"/>
                <w:szCs w:val="13"/>
              </w:rPr>
            </w:pPr>
            <w:r w:rsidRPr="008847EB">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7</w:t>
            </w:r>
          </w:p>
        </w:tc>
      </w:tr>
      <w:tr w:rsidR="00961C83" w:rsidRPr="008847EB" w:rsidTr="00961C8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CC</w:t>
            </w:r>
          </w:p>
          <w:p w:rsidR="00961C83" w:rsidRPr="008847EB" w:rsidRDefault="00961C83">
            <w:pPr>
              <w:jc w:val="center"/>
              <w:rPr>
                <w:rFonts w:ascii="Arial" w:hAnsi="Arial" w:cs="Arial"/>
                <w:sz w:val="13"/>
                <w:szCs w:val="13"/>
              </w:rPr>
            </w:pPr>
            <w:r w:rsidRPr="008847EB">
              <w:rPr>
                <w:rFonts w:ascii="Arial" w:hAnsi="Arial" w:cs="Arial"/>
                <w:sz w:val="13"/>
                <w:szCs w:val="13"/>
              </w:rPr>
              <w:t>7</w:t>
            </w:r>
          </w:p>
        </w:tc>
        <w:tc>
          <w:tcPr>
            <w:tcW w:w="224"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YK</w:t>
            </w:r>
          </w:p>
          <w:p w:rsidR="00961C83" w:rsidRPr="008847EB" w:rsidRDefault="00961C83">
            <w:pPr>
              <w:jc w:val="center"/>
              <w:rPr>
                <w:rFonts w:ascii="Arial" w:hAnsi="Arial" w:cs="Arial"/>
                <w:sz w:val="13"/>
                <w:szCs w:val="13"/>
              </w:rPr>
            </w:pPr>
            <w:r w:rsidRPr="008847EB">
              <w:rPr>
                <w:rFonts w:ascii="Arial" w:hAnsi="Arial" w:cs="Arial"/>
                <w:sz w:val="13"/>
                <w:szCs w:val="13"/>
              </w:rPr>
              <w:t>9</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CC</w:t>
            </w:r>
          </w:p>
          <w:p w:rsidR="00961C83" w:rsidRPr="008847EB" w:rsidRDefault="00961C83">
            <w:pPr>
              <w:jc w:val="center"/>
              <w:rPr>
                <w:rFonts w:ascii="Arial" w:hAnsi="Arial" w:cs="Arial"/>
                <w:sz w:val="13"/>
                <w:szCs w:val="13"/>
              </w:rPr>
            </w:pPr>
            <w:r w:rsidRPr="008847E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14</w:t>
            </w:r>
          </w:p>
        </w:tc>
      </w:tr>
      <w:tr w:rsidR="00961C83" w:rsidRPr="008847EB" w:rsidTr="00961C8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H</w:t>
            </w:r>
          </w:p>
          <w:p w:rsidR="00961C83" w:rsidRPr="008847EB" w:rsidRDefault="00961C83">
            <w:pPr>
              <w:jc w:val="center"/>
              <w:rPr>
                <w:rFonts w:ascii="Arial" w:hAnsi="Arial" w:cs="Arial"/>
                <w:sz w:val="13"/>
                <w:szCs w:val="13"/>
              </w:rPr>
            </w:pPr>
            <w:r w:rsidRPr="008847EB">
              <w:rPr>
                <w:rFonts w:ascii="Arial" w:hAnsi="Arial" w:cs="Arial"/>
                <w:sz w:val="13"/>
                <w:szCs w:val="13"/>
              </w:rPr>
              <w:t>14</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15</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H</w:t>
            </w:r>
          </w:p>
          <w:p w:rsidR="00961C83" w:rsidRPr="008847EB" w:rsidRDefault="00961C83">
            <w:pPr>
              <w:jc w:val="center"/>
              <w:rPr>
                <w:rFonts w:ascii="Arial" w:hAnsi="Arial" w:cs="Arial"/>
                <w:sz w:val="13"/>
                <w:szCs w:val="13"/>
              </w:rPr>
            </w:pPr>
            <w:r w:rsidRPr="008847EB">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21</w:t>
            </w:r>
          </w:p>
        </w:tc>
      </w:tr>
      <w:tr w:rsidR="00961C83" w:rsidRPr="008847EB"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H</w:t>
            </w:r>
          </w:p>
          <w:p w:rsidR="00961C83" w:rsidRPr="008847EB" w:rsidRDefault="00961C83">
            <w:pPr>
              <w:jc w:val="center"/>
              <w:rPr>
                <w:rFonts w:ascii="Arial" w:hAnsi="Arial" w:cs="Arial"/>
                <w:sz w:val="13"/>
                <w:szCs w:val="13"/>
              </w:rPr>
            </w:pPr>
            <w:r w:rsidRPr="008847EB">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H</w:t>
            </w:r>
          </w:p>
          <w:p w:rsidR="00961C83" w:rsidRPr="008847EB" w:rsidRDefault="00961C83">
            <w:pPr>
              <w:jc w:val="center"/>
              <w:rPr>
                <w:rFonts w:ascii="Arial" w:hAnsi="Arial" w:cs="Arial"/>
                <w:sz w:val="13"/>
                <w:szCs w:val="13"/>
              </w:rPr>
            </w:pPr>
            <w:r w:rsidRPr="008847EB">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28</w:t>
            </w:r>
          </w:p>
        </w:tc>
      </w:tr>
      <w:tr w:rsidR="00961C83" w:rsidRPr="008847EB" w:rsidTr="00961C8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31</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r>
    </w:tbl>
    <w:p w:rsidR="00961C83" w:rsidRPr="008847EB" w:rsidRDefault="00961C83" w:rsidP="00961C83">
      <w:pPr>
        <w:tabs>
          <w:tab w:val="center" w:pos="5220"/>
          <w:tab w:val="right" w:pos="10440"/>
        </w:tabs>
        <w:jc w:val="center"/>
        <w:rPr>
          <w:rFonts w:ascii="Arial" w:hAnsi="Arial" w:cs="Arial"/>
          <w:szCs w:val="28"/>
        </w:rPr>
      </w:pPr>
      <w:r w:rsidRPr="008847EB">
        <w:rPr>
          <w:rFonts w:ascii="Arial" w:hAnsi="Arial" w:cs="Arial"/>
          <w:b/>
          <w:i/>
          <w:szCs w:val="28"/>
        </w:rPr>
        <w:t>- 2020 -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961C83" w:rsidRPr="008847EB"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847EB"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847EB"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MARCH – MARS</w:t>
            </w:r>
          </w:p>
        </w:tc>
      </w:tr>
      <w:tr w:rsidR="00961C83" w:rsidRPr="008847EB"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W</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F</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847EB"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W</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F</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847EB"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W</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F</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tc>
      </w:tr>
      <w:tr w:rsidR="00961C83" w:rsidRPr="008847EB"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H</w:t>
            </w:r>
          </w:p>
          <w:p w:rsidR="00961C83" w:rsidRPr="008847EB" w:rsidRDefault="00961C83">
            <w:pPr>
              <w:jc w:val="center"/>
              <w:rPr>
                <w:rFonts w:ascii="Arial" w:hAnsi="Arial" w:cs="Arial"/>
                <w:sz w:val="13"/>
                <w:szCs w:val="13"/>
              </w:rPr>
            </w:pPr>
            <w:r w:rsidRPr="008847EB">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7</w:t>
            </w:r>
          </w:p>
        </w:tc>
      </w:tr>
      <w:tr w:rsidR="00961C83" w:rsidRPr="008847EB"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14</w:t>
            </w:r>
          </w:p>
        </w:tc>
      </w:tr>
      <w:tr w:rsidR="00961C83" w:rsidRPr="008847EB"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CC</w:t>
            </w:r>
          </w:p>
          <w:p w:rsidR="00961C83" w:rsidRPr="008847EB" w:rsidRDefault="00961C83">
            <w:pPr>
              <w:jc w:val="center"/>
              <w:rPr>
                <w:rFonts w:ascii="Arial" w:hAnsi="Arial" w:cs="Arial"/>
                <w:sz w:val="13"/>
                <w:szCs w:val="13"/>
              </w:rPr>
            </w:pPr>
            <w:r w:rsidRPr="008847E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CC</w:t>
            </w:r>
          </w:p>
          <w:p w:rsidR="00961C83" w:rsidRPr="008847EB" w:rsidRDefault="00961C83">
            <w:pPr>
              <w:jc w:val="center"/>
              <w:rPr>
                <w:rFonts w:ascii="Arial" w:hAnsi="Arial" w:cs="Arial"/>
                <w:sz w:val="13"/>
                <w:szCs w:val="13"/>
              </w:rPr>
            </w:pPr>
            <w:r w:rsidRPr="008847E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CC</w:t>
            </w:r>
          </w:p>
          <w:p w:rsidR="00961C83" w:rsidRPr="008847EB" w:rsidRDefault="00961C83">
            <w:pPr>
              <w:jc w:val="center"/>
              <w:rPr>
                <w:rFonts w:ascii="Arial" w:hAnsi="Arial" w:cs="Arial"/>
                <w:sz w:val="13"/>
                <w:szCs w:val="13"/>
              </w:rPr>
            </w:pPr>
            <w:r w:rsidRPr="008847E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21</w:t>
            </w:r>
          </w:p>
        </w:tc>
      </w:tr>
      <w:tr w:rsidR="00961C83" w:rsidRPr="008847EB"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28</w:t>
            </w:r>
          </w:p>
        </w:tc>
      </w:tr>
      <w:tr w:rsidR="00961C83" w:rsidRPr="008847EB"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r>
      <w:tr w:rsidR="00961C83" w:rsidRPr="008847EB"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847EB"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847EB"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JUNE – JUIN</w:t>
            </w:r>
          </w:p>
        </w:tc>
      </w:tr>
      <w:tr w:rsidR="00961C83" w:rsidRPr="008847EB"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W</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F</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847EB"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W</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F</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847EB"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W</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F</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tc>
      </w:tr>
      <w:tr w:rsidR="00961C83" w:rsidRPr="008847EB"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6</w:t>
            </w:r>
          </w:p>
        </w:tc>
      </w:tr>
      <w:tr w:rsidR="00961C83" w:rsidRPr="008847EB"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H</w:t>
            </w:r>
          </w:p>
          <w:p w:rsidR="00961C83" w:rsidRPr="008847EB" w:rsidRDefault="00961C83">
            <w:pPr>
              <w:jc w:val="center"/>
              <w:rPr>
                <w:rFonts w:ascii="Arial" w:hAnsi="Arial" w:cs="Arial"/>
                <w:sz w:val="13"/>
                <w:szCs w:val="13"/>
              </w:rPr>
            </w:pPr>
            <w:r w:rsidRPr="008847EB">
              <w:rPr>
                <w:rFonts w:ascii="Arial" w:hAnsi="Arial" w:cs="Arial"/>
                <w:sz w:val="13"/>
                <w:szCs w:val="13"/>
              </w:rPr>
              <w:t>10</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CC</w:t>
            </w:r>
          </w:p>
          <w:p w:rsidR="00961C83" w:rsidRPr="008847EB" w:rsidRDefault="00961C83">
            <w:pPr>
              <w:jc w:val="center"/>
              <w:rPr>
                <w:rFonts w:ascii="Arial" w:hAnsi="Arial" w:cs="Arial"/>
                <w:sz w:val="13"/>
                <w:szCs w:val="13"/>
              </w:rPr>
            </w:pPr>
            <w:r w:rsidRPr="008847E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13</w:t>
            </w:r>
          </w:p>
        </w:tc>
      </w:tr>
      <w:tr w:rsidR="00961C83" w:rsidRPr="008847EB" w:rsidTr="00961C8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H</w:t>
            </w:r>
          </w:p>
          <w:p w:rsidR="00961C83" w:rsidRPr="008847EB" w:rsidRDefault="00961C83">
            <w:pPr>
              <w:jc w:val="center"/>
              <w:rPr>
                <w:rFonts w:ascii="Arial" w:hAnsi="Arial" w:cs="Arial"/>
                <w:sz w:val="13"/>
                <w:szCs w:val="13"/>
              </w:rPr>
            </w:pPr>
            <w:r w:rsidRPr="008847EB">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CC</w:t>
            </w:r>
          </w:p>
          <w:p w:rsidR="00961C83" w:rsidRPr="008847EB" w:rsidRDefault="00961C83">
            <w:pPr>
              <w:jc w:val="center"/>
              <w:rPr>
                <w:rFonts w:ascii="Arial" w:hAnsi="Arial" w:cs="Arial"/>
                <w:sz w:val="13"/>
                <w:szCs w:val="13"/>
              </w:rPr>
            </w:pPr>
            <w:r w:rsidRPr="008847E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GO</w:t>
            </w:r>
          </w:p>
          <w:p w:rsidR="00961C83" w:rsidRPr="008847EB" w:rsidRDefault="00961C83">
            <w:pPr>
              <w:jc w:val="center"/>
              <w:rPr>
                <w:rFonts w:ascii="Arial" w:hAnsi="Arial" w:cs="Arial"/>
                <w:sz w:val="13"/>
                <w:szCs w:val="13"/>
              </w:rPr>
            </w:pPr>
            <w:r w:rsidRPr="008847EB">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GO</w:t>
            </w:r>
          </w:p>
          <w:p w:rsidR="00961C83" w:rsidRPr="008847EB" w:rsidRDefault="00961C83">
            <w:pPr>
              <w:jc w:val="center"/>
              <w:rPr>
                <w:rFonts w:ascii="Arial" w:hAnsi="Arial" w:cs="Arial"/>
                <w:sz w:val="13"/>
                <w:szCs w:val="13"/>
              </w:rPr>
            </w:pPr>
            <w:r w:rsidRPr="008847EB">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CC</w:t>
            </w:r>
          </w:p>
          <w:p w:rsidR="00961C83" w:rsidRPr="008847EB" w:rsidRDefault="00961C83">
            <w:pPr>
              <w:jc w:val="center"/>
              <w:rPr>
                <w:rFonts w:ascii="Arial" w:hAnsi="Arial" w:cs="Arial"/>
                <w:sz w:val="13"/>
                <w:szCs w:val="13"/>
              </w:rPr>
            </w:pPr>
            <w:r w:rsidRPr="008847E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20</w:t>
            </w:r>
          </w:p>
        </w:tc>
      </w:tr>
      <w:tr w:rsidR="00961C83" w:rsidRPr="008847EB"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GO</w:t>
            </w:r>
          </w:p>
          <w:p w:rsidR="00961C83" w:rsidRPr="008847EB" w:rsidRDefault="00961C83">
            <w:pPr>
              <w:jc w:val="center"/>
              <w:rPr>
                <w:rFonts w:ascii="Arial" w:hAnsi="Arial" w:cs="Arial"/>
                <w:sz w:val="13"/>
                <w:szCs w:val="13"/>
              </w:rPr>
            </w:pPr>
            <w:r w:rsidRPr="008847EB">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GO</w:t>
            </w:r>
          </w:p>
          <w:p w:rsidR="00961C83" w:rsidRPr="008847EB" w:rsidRDefault="00961C83">
            <w:pPr>
              <w:jc w:val="center"/>
              <w:rPr>
                <w:rFonts w:ascii="Arial" w:hAnsi="Arial" w:cs="Arial"/>
                <w:sz w:val="13"/>
                <w:szCs w:val="13"/>
              </w:rPr>
            </w:pPr>
            <w:r w:rsidRPr="008847E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H</w:t>
            </w:r>
          </w:p>
          <w:p w:rsidR="00961C83" w:rsidRPr="008847EB" w:rsidRDefault="00961C83">
            <w:pPr>
              <w:jc w:val="center"/>
              <w:rPr>
                <w:rFonts w:ascii="Arial" w:hAnsi="Arial" w:cs="Arial"/>
                <w:sz w:val="13"/>
                <w:szCs w:val="13"/>
              </w:rPr>
            </w:pPr>
            <w:r w:rsidRPr="008847EB">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27</w:t>
            </w:r>
          </w:p>
        </w:tc>
      </w:tr>
      <w:tr w:rsidR="00961C83" w:rsidRPr="008847EB"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847EB" w:rsidRDefault="00961C83">
            <w:pPr>
              <w:rPr>
                <w:rFonts w:ascii="Arial" w:hAnsi="Arial" w:cs="Arial"/>
                <w:sz w:val="13"/>
                <w:szCs w:val="13"/>
              </w:rPr>
            </w:pPr>
            <w:r w:rsidRPr="008847EB">
              <w:rPr>
                <w:rFonts w:ascii="Arial" w:hAnsi="Arial" w:cs="Arial"/>
                <w:sz w:val="13"/>
                <w:szCs w:val="13"/>
              </w:rPr>
              <w:t xml:space="preserve"> 24 </w:t>
            </w:r>
            <w:r w:rsidRPr="008847EB">
              <w:rPr>
                <w:rFonts w:ascii="Arial" w:hAnsi="Arial" w:cs="Arial"/>
                <w:sz w:val="13"/>
                <w:szCs w:val="13"/>
                <w:lang w:val="en-US"/>
              </w:rPr>
              <w:t>/</w:t>
            </w:r>
          </w:p>
          <w:p w:rsidR="00961C83" w:rsidRPr="008847EB" w:rsidRDefault="00961C83">
            <w:pPr>
              <w:jc w:val="right"/>
              <w:rPr>
                <w:rFonts w:ascii="Arial" w:hAnsi="Arial" w:cs="Arial"/>
                <w:sz w:val="13"/>
                <w:szCs w:val="13"/>
              </w:rPr>
            </w:pPr>
            <w:r w:rsidRPr="008847EB">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29</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r>
      <w:tr w:rsidR="00961C83" w:rsidRPr="008847EB"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847EB"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847EB"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SEPTEMBER – SEPTEMBRE</w:t>
            </w:r>
          </w:p>
        </w:tc>
      </w:tr>
      <w:tr w:rsidR="00961C83" w:rsidRPr="008847EB"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6"/>
                <w:szCs w:val="16"/>
              </w:rPr>
            </w:pPr>
            <w:r w:rsidRPr="008847E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W</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F</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847EB"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W</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F</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847EB"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W</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T</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F</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p w:rsidR="00961C83" w:rsidRPr="008847EB" w:rsidRDefault="00961C83">
            <w:pPr>
              <w:tabs>
                <w:tab w:val="center" w:pos="5220"/>
                <w:tab w:val="right" w:pos="10440"/>
              </w:tabs>
              <w:jc w:val="center"/>
              <w:rPr>
                <w:rFonts w:ascii="Arial" w:hAnsi="Arial" w:cs="Arial"/>
                <w:b/>
                <w:sz w:val="13"/>
                <w:szCs w:val="13"/>
              </w:rPr>
            </w:pPr>
            <w:r w:rsidRPr="008847EB">
              <w:rPr>
                <w:rFonts w:ascii="Arial" w:hAnsi="Arial" w:cs="Arial"/>
                <w:b/>
                <w:sz w:val="13"/>
                <w:szCs w:val="13"/>
              </w:rPr>
              <w:t>S</w:t>
            </w:r>
          </w:p>
        </w:tc>
      </w:tr>
      <w:tr w:rsidR="00961C83" w:rsidRPr="008847EB"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H</w:t>
            </w:r>
          </w:p>
          <w:p w:rsidR="00961C83" w:rsidRPr="008847EB" w:rsidRDefault="00961C83">
            <w:pPr>
              <w:jc w:val="center"/>
              <w:rPr>
                <w:rFonts w:ascii="Arial" w:hAnsi="Arial" w:cs="Arial"/>
                <w:sz w:val="13"/>
                <w:szCs w:val="13"/>
              </w:rPr>
            </w:pPr>
            <w:r w:rsidRPr="008847EB">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5</w:t>
            </w:r>
          </w:p>
        </w:tc>
      </w:tr>
      <w:tr w:rsidR="00961C83" w:rsidRPr="008847EB"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10</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H</w:t>
            </w:r>
          </w:p>
          <w:p w:rsidR="00961C83" w:rsidRPr="008847EB" w:rsidRDefault="00961C83">
            <w:pPr>
              <w:jc w:val="center"/>
              <w:rPr>
                <w:rFonts w:ascii="Arial" w:hAnsi="Arial" w:cs="Arial"/>
                <w:sz w:val="13"/>
                <w:szCs w:val="13"/>
              </w:rPr>
            </w:pPr>
            <w:r w:rsidRPr="008847EB">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H</w:t>
            </w:r>
          </w:p>
          <w:p w:rsidR="00961C83" w:rsidRPr="008847EB" w:rsidRDefault="00961C83">
            <w:pPr>
              <w:jc w:val="center"/>
              <w:rPr>
                <w:rFonts w:ascii="Arial" w:hAnsi="Arial" w:cs="Arial"/>
                <w:sz w:val="13"/>
                <w:szCs w:val="13"/>
              </w:rPr>
            </w:pPr>
            <w:r w:rsidRPr="008847EB">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11</w:t>
            </w:r>
          </w:p>
        </w:tc>
        <w:tc>
          <w:tcPr>
            <w:tcW w:w="224"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12</w:t>
            </w:r>
          </w:p>
        </w:tc>
      </w:tr>
      <w:tr w:rsidR="00961C83" w:rsidRPr="008847EB"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18</w:t>
            </w:r>
          </w:p>
        </w:tc>
        <w:tc>
          <w:tcPr>
            <w:tcW w:w="224"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RH</w:t>
            </w:r>
          </w:p>
          <w:p w:rsidR="00961C83" w:rsidRPr="008847EB" w:rsidRDefault="00961C83">
            <w:pPr>
              <w:jc w:val="center"/>
              <w:rPr>
                <w:rFonts w:ascii="Arial" w:hAnsi="Arial" w:cs="Arial"/>
                <w:sz w:val="13"/>
                <w:szCs w:val="13"/>
              </w:rPr>
            </w:pPr>
            <w:r w:rsidRPr="008847EB">
              <w:rPr>
                <w:rFonts w:ascii="Arial" w:hAnsi="Arial" w:cs="Arial"/>
                <w:sz w:val="13"/>
                <w:szCs w:val="13"/>
              </w:rPr>
              <w:t>19</w:t>
            </w:r>
          </w:p>
        </w:tc>
      </w:tr>
      <w:tr w:rsidR="00961C83" w:rsidRPr="008847EB"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RH</w:t>
            </w:r>
          </w:p>
          <w:p w:rsidR="00961C83" w:rsidRPr="008847EB" w:rsidRDefault="00961C83">
            <w:pPr>
              <w:jc w:val="center"/>
              <w:rPr>
                <w:rFonts w:ascii="Arial" w:hAnsi="Arial" w:cs="Arial"/>
                <w:sz w:val="13"/>
                <w:szCs w:val="13"/>
              </w:rPr>
            </w:pPr>
            <w:r w:rsidRPr="008847EB">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25</w:t>
            </w:r>
          </w:p>
        </w:tc>
        <w:tc>
          <w:tcPr>
            <w:tcW w:w="224"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26</w:t>
            </w:r>
          </w:p>
        </w:tc>
      </w:tr>
      <w:tr w:rsidR="00961C83" w:rsidRPr="008847EB" w:rsidTr="00961C8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847EB" w:rsidRDefault="00961C83">
            <w:pPr>
              <w:rPr>
                <w:rFonts w:ascii="Arial" w:hAnsi="Arial" w:cs="Arial"/>
                <w:sz w:val="13"/>
                <w:szCs w:val="13"/>
              </w:rPr>
            </w:pPr>
            <w:r w:rsidRPr="008847EB">
              <w:rPr>
                <w:rFonts w:ascii="Arial" w:hAnsi="Arial" w:cs="Arial"/>
                <w:sz w:val="13"/>
                <w:szCs w:val="13"/>
              </w:rPr>
              <w:t> 23 /</w:t>
            </w:r>
          </w:p>
          <w:p w:rsidR="00961C83" w:rsidRPr="008847EB" w:rsidRDefault="00961C83">
            <w:pPr>
              <w:jc w:val="right"/>
              <w:rPr>
                <w:rFonts w:ascii="Arial" w:hAnsi="Arial" w:cs="Arial"/>
                <w:sz w:val="13"/>
                <w:szCs w:val="13"/>
              </w:rPr>
            </w:pPr>
            <w:r w:rsidRPr="008847EB">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rPr>
                <w:rFonts w:ascii="Arial" w:hAnsi="Arial" w:cs="Arial"/>
                <w:sz w:val="13"/>
                <w:szCs w:val="13"/>
              </w:rPr>
            </w:pPr>
            <w:r w:rsidRPr="008847EB">
              <w:rPr>
                <w:rFonts w:ascii="Arial" w:hAnsi="Arial" w:cs="Arial"/>
                <w:sz w:val="13"/>
                <w:szCs w:val="13"/>
              </w:rPr>
              <w:t> 24 /</w:t>
            </w:r>
          </w:p>
          <w:p w:rsidR="00961C83" w:rsidRPr="008847EB" w:rsidRDefault="00961C83">
            <w:pPr>
              <w:jc w:val="right"/>
              <w:rPr>
                <w:rFonts w:ascii="Arial" w:hAnsi="Arial" w:cs="Arial"/>
                <w:sz w:val="13"/>
                <w:szCs w:val="13"/>
              </w:rPr>
            </w:pPr>
            <w:r w:rsidRPr="008847EB">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847EB"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8847EB" w:rsidRDefault="00961C83">
            <w:pPr>
              <w:jc w:val="center"/>
              <w:rPr>
                <w:rFonts w:ascii="Arial" w:hAnsi="Arial" w:cs="Arial"/>
                <w:b/>
                <w:sz w:val="13"/>
                <w:szCs w:val="13"/>
              </w:rPr>
            </w:pPr>
            <w:r w:rsidRPr="008847EB">
              <w:rPr>
                <w:rFonts w:ascii="Arial" w:hAnsi="Arial" w:cs="Arial"/>
                <w:b/>
                <w:sz w:val="13"/>
                <w:szCs w:val="13"/>
              </w:rPr>
              <w:t>YK</w:t>
            </w:r>
          </w:p>
          <w:p w:rsidR="00961C83" w:rsidRPr="008847EB" w:rsidRDefault="00961C83">
            <w:pPr>
              <w:jc w:val="center"/>
              <w:rPr>
                <w:rFonts w:ascii="Arial" w:hAnsi="Arial" w:cs="Arial"/>
                <w:sz w:val="13"/>
                <w:szCs w:val="13"/>
              </w:rPr>
            </w:pPr>
            <w:r w:rsidRPr="008847EB">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847EB" w:rsidRDefault="00961C83">
            <w:pPr>
              <w:jc w:val="center"/>
              <w:rPr>
                <w:rFonts w:ascii="Arial" w:hAnsi="Arial" w:cs="Arial"/>
                <w:sz w:val="13"/>
                <w:szCs w:val="13"/>
              </w:rPr>
            </w:pPr>
            <w:r w:rsidRPr="008847E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8847EB" w:rsidRDefault="00961C83">
            <w:pPr>
              <w:jc w:val="center"/>
              <w:rPr>
                <w:rFonts w:ascii="Arial" w:hAnsi="Arial" w:cs="Arial"/>
                <w:sz w:val="13"/>
                <w:szCs w:val="13"/>
              </w:rPr>
            </w:pPr>
          </w:p>
        </w:tc>
      </w:tr>
    </w:tbl>
    <w:p w:rsidR="00961C83" w:rsidRPr="008847EB" w:rsidRDefault="00961C83" w:rsidP="00961C83">
      <w:pPr>
        <w:tabs>
          <w:tab w:val="center" w:pos="5220"/>
          <w:tab w:val="right" w:pos="10440"/>
        </w:tabs>
        <w:rPr>
          <w:rFonts w:ascii="Arial" w:hAnsi="Arial" w:cs="Arial"/>
          <w:sz w:val="14"/>
          <w:szCs w:val="14"/>
          <w:lang w:val="fr-C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666"/>
        <w:gridCol w:w="3984"/>
        <w:gridCol w:w="450"/>
      </w:tblGrid>
      <w:tr w:rsidR="00961C83" w:rsidRPr="008847EB" w:rsidTr="00961C83">
        <w:tc>
          <w:tcPr>
            <w:tcW w:w="1890" w:type="dxa"/>
            <w:tcBorders>
              <w:top w:val="nil"/>
              <w:left w:val="nil"/>
              <w:bottom w:val="nil"/>
              <w:right w:val="single" w:sz="4" w:space="0" w:color="000000" w:themeColor="text1"/>
            </w:tcBorders>
            <w:vAlign w:val="center"/>
            <w:hideMark/>
          </w:tcPr>
          <w:p w:rsidR="00961C83" w:rsidRPr="008847EB" w:rsidRDefault="00961C83">
            <w:pPr>
              <w:rPr>
                <w:rFonts w:ascii="Arial" w:hAnsi="Arial" w:cs="Arial"/>
                <w:b/>
                <w:sz w:val="14"/>
                <w:szCs w:val="14"/>
              </w:rPr>
            </w:pPr>
            <w:r w:rsidRPr="008847EB">
              <w:rPr>
                <w:rFonts w:ascii="Arial" w:hAnsi="Arial" w:cs="Arial"/>
                <w:b/>
                <w:sz w:val="14"/>
                <w:szCs w:val="14"/>
              </w:rPr>
              <w:t>Sitting of the Court /</w:t>
            </w:r>
          </w:p>
          <w:p w:rsidR="00961C83" w:rsidRPr="008847EB" w:rsidRDefault="00961C83">
            <w:pPr>
              <w:rPr>
                <w:rFonts w:ascii="Arial" w:hAnsi="Arial" w:cs="Arial"/>
                <w:b/>
                <w:sz w:val="14"/>
                <w:szCs w:val="14"/>
              </w:rPr>
            </w:pPr>
            <w:r w:rsidRPr="008847EB">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61C83" w:rsidRPr="008847EB" w:rsidRDefault="00961C83">
            <w:pPr>
              <w:jc w:val="center"/>
              <w:rPr>
                <w:rFonts w:ascii="Arial" w:hAnsi="Arial" w:cs="Arial"/>
                <w:b/>
                <w:sz w:val="14"/>
                <w:szCs w:val="14"/>
              </w:rPr>
            </w:pPr>
          </w:p>
        </w:tc>
        <w:tc>
          <w:tcPr>
            <w:tcW w:w="3666" w:type="dxa"/>
            <w:tcBorders>
              <w:top w:val="nil"/>
              <w:left w:val="single" w:sz="4" w:space="0" w:color="000000" w:themeColor="text1"/>
              <w:bottom w:val="nil"/>
              <w:right w:val="nil"/>
            </w:tcBorders>
            <w:hideMark/>
          </w:tcPr>
          <w:p w:rsidR="00961C83" w:rsidRPr="008847EB" w:rsidRDefault="00961C83">
            <w:pPr>
              <w:tabs>
                <w:tab w:val="left" w:pos="203"/>
              </w:tabs>
              <w:spacing w:after="120"/>
              <w:rPr>
                <w:rFonts w:ascii="Arial" w:hAnsi="Arial" w:cs="Arial"/>
                <w:b/>
                <w:sz w:val="14"/>
                <w:szCs w:val="14"/>
                <w:lang w:val="fr-CA"/>
              </w:rPr>
            </w:pPr>
            <w:r w:rsidRPr="008847EB">
              <w:rPr>
                <w:rFonts w:ascii="Arial" w:hAnsi="Arial" w:cs="Arial"/>
                <w:b/>
                <w:sz w:val="14"/>
                <w:szCs w:val="14"/>
                <w:lang w:val="fr-CA"/>
              </w:rPr>
              <w:t>18</w:t>
            </w:r>
            <w:r w:rsidRPr="008847EB">
              <w:rPr>
                <w:rFonts w:ascii="Arial" w:hAnsi="Arial" w:cs="Arial"/>
                <w:b/>
                <w:sz w:val="14"/>
                <w:szCs w:val="14"/>
                <w:lang w:val="fr-CA"/>
              </w:rPr>
              <w:tab/>
              <w:t xml:space="preserve"> </w:t>
            </w:r>
            <w:proofErr w:type="spellStart"/>
            <w:r w:rsidRPr="008847EB">
              <w:rPr>
                <w:rFonts w:ascii="Arial" w:hAnsi="Arial" w:cs="Arial"/>
                <w:b/>
                <w:sz w:val="14"/>
                <w:szCs w:val="14"/>
                <w:lang w:val="fr-CA"/>
              </w:rPr>
              <w:t>sitting</w:t>
            </w:r>
            <w:proofErr w:type="spellEnd"/>
            <w:r w:rsidRPr="008847EB">
              <w:rPr>
                <w:rFonts w:ascii="Arial" w:hAnsi="Arial" w:cs="Arial"/>
                <w:b/>
                <w:sz w:val="14"/>
                <w:szCs w:val="14"/>
                <w:lang w:val="fr-CA"/>
              </w:rPr>
              <w:t xml:space="preserve"> </w:t>
            </w:r>
            <w:proofErr w:type="spellStart"/>
            <w:r w:rsidRPr="008847EB">
              <w:rPr>
                <w:rFonts w:ascii="Arial" w:hAnsi="Arial" w:cs="Arial"/>
                <w:b/>
                <w:sz w:val="14"/>
                <w:szCs w:val="14"/>
                <w:lang w:val="fr-CA"/>
              </w:rPr>
              <w:t>weeks</w:t>
            </w:r>
            <w:proofErr w:type="spellEnd"/>
            <w:r w:rsidRPr="008847EB">
              <w:rPr>
                <w:rFonts w:ascii="Arial" w:hAnsi="Arial" w:cs="Arial"/>
                <w:b/>
                <w:sz w:val="14"/>
                <w:szCs w:val="14"/>
                <w:lang w:val="fr-CA"/>
              </w:rPr>
              <w:t xml:space="preserve"> / semaines séances de la Cour</w:t>
            </w:r>
          </w:p>
          <w:p w:rsidR="00961C83" w:rsidRPr="008847EB" w:rsidRDefault="00961C83">
            <w:pPr>
              <w:tabs>
                <w:tab w:val="left" w:pos="203"/>
              </w:tabs>
              <w:rPr>
                <w:rFonts w:ascii="Arial" w:hAnsi="Arial" w:cs="Arial"/>
                <w:b/>
                <w:sz w:val="14"/>
                <w:szCs w:val="14"/>
                <w:lang w:val="fr-CA"/>
              </w:rPr>
            </w:pPr>
            <w:r w:rsidRPr="008847EB">
              <w:rPr>
                <w:rFonts w:ascii="Arial" w:hAnsi="Arial" w:cs="Arial"/>
                <w:b/>
                <w:sz w:val="14"/>
                <w:szCs w:val="14"/>
                <w:lang w:val="fr-CA"/>
              </w:rPr>
              <w:t>86</w:t>
            </w:r>
            <w:r w:rsidRPr="008847EB">
              <w:rPr>
                <w:rFonts w:ascii="Arial" w:hAnsi="Arial" w:cs="Arial"/>
                <w:b/>
                <w:sz w:val="14"/>
                <w:szCs w:val="14"/>
                <w:lang w:val="fr-CA"/>
              </w:rPr>
              <w:tab/>
              <w:t xml:space="preserve"> </w:t>
            </w:r>
            <w:proofErr w:type="spellStart"/>
            <w:r w:rsidRPr="008847EB">
              <w:rPr>
                <w:rFonts w:ascii="Arial" w:hAnsi="Arial" w:cs="Arial"/>
                <w:b/>
                <w:sz w:val="14"/>
                <w:szCs w:val="14"/>
                <w:lang w:val="fr-CA"/>
              </w:rPr>
              <w:t>sitting</w:t>
            </w:r>
            <w:proofErr w:type="spellEnd"/>
            <w:r w:rsidRPr="008847EB">
              <w:rPr>
                <w:rFonts w:ascii="Arial" w:hAnsi="Arial" w:cs="Arial"/>
                <w:b/>
                <w:sz w:val="14"/>
                <w:szCs w:val="14"/>
                <w:lang w:val="fr-CA"/>
              </w:rPr>
              <w:t xml:space="preserve"> </w:t>
            </w:r>
            <w:proofErr w:type="spellStart"/>
            <w:r w:rsidRPr="008847EB">
              <w:rPr>
                <w:rFonts w:ascii="Arial" w:hAnsi="Arial" w:cs="Arial"/>
                <w:b/>
                <w:sz w:val="14"/>
                <w:szCs w:val="14"/>
                <w:lang w:val="fr-CA"/>
              </w:rPr>
              <w:t>days</w:t>
            </w:r>
            <w:proofErr w:type="spellEnd"/>
            <w:r w:rsidRPr="008847EB">
              <w:rPr>
                <w:rFonts w:ascii="Arial" w:hAnsi="Arial" w:cs="Arial"/>
                <w:b/>
                <w:sz w:val="14"/>
                <w:szCs w:val="14"/>
                <w:lang w:val="fr-CA"/>
              </w:rPr>
              <w:t xml:space="preserve"> / journées séances de la Cour</w:t>
            </w:r>
          </w:p>
        </w:tc>
        <w:tc>
          <w:tcPr>
            <w:tcW w:w="3984" w:type="dxa"/>
            <w:tcMar>
              <w:top w:w="0" w:type="dxa"/>
              <w:left w:w="58" w:type="dxa"/>
              <w:bottom w:w="0" w:type="dxa"/>
              <w:right w:w="58" w:type="dxa"/>
            </w:tcMar>
            <w:hideMark/>
          </w:tcPr>
          <w:p w:rsidR="00961C83" w:rsidRPr="008847EB" w:rsidRDefault="00961C83">
            <w:pPr>
              <w:spacing w:after="120"/>
              <w:rPr>
                <w:rFonts w:ascii="Arial" w:hAnsi="Arial" w:cs="Arial"/>
                <w:b/>
                <w:sz w:val="14"/>
                <w:szCs w:val="14"/>
                <w:lang w:val="fr-FR"/>
              </w:rPr>
            </w:pPr>
            <w:r w:rsidRPr="008847EB">
              <w:rPr>
                <w:rFonts w:ascii="Arial" w:hAnsi="Arial" w:cs="Arial"/>
                <w:b/>
                <w:sz w:val="14"/>
                <w:szCs w:val="14"/>
                <w:lang w:val="fr-FR"/>
              </w:rPr>
              <w:t xml:space="preserve">Rosh </w:t>
            </w:r>
            <w:proofErr w:type="spellStart"/>
            <w:r w:rsidRPr="008847EB">
              <w:rPr>
                <w:rFonts w:ascii="Arial" w:hAnsi="Arial" w:cs="Arial"/>
                <w:b/>
                <w:sz w:val="14"/>
                <w:szCs w:val="14"/>
                <w:lang w:val="fr-FR"/>
              </w:rPr>
              <w:t>Hashanah</w:t>
            </w:r>
            <w:proofErr w:type="spellEnd"/>
            <w:r w:rsidRPr="008847EB">
              <w:rPr>
                <w:rFonts w:ascii="Arial" w:hAnsi="Arial" w:cs="Arial"/>
                <w:b/>
                <w:sz w:val="14"/>
                <w:szCs w:val="14"/>
                <w:lang w:val="fr-FR"/>
              </w:rPr>
              <w:t xml:space="preserve"> / Nouvel An juif</w:t>
            </w:r>
          </w:p>
          <w:p w:rsidR="00961C83" w:rsidRPr="008847EB" w:rsidRDefault="00961C83">
            <w:pPr>
              <w:spacing w:after="120"/>
              <w:rPr>
                <w:rFonts w:ascii="Arial" w:hAnsi="Arial" w:cs="Arial"/>
                <w:b/>
                <w:sz w:val="14"/>
                <w:szCs w:val="14"/>
                <w:lang w:val="fr-CA"/>
              </w:rPr>
            </w:pPr>
            <w:r w:rsidRPr="008847EB">
              <w:rPr>
                <w:rFonts w:ascii="Arial" w:hAnsi="Arial" w:cs="Arial"/>
                <w:b/>
                <w:sz w:val="14"/>
                <w:szCs w:val="14"/>
                <w:lang w:val="fr-FR"/>
              </w:rPr>
              <w:t xml:space="preserve">Yom </w:t>
            </w:r>
            <w:proofErr w:type="spellStart"/>
            <w:r w:rsidRPr="008847EB">
              <w:rPr>
                <w:rFonts w:ascii="Arial" w:hAnsi="Arial" w:cs="Arial"/>
                <w:b/>
                <w:sz w:val="14"/>
                <w:szCs w:val="14"/>
                <w:lang w:val="fr-FR"/>
              </w:rPr>
              <w:t>Kippur</w:t>
            </w:r>
            <w:proofErr w:type="spellEnd"/>
            <w:r w:rsidRPr="008847EB">
              <w:rPr>
                <w:rFonts w:ascii="Arial" w:hAnsi="Arial" w:cs="Arial"/>
                <w:b/>
                <w:sz w:val="14"/>
                <w:szCs w:val="14"/>
                <w:lang w:val="fr-FR"/>
              </w:rPr>
              <w:t xml:space="preserve"> / Yom Kippour</w:t>
            </w:r>
          </w:p>
        </w:tc>
        <w:tc>
          <w:tcPr>
            <w:tcW w:w="450" w:type="dxa"/>
            <w:hideMark/>
          </w:tcPr>
          <w:p w:rsidR="00961C83" w:rsidRPr="008847EB" w:rsidRDefault="00961C83">
            <w:pPr>
              <w:spacing w:after="120"/>
              <w:jc w:val="center"/>
              <w:rPr>
                <w:rFonts w:ascii="Arial" w:hAnsi="Arial" w:cs="Arial"/>
                <w:b/>
                <w:sz w:val="14"/>
                <w:szCs w:val="14"/>
                <w:lang w:val="fr-CA"/>
              </w:rPr>
            </w:pPr>
            <w:r w:rsidRPr="008847EB">
              <w:rPr>
                <w:rFonts w:ascii="Arial" w:hAnsi="Arial" w:cs="Arial"/>
                <w:b/>
                <w:sz w:val="14"/>
                <w:szCs w:val="14"/>
                <w:lang w:val="fr-CA"/>
              </w:rPr>
              <w:t>RH</w:t>
            </w:r>
          </w:p>
          <w:p w:rsidR="00961C83" w:rsidRPr="008847EB" w:rsidRDefault="00961C83">
            <w:pPr>
              <w:jc w:val="center"/>
              <w:rPr>
                <w:rFonts w:ascii="Arial" w:hAnsi="Arial" w:cs="Arial"/>
                <w:b/>
                <w:sz w:val="14"/>
                <w:szCs w:val="14"/>
                <w:lang w:val="fr-CA"/>
              </w:rPr>
            </w:pPr>
            <w:r w:rsidRPr="008847EB">
              <w:rPr>
                <w:rFonts w:ascii="Arial" w:hAnsi="Arial" w:cs="Arial"/>
                <w:b/>
                <w:sz w:val="14"/>
                <w:szCs w:val="14"/>
                <w:lang w:val="fr-CA"/>
              </w:rPr>
              <w:t>YK</w:t>
            </w:r>
          </w:p>
        </w:tc>
      </w:tr>
      <w:tr w:rsidR="00961C83" w:rsidRPr="008847EB" w:rsidTr="00961C83">
        <w:tc>
          <w:tcPr>
            <w:tcW w:w="1890" w:type="dxa"/>
            <w:tcBorders>
              <w:top w:val="nil"/>
              <w:left w:val="nil"/>
              <w:bottom w:val="nil"/>
              <w:right w:val="double" w:sz="4" w:space="0" w:color="auto"/>
            </w:tcBorders>
            <w:vAlign w:val="center"/>
            <w:hideMark/>
          </w:tcPr>
          <w:p w:rsidR="00961C83" w:rsidRPr="008847EB" w:rsidRDefault="00961C83">
            <w:pPr>
              <w:spacing w:before="60"/>
              <w:rPr>
                <w:rFonts w:ascii="Arial" w:hAnsi="Arial" w:cs="Arial"/>
                <w:b/>
                <w:sz w:val="14"/>
                <w:szCs w:val="14"/>
                <w:lang w:val="fr-CA"/>
              </w:rPr>
            </w:pPr>
            <w:r w:rsidRPr="008847EB">
              <w:rPr>
                <w:rFonts w:ascii="Arial" w:hAnsi="Arial" w:cs="Arial"/>
                <w:b/>
                <w:sz w:val="14"/>
                <w:szCs w:val="14"/>
                <w:lang w:val="fr-CA"/>
              </w:rPr>
              <w:t xml:space="preserve">Court </w:t>
            </w:r>
            <w:proofErr w:type="spellStart"/>
            <w:r w:rsidRPr="008847EB">
              <w:rPr>
                <w:rFonts w:ascii="Arial" w:hAnsi="Arial" w:cs="Arial"/>
                <w:b/>
                <w:sz w:val="14"/>
                <w:szCs w:val="14"/>
                <w:lang w:val="fr-CA"/>
              </w:rPr>
              <w:t>conference</w:t>
            </w:r>
            <w:proofErr w:type="spellEnd"/>
            <w:r w:rsidRPr="008847EB">
              <w:rPr>
                <w:rFonts w:ascii="Arial" w:hAnsi="Arial" w:cs="Arial"/>
                <w:b/>
                <w:sz w:val="14"/>
                <w:szCs w:val="14"/>
                <w:lang w:val="fr-CA"/>
              </w:rPr>
              <w:t xml:space="preserve"> /</w:t>
            </w:r>
          </w:p>
          <w:p w:rsidR="00961C83" w:rsidRPr="008847EB" w:rsidRDefault="00961C83">
            <w:pPr>
              <w:rPr>
                <w:rFonts w:ascii="Arial" w:hAnsi="Arial" w:cs="Arial"/>
                <w:b/>
                <w:sz w:val="14"/>
                <w:szCs w:val="14"/>
                <w:lang w:val="fr-CA"/>
              </w:rPr>
            </w:pPr>
            <w:r w:rsidRPr="008847EB">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961C83" w:rsidRPr="008847EB" w:rsidRDefault="00961C83">
            <w:pPr>
              <w:jc w:val="center"/>
              <w:rPr>
                <w:rFonts w:ascii="Arial" w:hAnsi="Arial" w:cs="Arial"/>
                <w:b/>
                <w:sz w:val="14"/>
                <w:szCs w:val="14"/>
                <w:lang w:val="fr-FR"/>
              </w:rPr>
            </w:pPr>
            <w:r w:rsidRPr="008847EB">
              <w:rPr>
                <w:rFonts w:ascii="Arial" w:hAnsi="Arial" w:cs="Arial"/>
                <w:b/>
                <w:sz w:val="14"/>
                <w:szCs w:val="14"/>
                <w:lang w:val="fr-FR"/>
              </w:rPr>
              <w:t>CC</w:t>
            </w:r>
          </w:p>
        </w:tc>
        <w:tc>
          <w:tcPr>
            <w:tcW w:w="3666" w:type="dxa"/>
            <w:tcBorders>
              <w:top w:val="nil"/>
              <w:left w:val="double" w:sz="4" w:space="0" w:color="auto"/>
              <w:bottom w:val="nil"/>
              <w:right w:val="nil"/>
            </w:tcBorders>
            <w:hideMark/>
          </w:tcPr>
          <w:p w:rsidR="00961C83" w:rsidRPr="008847EB" w:rsidRDefault="00961C83">
            <w:pPr>
              <w:tabs>
                <w:tab w:val="left" w:pos="203"/>
              </w:tabs>
              <w:spacing w:before="120"/>
              <w:rPr>
                <w:rFonts w:ascii="Arial" w:hAnsi="Arial" w:cs="Arial"/>
                <w:b/>
                <w:sz w:val="14"/>
                <w:szCs w:val="14"/>
                <w:lang w:val="fr-CA"/>
              </w:rPr>
            </w:pPr>
            <w:r w:rsidRPr="008847EB">
              <w:rPr>
                <w:rFonts w:ascii="Arial" w:hAnsi="Arial" w:cs="Arial"/>
                <w:b/>
                <w:sz w:val="14"/>
                <w:szCs w:val="14"/>
                <w:lang w:val="fr-CA"/>
              </w:rPr>
              <w:t>9</w:t>
            </w:r>
            <w:r w:rsidRPr="008847EB">
              <w:rPr>
                <w:rFonts w:ascii="Arial" w:hAnsi="Arial" w:cs="Arial"/>
                <w:b/>
                <w:sz w:val="14"/>
                <w:szCs w:val="14"/>
                <w:lang w:val="fr-CA"/>
              </w:rPr>
              <w:tab/>
              <w:t xml:space="preserve">Court </w:t>
            </w:r>
            <w:proofErr w:type="spellStart"/>
            <w:r w:rsidRPr="008847EB">
              <w:rPr>
                <w:rFonts w:ascii="Arial" w:hAnsi="Arial" w:cs="Arial"/>
                <w:b/>
                <w:sz w:val="14"/>
                <w:szCs w:val="14"/>
                <w:lang w:val="fr-CA"/>
              </w:rPr>
              <w:t>conference</w:t>
            </w:r>
            <w:proofErr w:type="spellEnd"/>
            <w:r w:rsidRPr="008847EB">
              <w:rPr>
                <w:rFonts w:ascii="Arial" w:hAnsi="Arial" w:cs="Arial"/>
                <w:b/>
                <w:sz w:val="14"/>
                <w:szCs w:val="14"/>
                <w:lang w:val="fr-CA"/>
              </w:rPr>
              <w:t xml:space="preserve"> </w:t>
            </w:r>
            <w:proofErr w:type="spellStart"/>
            <w:r w:rsidRPr="008847EB">
              <w:rPr>
                <w:rFonts w:ascii="Arial" w:hAnsi="Arial" w:cs="Arial"/>
                <w:b/>
                <w:sz w:val="14"/>
                <w:szCs w:val="14"/>
                <w:lang w:val="fr-CA"/>
              </w:rPr>
              <w:t>days</w:t>
            </w:r>
            <w:proofErr w:type="spellEnd"/>
            <w:r w:rsidRPr="008847EB">
              <w:rPr>
                <w:rFonts w:ascii="Arial" w:hAnsi="Arial" w:cs="Arial"/>
                <w:b/>
                <w:sz w:val="14"/>
                <w:szCs w:val="14"/>
                <w:lang w:val="fr-CA"/>
              </w:rPr>
              <w:t xml:space="preserve"> /</w:t>
            </w:r>
          </w:p>
          <w:p w:rsidR="00961C83" w:rsidRPr="008847EB" w:rsidRDefault="00961C83">
            <w:pPr>
              <w:tabs>
                <w:tab w:val="left" w:pos="203"/>
              </w:tabs>
              <w:rPr>
                <w:rFonts w:ascii="Arial" w:hAnsi="Arial" w:cs="Arial"/>
                <w:b/>
                <w:sz w:val="14"/>
                <w:szCs w:val="14"/>
                <w:lang w:val="fr-CA"/>
              </w:rPr>
            </w:pPr>
            <w:r w:rsidRPr="008847EB">
              <w:rPr>
                <w:rFonts w:ascii="Arial" w:hAnsi="Arial" w:cs="Arial"/>
                <w:b/>
                <w:sz w:val="14"/>
                <w:szCs w:val="14"/>
                <w:lang w:val="fr-CA"/>
              </w:rPr>
              <w:tab/>
              <w:t>jours de conférence de la Cour</w:t>
            </w:r>
          </w:p>
        </w:tc>
        <w:tc>
          <w:tcPr>
            <w:tcW w:w="3984" w:type="dxa"/>
            <w:tcMar>
              <w:top w:w="0" w:type="dxa"/>
              <w:left w:w="58" w:type="dxa"/>
              <w:bottom w:w="0" w:type="dxa"/>
              <w:right w:w="58" w:type="dxa"/>
            </w:tcMar>
            <w:hideMark/>
          </w:tcPr>
          <w:p w:rsidR="00961C83" w:rsidRPr="008847EB" w:rsidRDefault="00961C83">
            <w:pPr>
              <w:rPr>
                <w:rFonts w:ascii="Arial" w:hAnsi="Arial" w:cs="Arial"/>
                <w:b/>
                <w:sz w:val="14"/>
                <w:szCs w:val="14"/>
                <w:lang w:val="en-US"/>
              </w:rPr>
            </w:pPr>
            <w:r w:rsidRPr="008847EB">
              <w:rPr>
                <w:rFonts w:ascii="Arial" w:hAnsi="Arial" w:cs="Arial"/>
                <w:b/>
                <w:sz w:val="14"/>
                <w:szCs w:val="14"/>
                <w:lang w:val="en-US"/>
              </w:rPr>
              <w:t xml:space="preserve">Greek Orthodox Easter / </w:t>
            </w:r>
            <w:proofErr w:type="spellStart"/>
            <w:r w:rsidRPr="008847EB">
              <w:rPr>
                <w:rFonts w:ascii="Arial" w:hAnsi="Arial" w:cs="Arial"/>
                <w:b/>
                <w:sz w:val="14"/>
                <w:szCs w:val="14"/>
                <w:lang w:val="en-US"/>
              </w:rPr>
              <w:t>Pâques</w:t>
            </w:r>
            <w:proofErr w:type="spellEnd"/>
            <w:r w:rsidRPr="008847EB">
              <w:rPr>
                <w:rFonts w:ascii="Arial" w:hAnsi="Arial" w:cs="Arial"/>
                <w:b/>
                <w:sz w:val="14"/>
                <w:szCs w:val="14"/>
                <w:lang w:val="en-US"/>
              </w:rPr>
              <w:t xml:space="preserve"> </w:t>
            </w:r>
            <w:proofErr w:type="spellStart"/>
            <w:r w:rsidRPr="008847EB">
              <w:rPr>
                <w:rFonts w:ascii="Arial" w:hAnsi="Arial" w:cs="Arial"/>
                <w:b/>
                <w:sz w:val="14"/>
                <w:szCs w:val="14"/>
                <w:lang w:val="en-US"/>
              </w:rPr>
              <w:t>orthodoxe</w:t>
            </w:r>
            <w:proofErr w:type="spellEnd"/>
            <w:r w:rsidRPr="008847EB">
              <w:rPr>
                <w:rFonts w:ascii="Arial" w:hAnsi="Arial" w:cs="Arial"/>
                <w:b/>
                <w:sz w:val="14"/>
                <w:szCs w:val="14"/>
                <w:lang w:val="en-US"/>
              </w:rPr>
              <w:t xml:space="preserve"> </w:t>
            </w:r>
            <w:proofErr w:type="spellStart"/>
            <w:r w:rsidRPr="008847EB">
              <w:rPr>
                <w:rFonts w:ascii="Arial" w:hAnsi="Arial" w:cs="Arial"/>
                <w:b/>
                <w:sz w:val="14"/>
                <w:szCs w:val="14"/>
                <w:lang w:val="en-US"/>
              </w:rPr>
              <w:t>grecque</w:t>
            </w:r>
            <w:proofErr w:type="spellEnd"/>
          </w:p>
        </w:tc>
        <w:tc>
          <w:tcPr>
            <w:tcW w:w="450" w:type="dxa"/>
            <w:hideMark/>
          </w:tcPr>
          <w:p w:rsidR="00961C83" w:rsidRPr="008847EB" w:rsidRDefault="00961C83">
            <w:pPr>
              <w:jc w:val="center"/>
              <w:rPr>
                <w:rFonts w:ascii="Arial" w:hAnsi="Arial" w:cs="Arial"/>
                <w:b/>
                <w:sz w:val="14"/>
                <w:szCs w:val="14"/>
                <w:lang w:val="en-US"/>
              </w:rPr>
            </w:pPr>
            <w:r w:rsidRPr="008847EB">
              <w:rPr>
                <w:rFonts w:ascii="Arial" w:hAnsi="Arial" w:cs="Arial"/>
                <w:b/>
                <w:sz w:val="14"/>
                <w:szCs w:val="14"/>
                <w:lang w:val="en-US"/>
              </w:rPr>
              <w:t>GO</w:t>
            </w:r>
          </w:p>
        </w:tc>
      </w:tr>
      <w:tr w:rsidR="00961C83" w:rsidTr="00961C83">
        <w:trPr>
          <w:trHeight w:val="420"/>
        </w:trPr>
        <w:tc>
          <w:tcPr>
            <w:tcW w:w="1890" w:type="dxa"/>
            <w:tcBorders>
              <w:top w:val="nil"/>
              <w:left w:val="nil"/>
              <w:bottom w:val="nil"/>
              <w:right w:val="double" w:sz="4" w:space="0" w:color="auto"/>
            </w:tcBorders>
            <w:vAlign w:val="center"/>
            <w:hideMark/>
          </w:tcPr>
          <w:p w:rsidR="00961C83" w:rsidRPr="008847EB" w:rsidRDefault="00961C83">
            <w:pPr>
              <w:rPr>
                <w:rFonts w:ascii="Arial" w:hAnsi="Arial" w:cs="Arial"/>
                <w:b/>
                <w:sz w:val="14"/>
                <w:szCs w:val="14"/>
              </w:rPr>
            </w:pPr>
            <w:r w:rsidRPr="008847EB">
              <w:rPr>
                <w:rFonts w:ascii="Arial" w:hAnsi="Arial" w:cs="Arial"/>
                <w:b/>
                <w:sz w:val="14"/>
                <w:szCs w:val="14"/>
              </w:rPr>
              <w:t xml:space="preserve">Holiday / </w:t>
            </w:r>
            <w:r w:rsidRPr="008847EB">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961C83" w:rsidRPr="008847EB" w:rsidRDefault="00961C83">
            <w:pPr>
              <w:jc w:val="center"/>
              <w:rPr>
                <w:rFonts w:ascii="Arial" w:hAnsi="Arial" w:cs="Arial"/>
                <w:b/>
                <w:sz w:val="14"/>
                <w:szCs w:val="14"/>
              </w:rPr>
            </w:pPr>
            <w:r w:rsidRPr="008847EB">
              <w:rPr>
                <w:rFonts w:ascii="Arial" w:hAnsi="Arial" w:cs="Arial"/>
                <w:b/>
                <w:sz w:val="14"/>
                <w:szCs w:val="14"/>
              </w:rPr>
              <w:t>H</w:t>
            </w:r>
          </w:p>
        </w:tc>
        <w:tc>
          <w:tcPr>
            <w:tcW w:w="3666" w:type="dxa"/>
            <w:tcBorders>
              <w:top w:val="nil"/>
              <w:left w:val="double" w:sz="4" w:space="0" w:color="auto"/>
              <w:bottom w:val="nil"/>
              <w:right w:val="nil"/>
            </w:tcBorders>
            <w:hideMark/>
          </w:tcPr>
          <w:p w:rsidR="00961C83" w:rsidRPr="008847EB" w:rsidRDefault="00961C83">
            <w:pPr>
              <w:tabs>
                <w:tab w:val="left" w:pos="203"/>
              </w:tabs>
              <w:spacing w:before="120"/>
              <w:rPr>
                <w:rFonts w:ascii="Arial" w:hAnsi="Arial" w:cs="Arial"/>
                <w:b/>
                <w:sz w:val="14"/>
                <w:szCs w:val="14"/>
              </w:rPr>
            </w:pPr>
            <w:r w:rsidRPr="008847EB">
              <w:rPr>
                <w:rFonts w:ascii="Arial" w:hAnsi="Arial" w:cs="Arial"/>
                <w:b/>
                <w:sz w:val="14"/>
                <w:szCs w:val="14"/>
              </w:rPr>
              <w:t>4</w:t>
            </w:r>
            <w:r w:rsidRPr="008847EB">
              <w:rPr>
                <w:rFonts w:ascii="Arial" w:hAnsi="Arial" w:cs="Arial"/>
                <w:b/>
                <w:sz w:val="14"/>
                <w:szCs w:val="14"/>
              </w:rPr>
              <w:tab/>
              <w:t xml:space="preserve">holidays during sitting days / </w:t>
            </w:r>
          </w:p>
          <w:p w:rsidR="00961C83" w:rsidRDefault="00961C83">
            <w:pPr>
              <w:tabs>
                <w:tab w:val="left" w:pos="203"/>
              </w:tabs>
              <w:rPr>
                <w:rFonts w:ascii="Arial" w:hAnsi="Arial" w:cs="Arial"/>
                <w:b/>
                <w:sz w:val="14"/>
                <w:szCs w:val="14"/>
                <w:lang w:val="fr-CA"/>
              </w:rPr>
            </w:pPr>
            <w:r w:rsidRPr="008847EB">
              <w:rPr>
                <w:rFonts w:ascii="Arial" w:hAnsi="Arial" w:cs="Arial"/>
                <w:b/>
                <w:sz w:val="14"/>
                <w:szCs w:val="14"/>
              </w:rPr>
              <w:tab/>
            </w:r>
            <w:r w:rsidRPr="008847EB">
              <w:rPr>
                <w:rFonts w:ascii="Arial" w:hAnsi="Arial" w:cs="Arial"/>
                <w:b/>
                <w:sz w:val="14"/>
                <w:szCs w:val="14"/>
                <w:lang w:val="fr-CA"/>
              </w:rPr>
              <w:t>jours fériés durant les séances</w:t>
            </w:r>
          </w:p>
        </w:tc>
        <w:tc>
          <w:tcPr>
            <w:tcW w:w="3984" w:type="dxa"/>
            <w:tcMar>
              <w:top w:w="0" w:type="dxa"/>
              <w:left w:w="58" w:type="dxa"/>
              <w:bottom w:w="0" w:type="dxa"/>
              <w:right w:w="58" w:type="dxa"/>
            </w:tcMar>
          </w:tcPr>
          <w:p w:rsidR="00961C83" w:rsidRDefault="00961C83">
            <w:pPr>
              <w:rPr>
                <w:rFonts w:ascii="Arial" w:hAnsi="Arial" w:cs="Arial"/>
                <w:b/>
                <w:sz w:val="14"/>
                <w:szCs w:val="14"/>
                <w:lang w:val="fr-FR"/>
              </w:rPr>
            </w:pPr>
          </w:p>
        </w:tc>
        <w:tc>
          <w:tcPr>
            <w:tcW w:w="450" w:type="dxa"/>
          </w:tcPr>
          <w:p w:rsidR="00961C83" w:rsidRDefault="00961C83">
            <w:pPr>
              <w:jc w:val="center"/>
              <w:rPr>
                <w:rFonts w:ascii="Arial" w:hAnsi="Arial" w:cs="Arial"/>
                <w:b/>
                <w:sz w:val="14"/>
                <w:szCs w:val="14"/>
                <w:lang w:val="fr-FR"/>
              </w:rPr>
            </w:pPr>
          </w:p>
        </w:tc>
      </w:tr>
    </w:tbl>
    <w:p w:rsidR="002410B8" w:rsidRPr="0022323B" w:rsidRDefault="002410B8" w:rsidP="00961C83">
      <w:pPr>
        <w:tabs>
          <w:tab w:val="center" w:pos="5220"/>
          <w:tab w:val="right" w:pos="10800"/>
        </w:tabs>
        <w:rPr>
          <w:lang w:val="fr-CA"/>
        </w:rPr>
      </w:pPr>
    </w:p>
    <w:sectPr w:rsidR="002410B8" w:rsidRPr="0022323B" w:rsidSect="003008F5">
      <w:headerReference w:type="default" r:id="rId74"/>
      <w:footerReference w:type="default" r:id="rId75"/>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FAE" w:rsidRDefault="008A1FAE" w:rsidP="00A87207">
      <w:r>
        <w:separator/>
      </w:r>
    </w:p>
  </w:endnote>
  <w:endnote w:type="continuationSeparator" w:id="0">
    <w:p w:rsidR="008A1FAE" w:rsidRDefault="008A1FA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11194E" w:rsidP="00A87207">
    <w:pPr>
      <w:pStyle w:val="Footer"/>
    </w:pPr>
    <w:r>
      <w:pict>
        <v:rect id="_x0000_i1038" style="width:480.95pt;height:1pt" o:hralign="center" o:hrstd="t" o:hrnoshade="t" o:hr="t" fillcolor="black [3213]" stroked="f"/>
      </w:pict>
    </w:r>
  </w:p>
  <w:p w:rsidR="008A1FAE" w:rsidRPr="00B7374B" w:rsidRDefault="008A1FA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1194E">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11194E" w:rsidP="00EB2B90">
    <w:pPr>
      <w:tabs>
        <w:tab w:val="center" w:pos="4680"/>
      </w:tabs>
    </w:pPr>
    <w:r>
      <w:pict>
        <v:rect id="_x0000_i1051" style="width:480.95pt;height:1pt" o:hralign="center" o:hrstd="t" o:hrnoshade="t" o:hr="t" fillcolor="black [3213]" stroked="f"/>
      </w:pict>
    </w:r>
  </w:p>
  <w:p w:rsidR="008A1FAE" w:rsidRPr="0031432F" w:rsidRDefault="008A1FAE" w:rsidP="00EB2B90">
    <w:pPr>
      <w:tabs>
        <w:tab w:val="center" w:pos="4680"/>
      </w:tabs>
    </w:pPr>
    <w:r>
      <w:tab/>
      <w:t xml:space="preserve">- </w:t>
    </w:r>
    <w:r>
      <w:fldChar w:fldCharType="begin"/>
    </w:r>
    <w:r>
      <w:instrText xml:space="preserve"> PAGE   \* MERGEFORMAT </w:instrText>
    </w:r>
    <w:r>
      <w:fldChar w:fldCharType="separate"/>
    </w:r>
    <w:r w:rsidR="0011194E">
      <w:rPr>
        <w:noProof/>
      </w:rPr>
      <w:t>9</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A1FAE"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A1FAE" w:rsidRDefault="008A1FA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111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8A1FAE" w:rsidRDefault="008A1FA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11194E">
    <w:pPr>
      <w:pStyle w:val="Footer"/>
      <w:rPr>
        <w:lang w:val="fr-CA"/>
      </w:rPr>
    </w:pPr>
    <w:r>
      <w:rPr>
        <w:lang w:val="fr-CA"/>
      </w:rPr>
      <w:pict>
        <v:rect id="_x0000_i1054" style="width:480.95pt;height:1pt" o:hralign="center" o:hrstd="t" o:hrnoshade="t" o:hr="t" fillcolor="black [3213]" stroked="f"/>
      </w:pict>
    </w:r>
  </w:p>
  <w:p w:rsidR="008A1FAE" w:rsidRDefault="008A1FAE" w:rsidP="00EB2B90">
    <w:pPr>
      <w:tabs>
        <w:tab w:val="center" w:pos="4680"/>
      </w:tabs>
    </w:pPr>
    <w:r>
      <w:tab/>
      <w:t xml:space="preserve">- </w:t>
    </w:r>
    <w:r>
      <w:fldChar w:fldCharType="begin"/>
    </w:r>
    <w:r>
      <w:instrText xml:space="preserve"> PAGE   \* MERGEFORMAT </w:instrText>
    </w:r>
    <w:r>
      <w:fldChar w:fldCharType="separate"/>
    </w:r>
    <w:r w:rsidR="0011194E">
      <w:rPr>
        <w:noProof/>
      </w:rPr>
      <w:t>11</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8A1F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A1FAE" w:rsidRDefault="008A1F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A1FAE" w:rsidRDefault="008A1FAE">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1119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6" style="width:480.95pt;height:1pt" o:hralign="center" o:hrstd="t" o:hrnoshade="t" o:hr="t" fillcolor="black [3213]" stroked="f"/>
      </w:pict>
    </w:r>
  </w:p>
  <w:p w:rsidR="008A1FAE" w:rsidRDefault="008A1FAE"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11194E" w:rsidP="00802863">
    <w:pPr>
      <w:widowControl w:val="0"/>
      <w:tabs>
        <w:tab w:val="left" w:pos="-1440"/>
        <w:tab w:val="left" w:pos="-720"/>
      </w:tabs>
    </w:pPr>
    <w:r>
      <w:rPr>
        <w:lang w:val="fr-CA"/>
      </w:rPr>
      <w:pict>
        <v:rect id="_x0000_i1057" style="width:480.95pt;height:1pt" o:hralign="center" o:hrstd="t" o:hrnoshade="t" o:hr="t" fillcolor="black [3213]" stroked="f"/>
      </w:pict>
    </w:r>
  </w:p>
  <w:p w:rsidR="008A1FAE" w:rsidRPr="00180897" w:rsidRDefault="008A1FAE"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11194E">
      <w:rPr>
        <w:noProof/>
        <w:szCs w:val="24"/>
      </w:rPr>
      <w:t>12</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A1FAE"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A1FAE" w:rsidRDefault="008A1FAE">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A1FAE" w:rsidRDefault="00111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0" style="width:480.95pt;height:1pt" o:hralign="center" o:hrstd="t" o:hrnoshade="t" o:hr="t" fillcolor="black [3213]" stroked="f"/>
      </w:pict>
    </w:r>
  </w:p>
  <w:p w:rsidR="008A1FAE" w:rsidRDefault="008A1FA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11194E" w:rsidP="00782AE4">
    <w:pPr>
      <w:tabs>
        <w:tab w:val="center" w:pos="4680"/>
      </w:tabs>
    </w:pPr>
    <w:r>
      <w:pict>
        <v:rect id="_x0000_i1061" style="width:480.95pt;height:1pt" o:hralign="center" o:hrstd="t" o:hrnoshade="t" o:hr="t" fillcolor="black [3213]" stroked="f"/>
      </w:pict>
    </w:r>
  </w:p>
  <w:p w:rsidR="008A1FAE" w:rsidRDefault="008A1FA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1194E">
      <w:rPr>
        <w:noProof/>
        <w:szCs w:val="24"/>
      </w:rPr>
      <w:t>13</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11194E" w:rsidP="00755F22">
    <w:pPr>
      <w:tabs>
        <w:tab w:val="left" w:pos="-1440"/>
        <w:tab w:val="left" w:pos="-720"/>
      </w:tabs>
    </w:pPr>
    <w:r>
      <w:pict>
        <v:rect id="_x0000_i1039" style="width:480.95pt;height:1pt" o:hralign="center" o:hrstd="t" o:hrnoshade="t" o:hr="t" fillcolor="black [3213]" stroked="f"/>
      </w:pict>
    </w:r>
  </w:p>
  <w:p w:rsidR="008A1FAE" w:rsidRPr="00954D22" w:rsidRDefault="008A1FA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1194E">
      <w:rPr>
        <w:noProof/>
        <w:szCs w:val="24"/>
      </w:rPr>
      <w:t>1</w:t>
    </w:r>
    <w:r>
      <w:rPr>
        <w:szCs w:val="24"/>
      </w:rPr>
      <w:fldChar w:fldCharType="end"/>
    </w:r>
    <w:r w:rsidRPr="00954D22">
      <w:rPr>
        <w:szCs w:val="24"/>
      </w:rPr>
      <w:t xml:space="preserve"> -</w:t>
    </w:r>
  </w:p>
  <w:p w:rsidR="008A1FAE" w:rsidRDefault="008A1FA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8A1FA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8A1FAE" w:rsidRDefault="008A1FA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8A1FAE" w:rsidRDefault="008A1FAE">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11194E" w:rsidP="0022323B">
    <w:r>
      <w:pict>
        <v:rect id="_x0000_i1085" style="width:480.95pt;height:1pt" o:hralign="center" o:hrstd="t" o:hrnoshade="t" o:hr="t" fillcolor="black [3213]" stroked="f"/>
      </w:pict>
    </w:r>
  </w:p>
  <w:p w:rsidR="008A1FAE" w:rsidRDefault="008A1FAE">
    <w:pPr>
      <w:tabs>
        <w:tab w:val="center" w:pos="4740"/>
      </w:tabs>
      <w:spacing w:line="0" w:lineRule="atLeast"/>
    </w:pPr>
    <w:r>
      <w:tab/>
      <w:t xml:space="preserve">- </w:t>
    </w:r>
    <w:r>
      <w:fldChar w:fldCharType="begin"/>
    </w:r>
    <w:r>
      <w:instrText xml:space="preserve"> PAGE   \* MERGEFORMAT </w:instrText>
    </w:r>
    <w:r>
      <w:fldChar w:fldCharType="separate"/>
    </w:r>
    <w:r w:rsidR="0011194E">
      <w:rPr>
        <w:noProof/>
      </w:rPr>
      <w:t>19</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11194E" w:rsidP="0022323B">
    <w:r>
      <w:pict>
        <v:rect id="_x0000_i1086" style="width:480.95pt;height:1pt" o:hralign="center" o:hrstd="t" o:hrnoshade="t" o:hr="t" fillcolor="black [3213]" stroked="f"/>
      </w:pict>
    </w:r>
  </w:p>
  <w:p w:rsidR="008A1FAE" w:rsidRDefault="008A1FAE" w:rsidP="0022323B">
    <w:pPr>
      <w:tabs>
        <w:tab w:val="center" w:pos="4740"/>
      </w:tabs>
      <w:spacing w:line="0" w:lineRule="atLeast"/>
    </w:pPr>
    <w:r>
      <w:tab/>
      <w:t xml:space="preserve">- </w:t>
    </w:r>
    <w:r>
      <w:fldChar w:fldCharType="begin"/>
    </w:r>
    <w:r>
      <w:instrText xml:space="preserve"> PAGE   \* MERGEFORMAT </w:instrText>
    </w:r>
    <w:r>
      <w:fldChar w:fldCharType="separate"/>
    </w:r>
    <w:r w:rsidR="0011194E">
      <w:rPr>
        <w:noProof/>
      </w:rPr>
      <w:t>14</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Pr="00924065" w:rsidRDefault="008A1FAE"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11194E" w:rsidP="00A87207">
    <w:pPr>
      <w:pStyle w:val="Footer"/>
    </w:pPr>
    <w:r>
      <w:pict>
        <v:rect id="_x0000_i1041" style="width:480.95pt;height:1pt" o:hralign="center" o:hrstd="t" o:hrnoshade="t" o:hr="t" fillcolor="black [3213]" stroked="f"/>
      </w:pict>
    </w:r>
  </w:p>
  <w:p w:rsidR="008A1FAE" w:rsidRPr="00B7374B" w:rsidRDefault="008A1FA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4</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11194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8A1FAE" w:rsidRPr="00954D22" w:rsidRDefault="008A1FA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1194E">
      <w:rPr>
        <w:noProof/>
        <w:szCs w:val="24"/>
      </w:rPr>
      <w:t>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A1FAE"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A1FAE" w:rsidRDefault="008A1FAE">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111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8A1FAE" w:rsidRPr="0009648D" w:rsidRDefault="008A1FAE" w:rsidP="00ED7E83">
    <w:pPr>
      <w:tabs>
        <w:tab w:val="center" w:pos="4680"/>
      </w:tabs>
    </w:pPr>
    <w:r>
      <w:tab/>
    </w:r>
    <w:r w:rsidRPr="0009648D">
      <w:t xml:space="preserve">- </w:t>
    </w:r>
    <w:r>
      <w:fldChar w:fldCharType="begin"/>
    </w:r>
    <w:r>
      <w:instrText xml:space="preserve"> PAGE   \* MERGEFORMAT </w:instrText>
    </w:r>
    <w:r>
      <w:fldChar w:fldCharType="separate"/>
    </w:r>
    <w:r w:rsidR="0011194E">
      <w:rPr>
        <w:noProof/>
      </w:rPr>
      <w:t>8</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11194E">
    <w:pPr>
      <w:pStyle w:val="Footer"/>
      <w:rPr>
        <w:lang w:val="fr-CA"/>
      </w:rPr>
    </w:pPr>
    <w:r>
      <w:rPr>
        <w:lang w:val="fr-CA"/>
      </w:rPr>
      <w:pict>
        <v:rect id="_x0000_i1048" style="width:480.95pt;height:1pt" o:hralign="center" o:hrstd="t" o:hrnoshade="t" o:hr="t" fillcolor="black [3213]" stroked="f"/>
      </w:pict>
    </w:r>
  </w:p>
  <w:p w:rsidR="008A1FAE" w:rsidRDefault="008A1FAE" w:rsidP="00245129">
    <w:pPr>
      <w:tabs>
        <w:tab w:val="center" w:pos="4680"/>
      </w:tabs>
    </w:pPr>
    <w:r>
      <w:tab/>
    </w:r>
    <w:r w:rsidRPr="0009648D">
      <w:t xml:space="preserve">- </w:t>
    </w:r>
    <w:r>
      <w:fldChar w:fldCharType="begin"/>
    </w:r>
    <w:r>
      <w:instrText xml:space="preserve"> PAGE   \* MERGEFORMAT </w:instrText>
    </w:r>
    <w:r>
      <w:fldChar w:fldCharType="separate"/>
    </w:r>
    <w:r w:rsidR="0011194E">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A1FAE"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A1FAE" w:rsidRDefault="008A1FA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11194E" w:rsidP="00755F22">
    <w:pPr>
      <w:tabs>
        <w:tab w:val="left" w:pos="-1440"/>
        <w:tab w:val="left" w:pos="-720"/>
      </w:tabs>
    </w:pPr>
    <w:r>
      <w:pict>
        <v:rect id="_x0000_i1050" style="width:480.95pt;height:1pt" o:hralign="center" o:hrstd="t" o:hrnoshade="t" o:hr="t" fillcolor="black [3213]" stroked="f"/>
      </w:pict>
    </w:r>
  </w:p>
  <w:p w:rsidR="008A1FAE" w:rsidRDefault="008A1FAE" w:rsidP="00EB2B90">
    <w:pPr>
      <w:tabs>
        <w:tab w:val="center" w:pos="4680"/>
      </w:tabs>
    </w:pPr>
    <w:r>
      <w:tab/>
      <w:t xml:space="preserve">- </w:t>
    </w:r>
    <w:r>
      <w:fldChar w:fldCharType="begin"/>
    </w:r>
    <w:r>
      <w:instrText xml:space="preserve"> PAGE   \* MERGEFORMAT </w:instrText>
    </w:r>
    <w:r>
      <w:fldChar w:fldCharType="separate"/>
    </w:r>
    <w:r w:rsidR="0011194E">
      <w:rPr>
        <w:noProof/>
      </w:rPr>
      <w:t>10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FAE" w:rsidRDefault="008A1FAE" w:rsidP="00A87207">
      <w:r>
        <w:separator/>
      </w:r>
    </w:p>
  </w:footnote>
  <w:footnote w:type="continuationSeparator" w:id="0">
    <w:p w:rsidR="008A1FAE" w:rsidRDefault="008A1FA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A1FAE" w:rsidRPr="0044776A" w:rsidTr="00245129">
      <w:tc>
        <w:tcPr>
          <w:tcW w:w="4290" w:type="dxa"/>
          <w:tcMar>
            <w:left w:w="0" w:type="dxa"/>
            <w:right w:w="0" w:type="dxa"/>
          </w:tcMar>
        </w:tcPr>
        <w:p w:rsidR="008A1FAE" w:rsidRPr="00D31809" w:rsidRDefault="008A1FAE" w:rsidP="00D31809">
          <w:pPr>
            <w:keepNext/>
            <w:keepLines/>
            <w:rPr>
              <w:sz w:val="20"/>
              <w:szCs w:val="20"/>
              <w:lang w:val="en-US"/>
            </w:rPr>
          </w:pPr>
          <w:r w:rsidRPr="00D31809">
            <w:rPr>
              <w:sz w:val="20"/>
              <w:szCs w:val="20"/>
              <w:lang w:val="en-US"/>
            </w:rPr>
            <w:t>Applications for leave to appeal filed</w:t>
          </w:r>
        </w:p>
        <w:p w:rsidR="008A1FAE" w:rsidRPr="00D31809" w:rsidRDefault="008A1FAE" w:rsidP="00D31809">
          <w:pPr>
            <w:keepNext/>
            <w:keepLines/>
            <w:rPr>
              <w:sz w:val="20"/>
              <w:szCs w:val="20"/>
            </w:rPr>
          </w:pPr>
        </w:p>
      </w:tc>
      <w:tc>
        <w:tcPr>
          <w:tcW w:w="1200" w:type="dxa"/>
          <w:tcMar>
            <w:left w:w="0" w:type="dxa"/>
            <w:right w:w="0" w:type="dxa"/>
          </w:tcMar>
        </w:tcPr>
        <w:p w:rsidR="008A1FAE" w:rsidRPr="00D31809" w:rsidRDefault="008A1FAE" w:rsidP="002E2327">
          <w:pPr>
            <w:keepNext/>
            <w:keepLines/>
            <w:tabs>
              <w:tab w:val="left" w:pos="-1440"/>
              <w:tab w:val="left" w:pos="-720"/>
            </w:tabs>
            <w:jc w:val="center"/>
            <w:rPr>
              <w:sz w:val="20"/>
              <w:szCs w:val="20"/>
            </w:rPr>
          </w:pPr>
        </w:p>
      </w:tc>
      <w:tc>
        <w:tcPr>
          <w:tcW w:w="4320" w:type="dxa"/>
          <w:tcMar>
            <w:left w:w="0" w:type="dxa"/>
            <w:right w:w="0" w:type="dxa"/>
          </w:tcMar>
        </w:tcPr>
        <w:p w:rsidR="008A1FAE" w:rsidRPr="00D31809" w:rsidRDefault="008A1FAE" w:rsidP="002E2327">
          <w:pPr>
            <w:keepLines/>
            <w:rPr>
              <w:sz w:val="20"/>
              <w:szCs w:val="20"/>
              <w:lang w:val="fr-CA"/>
            </w:rPr>
          </w:pPr>
          <w:r w:rsidRPr="00D31809">
            <w:rPr>
              <w:sz w:val="20"/>
              <w:szCs w:val="20"/>
              <w:lang w:val="fr-CA"/>
            </w:rPr>
            <w:t>Demandes d’autorisation d’appel déposées</w:t>
          </w:r>
        </w:p>
      </w:tc>
    </w:tr>
  </w:tbl>
  <w:p w:rsidR="008A1FAE" w:rsidRDefault="008A1FA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8A1FA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A1FAE" w:rsidRPr="00684C75">
      <w:tc>
        <w:tcPr>
          <w:tcW w:w="4200" w:type="dxa"/>
          <w:tcMar>
            <w:left w:w="0" w:type="dxa"/>
            <w:right w:w="0" w:type="dxa"/>
          </w:tcMar>
        </w:tcPr>
        <w:p w:rsidR="008A1FAE" w:rsidRDefault="008A1F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A1FAE" w:rsidRDefault="008A1F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A1FAE" w:rsidRPr="00B01A03" w:rsidRDefault="008A1F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A1FAE" w:rsidRPr="00B01A03"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A1FAE" w:rsidRPr="00B01A03"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A1FAE" w:rsidRPr="00684C75" w:rsidTr="00245129">
      <w:tc>
        <w:tcPr>
          <w:tcW w:w="4200" w:type="dxa"/>
          <w:tcMar>
            <w:left w:w="0" w:type="dxa"/>
            <w:right w:w="0" w:type="dxa"/>
          </w:tcMar>
        </w:tcPr>
        <w:p w:rsidR="008A1FAE" w:rsidRPr="00F40249" w:rsidRDefault="008A1FA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A1FAE" w:rsidRDefault="008A1FAE" w:rsidP="00102926">
          <w:pPr>
            <w:keepNext/>
            <w:keepLines/>
            <w:tabs>
              <w:tab w:val="left" w:pos="-1440"/>
              <w:tab w:val="left" w:pos="-720"/>
            </w:tabs>
            <w:jc w:val="center"/>
            <w:rPr>
              <w:sz w:val="20"/>
              <w:szCs w:val="20"/>
            </w:rPr>
          </w:pPr>
        </w:p>
        <w:p w:rsidR="008A1FAE" w:rsidRDefault="008A1FAE" w:rsidP="00102926">
          <w:pPr>
            <w:keepNext/>
            <w:keepLines/>
            <w:tabs>
              <w:tab w:val="left" w:pos="-1440"/>
              <w:tab w:val="left" w:pos="-720"/>
            </w:tabs>
            <w:jc w:val="center"/>
            <w:rPr>
              <w:sz w:val="20"/>
              <w:szCs w:val="20"/>
            </w:rPr>
          </w:pPr>
        </w:p>
        <w:p w:rsidR="008A1FAE" w:rsidRPr="00F40249" w:rsidRDefault="008A1FAE" w:rsidP="00102926">
          <w:pPr>
            <w:keepNext/>
            <w:keepLines/>
            <w:tabs>
              <w:tab w:val="left" w:pos="-1440"/>
              <w:tab w:val="left" w:pos="-720"/>
            </w:tabs>
            <w:jc w:val="center"/>
            <w:rPr>
              <w:sz w:val="20"/>
              <w:szCs w:val="20"/>
            </w:rPr>
          </w:pPr>
        </w:p>
      </w:tc>
      <w:tc>
        <w:tcPr>
          <w:tcW w:w="4230" w:type="dxa"/>
          <w:tcMar>
            <w:left w:w="0" w:type="dxa"/>
            <w:right w:w="0" w:type="dxa"/>
          </w:tcMar>
        </w:tcPr>
        <w:p w:rsidR="008A1FAE" w:rsidRPr="00F40249" w:rsidRDefault="008A1FA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A1FAE" w:rsidRPr="00B01A03" w:rsidRDefault="008A1FA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8A1FA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A1FAE" w:rsidRPr="00684C75">
      <w:tc>
        <w:tcPr>
          <w:tcW w:w="4200" w:type="dxa"/>
          <w:tcMar>
            <w:left w:w="0" w:type="dxa"/>
            <w:right w:w="0" w:type="dxa"/>
          </w:tcMar>
        </w:tcPr>
        <w:p w:rsidR="008A1FAE" w:rsidRDefault="008A1FA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8A1FAE" w:rsidRDefault="008A1FA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8A1FAE" w:rsidRDefault="008A1FA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A1FAE" w:rsidRPr="009256DC" w:rsidRDefault="008A1FAE">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8A1FAE" w:rsidRPr="009256DC" w:rsidRDefault="008A1F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A1FAE" w:rsidRPr="009256DC" w:rsidRDefault="008A1F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A1FAE" w:rsidRPr="00684C75" w:rsidTr="00245129">
      <w:tc>
        <w:tcPr>
          <w:tcW w:w="4200" w:type="dxa"/>
          <w:tcMar>
            <w:left w:w="0" w:type="dxa"/>
            <w:right w:w="0" w:type="dxa"/>
          </w:tcMar>
        </w:tcPr>
        <w:p w:rsidR="008A1FAE" w:rsidRPr="00802863" w:rsidRDefault="008A1FAE"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8A1FAE" w:rsidRPr="00802863" w:rsidRDefault="008A1FAE" w:rsidP="00802863">
          <w:pPr>
            <w:keepNext/>
            <w:keepLines/>
            <w:widowControl w:val="0"/>
            <w:tabs>
              <w:tab w:val="left" w:pos="-1440"/>
              <w:tab w:val="left" w:pos="-720"/>
            </w:tabs>
            <w:jc w:val="center"/>
            <w:rPr>
              <w:sz w:val="20"/>
              <w:szCs w:val="20"/>
            </w:rPr>
          </w:pPr>
        </w:p>
        <w:p w:rsidR="008A1FAE" w:rsidRPr="00802863" w:rsidRDefault="008A1FAE" w:rsidP="00802863">
          <w:pPr>
            <w:keepNext/>
            <w:keepLines/>
            <w:widowControl w:val="0"/>
            <w:tabs>
              <w:tab w:val="left" w:pos="-1440"/>
              <w:tab w:val="left" w:pos="-720"/>
            </w:tabs>
            <w:jc w:val="center"/>
            <w:rPr>
              <w:sz w:val="20"/>
              <w:szCs w:val="20"/>
            </w:rPr>
          </w:pPr>
        </w:p>
        <w:p w:rsidR="008A1FAE" w:rsidRPr="00802863" w:rsidRDefault="008A1FAE"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8A1FAE" w:rsidRPr="00802863" w:rsidRDefault="008A1FAE"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8A1FAE" w:rsidRPr="009256DC" w:rsidRDefault="008A1FAE"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8A1FA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A1FAE">
      <w:tc>
        <w:tcPr>
          <w:tcW w:w="4230" w:type="dxa"/>
          <w:tcMar>
            <w:left w:w="0" w:type="dxa"/>
            <w:right w:w="0" w:type="dxa"/>
          </w:tcMar>
        </w:tcPr>
        <w:p w:rsidR="008A1FAE" w:rsidRDefault="008A1F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A1FAE" w:rsidRDefault="008A1F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A1FAE" w:rsidRDefault="008A1F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A1FAE" w:rsidRDefault="008A1F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A1FAE" w:rsidRDefault="008A1F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A1FAE" w:rsidRDefault="008A1F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A1FAE"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A1FAE"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A1FAE" w:rsidRPr="00782AE4" w:rsidTr="00245129">
      <w:tc>
        <w:tcPr>
          <w:tcW w:w="4230" w:type="dxa"/>
          <w:tcMar>
            <w:left w:w="0" w:type="dxa"/>
            <w:right w:w="0" w:type="dxa"/>
          </w:tcMar>
        </w:tcPr>
        <w:p w:rsidR="008A1FAE" w:rsidRPr="00782AE4" w:rsidRDefault="008A1FAE" w:rsidP="00102926">
          <w:pPr>
            <w:keepNext/>
            <w:keepLines/>
            <w:tabs>
              <w:tab w:val="left" w:pos="-1440"/>
              <w:tab w:val="left" w:pos="-720"/>
            </w:tabs>
            <w:rPr>
              <w:sz w:val="20"/>
              <w:szCs w:val="20"/>
            </w:rPr>
          </w:pPr>
          <w:r w:rsidRPr="00782AE4">
            <w:rPr>
              <w:sz w:val="20"/>
              <w:szCs w:val="20"/>
            </w:rPr>
            <w:t xml:space="preserve">HEADNOTES OF RECENT </w:t>
          </w:r>
        </w:p>
        <w:p w:rsidR="008A1FAE" w:rsidRPr="00782AE4" w:rsidRDefault="008A1F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A1FAE" w:rsidRDefault="008A1FAE" w:rsidP="00102926">
          <w:pPr>
            <w:keepNext/>
            <w:keepLines/>
            <w:tabs>
              <w:tab w:val="left" w:pos="-1440"/>
              <w:tab w:val="left" w:pos="-720"/>
            </w:tabs>
            <w:jc w:val="center"/>
            <w:rPr>
              <w:sz w:val="20"/>
              <w:szCs w:val="20"/>
            </w:rPr>
          </w:pPr>
        </w:p>
        <w:p w:rsidR="008A1FAE" w:rsidRDefault="008A1FAE" w:rsidP="00102926">
          <w:pPr>
            <w:keepNext/>
            <w:keepLines/>
            <w:tabs>
              <w:tab w:val="left" w:pos="-1440"/>
              <w:tab w:val="left" w:pos="-720"/>
            </w:tabs>
            <w:jc w:val="center"/>
            <w:rPr>
              <w:sz w:val="20"/>
              <w:szCs w:val="20"/>
            </w:rPr>
          </w:pPr>
        </w:p>
        <w:p w:rsidR="008A1FAE" w:rsidRPr="00782AE4" w:rsidRDefault="008A1FAE" w:rsidP="00102926">
          <w:pPr>
            <w:keepNext/>
            <w:keepLines/>
            <w:tabs>
              <w:tab w:val="left" w:pos="-1440"/>
              <w:tab w:val="left" w:pos="-720"/>
            </w:tabs>
            <w:jc w:val="center"/>
            <w:rPr>
              <w:sz w:val="20"/>
              <w:szCs w:val="20"/>
            </w:rPr>
          </w:pPr>
        </w:p>
      </w:tc>
      <w:tc>
        <w:tcPr>
          <w:tcW w:w="4080" w:type="dxa"/>
          <w:tcMar>
            <w:left w:w="0" w:type="dxa"/>
            <w:right w:w="0" w:type="dxa"/>
          </w:tcMar>
        </w:tcPr>
        <w:p w:rsidR="008A1FAE" w:rsidRPr="00102926" w:rsidRDefault="008A1F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A1FAE" w:rsidRPr="00782AE4" w:rsidRDefault="008A1FAE" w:rsidP="00102926">
          <w:pPr>
            <w:keepLines/>
            <w:tabs>
              <w:tab w:val="left" w:pos="-1440"/>
              <w:tab w:val="left" w:pos="-720"/>
            </w:tabs>
            <w:rPr>
              <w:sz w:val="20"/>
              <w:szCs w:val="20"/>
            </w:rPr>
          </w:pPr>
          <w:r w:rsidRPr="00102926">
            <w:rPr>
              <w:sz w:val="20"/>
              <w:szCs w:val="20"/>
              <w:lang w:val="fr-CA"/>
            </w:rPr>
            <w:t>RÉCENTS</w:t>
          </w:r>
        </w:p>
      </w:tc>
    </w:tr>
  </w:tbl>
  <w:p w:rsidR="008A1FAE" w:rsidRDefault="008A1FA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8A1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8A1FA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A1FAE">
      <w:tc>
        <w:tcPr>
          <w:tcW w:w="4200" w:type="dxa"/>
          <w:tcMar>
            <w:left w:w="0" w:type="dxa"/>
            <w:right w:w="0" w:type="dxa"/>
          </w:tcMar>
        </w:tcPr>
        <w:p w:rsidR="008A1FAE" w:rsidRDefault="008A1FA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8A1FAE" w:rsidRDefault="008A1FA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8A1FAE" w:rsidRDefault="008A1FA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8A1FAE" w:rsidRDefault="008A1FAE">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8A1FAE" w:rsidRDefault="008A1FA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8A1FAE" w:rsidRDefault="008A1FA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A1FAE" w:rsidRPr="00684C75" w:rsidTr="00245129">
      <w:tc>
        <w:tcPr>
          <w:tcW w:w="4200" w:type="dxa"/>
          <w:tcMar>
            <w:left w:w="0" w:type="dxa"/>
            <w:right w:w="0" w:type="dxa"/>
          </w:tcMar>
        </w:tcPr>
        <w:p w:rsidR="008A1FAE" w:rsidRPr="00102792" w:rsidRDefault="008A1FAE" w:rsidP="001E76BA">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December</w:t>
          </w:r>
          <w:r w:rsidRPr="00102792">
            <w:rPr>
              <w:szCs w:val="24"/>
            </w:rPr>
            <w:t xml:space="preserve"> 201</w:t>
          </w:r>
          <w:r>
            <w:rPr>
              <w:szCs w:val="24"/>
            </w:rPr>
            <w:t>9</w:t>
          </w:r>
        </w:p>
      </w:tc>
      <w:tc>
        <w:tcPr>
          <w:tcW w:w="1200" w:type="dxa"/>
          <w:tcMar>
            <w:left w:w="0" w:type="dxa"/>
            <w:right w:w="0" w:type="dxa"/>
          </w:tcMar>
        </w:tcPr>
        <w:p w:rsidR="008A1FAE" w:rsidRPr="00102792" w:rsidRDefault="008A1FAE" w:rsidP="00102792">
          <w:pPr>
            <w:keepNext/>
            <w:keepLines/>
            <w:jc w:val="center"/>
            <w:rPr>
              <w:szCs w:val="24"/>
            </w:rPr>
          </w:pPr>
        </w:p>
        <w:p w:rsidR="008A1FAE" w:rsidRPr="00102792" w:rsidRDefault="008A1FAE" w:rsidP="00102792">
          <w:pPr>
            <w:keepNext/>
            <w:keepLines/>
            <w:jc w:val="center"/>
            <w:rPr>
              <w:szCs w:val="24"/>
            </w:rPr>
          </w:pPr>
        </w:p>
      </w:tc>
      <w:tc>
        <w:tcPr>
          <w:tcW w:w="4080" w:type="dxa"/>
          <w:tcMar>
            <w:left w:w="0" w:type="dxa"/>
            <w:right w:w="0" w:type="dxa"/>
          </w:tcMar>
        </w:tcPr>
        <w:p w:rsidR="008A1FAE" w:rsidRPr="00102792" w:rsidRDefault="008A1FAE" w:rsidP="001E76BA">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décembre</w:t>
          </w:r>
          <w:r w:rsidRPr="00102792">
            <w:rPr>
              <w:szCs w:val="24"/>
              <w:lang w:val="fr-CA"/>
            </w:rPr>
            <w:t xml:space="preserve"> 201</w:t>
          </w:r>
          <w:r>
            <w:rPr>
              <w:szCs w:val="24"/>
              <w:lang w:val="fr-CA"/>
            </w:rPr>
            <w:t>9</w:t>
          </w:r>
        </w:p>
      </w:tc>
    </w:tr>
  </w:tbl>
  <w:p w:rsidR="008A1FAE" w:rsidRPr="00567602" w:rsidRDefault="008A1FAE"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8A1FA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8A1F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A1FAE" w:rsidRPr="00684C75" w:rsidTr="00245129">
      <w:tc>
        <w:tcPr>
          <w:tcW w:w="4200" w:type="dxa"/>
          <w:tcMar>
            <w:left w:w="0" w:type="dxa"/>
            <w:right w:w="0" w:type="dxa"/>
          </w:tcMar>
        </w:tcPr>
        <w:p w:rsidR="008A1FAE" w:rsidRPr="00A81DCF" w:rsidRDefault="008A1FAE"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8A1FAE" w:rsidRPr="0044776A" w:rsidRDefault="008A1FAE" w:rsidP="0044776A">
          <w:pPr>
            <w:keepNext/>
            <w:keepLines/>
            <w:widowControl w:val="0"/>
            <w:jc w:val="center"/>
            <w:rPr>
              <w:sz w:val="20"/>
              <w:szCs w:val="20"/>
            </w:rPr>
          </w:pPr>
        </w:p>
        <w:p w:rsidR="008A1FAE" w:rsidRPr="0044776A" w:rsidRDefault="008A1FAE" w:rsidP="0044776A">
          <w:pPr>
            <w:keepNext/>
            <w:keepLines/>
            <w:widowControl w:val="0"/>
            <w:jc w:val="center"/>
            <w:rPr>
              <w:sz w:val="20"/>
              <w:szCs w:val="20"/>
            </w:rPr>
          </w:pPr>
        </w:p>
        <w:p w:rsidR="008A1FAE" w:rsidRPr="0044776A" w:rsidRDefault="008A1FAE" w:rsidP="0044776A">
          <w:pPr>
            <w:keepNext/>
            <w:keepLines/>
            <w:widowControl w:val="0"/>
            <w:jc w:val="center"/>
            <w:rPr>
              <w:sz w:val="20"/>
              <w:szCs w:val="20"/>
            </w:rPr>
          </w:pPr>
        </w:p>
      </w:tc>
      <w:tc>
        <w:tcPr>
          <w:tcW w:w="4080" w:type="dxa"/>
          <w:tcMar>
            <w:left w:w="0" w:type="dxa"/>
            <w:right w:w="0" w:type="dxa"/>
          </w:tcMar>
        </w:tcPr>
        <w:p w:rsidR="008A1FAE" w:rsidRPr="0044776A" w:rsidRDefault="008A1FAE"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8A1FAE" w:rsidRPr="002E2327" w:rsidRDefault="008A1FAE">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8A1F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A1FAE" w:rsidRPr="00684C75">
      <w:tc>
        <w:tcPr>
          <w:tcW w:w="4200" w:type="dxa"/>
          <w:tcMar>
            <w:left w:w="0" w:type="dxa"/>
            <w:right w:w="0" w:type="dxa"/>
          </w:tcMar>
        </w:tcPr>
        <w:p w:rsidR="008A1FAE" w:rsidRDefault="008A1F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A1FAE" w:rsidRDefault="008A1F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A1FAE" w:rsidRDefault="008A1F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A1FAE" w:rsidRPr="00FF6BA5" w:rsidRDefault="008A1F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A1FAE" w:rsidRPr="00FF6BA5"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A1FAE" w:rsidRPr="00FF6BA5"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A1FAE" w:rsidRPr="00FF6BA5"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A1FAE" w:rsidRPr="00684C75" w:rsidTr="00245129">
      <w:tc>
        <w:tcPr>
          <w:tcW w:w="4200" w:type="dxa"/>
          <w:tcMar>
            <w:left w:w="0" w:type="dxa"/>
            <w:right w:w="0" w:type="dxa"/>
          </w:tcMar>
        </w:tcPr>
        <w:p w:rsidR="008A1FAE" w:rsidRPr="00634F42" w:rsidRDefault="008A1FA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A1FAE" w:rsidRPr="00755F22" w:rsidRDefault="008A1FA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A1FAE" w:rsidRPr="00755F22" w:rsidRDefault="008A1FA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A1FAE" w:rsidRPr="00755F22" w:rsidRDefault="008A1F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A1FAE" w:rsidRPr="00FF6BA5" w:rsidRDefault="008A1FAE"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AE" w:rsidRDefault="008A1FA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A1FAE">
      <w:tc>
        <w:tcPr>
          <w:tcW w:w="4230" w:type="dxa"/>
          <w:tcMar>
            <w:left w:w="0" w:type="dxa"/>
            <w:right w:w="0" w:type="dxa"/>
          </w:tcMar>
        </w:tcPr>
        <w:p w:rsidR="008A1FAE" w:rsidRDefault="008A1F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A1FAE" w:rsidRDefault="008A1F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A1FAE" w:rsidRDefault="008A1F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A1FAE">
      <w:trPr>
        <w:gridAfter w:val="2"/>
        <w:wAfter w:w="5250" w:type="dxa"/>
      </w:trPr>
      <w:tc>
        <w:tcPr>
          <w:tcW w:w="4230" w:type="dxa"/>
          <w:tcMar>
            <w:left w:w="0" w:type="dxa"/>
            <w:right w:w="0" w:type="dxa"/>
          </w:tcMar>
        </w:tcPr>
        <w:p w:rsidR="008A1FAE"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A1FAE" w:rsidRDefault="008A1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A1FAE" w:rsidRPr="00755F22" w:rsidTr="00245129">
      <w:tc>
        <w:tcPr>
          <w:tcW w:w="4230" w:type="dxa"/>
          <w:tcMar>
            <w:left w:w="0" w:type="dxa"/>
            <w:right w:w="0" w:type="dxa"/>
          </w:tcMar>
        </w:tcPr>
        <w:p w:rsidR="008A1FAE" w:rsidRPr="00755F22" w:rsidRDefault="008A1FAE" w:rsidP="00831CA9">
          <w:pPr>
            <w:keepNext/>
            <w:keepLines/>
            <w:rPr>
              <w:sz w:val="20"/>
              <w:szCs w:val="20"/>
            </w:rPr>
          </w:pPr>
          <w:r w:rsidRPr="00755F22">
            <w:rPr>
              <w:sz w:val="20"/>
              <w:szCs w:val="20"/>
            </w:rPr>
            <w:t>Motions</w:t>
          </w:r>
        </w:p>
      </w:tc>
      <w:tc>
        <w:tcPr>
          <w:tcW w:w="1170" w:type="dxa"/>
          <w:tcMar>
            <w:left w:w="0" w:type="dxa"/>
            <w:right w:w="0" w:type="dxa"/>
          </w:tcMar>
        </w:tcPr>
        <w:p w:rsidR="008A1FAE" w:rsidRPr="00755F22" w:rsidRDefault="008A1FAE" w:rsidP="00831CA9">
          <w:pPr>
            <w:keepLines/>
            <w:jc w:val="center"/>
            <w:rPr>
              <w:sz w:val="20"/>
              <w:szCs w:val="20"/>
            </w:rPr>
          </w:pPr>
        </w:p>
        <w:p w:rsidR="008A1FAE" w:rsidRPr="00755F22" w:rsidRDefault="008A1FAE" w:rsidP="00831CA9">
          <w:pPr>
            <w:keepLines/>
            <w:tabs>
              <w:tab w:val="left" w:pos="-1440"/>
              <w:tab w:val="left" w:pos="-720"/>
            </w:tabs>
            <w:jc w:val="center"/>
            <w:rPr>
              <w:sz w:val="20"/>
              <w:szCs w:val="20"/>
            </w:rPr>
          </w:pPr>
        </w:p>
      </w:tc>
      <w:tc>
        <w:tcPr>
          <w:tcW w:w="4080" w:type="dxa"/>
          <w:tcMar>
            <w:left w:w="0" w:type="dxa"/>
            <w:right w:w="0" w:type="dxa"/>
          </w:tcMar>
        </w:tcPr>
        <w:p w:rsidR="008A1FAE" w:rsidRPr="00BA6468" w:rsidRDefault="008A1FAE" w:rsidP="00BA6468">
          <w:pPr>
            <w:keepLines/>
            <w:rPr>
              <w:sz w:val="20"/>
              <w:szCs w:val="20"/>
              <w:lang w:val="fr-CA"/>
            </w:rPr>
          </w:pPr>
          <w:r w:rsidRPr="00BA6468">
            <w:rPr>
              <w:sz w:val="20"/>
              <w:szCs w:val="20"/>
              <w:lang w:val="fr-CA"/>
            </w:rPr>
            <w:t>Requêtes</w:t>
          </w:r>
        </w:p>
      </w:tc>
    </w:tr>
  </w:tbl>
  <w:p w:rsidR="008A1FAE" w:rsidRDefault="008A1FAE"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5668"/>
    <w:multiLevelType w:val="hybridMultilevel"/>
    <w:tmpl w:val="C7CEA6B4"/>
    <w:lvl w:ilvl="0" w:tplc="98A80B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C5217"/>
    <w:multiLevelType w:val="hybridMultilevel"/>
    <w:tmpl w:val="69DC9D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0B274DA"/>
    <w:multiLevelType w:val="hybridMultilevel"/>
    <w:tmpl w:val="627A4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374DD6"/>
    <w:multiLevelType w:val="hybridMultilevel"/>
    <w:tmpl w:val="9C980D22"/>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3447BC"/>
    <w:multiLevelType w:val="hybridMultilevel"/>
    <w:tmpl w:val="53A42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1138B"/>
    <w:multiLevelType w:val="hybridMultilevel"/>
    <w:tmpl w:val="C1EAAF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F232C"/>
    <w:multiLevelType w:val="hybridMultilevel"/>
    <w:tmpl w:val="0BFAB4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 w:numId="10">
    <w:abstractNumId w:val="7"/>
  </w:num>
  <w:num w:numId="11">
    <w:abstractNumId w:val="8"/>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6E"/>
    <w:rsid w:val="00002704"/>
    <w:rsid w:val="00006481"/>
    <w:rsid w:val="00020DC3"/>
    <w:rsid w:val="0003223B"/>
    <w:rsid w:val="000327B2"/>
    <w:rsid w:val="00033A57"/>
    <w:rsid w:val="0004528B"/>
    <w:rsid w:val="00046BA4"/>
    <w:rsid w:val="00064FBA"/>
    <w:rsid w:val="00091BA6"/>
    <w:rsid w:val="00091FA6"/>
    <w:rsid w:val="0009686C"/>
    <w:rsid w:val="00096BD9"/>
    <w:rsid w:val="000B3C9A"/>
    <w:rsid w:val="000B40A2"/>
    <w:rsid w:val="000B4624"/>
    <w:rsid w:val="000C0ACD"/>
    <w:rsid w:val="000C0D2A"/>
    <w:rsid w:val="000C1D9D"/>
    <w:rsid w:val="000C303D"/>
    <w:rsid w:val="000C5CE8"/>
    <w:rsid w:val="000D2E75"/>
    <w:rsid w:val="000E25AA"/>
    <w:rsid w:val="000E27A5"/>
    <w:rsid w:val="000E2959"/>
    <w:rsid w:val="000F0B60"/>
    <w:rsid w:val="000F2CA3"/>
    <w:rsid w:val="00102792"/>
    <w:rsid w:val="00102926"/>
    <w:rsid w:val="0010587F"/>
    <w:rsid w:val="0011194E"/>
    <w:rsid w:val="00111C6B"/>
    <w:rsid w:val="0012102B"/>
    <w:rsid w:val="00124D41"/>
    <w:rsid w:val="0013369E"/>
    <w:rsid w:val="0013595D"/>
    <w:rsid w:val="001434B9"/>
    <w:rsid w:val="00143EF6"/>
    <w:rsid w:val="00151DE2"/>
    <w:rsid w:val="00152E76"/>
    <w:rsid w:val="0015545D"/>
    <w:rsid w:val="00164E6D"/>
    <w:rsid w:val="0016538E"/>
    <w:rsid w:val="00182DE3"/>
    <w:rsid w:val="00183454"/>
    <w:rsid w:val="0019203D"/>
    <w:rsid w:val="00195F99"/>
    <w:rsid w:val="001B157C"/>
    <w:rsid w:val="001B1994"/>
    <w:rsid w:val="001B2A6C"/>
    <w:rsid w:val="001B4006"/>
    <w:rsid w:val="001B5C23"/>
    <w:rsid w:val="001D0D5F"/>
    <w:rsid w:val="001D6B8C"/>
    <w:rsid w:val="001E76BA"/>
    <w:rsid w:val="001F1F83"/>
    <w:rsid w:val="001F40DF"/>
    <w:rsid w:val="001F43F8"/>
    <w:rsid w:val="001F6B2D"/>
    <w:rsid w:val="002021A9"/>
    <w:rsid w:val="002139A7"/>
    <w:rsid w:val="00215574"/>
    <w:rsid w:val="00215F7C"/>
    <w:rsid w:val="00221DEF"/>
    <w:rsid w:val="0022323B"/>
    <w:rsid w:val="002410B8"/>
    <w:rsid w:val="00242269"/>
    <w:rsid w:val="00242AEE"/>
    <w:rsid w:val="00245129"/>
    <w:rsid w:val="00245879"/>
    <w:rsid w:val="00246F51"/>
    <w:rsid w:val="00253236"/>
    <w:rsid w:val="002534CE"/>
    <w:rsid w:val="00267FD5"/>
    <w:rsid w:val="00271E1E"/>
    <w:rsid w:val="00274D34"/>
    <w:rsid w:val="002832B0"/>
    <w:rsid w:val="00283AFF"/>
    <w:rsid w:val="00283ED8"/>
    <w:rsid w:val="00286286"/>
    <w:rsid w:val="002868D0"/>
    <w:rsid w:val="0028760B"/>
    <w:rsid w:val="002A008C"/>
    <w:rsid w:val="002A1BA5"/>
    <w:rsid w:val="002A27D1"/>
    <w:rsid w:val="002A4AFA"/>
    <w:rsid w:val="002A5D3F"/>
    <w:rsid w:val="002B2610"/>
    <w:rsid w:val="002B516C"/>
    <w:rsid w:val="002B5D82"/>
    <w:rsid w:val="002C4FA4"/>
    <w:rsid w:val="002D2EE5"/>
    <w:rsid w:val="002D72EB"/>
    <w:rsid w:val="002E2327"/>
    <w:rsid w:val="002E3583"/>
    <w:rsid w:val="002E5576"/>
    <w:rsid w:val="002F2196"/>
    <w:rsid w:val="0030050B"/>
    <w:rsid w:val="003008F5"/>
    <w:rsid w:val="00304081"/>
    <w:rsid w:val="00311EB8"/>
    <w:rsid w:val="0031705B"/>
    <w:rsid w:val="003308AA"/>
    <w:rsid w:val="00331B52"/>
    <w:rsid w:val="00333403"/>
    <w:rsid w:val="003359D3"/>
    <w:rsid w:val="00345D9C"/>
    <w:rsid w:val="0034657E"/>
    <w:rsid w:val="00347205"/>
    <w:rsid w:val="00351475"/>
    <w:rsid w:val="00355967"/>
    <w:rsid w:val="00382C47"/>
    <w:rsid w:val="00384384"/>
    <w:rsid w:val="003866AE"/>
    <w:rsid w:val="003A59F3"/>
    <w:rsid w:val="003B3977"/>
    <w:rsid w:val="003C664E"/>
    <w:rsid w:val="003C6840"/>
    <w:rsid w:val="003D49B1"/>
    <w:rsid w:val="003E1D4C"/>
    <w:rsid w:val="003E5455"/>
    <w:rsid w:val="003E5F3E"/>
    <w:rsid w:val="003E77E2"/>
    <w:rsid w:val="004046FF"/>
    <w:rsid w:val="00407C5D"/>
    <w:rsid w:val="0041245B"/>
    <w:rsid w:val="004137A0"/>
    <w:rsid w:val="00422D9A"/>
    <w:rsid w:val="00423978"/>
    <w:rsid w:val="004317DE"/>
    <w:rsid w:val="00432989"/>
    <w:rsid w:val="004342A0"/>
    <w:rsid w:val="00440E24"/>
    <w:rsid w:val="0044776A"/>
    <w:rsid w:val="004557E1"/>
    <w:rsid w:val="00460AFC"/>
    <w:rsid w:val="0047471F"/>
    <w:rsid w:val="004B195E"/>
    <w:rsid w:val="004B4392"/>
    <w:rsid w:val="004B66B4"/>
    <w:rsid w:val="004B7F60"/>
    <w:rsid w:val="004C1AAC"/>
    <w:rsid w:val="004C1C35"/>
    <w:rsid w:val="004C61B2"/>
    <w:rsid w:val="004D1585"/>
    <w:rsid w:val="004E1E0A"/>
    <w:rsid w:val="004E44A7"/>
    <w:rsid w:val="004E5524"/>
    <w:rsid w:val="004F090E"/>
    <w:rsid w:val="00500745"/>
    <w:rsid w:val="00501F3C"/>
    <w:rsid w:val="00502630"/>
    <w:rsid w:val="00504EE5"/>
    <w:rsid w:val="00506BE1"/>
    <w:rsid w:val="00511FEC"/>
    <w:rsid w:val="00512077"/>
    <w:rsid w:val="00520F9E"/>
    <w:rsid w:val="0052229C"/>
    <w:rsid w:val="00527CC7"/>
    <w:rsid w:val="005308FC"/>
    <w:rsid w:val="005358E0"/>
    <w:rsid w:val="00560DF1"/>
    <w:rsid w:val="0056120C"/>
    <w:rsid w:val="0056248C"/>
    <w:rsid w:val="00564B09"/>
    <w:rsid w:val="00567602"/>
    <w:rsid w:val="00567680"/>
    <w:rsid w:val="00571CA4"/>
    <w:rsid w:val="00573AF2"/>
    <w:rsid w:val="00582136"/>
    <w:rsid w:val="00587312"/>
    <w:rsid w:val="00596E4C"/>
    <w:rsid w:val="005A6243"/>
    <w:rsid w:val="005C6840"/>
    <w:rsid w:val="005D05AA"/>
    <w:rsid w:val="005E3897"/>
    <w:rsid w:val="005F1ED8"/>
    <w:rsid w:val="005F263E"/>
    <w:rsid w:val="00600252"/>
    <w:rsid w:val="00612A40"/>
    <w:rsid w:val="00617D32"/>
    <w:rsid w:val="0062714A"/>
    <w:rsid w:val="00634F42"/>
    <w:rsid w:val="006615F4"/>
    <w:rsid w:val="00662327"/>
    <w:rsid w:val="00675479"/>
    <w:rsid w:val="00680709"/>
    <w:rsid w:val="00681F61"/>
    <w:rsid w:val="00684C75"/>
    <w:rsid w:val="00684F23"/>
    <w:rsid w:val="00693C38"/>
    <w:rsid w:val="00696BF9"/>
    <w:rsid w:val="00697C62"/>
    <w:rsid w:val="006A329B"/>
    <w:rsid w:val="006A7EB8"/>
    <w:rsid w:val="006B6926"/>
    <w:rsid w:val="006C0FFF"/>
    <w:rsid w:val="006C3F47"/>
    <w:rsid w:val="006C5F7A"/>
    <w:rsid w:val="006C7C64"/>
    <w:rsid w:val="006E06AF"/>
    <w:rsid w:val="006E1CB0"/>
    <w:rsid w:val="006E5A45"/>
    <w:rsid w:val="006F34C5"/>
    <w:rsid w:val="006F350F"/>
    <w:rsid w:val="007041F5"/>
    <w:rsid w:val="00717608"/>
    <w:rsid w:val="00727571"/>
    <w:rsid w:val="00732DB7"/>
    <w:rsid w:val="0074238B"/>
    <w:rsid w:val="00745EF7"/>
    <w:rsid w:val="00746CD0"/>
    <w:rsid w:val="00755F22"/>
    <w:rsid w:val="00766E4A"/>
    <w:rsid w:val="007820CE"/>
    <w:rsid w:val="00782AE4"/>
    <w:rsid w:val="007846EC"/>
    <w:rsid w:val="0079724F"/>
    <w:rsid w:val="007A3EAE"/>
    <w:rsid w:val="007A7912"/>
    <w:rsid w:val="007B356A"/>
    <w:rsid w:val="007B4DFF"/>
    <w:rsid w:val="007C04FC"/>
    <w:rsid w:val="007C3D5F"/>
    <w:rsid w:val="007C3DB0"/>
    <w:rsid w:val="007C43C9"/>
    <w:rsid w:val="007C47C2"/>
    <w:rsid w:val="007D3E0F"/>
    <w:rsid w:val="007D5390"/>
    <w:rsid w:val="007E1853"/>
    <w:rsid w:val="007E4282"/>
    <w:rsid w:val="007F387B"/>
    <w:rsid w:val="00802863"/>
    <w:rsid w:val="008112A9"/>
    <w:rsid w:val="0081473A"/>
    <w:rsid w:val="00815B3C"/>
    <w:rsid w:val="0081610A"/>
    <w:rsid w:val="008277C4"/>
    <w:rsid w:val="0082783A"/>
    <w:rsid w:val="00831CA9"/>
    <w:rsid w:val="00842B6B"/>
    <w:rsid w:val="00844E40"/>
    <w:rsid w:val="00845C2A"/>
    <w:rsid w:val="0084673E"/>
    <w:rsid w:val="00850E1F"/>
    <w:rsid w:val="0085476B"/>
    <w:rsid w:val="0086340B"/>
    <w:rsid w:val="00864F45"/>
    <w:rsid w:val="00870CE1"/>
    <w:rsid w:val="0087310F"/>
    <w:rsid w:val="008847EB"/>
    <w:rsid w:val="008859F1"/>
    <w:rsid w:val="008902B1"/>
    <w:rsid w:val="00890FEB"/>
    <w:rsid w:val="00893449"/>
    <w:rsid w:val="00895E7E"/>
    <w:rsid w:val="008961FD"/>
    <w:rsid w:val="008A1FAE"/>
    <w:rsid w:val="008A355A"/>
    <w:rsid w:val="008A5C1A"/>
    <w:rsid w:val="008A7BC4"/>
    <w:rsid w:val="008C2318"/>
    <w:rsid w:val="008C4AB9"/>
    <w:rsid w:val="008D085E"/>
    <w:rsid w:val="008D292F"/>
    <w:rsid w:val="008D3D4B"/>
    <w:rsid w:val="008E03DC"/>
    <w:rsid w:val="008E2908"/>
    <w:rsid w:val="00901092"/>
    <w:rsid w:val="00902E51"/>
    <w:rsid w:val="0090742F"/>
    <w:rsid w:val="0091087C"/>
    <w:rsid w:val="00924065"/>
    <w:rsid w:val="00930B8A"/>
    <w:rsid w:val="00930D68"/>
    <w:rsid w:val="00932DB4"/>
    <w:rsid w:val="00941A4B"/>
    <w:rsid w:val="00946242"/>
    <w:rsid w:val="0095096B"/>
    <w:rsid w:val="00955827"/>
    <w:rsid w:val="00956BF4"/>
    <w:rsid w:val="00957556"/>
    <w:rsid w:val="00961C83"/>
    <w:rsid w:val="00970CD3"/>
    <w:rsid w:val="009723FA"/>
    <w:rsid w:val="0097579D"/>
    <w:rsid w:val="00981ECD"/>
    <w:rsid w:val="00984546"/>
    <w:rsid w:val="00996510"/>
    <w:rsid w:val="009A75CF"/>
    <w:rsid w:val="009B019D"/>
    <w:rsid w:val="009C1CAD"/>
    <w:rsid w:val="009C4E23"/>
    <w:rsid w:val="009D1F15"/>
    <w:rsid w:val="009D555E"/>
    <w:rsid w:val="009F3024"/>
    <w:rsid w:val="009F39BA"/>
    <w:rsid w:val="00A03156"/>
    <w:rsid w:val="00A0355E"/>
    <w:rsid w:val="00A208AD"/>
    <w:rsid w:val="00A2136E"/>
    <w:rsid w:val="00A234E1"/>
    <w:rsid w:val="00A242F4"/>
    <w:rsid w:val="00A373F4"/>
    <w:rsid w:val="00A375D1"/>
    <w:rsid w:val="00A41D2B"/>
    <w:rsid w:val="00A51D10"/>
    <w:rsid w:val="00A52A83"/>
    <w:rsid w:val="00A61252"/>
    <w:rsid w:val="00A6552C"/>
    <w:rsid w:val="00A744AF"/>
    <w:rsid w:val="00A760C7"/>
    <w:rsid w:val="00A81DCF"/>
    <w:rsid w:val="00A87207"/>
    <w:rsid w:val="00A935AA"/>
    <w:rsid w:val="00A956D3"/>
    <w:rsid w:val="00AB2201"/>
    <w:rsid w:val="00AB5672"/>
    <w:rsid w:val="00AC01CE"/>
    <w:rsid w:val="00AC3CBD"/>
    <w:rsid w:val="00AD1D34"/>
    <w:rsid w:val="00AD3259"/>
    <w:rsid w:val="00AE043C"/>
    <w:rsid w:val="00AF1715"/>
    <w:rsid w:val="00AF3904"/>
    <w:rsid w:val="00B010C0"/>
    <w:rsid w:val="00B07FD6"/>
    <w:rsid w:val="00B15CBE"/>
    <w:rsid w:val="00B40FD9"/>
    <w:rsid w:val="00B4740D"/>
    <w:rsid w:val="00B61629"/>
    <w:rsid w:val="00B62317"/>
    <w:rsid w:val="00B635E0"/>
    <w:rsid w:val="00B7374B"/>
    <w:rsid w:val="00B7722E"/>
    <w:rsid w:val="00B90220"/>
    <w:rsid w:val="00B90DC0"/>
    <w:rsid w:val="00B933B0"/>
    <w:rsid w:val="00B9459D"/>
    <w:rsid w:val="00BA116A"/>
    <w:rsid w:val="00BA5582"/>
    <w:rsid w:val="00BA6468"/>
    <w:rsid w:val="00BA7004"/>
    <w:rsid w:val="00BB15A8"/>
    <w:rsid w:val="00BB1D44"/>
    <w:rsid w:val="00BC680C"/>
    <w:rsid w:val="00BD06DA"/>
    <w:rsid w:val="00BD264E"/>
    <w:rsid w:val="00BD4217"/>
    <w:rsid w:val="00BE34F7"/>
    <w:rsid w:val="00BF25F3"/>
    <w:rsid w:val="00BF7852"/>
    <w:rsid w:val="00C01FCB"/>
    <w:rsid w:val="00C1697B"/>
    <w:rsid w:val="00C21644"/>
    <w:rsid w:val="00C21CB5"/>
    <w:rsid w:val="00C2326E"/>
    <w:rsid w:val="00C257CD"/>
    <w:rsid w:val="00C27015"/>
    <w:rsid w:val="00C406CA"/>
    <w:rsid w:val="00C46376"/>
    <w:rsid w:val="00C47F63"/>
    <w:rsid w:val="00C50A5C"/>
    <w:rsid w:val="00C50FDF"/>
    <w:rsid w:val="00C512F1"/>
    <w:rsid w:val="00C63381"/>
    <w:rsid w:val="00C73D06"/>
    <w:rsid w:val="00C73E1B"/>
    <w:rsid w:val="00C73EE8"/>
    <w:rsid w:val="00C74B62"/>
    <w:rsid w:val="00C7556C"/>
    <w:rsid w:val="00C759B4"/>
    <w:rsid w:val="00C77713"/>
    <w:rsid w:val="00C83AA7"/>
    <w:rsid w:val="00C8528C"/>
    <w:rsid w:val="00C85BB7"/>
    <w:rsid w:val="00C86E0F"/>
    <w:rsid w:val="00C91970"/>
    <w:rsid w:val="00CA0DA1"/>
    <w:rsid w:val="00CA13BE"/>
    <w:rsid w:val="00CA2DEA"/>
    <w:rsid w:val="00CA3CA9"/>
    <w:rsid w:val="00CA3EC4"/>
    <w:rsid w:val="00CB3520"/>
    <w:rsid w:val="00CB43D5"/>
    <w:rsid w:val="00CC4D84"/>
    <w:rsid w:val="00CE198A"/>
    <w:rsid w:val="00CF08C8"/>
    <w:rsid w:val="00D004FC"/>
    <w:rsid w:val="00D114A1"/>
    <w:rsid w:val="00D22BC0"/>
    <w:rsid w:val="00D31809"/>
    <w:rsid w:val="00D4114F"/>
    <w:rsid w:val="00D45C5E"/>
    <w:rsid w:val="00D6331A"/>
    <w:rsid w:val="00D64901"/>
    <w:rsid w:val="00D76BDF"/>
    <w:rsid w:val="00D818B6"/>
    <w:rsid w:val="00D82A57"/>
    <w:rsid w:val="00D82BFF"/>
    <w:rsid w:val="00D8443D"/>
    <w:rsid w:val="00D862C1"/>
    <w:rsid w:val="00D93B50"/>
    <w:rsid w:val="00D94028"/>
    <w:rsid w:val="00D94670"/>
    <w:rsid w:val="00DA46F6"/>
    <w:rsid w:val="00DA756F"/>
    <w:rsid w:val="00DC0577"/>
    <w:rsid w:val="00DC6B2E"/>
    <w:rsid w:val="00DC6CB2"/>
    <w:rsid w:val="00DD0B49"/>
    <w:rsid w:val="00DD0BDC"/>
    <w:rsid w:val="00DE0502"/>
    <w:rsid w:val="00DE349D"/>
    <w:rsid w:val="00DF3DFE"/>
    <w:rsid w:val="00E0270C"/>
    <w:rsid w:val="00E06DFA"/>
    <w:rsid w:val="00E11C78"/>
    <w:rsid w:val="00E20A0A"/>
    <w:rsid w:val="00E219A5"/>
    <w:rsid w:val="00E240C2"/>
    <w:rsid w:val="00E277BC"/>
    <w:rsid w:val="00E356C7"/>
    <w:rsid w:val="00E414CA"/>
    <w:rsid w:val="00E41A5A"/>
    <w:rsid w:val="00E45FE4"/>
    <w:rsid w:val="00E62728"/>
    <w:rsid w:val="00E64FA7"/>
    <w:rsid w:val="00E65960"/>
    <w:rsid w:val="00E664DA"/>
    <w:rsid w:val="00E670F7"/>
    <w:rsid w:val="00E71254"/>
    <w:rsid w:val="00E71B70"/>
    <w:rsid w:val="00E75CFD"/>
    <w:rsid w:val="00E770CB"/>
    <w:rsid w:val="00E8520D"/>
    <w:rsid w:val="00E8544A"/>
    <w:rsid w:val="00E903A1"/>
    <w:rsid w:val="00E92A37"/>
    <w:rsid w:val="00E940EB"/>
    <w:rsid w:val="00E942C2"/>
    <w:rsid w:val="00E9703F"/>
    <w:rsid w:val="00E97984"/>
    <w:rsid w:val="00EA0DA8"/>
    <w:rsid w:val="00EB2B90"/>
    <w:rsid w:val="00ED078F"/>
    <w:rsid w:val="00ED7E83"/>
    <w:rsid w:val="00EE091F"/>
    <w:rsid w:val="00EF4B63"/>
    <w:rsid w:val="00F0068D"/>
    <w:rsid w:val="00F0576D"/>
    <w:rsid w:val="00F14E6D"/>
    <w:rsid w:val="00F15EA8"/>
    <w:rsid w:val="00F16063"/>
    <w:rsid w:val="00F16C8D"/>
    <w:rsid w:val="00F24ADB"/>
    <w:rsid w:val="00F253CC"/>
    <w:rsid w:val="00F2567E"/>
    <w:rsid w:val="00F26C61"/>
    <w:rsid w:val="00F33CCE"/>
    <w:rsid w:val="00F40249"/>
    <w:rsid w:val="00F526C8"/>
    <w:rsid w:val="00F554B5"/>
    <w:rsid w:val="00F663FF"/>
    <w:rsid w:val="00F7292E"/>
    <w:rsid w:val="00F75954"/>
    <w:rsid w:val="00F761A3"/>
    <w:rsid w:val="00F77354"/>
    <w:rsid w:val="00F8664B"/>
    <w:rsid w:val="00F9272D"/>
    <w:rsid w:val="00F9518C"/>
    <w:rsid w:val="00FA316E"/>
    <w:rsid w:val="00FA3373"/>
    <w:rsid w:val="00FA59EF"/>
    <w:rsid w:val="00FB19A2"/>
    <w:rsid w:val="00FB1DB6"/>
    <w:rsid w:val="00FB4A2E"/>
    <w:rsid w:val="00FC4982"/>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qFormat/>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1E76BA"/>
    <w:pPr>
      <w:jc w:val="both"/>
    </w:pPr>
    <w:rPr>
      <w:rFonts w:eastAsia="Calibri" w:cs="Times New Roman"/>
      <w:smallCaps/>
    </w:rPr>
  </w:style>
  <w:style w:type="character" w:customStyle="1" w:styleId="SCCBanSummaryChar">
    <w:name w:val="SCC.BanSummary Char"/>
    <w:link w:val="SCCBanSummary0"/>
    <w:rsid w:val="001E76BA"/>
    <w:rPr>
      <w:rFonts w:eastAsia="Calibri" w:cs="Times New Roman"/>
      <w:smallCaps/>
      <w:lang w:val="en-CA"/>
    </w:rPr>
  </w:style>
  <w:style w:type="paragraph" w:customStyle="1" w:styleId="SCCCaseDescriptor0">
    <w:name w:val="SCC.CaseDescriptor"/>
    <w:basedOn w:val="Normal"/>
    <w:link w:val="SCCCaseDescriptorChar"/>
    <w:qFormat/>
    <w:rsid w:val="001E76BA"/>
    <w:rPr>
      <w:rFonts w:eastAsia="Times New Roman" w:cs="Times New Roman"/>
      <w:b/>
      <w:szCs w:val="20"/>
      <w:lang w:eastAsia="en-CA"/>
    </w:rPr>
  </w:style>
  <w:style w:type="character" w:customStyle="1" w:styleId="SCCCaseDescriptorChar">
    <w:name w:val="SCC.CaseDescriptor Char"/>
    <w:basedOn w:val="DefaultParagraphFont"/>
    <w:link w:val="SCCCaseDescriptor0"/>
    <w:rsid w:val="001E76BA"/>
    <w:rPr>
      <w:rFonts w:eastAsia="Times New Roman" w:cs="Times New Roman"/>
      <w:b/>
      <w:szCs w:val="20"/>
      <w:lang w:val="en-CA" w:eastAsia="en-CA"/>
    </w:rPr>
  </w:style>
  <w:style w:type="paragraph" w:customStyle="1" w:styleId="SCCLsocSubfileSeparator0">
    <w:name w:val="SCC.Lsoc.SubfileSeparator"/>
    <w:basedOn w:val="Normal"/>
    <w:next w:val="Normal"/>
    <w:link w:val="SCCLsocSubfileSeparatorChar"/>
    <w:rsid w:val="001E76BA"/>
    <w:pPr>
      <w:jc w:val="both"/>
    </w:pPr>
    <w:rPr>
      <w:rFonts w:cs="Times New Roman"/>
      <w:b/>
      <w:szCs w:val="24"/>
    </w:rPr>
  </w:style>
  <w:style w:type="character" w:customStyle="1" w:styleId="SCCLsocSubfileSeparatorChar">
    <w:name w:val="SCC.Lsoc.SubfileSeparator Char"/>
    <w:basedOn w:val="DefaultParagraphFont"/>
    <w:link w:val="SCCLsocSubfileSeparator0"/>
    <w:rsid w:val="001E76BA"/>
    <w:rPr>
      <w:rFonts w:cs="Times New Roman"/>
      <w:b/>
      <w:szCs w:val="24"/>
      <w:lang w:val="en-CA"/>
    </w:rPr>
  </w:style>
  <w:style w:type="paragraph" w:customStyle="1" w:styleId="SCCAppellantInfoSectionTitle">
    <w:name w:val="SCC.AppellantInfo.SectionTitle"/>
    <w:basedOn w:val="Normal"/>
    <w:next w:val="Normal"/>
    <w:link w:val="SCCAppellantInfoSectionTitleChar"/>
    <w:rsid w:val="00D4114F"/>
    <w:pPr>
      <w:jc w:val="center"/>
    </w:pPr>
    <w:rPr>
      <w:b/>
      <w:szCs w:val="24"/>
      <w:u w:val="single"/>
    </w:rPr>
  </w:style>
  <w:style w:type="character" w:customStyle="1" w:styleId="SCCAppellantInfoSectionTitleChar">
    <w:name w:val="SCC.AppellantInfo.SectionTitle Char"/>
    <w:basedOn w:val="DefaultParagraphFont"/>
    <w:link w:val="SCCAppellantInfoSectionTitle"/>
    <w:rsid w:val="00D4114F"/>
    <w:rPr>
      <w:b/>
      <w:szCs w:val="24"/>
      <w:u w:val="single"/>
      <w:lang w:val="en-CA"/>
    </w:rPr>
  </w:style>
  <w:style w:type="paragraph" w:customStyle="1" w:styleId="SCCAppellantInfoSectionText">
    <w:name w:val="SCC.AppellantInfo.SectionText"/>
    <w:basedOn w:val="Normal"/>
    <w:next w:val="Normal"/>
    <w:link w:val="SCCAppellantInfoSectionTextChar"/>
    <w:rsid w:val="00D4114F"/>
    <w:pPr>
      <w:jc w:val="both"/>
    </w:pPr>
    <w:rPr>
      <w:szCs w:val="24"/>
    </w:rPr>
  </w:style>
  <w:style w:type="character" w:customStyle="1" w:styleId="SCCAppellantInfoSectionTextChar">
    <w:name w:val="SCC.AppellantInfo.SectionText Char"/>
    <w:basedOn w:val="DefaultParagraphFont"/>
    <w:link w:val="SCCAppellantInfoSectionText"/>
    <w:rsid w:val="00D4114F"/>
    <w:rPr>
      <w:szCs w:val="24"/>
      <w:lang w:val="en-CA"/>
    </w:rPr>
  </w:style>
  <w:style w:type="paragraph" w:customStyle="1" w:styleId="SCCAppellantInfoCoram">
    <w:name w:val="SCC.AppellantInfo.Coram"/>
    <w:basedOn w:val="Normal"/>
    <w:next w:val="Normal"/>
    <w:link w:val="SCCAppellantInfoCoramChar"/>
    <w:rsid w:val="00D4114F"/>
    <w:rPr>
      <w:b/>
      <w:szCs w:val="24"/>
    </w:rPr>
  </w:style>
  <w:style w:type="character" w:customStyle="1" w:styleId="SCCAppellantInfoCoramChar">
    <w:name w:val="SCC.AppellantInfo.Coram Char"/>
    <w:basedOn w:val="DefaultParagraphFont"/>
    <w:link w:val="SCCAppellantInfoCoram"/>
    <w:rsid w:val="00D4114F"/>
    <w:rPr>
      <w:b/>
      <w:szCs w:val="24"/>
      <w:lang w:val="en-CA"/>
    </w:rPr>
  </w:style>
  <w:style w:type="paragraph" w:customStyle="1" w:styleId="SCCAppellantInfoTypeOfCase">
    <w:name w:val="SCC.AppellantInfo.TypeOfCase"/>
    <w:basedOn w:val="Normal"/>
    <w:next w:val="Normal"/>
    <w:link w:val="SCCAppellantInfoTypeOfCaseChar"/>
    <w:rsid w:val="00D4114F"/>
    <w:rPr>
      <w:b/>
      <w:szCs w:val="24"/>
    </w:rPr>
  </w:style>
  <w:style w:type="character" w:customStyle="1" w:styleId="SCCAppellantInfoTypeOfCaseChar">
    <w:name w:val="SCC.AppellantInfo.TypeOfCase Char"/>
    <w:basedOn w:val="DefaultParagraphFont"/>
    <w:link w:val="SCCAppellantInfoTypeOfCase"/>
    <w:rsid w:val="00D4114F"/>
    <w:rPr>
      <w:b/>
      <w:szCs w:val="24"/>
      <w:lang w:val="en-CA"/>
    </w:rPr>
  </w:style>
  <w:style w:type="paragraph" w:customStyle="1" w:styleId="SCCAppellantInfoAppellantInfo">
    <w:name w:val="SCC.AppellantInfo.AppellantInfo"/>
    <w:basedOn w:val="Normal"/>
    <w:next w:val="Normal"/>
    <w:link w:val="SCCAppellantInfoAppellantInfoChar"/>
    <w:rsid w:val="00D4114F"/>
    <w:rPr>
      <w:szCs w:val="24"/>
    </w:rPr>
  </w:style>
  <w:style w:type="character" w:customStyle="1" w:styleId="SCCAppellantInfoAppellantInfoChar">
    <w:name w:val="SCC.AppellantInfo.AppellantInfo Char"/>
    <w:basedOn w:val="DefaultParagraphFont"/>
    <w:link w:val="SCCAppellantInfoAppellantInfo"/>
    <w:rsid w:val="00D4114F"/>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yperlink" Target="http://canlii.ca/t/h4h4r%3e" TargetMode="Externa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hyperlink" Target="https://decisions.scc-csc.ca/scc-csc/scc-csc/en/item/18039/index.do" TargetMode="External"/><Relationship Id="rId50" Type="http://schemas.openxmlformats.org/officeDocument/2006/relationships/hyperlink" Target="https://decisions.scc-csc.ca/scc-csc/scc-csc/fr/item/18039/index.do" TargetMode="External"/><Relationship Id="rId55" Type="http://schemas.openxmlformats.org/officeDocument/2006/relationships/header" Target="header19.xml"/><Relationship Id="rId63" Type="http://schemas.openxmlformats.org/officeDocument/2006/relationships/hyperlink" Target="http://www.scc-csc.ca/case-dossier/info/sum-som-eng.aspx?cas=38459" TargetMode="External"/><Relationship Id="rId68" Type="http://schemas.openxmlformats.org/officeDocument/2006/relationships/header" Target="header20.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header" Target="header16.xml"/><Relationship Id="rId53" Type="http://schemas.openxmlformats.org/officeDocument/2006/relationships/footer" Target="footer17.xml"/><Relationship Id="rId58" Type="http://schemas.openxmlformats.org/officeDocument/2006/relationships/hyperlink" Target="http://www.scc-csc.ca/case-dossier/info/sum-som-eng.aspx?cas=38540" TargetMode="External"/><Relationship Id="rId66" Type="http://schemas.openxmlformats.org/officeDocument/2006/relationships/hyperlink" Target="http://www.scc-csc.ca/case-dossier/info/sum-som-eng.aspx?cas=38505" TargetMode="External"/><Relationship Id="rId74"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hyperlink" Target="https://decisions.scc-csc.ca/scc-csc/scc-csc/en/item/18039/index.do" TargetMode="External"/><Relationship Id="rId57" Type="http://schemas.openxmlformats.org/officeDocument/2006/relationships/hyperlink" Target="http://www.scc-csc.ca/case-dossier/info/sum-som-eng.aspx?cas=38521" TargetMode="External"/><Relationship Id="rId61" Type="http://schemas.openxmlformats.org/officeDocument/2006/relationships/hyperlink" Target="http://www.scc-csc.ca/case-dossier/info/sum-som-eng.aspx?cas=38601" TargetMode="External"/><Relationship Id="rId10" Type="http://schemas.openxmlformats.org/officeDocument/2006/relationships/hyperlink" Target="http://www.scc-csc.ca" TargetMode="External"/><Relationship Id="rId19" Type="http://schemas.openxmlformats.org/officeDocument/2006/relationships/hyperlink" Target="http://canlii.ca/t/h4h4r%3e" TargetMode="External"/><Relationship Id="rId31" Type="http://schemas.openxmlformats.org/officeDocument/2006/relationships/footer" Target="footer8.xml"/><Relationship Id="rId44" Type="http://schemas.openxmlformats.org/officeDocument/2006/relationships/footer" Target="footer15.xml"/><Relationship Id="rId52" Type="http://schemas.openxmlformats.org/officeDocument/2006/relationships/header" Target="header18.xml"/><Relationship Id="rId60" Type="http://schemas.openxmlformats.org/officeDocument/2006/relationships/hyperlink" Target="http://www.scc-csc.ca/case-dossier/info/sum-som-eng.aspx?cas=38463" TargetMode="External"/><Relationship Id="rId65" Type="http://schemas.openxmlformats.org/officeDocument/2006/relationships/hyperlink" Target="http://www.scc-csc.ca/case-dossier/info/sum-som-eng.aspx?cas=38562" TargetMode="External"/><Relationship Id="rId73"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canlii.ca/t/hzvpp%3e"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hyperlink" Target="https://decisions.scc-csc.ca/scc-csc/scc-csc/fr/item/18039/index.do" TargetMode="External"/><Relationship Id="rId56" Type="http://schemas.openxmlformats.org/officeDocument/2006/relationships/footer" Target="footer19.xml"/><Relationship Id="rId64" Type="http://schemas.openxmlformats.org/officeDocument/2006/relationships/hyperlink" Target="http://www.scc-csc.ca/case-dossier/info/sum-som-fra.aspx?cas=38254" TargetMode="External"/><Relationship Id="rId69" Type="http://schemas.openxmlformats.org/officeDocument/2006/relationships/header" Target="header21.xml"/><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17.xml"/><Relationship Id="rId72"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hyperlink" Target="http://www.scc-csc.ca/case-dossier/info/sum-som-fra.aspx?cas=37898" TargetMode="External"/><Relationship Id="rId67" Type="http://schemas.openxmlformats.org/officeDocument/2006/relationships/hyperlink" Target="http://www.scc-csc.ca/case-dossier/info/sum-som-fra.aspx?cas=38681" TargetMode="External"/><Relationship Id="rId20" Type="http://schemas.openxmlformats.org/officeDocument/2006/relationships/hyperlink" Target="http://canlii.ca/t/hzvpp%3e" TargetMode="External"/><Relationship Id="rId41" Type="http://schemas.openxmlformats.org/officeDocument/2006/relationships/header" Target="header14.xml"/><Relationship Id="rId54" Type="http://schemas.openxmlformats.org/officeDocument/2006/relationships/footer" Target="footer18.xml"/><Relationship Id="rId62" Type="http://schemas.openxmlformats.org/officeDocument/2006/relationships/hyperlink" Target="http://www.scc-csc.ca/case-dossier/info/sum-som-eng.aspx?cas=38381" TargetMode="External"/><Relationship Id="rId70" Type="http://schemas.openxmlformats.org/officeDocument/2006/relationships/footer" Target="footer20.xml"/><Relationship Id="rId75"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EB8A-9013-4A12-94BB-93CBD91E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30</Pages>
  <Words>13400</Words>
  <Characters>76386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2019-11-15T16:08:00Z</dcterms:created>
  <dcterms:modified xsi:type="dcterms:W3CDTF">2019-11-22T15:35:00Z</dcterms:modified>
</cp:coreProperties>
</file>