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83"/>
        <w:gridCol w:w="4566"/>
      </w:tblGrid>
      <w:tr w:rsidR="00F138C1" w:rsidRPr="00B84A84" w:rsidTr="00F138C1">
        <w:tc>
          <w:tcPr>
            <w:tcW w:w="9648" w:type="dxa"/>
            <w:gridSpan w:val="3"/>
          </w:tcPr>
          <w:p w:rsidR="00F138C1" w:rsidRPr="00B84A84" w:rsidRDefault="00F138C1" w:rsidP="00F138C1">
            <w:pPr>
              <w:tabs>
                <w:tab w:val="left" w:pos="6075"/>
              </w:tabs>
              <w:jc w:val="center"/>
              <w:rPr>
                <w:b/>
                <w:sz w:val="32"/>
                <w:szCs w:val="32"/>
                <w:lang w:val="fr-CA"/>
              </w:rPr>
            </w:pPr>
            <w:bookmarkStart w:id="0" w:name="_GoBack"/>
            <w:bookmarkEnd w:id="0"/>
            <w:r w:rsidRPr="00B84A84">
              <w:rPr>
                <w:noProof/>
                <w:lang w:val="en-US"/>
              </w:rPr>
              <w:drawing>
                <wp:inline distT="0" distB="0" distL="0" distR="0" wp14:anchorId="49525E93" wp14:editId="7802F974">
                  <wp:extent cx="1200150" cy="1666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970"/>
                          <a:stretch/>
                        </pic:blipFill>
                        <pic:spPr bwMode="auto">
                          <a:xfrm>
                            <a:off x="0" y="0"/>
                            <a:ext cx="1200150" cy="16668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138C1" w:rsidRPr="00B84A84" w:rsidTr="00F138C1">
        <w:tc>
          <w:tcPr>
            <w:tcW w:w="4599" w:type="dxa"/>
            <w:tcMar>
              <w:top w:w="284" w:type="dxa"/>
            </w:tcMar>
          </w:tcPr>
          <w:p w:rsidR="00F138C1" w:rsidRPr="00B84A84" w:rsidRDefault="00F138C1" w:rsidP="00F138C1">
            <w:pPr>
              <w:tabs>
                <w:tab w:val="left" w:pos="6075"/>
              </w:tabs>
              <w:jc w:val="center"/>
              <w:rPr>
                <w:b/>
                <w:sz w:val="32"/>
                <w:szCs w:val="32"/>
              </w:rPr>
            </w:pPr>
            <w:r w:rsidRPr="00B84A84">
              <w:rPr>
                <w:b/>
                <w:sz w:val="32"/>
                <w:szCs w:val="32"/>
              </w:rPr>
              <w:t>SUPREME COURT OF CANADA</w:t>
            </w:r>
          </w:p>
        </w:tc>
        <w:tc>
          <w:tcPr>
            <w:tcW w:w="483" w:type="dxa"/>
          </w:tcPr>
          <w:p w:rsidR="00F138C1" w:rsidRPr="00B84A84" w:rsidRDefault="00F138C1" w:rsidP="00F138C1">
            <w:pPr>
              <w:tabs>
                <w:tab w:val="left" w:pos="6075"/>
              </w:tabs>
              <w:jc w:val="center"/>
              <w:rPr>
                <w:sz w:val="32"/>
                <w:szCs w:val="32"/>
              </w:rPr>
            </w:pPr>
          </w:p>
        </w:tc>
        <w:tc>
          <w:tcPr>
            <w:tcW w:w="4566" w:type="dxa"/>
            <w:tcMar>
              <w:top w:w="284" w:type="dxa"/>
            </w:tcMar>
          </w:tcPr>
          <w:p w:rsidR="00F138C1" w:rsidRPr="00B84A84" w:rsidRDefault="00F138C1" w:rsidP="00F138C1">
            <w:pPr>
              <w:tabs>
                <w:tab w:val="left" w:pos="6075"/>
              </w:tabs>
              <w:jc w:val="center"/>
              <w:rPr>
                <w:b/>
                <w:sz w:val="32"/>
                <w:szCs w:val="32"/>
                <w:lang w:val="fr-CA"/>
              </w:rPr>
            </w:pPr>
            <w:r w:rsidRPr="00B84A84">
              <w:rPr>
                <w:b/>
                <w:sz w:val="32"/>
                <w:szCs w:val="32"/>
                <w:lang w:val="fr-CA"/>
              </w:rPr>
              <w:t>COUR SUPRÊME DU CANADA</w:t>
            </w:r>
          </w:p>
        </w:tc>
      </w:tr>
      <w:tr w:rsidR="00F138C1" w:rsidRPr="00B84A84" w:rsidTr="00F138C1">
        <w:tc>
          <w:tcPr>
            <w:tcW w:w="4599" w:type="dxa"/>
            <w:tcMar>
              <w:top w:w="567" w:type="dxa"/>
            </w:tcMar>
          </w:tcPr>
          <w:p w:rsidR="00F138C1" w:rsidRPr="00B84A84" w:rsidRDefault="00F138C1" w:rsidP="00F138C1">
            <w:pPr>
              <w:tabs>
                <w:tab w:val="left" w:pos="6075"/>
              </w:tabs>
              <w:jc w:val="center"/>
              <w:rPr>
                <w:sz w:val="28"/>
                <w:szCs w:val="28"/>
              </w:rPr>
            </w:pPr>
            <w:r w:rsidRPr="00B84A84">
              <w:rPr>
                <w:sz w:val="28"/>
                <w:szCs w:val="28"/>
              </w:rPr>
              <w:t>BULLETIN OF</w:t>
            </w:r>
            <w:r w:rsidRPr="00B84A84">
              <w:rPr>
                <w:sz w:val="28"/>
                <w:szCs w:val="28"/>
              </w:rPr>
              <w:br/>
              <w:t xml:space="preserve"> PROCEEDINGS</w:t>
            </w:r>
          </w:p>
        </w:tc>
        <w:tc>
          <w:tcPr>
            <w:tcW w:w="483" w:type="dxa"/>
          </w:tcPr>
          <w:p w:rsidR="00F138C1" w:rsidRPr="00B84A84" w:rsidRDefault="00F138C1" w:rsidP="00F138C1">
            <w:pPr>
              <w:tabs>
                <w:tab w:val="left" w:pos="6075"/>
              </w:tabs>
            </w:pPr>
          </w:p>
        </w:tc>
        <w:tc>
          <w:tcPr>
            <w:tcW w:w="4566" w:type="dxa"/>
            <w:tcMar>
              <w:top w:w="567" w:type="dxa"/>
            </w:tcMar>
          </w:tcPr>
          <w:p w:rsidR="00F138C1" w:rsidRPr="00B84A84" w:rsidRDefault="00F138C1" w:rsidP="00F138C1">
            <w:pPr>
              <w:tabs>
                <w:tab w:val="left" w:pos="6075"/>
              </w:tabs>
              <w:jc w:val="center"/>
              <w:rPr>
                <w:sz w:val="28"/>
                <w:szCs w:val="28"/>
                <w:lang w:val="fr-CA"/>
              </w:rPr>
            </w:pPr>
            <w:r w:rsidRPr="00B84A84">
              <w:rPr>
                <w:sz w:val="28"/>
                <w:szCs w:val="28"/>
                <w:lang w:val="fr-CA"/>
              </w:rPr>
              <w:t>BULLETIN DES</w:t>
            </w:r>
            <w:r w:rsidRPr="00B84A84">
              <w:rPr>
                <w:sz w:val="28"/>
                <w:szCs w:val="28"/>
                <w:lang w:val="fr-CA"/>
              </w:rPr>
              <w:br/>
              <w:t xml:space="preserve"> PROCÉDURES</w:t>
            </w:r>
          </w:p>
        </w:tc>
      </w:tr>
      <w:tr w:rsidR="00F138C1" w:rsidRPr="00840E69" w:rsidTr="00F138C1">
        <w:tc>
          <w:tcPr>
            <w:tcW w:w="4599" w:type="dxa"/>
            <w:tcMar>
              <w:top w:w="567" w:type="dxa"/>
            </w:tcMar>
          </w:tcPr>
          <w:p w:rsidR="00F138C1" w:rsidRPr="00B84A84" w:rsidRDefault="00F138C1" w:rsidP="00F138C1">
            <w:pPr>
              <w:tabs>
                <w:tab w:val="left" w:pos="6075"/>
              </w:tabs>
              <w:jc w:val="both"/>
              <w:rPr>
                <w:rFonts w:ascii="Arial" w:hAnsi="Arial" w:cs="Arial"/>
                <w:i/>
                <w:sz w:val="20"/>
                <w:szCs w:val="20"/>
              </w:rPr>
            </w:pPr>
            <w:r w:rsidRPr="00B84A84">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483" w:type="dxa"/>
          </w:tcPr>
          <w:p w:rsidR="00F138C1" w:rsidRPr="00B84A84"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B84A84" w:rsidRDefault="00F138C1" w:rsidP="00F138C1">
            <w:pPr>
              <w:tabs>
                <w:tab w:val="left" w:pos="6075"/>
              </w:tabs>
              <w:jc w:val="both"/>
              <w:rPr>
                <w:rFonts w:ascii="Arial" w:hAnsi="Arial" w:cs="Arial"/>
                <w:i/>
                <w:sz w:val="20"/>
                <w:szCs w:val="20"/>
                <w:lang w:val="fr-CA"/>
              </w:rPr>
            </w:pPr>
            <w:r w:rsidRPr="00B84A84">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F138C1" w:rsidRPr="00840E69" w:rsidTr="00F138C1">
        <w:tc>
          <w:tcPr>
            <w:tcW w:w="4599" w:type="dxa"/>
            <w:tcMar>
              <w:top w:w="567" w:type="dxa"/>
            </w:tcMar>
          </w:tcPr>
          <w:p w:rsidR="00F138C1" w:rsidRPr="00B84A84" w:rsidRDefault="00F138C1" w:rsidP="00F138C1">
            <w:pPr>
              <w:tabs>
                <w:tab w:val="left" w:pos="6075"/>
              </w:tabs>
              <w:jc w:val="both"/>
              <w:rPr>
                <w:rFonts w:ascii="Arial" w:hAnsi="Arial" w:cs="Arial"/>
                <w:i/>
                <w:sz w:val="20"/>
                <w:szCs w:val="20"/>
              </w:rPr>
            </w:pPr>
            <w:r w:rsidRPr="00B84A84">
              <w:rPr>
                <w:rFonts w:ascii="Arial" w:hAnsi="Arial" w:cs="Arial"/>
                <w:i/>
                <w:sz w:val="20"/>
                <w:szCs w:val="20"/>
              </w:rPr>
              <w:t>During Court sessions, the Bulletin is usually issued weekly.</w:t>
            </w:r>
          </w:p>
        </w:tc>
        <w:tc>
          <w:tcPr>
            <w:tcW w:w="483" w:type="dxa"/>
          </w:tcPr>
          <w:p w:rsidR="00F138C1" w:rsidRPr="00B84A84"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B84A84" w:rsidRDefault="00F138C1" w:rsidP="00F138C1">
            <w:pPr>
              <w:tabs>
                <w:tab w:val="left" w:pos="6075"/>
              </w:tabs>
              <w:jc w:val="both"/>
              <w:rPr>
                <w:rFonts w:ascii="Arial" w:hAnsi="Arial" w:cs="Arial"/>
                <w:i/>
                <w:sz w:val="20"/>
                <w:szCs w:val="20"/>
                <w:lang w:val="fr-CA"/>
              </w:rPr>
            </w:pPr>
            <w:r w:rsidRPr="00B84A84">
              <w:rPr>
                <w:rFonts w:ascii="Arial" w:hAnsi="Arial" w:cs="Arial"/>
                <w:i/>
                <w:sz w:val="20"/>
                <w:szCs w:val="20"/>
                <w:lang w:val="fr-CA"/>
              </w:rPr>
              <w:t>Le Bulletin paraît en principe toutes les semaines pendant les sessions de la Cour.</w:t>
            </w:r>
          </w:p>
        </w:tc>
      </w:tr>
      <w:tr w:rsidR="00F138C1" w:rsidRPr="00840E69" w:rsidTr="00F138C1">
        <w:tc>
          <w:tcPr>
            <w:tcW w:w="4599" w:type="dxa"/>
            <w:tcMar>
              <w:top w:w="567" w:type="dxa"/>
            </w:tcMar>
          </w:tcPr>
          <w:p w:rsidR="00F138C1" w:rsidRPr="00B84A84" w:rsidRDefault="00F138C1" w:rsidP="00F138C1">
            <w:pPr>
              <w:tabs>
                <w:tab w:val="left" w:pos="6075"/>
              </w:tabs>
              <w:jc w:val="both"/>
              <w:rPr>
                <w:rFonts w:ascii="Arial" w:hAnsi="Arial" w:cs="Arial"/>
                <w:i/>
                <w:sz w:val="20"/>
                <w:szCs w:val="20"/>
              </w:rPr>
            </w:pPr>
            <w:r w:rsidRPr="00B84A84">
              <w:rPr>
                <w:rFonts w:ascii="Arial" w:hAnsi="Arial" w:cs="Arial"/>
                <w:i/>
                <w:sz w:val="20"/>
                <w:szCs w:val="20"/>
              </w:rPr>
              <w:fldChar w:fldCharType="begin"/>
            </w:r>
            <w:r w:rsidRPr="00B84A84">
              <w:rPr>
                <w:rFonts w:ascii="Arial" w:hAnsi="Arial" w:cs="Arial"/>
                <w:i/>
                <w:sz w:val="20"/>
                <w:szCs w:val="20"/>
              </w:rPr>
              <w:instrText xml:space="preserve"> SEQ CHAPTER \h \r 1</w:instrText>
            </w:r>
            <w:r w:rsidRPr="00B84A84">
              <w:rPr>
                <w:rFonts w:ascii="Arial" w:hAnsi="Arial" w:cs="Arial"/>
                <w:i/>
                <w:sz w:val="20"/>
                <w:szCs w:val="20"/>
              </w:rPr>
              <w:fldChar w:fldCharType="end"/>
            </w:r>
            <w:r w:rsidRPr="00B84A84">
              <w:rPr>
                <w:rFonts w:ascii="Arial" w:hAnsi="Arial" w:cs="Arial"/>
                <w:i/>
                <w:iCs/>
                <w:sz w:val="20"/>
                <w:szCs w:val="20"/>
              </w:rPr>
              <w:t>Where a judgment has been rendered, requests for copies should be made to the Registrar, with a remittance of $15 for each set of reasons.  All remittances should be made payable to the Receiver General for Canada.</w:t>
            </w:r>
          </w:p>
        </w:tc>
        <w:tc>
          <w:tcPr>
            <w:tcW w:w="483" w:type="dxa"/>
          </w:tcPr>
          <w:p w:rsidR="00F138C1" w:rsidRPr="00B84A84"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B84A84" w:rsidRDefault="00F138C1" w:rsidP="00F138C1">
            <w:pPr>
              <w:tabs>
                <w:tab w:val="left" w:pos="6075"/>
              </w:tabs>
              <w:jc w:val="both"/>
              <w:rPr>
                <w:rFonts w:ascii="Arial" w:hAnsi="Arial" w:cs="Arial"/>
                <w:i/>
                <w:sz w:val="20"/>
                <w:szCs w:val="20"/>
                <w:lang w:val="fr-CA"/>
              </w:rPr>
            </w:pPr>
            <w:r w:rsidRPr="00B84A84">
              <w:rPr>
                <w:rFonts w:ascii="Arial" w:hAnsi="Arial" w:cs="Arial"/>
                <w:i/>
                <w:sz w:val="20"/>
                <w:szCs w:val="20"/>
                <w:lang w:val="fr-CA"/>
              </w:rPr>
              <w:fldChar w:fldCharType="begin"/>
            </w:r>
            <w:r w:rsidRPr="00B84A84">
              <w:rPr>
                <w:rFonts w:ascii="Arial" w:hAnsi="Arial" w:cs="Arial"/>
                <w:i/>
                <w:sz w:val="20"/>
                <w:szCs w:val="20"/>
                <w:lang w:val="fr-CA"/>
              </w:rPr>
              <w:instrText xml:space="preserve"> SEQ CHAPTER \h \r 1</w:instrText>
            </w:r>
            <w:r w:rsidRPr="00B84A84">
              <w:rPr>
                <w:rFonts w:ascii="Arial" w:hAnsi="Arial" w:cs="Arial"/>
                <w:i/>
                <w:sz w:val="20"/>
                <w:szCs w:val="20"/>
                <w:lang w:val="fr-CA"/>
              </w:rPr>
              <w:fldChar w:fldCharType="end"/>
            </w:r>
            <w:r w:rsidRPr="00B84A84">
              <w:rPr>
                <w:rFonts w:ascii="Arial" w:hAnsi="Arial" w:cs="Arial"/>
                <w:i/>
                <w:iCs/>
                <w:sz w:val="20"/>
                <w:szCs w:val="20"/>
                <w:lang w:val="fr-CA"/>
              </w:rPr>
              <w:t>Quand un arrêt est rendu, on peut se procurer les motifs de jugement en adressant sa demande au registraire, accompagnée de 15 $ par exemplaire.  Le paiement doit être fait à l'ordre du Receveur général du Canada.</w:t>
            </w:r>
          </w:p>
        </w:tc>
      </w:tr>
      <w:tr w:rsidR="00F138C1" w:rsidRPr="00840E69" w:rsidTr="00F138C1">
        <w:tc>
          <w:tcPr>
            <w:tcW w:w="4599" w:type="dxa"/>
            <w:tcMar>
              <w:top w:w="567" w:type="dxa"/>
            </w:tcMar>
          </w:tcPr>
          <w:p w:rsidR="00F138C1" w:rsidRPr="00B84A84" w:rsidRDefault="00F138C1" w:rsidP="00F138C1">
            <w:pPr>
              <w:tabs>
                <w:tab w:val="left" w:pos="6075"/>
              </w:tabs>
              <w:jc w:val="both"/>
              <w:rPr>
                <w:rFonts w:ascii="Arial" w:hAnsi="Arial" w:cs="Arial"/>
                <w:i/>
                <w:sz w:val="20"/>
                <w:szCs w:val="20"/>
              </w:rPr>
            </w:pPr>
            <w:r w:rsidRPr="00B84A84">
              <w:rPr>
                <w:rFonts w:ascii="Arial" w:hAnsi="Arial" w:cs="Arial"/>
                <w:i/>
                <w:sz w:val="20"/>
                <w:szCs w:val="20"/>
                <w:lang w:val="en-US"/>
              </w:rPr>
              <w:t>Please c</w:t>
            </w:r>
            <w:r w:rsidRPr="00B84A84">
              <w:rPr>
                <w:rFonts w:ascii="Arial" w:hAnsi="Arial" w:cs="Arial"/>
                <w:i/>
                <w:sz w:val="20"/>
                <w:szCs w:val="20"/>
              </w:rPr>
              <w:t xml:space="preserve">onsult the Supreme Court of Canada website at </w:t>
            </w:r>
            <w:hyperlink r:id="rId8" w:history="1">
              <w:r w:rsidRPr="00B84A84">
                <w:rPr>
                  <w:rStyle w:val="Hyperlink"/>
                  <w:rFonts w:ascii="Arial" w:hAnsi="Arial" w:cs="Arial"/>
                  <w:i/>
                  <w:sz w:val="20"/>
                  <w:szCs w:val="20"/>
                </w:rPr>
                <w:t>www.scc-csc.ca</w:t>
              </w:r>
            </w:hyperlink>
            <w:r w:rsidRPr="00B84A84">
              <w:rPr>
                <w:rFonts w:ascii="Arial" w:hAnsi="Arial" w:cs="Arial"/>
                <w:i/>
                <w:sz w:val="20"/>
                <w:szCs w:val="20"/>
              </w:rPr>
              <w:t xml:space="preserve"> for more information.</w:t>
            </w:r>
          </w:p>
        </w:tc>
        <w:tc>
          <w:tcPr>
            <w:tcW w:w="483" w:type="dxa"/>
          </w:tcPr>
          <w:p w:rsidR="00F138C1" w:rsidRPr="00B84A84" w:rsidRDefault="00F138C1" w:rsidP="00F138C1">
            <w:pPr>
              <w:tabs>
                <w:tab w:val="left" w:pos="6075"/>
              </w:tabs>
              <w:jc w:val="both"/>
              <w:rPr>
                <w:rFonts w:ascii="Arial" w:hAnsi="Arial" w:cs="Arial"/>
                <w:i/>
                <w:sz w:val="20"/>
                <w:szCs w:val="20"/>
              </w:rPr>
            </w:pPr>
          </w:p>
        </w:tc>
        <w:tc>
          <w:tcPr>
            <w:tcW w:w="4566" w:type="dxa"/>
            <w:tcMar>
              <w:top w:w="567" w:type="dxa"/>
            </w:tcMar>
          </w:tcPr>
          <w:p w:rsidR="00F138C1" w:rsidRPr="00B84A84" w:rsidRDefault="00F138C1" w:rsidP="00F138C1">
            <w:pPr>
              <w:tabs>
                <w:tab w:val="left" w:pos="6075"/>
              </w:tabs>
              <w:jc w:val="both"/>
              <w:rPr>
                <w:rFonts w:ascii="Arial" w:hAnsi="Arial" w:cs="Arial"/>
                <w:i/>
                <w:sz w:val="20"/>
                <w:szCs w:val="20"/>
                <w:lang w:val="fr-CA"/>
              </w:rPr>
            </w:pPr>
            <w:r w:rsidRPr="00B84A84">
              <w:rPr>
                <w:rFonts w:ascii="Arial" w:hAnsi="Arial" w:cs="Arial"/>
                <w:i/>
                <w:sz w:val="20"/>
                <w:szCs w:val="20"/>
                <w:lang w:val="fr-CA"/>
              </w:rPr>
              <w:t xml:space="preserve">Pour de plus amples informations, veuillez consulter le site Web de la Cour suprême du Canada à l’adresse suivante : </w:t>
            </w:r>
            <w:hyperlink r:id="rId9" w:history="1">
              <w:r w:rsidRPr="00B84A84">
                <w:rPr>
                  <w:rStyle w:val="Hyperlink"/>
                  <w:rFonts w:ascii="Arial" w:hAnsi="Arial" w:cs="Arial"/>
                  <w:i/>
                  <w:sz w:val="20"/>
                  <w:szCs w:val="20"/>
                  <w:lang w:val="fr-CA"/>
                </w:rPr>
                <w:t>www.scc-csc.ca</w:t>
              </w:r>
            </w:hyperlink>
            <w:r w:rsidRPr="00B84A84">
              <w:rPr>
                <w:rFonts w:ascii="Arial" w:hAnsi="Arial" w:cs="Arial"/>
                <w:i/>
                <w:sz w:val="20"/>
                <w:szCs w:val="20"/>
                <w:lang w:val="fr-CA"/>
              </w:rPr>
              <w:t xml:space="preserve"> </w:t>
            </w:r>
          </w:p>
        </w:tc>
      </w:tr>
    </w:tbl>
    <w:p w:rsidR="00F138C1" w:rsidRPr="00B84A84" w:rsidRDefault="00F138C1" w:rsidP="00F138C1">
      <w:pPr>
        <w:tabs>
          <w:tab w:val="left" w:pos="6075"/>
        </w:tabs>
        <w:rPr>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965"/>
        <w:gridCol w:w="4342"/>
      </w:tblGrid>
      <w:tr w:rsidR="00F138C1" w:rsidRPr="00B84A84" w:rsidTr="00F138C1">
        <w:tc>
          <w:tcPr>
            <w:tcW w:w="2250" w:type="pct"/>
            <w:tcBorders>
              <w:top w:val="single" w:sz="4" w:space="0" w:color="auto"/>
            </w:tcBorders>
            <w:tcMar>
              <w:top w:w="284" w:type="dxa"/>
              <w:bottom w:w="284" w:type="dxa"/>
            </w:tcMar>
          </w:tcPr>
          <w:p w:rsidR="00F138C1" w:rsidRPr="00B84A84" w:rsidRDefault="008C4308" w:rsidP="008C4308">
            <w:pPr>
              <w:tabs>
                <w:tab w:val="left" w:pos="6075"/>
              </w:tabs>
              <w:rPr>
                <w:rFonts w:ascii="Arial" w:hAnsi="Arial" w:cs="Arial"/>
                <w:i/>
                <w:sz w:val="20"/>
                <w:szCs w:val="20"/>
              </w:rPr>
            </w:pPr>
            <w:r w:rsidRPr="00B84A84">
              <w:rPr>
                <w:lang w:val="fr-CA"/>
              </w:rPr>
              <w:t>June</w:t>
            </w:r>
            <w:r w:rsidR="00F138C1" w:rsidRPr="00B84A84">
              <w:rPr>
                <w:lang w:val="fr-CA"/>
              </w:rPr>
              <w:t xml:space="preserve"> </w:t>
            </w:r>
            <w:r w:rsidRPr="00B84A84">
              <w:rPr>
                <w:lang w:val="fr-CA"/>
              </w:rPr>
              <w:t>1</w:t>
            </w:r>
            <w:r w:rsidR="00DA1D48" w:rsidRPr="00B84A84">
              <w:rPr>
                <w:lang w:val="fr-CA"/>
              </w:rPr>
              <w:t>2</w:t>
            </w:r>
            <w:r w:rsidR="00F138C1" w:rsidRPr="00B84A84">
              <w:rPr>
                <w:lang w:val="fr-CA"/>
              </w:rPr>
              <w:t>, 2020</w:t>
            </w:r>
          </w:p>
        </w:tc>
        <w:tc>
          <w:tcPr>
            <w:tcW w:w="500" w:type="pct"/>
            <w:tcBorders>
              <w:top w:val="single" w:sz="4" w:space="0" w:color="auto"/>
            </w:tcBorders>
            <w:tcMar>
              <w:top w:w="284" w:type="dxa"/>
              <w:bottom w:w="284" w:type="dxa"/>
            </w:tcMar>
          </w:tcPr>
          <w:p w:rsidR="00F138C1" w:rsidRPr="00B84A84" w:rsidRDefault="00F138C1" w:rsidP="00840E69">
            <w:pPr>
              <w:tabs>
                <w:tab w:val="left" w:pos="6075"/>
              </w:tabs>
              <w:jc w:val="center"/>
              <w:rPr>
                <w:rFonts w:ascii="Arial" w:hAnsi="Arial" w:cs="Arial"/>
                <w:i/>
                <w:sz w:val="20"/>
                <w:szCs w:val="20"/>
              </w:rPr>
            </w:pPr>
            <w:r w:rsidRPr="00B84A84">
              <w:rPr>
                <w:lang w:val="fr-CA"/>
              </w:rPr>
              <w:t xml:space="preserve">1 - </w:t>
            </w:r>
            <w:r w:rsidR="00352683" w:rsidRPr="00B84A84">
              <w:rPr>
                <w:lang w:val="fr-CA"/>
              </w:rPr>
              <w:t>1</w:t>
            </w:r>
            <w:r w:rsidR="00840E69">
              <w:rPr>
                <w:lang w:val="fr-CA"/>
              </w:rPr>
              <w:t>3</w:t>
            </w:r>
          </w:p>
        </w:tc>
        <w:tc>
          <w:tcPr>
            <w:tcW w:w="2250" w:type="pct"/>
            <w:tcBorders>
              <w:top w:val="single" w:sz="4" w:space="0" w:color="auto"/>
            </w:tcBorders>
            <w:tcMar>
              <w:top w:w="284" w:type="dxa"/>
              <w:bottom w:w="284" w:type="dxa"/>
            </w:tcMar>
          </w:tcPr>
          <w:p w:rsidR="00F138C1" w:rsidRPr="00B84A84" w:rsidRDefault="00F138C1" w:rsidP="008C4308">
            <w:pPr>
              <w:tabs>
                <w:tab w:val="left" w:pos="6075"/>
              </w:tabs>
              <w:jc w:val="right"/>
              <w:rPr>
                <w:rFonts w:ascii="Arial" w:hAnsi="Arial" w:cs="Arial"/>
                <w:i/>
                <w:sz w:val="20"/>
                <w:szCs w:val="20"/>
                <w:lang w:val="fr-CA"/>
              </w:rPr>
            </w:pPr>
            <w:r w:rsidRPr="00B84A84">
              <w:rPr>
                <w:lang w:val="fr-CA"/>
              </w:rPr>
              <w:t>Le</w:t>
            </w:r>
            <w:r w:rsidR="008C4308" w:rsidRPr="00B84A84">
              <w:rPr>
                <w:lang w:val="fr-CA"/>
              </w:rPr>
              <w:t xml:space="preserve"> 1</w:t>
            </w:r>
            <w:r w:rsidR="00DA1D48" w:rsidRPr="00B84A84">
              <w:rPr>
                <w:lang w:val="fr-CA"/>
              </w:rPr>
              <w:t>2</w:t>
            </w:r>
            <w:r w:rsidRPr="00B84A84">
              <w:rPr>
                <w:lang w:val="fr-CA"/>
              </w:rPr>
              <w:t xml:space="preserve"> </w:t>
            </w:r>
            <w:r w:rsidR="008C4308" w:rsidRPr="00B84A84">
              <w:rPr>
                <w:lang w:val="fr-CA"/>
              </w:rPr>
              <w:t>juin</w:t>
            </w:r>
            <w:r w:rsidRPr="00B84A84">
              <w:rPr>
                <w:lang w:val="fr-CA"/>
              </w:rPr>
              <w:t xml:space="preserve"> 2020</w:t>
            </w:r>
          </w:p>
        </w:tc>
      </w:tr>
      <w:tr w:rsidR="00F138C1" w:rsidRPr="005E1A49" w:rsidTr="00F138C1">
        <w:tc>
          <w:tcPr>
            <w:tcW w:w="2250" w:type="pct"/>
            <w:tcBorders>
              <w:bottom w:val="single" w:sz="4" w:space="0" w:color="auto"/>
            </w:tcBorders>
            <w:tcMar>
              <w:top w:w="284" w:type="dxa"/>
              <w:bottom w:w="284" w:type="dxa"/>
            </w:tcMar>
          </w:tcPr>
          <w:p w:rsidR="00F138C1" w:rsidRPr="00B84A84" w:rsidRDefault="00F138C1" w:rsidP="00F138C1">
            <w:pPr>
              <w:tabs>
                <w:tab w:val="left" w:pos="6075"/>
              </w:tabs>
              <w:rPr>
                <w:rFonts w:ascii="Arial" w:hAnsi="Arial" w:cs="Arial"/>
                <w:i/>
                <w:sz w:val="20"/>
                <w:szCs w:val="20"/>
              </w:rPr>
            </w:pPr>
            <w:r w:rsidRPr="00B84A84">
              <w:rPr>
                <w:sz w:val="18"/>
                <w:szCs w:val="18"/>
                <w:lang w:val="en-US"/>
              </w:rPr>
              <w:t>© Supreme Court of Canada (2020)</w:t>
            </w:r>
            <w:r w:rsidRPr="00B84A84">
              <w:rPr>
                <w:sz w:val="18"/>
                <w:szCs w:val="18"/>
                <w:lang w:val="en-US"/>
              </w:rPr>
              <w:br/>
              <w:t>ISSN 1918-8358 (Online)</w:t>
            </w:r>
          </w:p>
        </w:tc>
        <w:tc>
          <w:tcPr>
            <w:tcW w:w="500" w:type="pct"/>
            <w:tcBorders>
              <w:bottom w:val="single" w:sz="4" w:space="0" w:color="auto"/>
            </w:tcBorders>
            <w:tcMar>
              <w:top w:w="284" w:type="dxa"/>
              <w:bottom w:w="284" w:type="dxa"/>
            </w:tcMar>
          </w:tcPr>
          <w:p w:rsidR="00F138C1" w:rsidRPr="00B84A84" w:rsidRDefault="00F138C1" w:rsidP="00F138C1">
            <w:pPr>
              <w:tabs>
                <w:tab w:val="left" w:pos="6075"/>
              </w:tabs>
              <w:jc w:val="both"/>
              <w:rPr>
                <w:rFonts w:ascii="Arial" w:hAnsi="Arial" w:cs="Arial"/>
                <w:i/>
                <w:sz w:val="20"/>
                <w:szCs w:val="20"/>
              </w:rPr>
            </w:pPr>
          </w:p>
        </w:tc>
        <w:tc>
          <w:tcPr>
            <w:tcW w:w="2250" w:type="pct"/>
            <w:tcBorders>
              <w:bottom w:val="single" w:sz="4" w:space="0" w:color="auto"/>
            </w:tcBorders>
            <w:tcMar>
              <w:top w:w="284" w:type="dxa"/>
              <w:bottom w:w="284" w:type="dxa"/>
            </w:tcMar>
          </w:tcPr>
          <w:p w:rsidR="00F138C1" w:rsidRPr="00B84A84" w:rsidRDefault="00F138C1" w:rsidP="00F138C1">
            <w:pPr>
              <w:tabs>
                <w:tab w:val="left" w:pos="6075"/>
              </w:tabs>
              <w:jc w:val="right"/>
              <w:rPr>
                <w:rFonts w:ascii="Arial" w:hAnsi="Arial" w:cs="Arial"/>
                <w:i/>
                <w:sz w:val="20"/>
                <w:szCs w:val="20"/>
                <w:lang w:val="fr-CA"/>
              </w:rPr>
            </w:pPr>
            <w:r w:rsidRPr="00B84A84">
              <w:rPr>
                <w:sz w:val="18"/>
                <w:szCs w:val="18"/>
                <w:lang w:val="fr-CA"/>
              </w:rPr>
              <w:t>© Cour suprême du Canada (2020</w:t>
            </w:r>
            <w:proofErr w:type="gramStart"/>
            <w:r w:rsidRPr="00B84A84">
              <w:rPr>
                <w:sz w:val="18"/>
                <w:szCs w:val="18"/>
                <w:lang w:val="fr-CA"/>
              </w:rPr>
              <w:t>)</w:t>
            </w:r>
            <w:proofErr w:type="gramEnd"/>
            <w:r w:rsidRPr="00B84A84">
              <w:rPr>
                <w:sz w:val="18"/>
                <w:szCs w:val="18"/>
                <w:lang w:val="fr-CA"/>
              </w:rPr>
              <w:br/>
              <w:t>ISSN 1918-8358 (En ligne)</w:t>
            </w:r>
          </w:p>
        </w:tc>
      </w:tr>
    </w:tbl>
    <w:p w:rsidR="0030050B" w:rsidRPr="00B84A84" w:rsidRDefault="0030050B" w:rsidP="00F138C1">
      <w:pPr>
        <w:tabs>
          <w:tab w:val="left" w:pos="6075"/>
        </w:tabs>
        <w:rPr>
          <w:lang w:val="fr-CA"/>
        </w:rPr>
      </w:pPr>
    </w:p>
    <w:p w:rsidR="00560DF1" w:rsidRPr="00B84A84" w:rsidRDefault="00560DF1" w:rsidP="0095096B">
      <w:pPr>
        <w:tabs>
          <w:tab w:val="right" w:pos="9360"/>
        </w:tabs>
        <w:rPr>
          <w:lang w:val="fr-CA"/>
        </w:rPr>
      </w:pPr>
    </w:p>
    <w:p w:rsidR="00F138C1" w:rsidRPr="00B84A84" w:rsidRDefault="00F138C1" w:rsidP="0095096B">
      <w:pPr>
        <w:tabs>
          <w:tab w:val="right" w:pos="9360"/>
        </w:tabs>
        <w:rPr>
          <w:lang w:val="fr-CA"/>
        </w:rPr>
      </w:pPr>
    </w:p>
    <w:sdt>
      <w:sdtPr>
        <w:rPr>
          <w:rFonts w:ascii="Times New Roman" w:eastAsiaTheme="minorHAnsi" w:hAnsi="Times New Roman" w:cs="Times New Roman"/>
          <w:spacing w:val="0"/>
          <w:kern w:val="0"/>
          <w:sz w:val="24"/>
          <w:szCs w:val="22"/>
        </w:rPr>
        <w:id w:val="-563333492"/>
        <w:docPartObj>
          <w:docPartGallery w:val="Table of Contents"/>
          <w:docPartUnique/>
        </w:docPartObj>
      </w:sdtPr>
      <w:sdtEndPr>
        <w:rPr>
          <w:rFonts w:cstheme="minorBidi"/>
          <w:b/>
          <w:bCs/>
          <w:noProof/>
        </w:rPr>
      </w:sdtEndPr>
      <w:sdtContent>
        <w:p w:rsidR="00560DF1" w:rsidRPr="00B84A84" w:rsidRDefault="00DC6B2E" w:rsidP="00693C38">
          <w:pPr>
            <w:pStyle w:val="Title"/>
            <w:jc w:val="center"/>
            <w:rPr>
              <w:rFonts w:ascii="Times New Roman" w:hAnsi="Times New Roman" w:cs="Times New Roman"/>
              <w:b/>
              <w:sz w:val="24"/>
              <w:szCs w:val="28"/>
              <w:lang w:val="fr-CA"/>
            </w:rPr>
          </w:pPr>
          <w:r w:rsidRPr="00B84A84">
            <w:rPr>
              <w:rFonts w:ascii="Times New Roman" w:hAnsi="Times New Roman" w:cs="Times New Roman"/>
              <w:b/>
              <w:sz w:val="24"/>
              <w:szCs w:val="28"/>
              <w:lang w:val="fr-CA"/>
            </w:rPr>
            <w:t>Contents</w:t>
          </w:r>
        </w:p>
        <w:p w:rsidR="00693C38" w:rsidRPr="00B84A84" w:rsidRDefault="00DC6B2E" w:rsidP="00693C38">
          <w:pPr>
            <w:jc w:val="center"/>
            <w:rPr>
              <w:b/>
              <w:szCs w:val="28"/>
              <w:lang w:val="fr-CA"/>
            </w:rPr>
          </w:pPr>
          <w:r w:rsidRPr="00B84A84">
            <w:rPr>
              <w:b/>
              <w:szCs w:val="28"/>
              <w:lang w:val="fr-CA"/>
            </w:rPr>
            <w:t>Table des matières</w:t>
          </w:r>
        </w:p>
        <w:p w:rsidR="00693C38" w:rsidRPr="00B84A84" w:rsidRDefault="00693C38" w:rsidP="00693C38">
          <w:pPr>
            <w:rPr>
              <w:lang w:val="fr-CA"/>
            </w:rPr>
          </w:pPr>
        </w:p>
        <w:p w:rsidR="00751E02" w:rsidRDefault="00DC6B2E">
          <w:pPr>
            <w:pStyle w:val="TOC1"/>
            <w:tabs>
              <w:tab w:val="right" w:leader="dot" w:pos="9638"/>
            </w:tabs>
            <w:rPr>
              <w:rFonts w:asciiTheme="minorHAnsi" w:eastAsiaTheme="minorEastAsia" w:hAnsiTheme="minorHAnsi"/>
              <w:noProof/>
              <w:sz w:val="22"/>
              <w:lang w:val="en-US"/>
            </w:rPr>
          </w:pPr>
          <w:r w:rsidRPr="00B84A84">
            <w:rPr>
              <w:b/>
              <w:bCs/>
              <w:noProof/>
            </w:rPr>
            <w:fldChar w:fldCharType="begin"/>
          </w:r>
          <w:r w:rsidRPr="00B84A84">
            <w:rPr>
              <w:b/>
              <w:bCs/>
              <w:noProof/>
            </w:rPr>
            <w:instrText xml:space="preserve"> TOC \o "1-3" \h \z \u </w:instrText>
          </w:r>
          <w:r w:rsidRPr="00B84A84">
            <w:rPr>
              <w:b/>
              <w:bCs/>
              <w:noProof/>
            </w:rPr>
            <w:fldChar w:fldCharType="separate"/>
          </w:r>
          <w:hyperlink w:anchor="_Toc42854321" w:history="1">
            <w:r w:rsidR="00751E02" w:rsidRPr="00992C5D">
              <w:rPr>
                <w:rStyle w:val="Hyperlink"/>
                <w:noProof/>
                <w:lang w:val="fr-CA"/>
              </w:rPr>
              <w:t>Applications for leave to appeal filed /  Demandes d’autorisation d’appel déposées</w:t>
            </w:r>
            <w:r w:rsidR="00751E02">
              <w:rPr>
                <w:noProof/>
                <w:webHidden/>
              </w:rPr>
              <w:tab/>
            </w:r>
            <w:r w:rsidR="00751E02">
              <w:rPr>
                <w:noProof/>
                <w:webHidden/>
              </w:rPr>
              <w:fldChar w:fldCharType="begin"/>
            </w:r>
            <w:r w:rsidR="00751E02">
              <w:rPr>
                <w:noProof/>
                <w:webHidden/>
              </w:rPr>
              <w:instrText xml:space="preserve"> PAGEREF _Toc42854321 \h </w:instrText>
            </w:r>
            <w:r w:rsidR="00751E02">
              <w:rPr>
                <w:noProof/>
                <w:webHidden/>
              </w:rPr>
            </w:r>
            <w:r w:rsidR="00751E02">
              <w:rPr>
                <w:noProof/>
                <w:webHidden/>
              </w:rPr>
              <w:fldChar w:fldCharType="separate"/>
            </w:r>
            <w:r w:rsidR="00840E69">
              <w:rPr>
                <w:noProof/>
                <w:webHidden/>
              </w:rPr>
              <w:t>1</w:t>
            </w:r>
            <w:r w:rsidR="00751E02">
              <w:rPr>
                <w:noProof/>
                <w:webHidden/>
              </w:rPr>
              <w:fldChar w:fldCharType="end"/>
            </w:r>
          </w:hyperlink>
        </w:p>
        <w:p w:rsidR="00751E02" w:rsidRDefault="005E1A49">
          <w:pPr>
            <w:pStyle w:val="TOC1"/>
            <w:tabs>
              <w:tab w:val="right" w:leader="dot" w:pos="9638"/>
            </w:tabs>
            <w:rPr>
              <w:rFonts w:asciiTheme="minorHAnsi" w:eastAsiaTheme="minorEastAsia" w:hAnsiTheme="minorHAnsi"/>
              <w:noProof/>
              <w:sz w:val="22"/>
              <w:lang w:val="en-US"/>
            </w:rPr>
          </w:pPr>
          <w:hyperlink w:anchor="_Toc42854322" w:history="1">
            <w:r w:rsidR="00751E02" w:rsidRPr="00992C5D">
              <w:rPr>
                <w:rStyle w:val="Hyperlink"/>
                <w:noProof/>
                <w:lang w:val="fr-CA"/>
              </w:rPr>
              <w:t>Oral hearing by video-conference on applications for leave /  Audience par vidéoconférence sur les demandes d’autorisation</w:t>
            </w:r>
            <w:r w:rsidR="00751E02">
              <w:rPr>
                <w:noProof/>
                <w:webHidden/>
              </w:rPr>
              <w:tab/>
            </w:r>
            <w:r w:rsidR="00751E02">
              <w:rPr>
                <w:noProof/>
                <w:webHidden/>
              </w:rPr>
              <w:fldChar w:fldCharType="begin"/>
            </w:r>
            <w:r w:rsidR="00751E02">
              <w:rPr>
                <w:noProof/>
                <w:webHidden/>
              </w:rPr>
              <w:instrText xml:space="preserve"> PAGEREF _Toc42854322 \h </w:instrText>
            </w:r>
            <w:r w:rsidR="00751E02">
              <w:rPr>
                <w:noProof/>
                <w:webHidden/>
              </w:rPr>
            </w:r>
            <w:r w:rsidR="00751E02">
              <w:rPr>
                <w:noProof/>
                <w:webHidden/>
              </w:rPr>
              <w:fldChar w:fldCharType="separate"/>
            </w:r>
            <w:r w:rsidR="00840E69">
              <w:rPr>
                <w:noProof/>
                <w:webHidden/>
              </w:rPr>
              <w:t>4</w:t>
            </w:r>
            <w:r w:rsidR="00751E02">
              <w:rPr>
                <w:noProof/>
                <w:webHidden/>
              </w:rPr>
              <w:fldChar w:fldCharType="end"/>
            </w:r>
          </w:hyperlink>
        </w:p>
        <w:p w:rsidR="00751E02" w:rsidRDefault="005E1A49">
          <w:pPr>
            <w:pStyle w:val="TOC1"/>
            <w:tabs>
              <w:tab w:val="right" w:leader="dot" w:pos="9638"/>
            </w:tabs>
            <w:rPr>
              <w:rFonts w:asciiTheme="minorHAnsi" w:eastAsiaTheme="minorEastAsia" w:hAnsiTheme="minorHAnsi"/>
              <w:noProof/>
              <w:sz w:val="22"/>
              <w:lang w:val="en-US"/>
            </w:rPr>
          </w:pPr>
          <w:hyperlink w:anchor="_Toc42854323" w:history="1">
            <w:r w:rsidR="00751E02" w:rsidRPr="00992C5D">
              <w:rPr>
                <w:rStyle w:val="Hyperlink"/>
                <w:noProof/>
                <w:lang w:val="fr-CA"/>
              </w:rPr>
              <w:t>Judgments on applications for leave /  Jugements rendus sur les demandes d’autorisation</w:t>
            </w:r>
            <w:r w:rsidR="00751E02">
              <w:rPr>
                <w:noProof/>
                <w:webHidden/>
              </w:rPr>
              <w:tab/>
            </w:r>
            <w:r w:rsidR="00751E02">
              <w:rPr>
                <w:noProof/>
                <w:webHidden/>
              </w:rPr>
              <w:fldChar w:fldCharType="begin"/>
            </w:r>
            <w:r w:rsidR="00751E02">
              <w:rPr>
                <w:noProof/>
                <w:webHidden/>
              </w:rPr>
              <w:instrText xml:space="preserve"> PAGEREF _Toc42854323 \h </w:instrText>
            </w:r>
            <w:r w:rsidR="00751E02">
              <w:rPr>
                <w:noProof/>
                <w:webHidden/>
              </w:rPr>
            </w:r>
            <w:r w:rsidR="00751E02">
              <w:rPr>
                <w:noProof/>
                <w:webHidden/>
              </w:rPr>
              <w:fldChar w:fldCharType="separate"/>
            </w:r>
            <w:r w:rsidR="00840E69">
              <w:rPr>
                <w:noProof/>
                <w:webHidden/>
              </w:rPr>
              <w:t>5</w:t>
            </w:r>
            <w:r w:rsidR="00751E02">
              <w:rPr>
                <w:noProof/>
                <w:webHidden/>
              </w:rPr>
              <w:fldChar w:fldCharType="end"/>
            </w:r>
          </w:hyperlink>
        </w:p>
        <w:p w:rsidR="00751E02" w:rsidRDefault="005E1A49">
          <w:pPr>
            <w:pStyle w:val="TOC1"/>
            <w:tabs>
              <w:tab w:val="right" w:leader="dot" w:pos="9638"/>
            </w:tabs>
            <w:rPr>
              <w:rFonts w:asciiTheme="minorHAnsi" w:eastAsiaTheme="minorEastAsia" w:hAnsiTheme="minorHAnsi"/>
              <w:noProof/>
              <w:sz w:val="22"/>
              <w:lang w:val="en-US"/>
            </w:rPr>
          </w:pPr>
          <w:hyperlink w:anchor="_Toc42854324" w:history="1">
            <w:r w:rsidR="00751E02" w:rsidRPr="00992C5D">
              <w:rPr>
                <w:rStyle w:val="Hyperlink"/>
                <w:noProof/>
                <w:lang w:val="fr-CA"/>
              </w:rPr>
              <w:t>Appeals heard by video-conference since the last issue and disposition /  Appels entendus par vidéoconférence depuis la dernière parution et résultat</w:t>
            </w:r>
            <w:r w:rsidR="00751E02">
              <w:rPr>
                <w:noProof/>
                <w:webHidden/>
              </w:rPr>
              <w:tab/>
            </w:r>
            <w:r w:rsidR="00751E02">
              <w:rPr>
                <w:noProof/>
                <w:webHidden/>
              </w:rPr>
              <w:fldChar w:fldCharType="begin"/>
            </w:r>
            <w:r w:rsidR="00751E02">
              <w:rPr>
                <w:noProof/>
                <w:webHidden/>
              </w:rPr>
              <w:instrText xml:space="preserve"> PAGEREF _Toc42854324 \h </w:instrText>
            </w:r>
            <w:r w:rsidR="00751E02">
              <w:rPr>
                <w:noProof/>
                <w:webHidden/>
              </w:rPr>
            </w:r>
            <w:r w:rsidR="00751E02">
              <w:rPr>
                <w:noProof/>
                <w:webHidden/>
              </w:rPr>
              <w:fldChar w:fldCharType="separate"/>
            </w:r>
            <w:r w:rsidR="00840E69">
              <w:rPr>
                <w:noProof/>
                <w:webHidden/>
              </w:rPr>
              <w:t>11</w:t>
            </w:r>
            <w:r w:rsidR="00751E02">
              <w:rPr>
                <w:noProof/>
                <w:webHidden/>
              </w:rPr>
              <w:fldChar w:fldCharType="end"/>
            </w:r>
          </w:hyperlink>
        </w:p>
        <w:p w:rsidR="00751E02" w:rsidRDefault="005E1A49">
          <w:pPr>
            <w:pStyle w:val="TOC1"/>
            <w:tabs>
              <w:tab w:val="right" w:leader="dot" w:pos="9638"/>
            </w:tabs>
            <w:rPr>
              <w:rFonts w:asciiTheme="minorHAnsi" w:eastAsiaTheme="minorEastAsia" w:hAnsiTheme="minorHAnsi"/>
              <w:noProof/>
              <w:sz w:val="22"/>
              <w:lang w:val="en-US"/>
            </w:rPr>
          </w:pPr>
          <w:hyperlink w:anchor="_Toc42854325" w:history="1">
            <w:r w:rsidR="00751E02" w:rsidRPr="00992C5D">
              <w:rPr>
                <w:rStyle w:val="Hyperlink"/>
                <w:noProof/>
                <w:lang w:val="fr-CA"/>
              </w:rPr>
              <w:t>Pronouncements of reserved appeals /  Jugements rendus sur les appels en délibéré</w:t>
            </w:r>
            <w:r w:rsidR="00751E02">
              <w:rPr>
                <w:noProof/>
                <w:webHidden/>
              </w:rPr>
              <w:tab/>
            </w:r>
            <w:r w:rsidR="00751E02">
              <w:rPr>
                <w:noProof/>
                <w:webHidden/>
              </w:rPr>
              <w:fldChar w:fldCharType="begin"/>
            </w:r>
            <w:r w:rsidR="00751E02">
              <w:rPr>
                <w:noProof/>
                <w:webHidden/>
              </w:rPr>
              <w:instrText xml:space="preserve"> PAGEREF _Toc42854325 \h </w:instrText>
            </w:r>
            <w:r w:rsidR="00751E02">
              <w:rPr>
                <w:noProof/>
                <w:webHidden/>
              </w:rPr>
            </w:r>
            <w:r w:rsidR="00751E02">
              <w:rPr>
                <w:noProof/>
                <w:webHidden/>
              </w:rPr>
              <w:fldChar w:fldCharType="separate"/>
            </w:r>
            <w:r w:rsidR="00840E69">
              <w:rPr>
                <w:noProof/>
                <w:webHidden/>
              </w:rPr>
              <w:t>13</w:t>
            </w:r>
            <w:r w:rsidR="00751E02">
              <w:rPr>
                <w:noProof/>
                <w:webHidden/>
              </w:rPr>
              <w:fldChar w:fldCharType="end"/>
            </w:r>
          </w:hyperlink>
        </w:p>
        <w:p w:rsidR="00560DF1" w:rsidRPr="00B84A84" w:rsidRDefault="00DC6B2E">
          <w:r w:rsidRPr="00B84A84">
            <w:rPr>
              <w:b/>
              <w:bCs/>
              <w:noProof/>
              <w:sz w:val="20"/>
            </w:rPr>
            <w:fldChar w:fldCharType="end"/>
          </w:r>
        </w:p>
      </w:sdtContent>
    </w:sdt>
    <w:p w:rsidR="00560DF1" w:rsidRPr="00B84A84" w:rsidRDefault="00560DF1" w:rsidP="0095096B">
      <w:pPr>
        <w:tabs>
          <w:tab w:val="right" w:pos="9360"/>
        </w:tabs>
      </w:pPr>
    </w:p>
    <w:tbl>
      <w:tblPr>
        <w:tblStyle w:val="TableGrid"/>
        <w:tblW w:w="0" w:type="auto"/>
        <w:jc w:val="center"/>
        <w:tblLook w:val="04A0" w:firstRow="1" w:lastRow="0" w:firstColumn="1" w:lastColumn="0" w:noHBand="0" w:noVBand="1"/>
      </w:tblPr>
      <w:tblGrid>
        <w:gridCol w:w="9638"/>
      </w:tblGrid>
      <w:tr w:rsidR="00F138C1" w:rsidRPr="00840E69" w:rsidTr="00F138C1">
        <w:trPr>
          <w:jc w:val="center"/>
        </w:trPr>
        <w:tc>
          <w:tcPr>
            <w:tcW w:w="9638" w:type="dxa"/>
          </w:tcPr>
          <w:p w:rsidR="00F138C1" w:rsidRPr="00B84A84" w:rsidRDefault="00F138C1" w:rsidP="00F138C1">
            <w:pPr>
              <w:keepNext/>
              <w:tabs>
                <w:tab w:val="right" w:pos="9360"/>
              </w:tabs>
              <w:spacing w:after="120"/>
              <w:jc w:val="center"/>
              <w:rPr>
                <w:szCs w:val="24"/>
              </w:rPr>
            </w:pPr>
            <w:r w:rsidRPr="00B84A84">
              <w:rPr>
                <w:szCs w:val="24"/>
              </w:rPr>
              <w:t>NOTICE</w:t>
            </w:r>
          </w:p>
          <w:p w:rsidR="00F138C1" w:rsidRPr="00B84A84" w:rsidRDefault="00F138C1" w:rsidP="00F138C1">
            <w:pPr>
              <w:keepNext/>
              <w:tabs>
                <w:tab w:val="right" w:pos="9360"/>
              </w:tabs>
              <w:spacing w:after="120"/>
              <w:jc w:val="both"/>
              <w:rPr>
                <w:szCs w:val="24"/>
              </w:rPr>
            </w:pPr>
            <w:r w:rsidRPr="00B84A84">
              <w:rPr>
                <w:szCs w:val="24"/>
              </w:rPr>
              <w:t>Case summaries included in the Bulletin are prepared by the Office of the Registrar of the Supreme Court of Canada (Law Branch) for information purposes only.</w:t>
            </w:r>
          </w:p>
          <w:p w:rsidR="00F138C1" w:rsidRPr="00B84A84" w:rsidRDefault="00F138C1" w:rsidP="00F138C1">
            <w:pPr>
              <w:keepNext/>
              <w:tabs>
                <w:tab w:val="right" w:pos="9360"/>
              </w:tabs>
              <w:spacing w:after="120"/>
              <w:jc w:val="center"/>
              <w:rPr>
                <w:szCs w:val="24"/>
                <w:lang w:val="fr-CA"/>
              </w:rPr>
            </w:pPr>
            <w:r w:rsidRPr="00B84A84">
              <w:rPr>
                <w:szCs w:val="24"/>
                <w:lang w:val="fr-CA"/>
              </w:rPr>
              <w:t>AVIS</w:t>
            </w:r>
          </w:p>
          <w:p w:rsidR="00F138C1" w:rsidRPr="00B84A84" w:rsidRDefault="00F138C1" w:rsidP="00F138C1">
            <w:pPr>
              <w:keepNext/>
              <w:tabs>
                <w:tab w:val="right" w:pos="9360"/>
              </w:tabs>
              <w:spacing w:after="120"/>
              <w:jc w:val="both"/>
              <w:rPr>
                <w:sz w:val="20"/>
                <w:szCs w:val="20"/>
                <w:lang w:val="fr-CA"/>
              </w:rPr>
            </w:pPr>
            <w:r w:rsidRPr="00B84A84">
              <w:rPr>
                <w:szCs w:val="24"/>
                <w:lang w:val="fr-CA"/>
              </w:rPr>
              <w:t>Les résumés des causes publiés dans le bulletin sont préparés par le Bureau du registraire (Direction générale du droit) uniquement à titre d’information.</w:t>
            </w:r>
          </w:p>
        </w:tc>
      </w:tr>
    </w:tbl>
    <w:p w:rsidR="00F138C1" w:rsidRPr="00B84A84" w:rsidRDefault="00F138C1" w:rsidP="00F138C1">
      <w:pPr>
        <w:tabs>
          <w:tab w:val="right" w:pos="9360"/>
        </w:tabs>
        <w:rPr>
          <w:lang w:val="fr-CA"/>
        </w:rPr>
      </w:pPr>
    </w:p>
    <w:p w:rsidR="00F138C1" w:rsidRPr="00B84A84" w:rsidRDefault="00F138C1" w:rsidP="00F138C1">
      <w:pPr>
        <w:tabs>
          <w:tab w:val="right" w:pos="9360"/>
        </w:tabs>
        <w:rPr>
          <w:lang w:val="fr-CA"/>
        </w:rPr>
      </w:pPr>
    </w:p>
    <w:p w:rsidR="00C01FCB" w:rsidRPr="00B84A84" w:rsidRDefault="00C01FCB" w:rsidP="0095096B">
      <w:pPr>
        <w:tabs>
          <w:tab w:val="right" w:pos="9360"/>
        </w:tabs>
        <w:rPr>
          <w:lang w:val="fr-CA"/>
        </w:rPr>
      </w:pPr>
    </w:p>
    <w:p w:rsidR="00A87207" w:rsidRPr="00B84A84" w:rsidRDefault="00A87207" w:rsidP="0095096B">
      <w:pPr>
        <w:tabs>
          <w:tab w:val="right" w:pos="9360"/>
        </w:tabs>
        <w:rPr>
          <w:lang w:val="fr-CA"/>
        </w:rPr>
        <w:sectPr w:rsidR="00A87207" w:rsidRPr="00B84A84" w:rsidSect="0044776A">
          <w:headerReference w:type="even" r:id="rId10"/>
          <w:headerReference w:type="default" r:id="rId11"/>
          <w:footerReference w:type="even" r:id="rId12"/>
          <w:footerReference w:type="default" r:id="rId13"/>
          <w:headerReference w:type="first" r:id="rId14"/>
          <w:footerReference w:type="first" r:id="rId15"/>
          <w:pgSz w:w="12240" w:h="15840"/>
          <w:pgMar w:top="720" w:right="1152" w:bottom="1080" w:left="1440" w:header="706" w:footer="706" w:gutter="0"/>
          <w:cols w:space="708"/>
          <w:titlePg/>
          <w:docGrid w:linePitch="360"/>
        </w:sectPr>
      </w:pPr>
    </w:p>
    <w:p w:rsidR="00560DF1" w:rsidRPr="00B84A84" w:rsidRDefault="00DD0BDC" w:rsidP="00567602">
      <w:pPr>
        <w:pStyle w:val="Header1StyleE"/>
        <w:pBdr>
          <w:bottom w:val="single" w:sz="12" w:space="1" w:color="auto"/>
        </w:pBdr>
        <w:rPr>
          <w:lang w:val="fr-CA"/>
        </w:rPr>
      </w:pPr>
      <w:bookmarkStart w:id="1" w:name="_Toc42854321"/>
      <w:r w:rsidRPr="00B84A84">
        <w:rPr>
          <w:lang w:val="fr-CA"/>
        </w:rPr>
        <w:lastRenderedPageBreak/>
        <w:t>Applications for leave to appeal filed</w:t>
      </w:r>
      <w:r w:rsidR="00271E1E" w:rsidRPr="00B84A84">
        <w:rPr>
          <w:lang w:val="fr-CA"/>
        </w:rPr>
        <w:t xml:space="preserve"> / </w:t>
      </w:r>
      <w:r w:rsidR="00727571" w:rsidRPr="00B84A84">
        <w:rPr>
          <w:lang w:val="fr-CA"/>
        </w:rPr>
        <w:br/>
      </w:r>
      <w:r w:rsidRPr="00B84A84">
        <w:rPr>
          <w:lang w:val="fr-CA"/>
        </w:rPr>
        <w:t>Demandes d’autorisation d’appel déposées</w:t>
      </w:r>
      <w:bookmarkEnd w:id="1"/>
    </w:p>
    <w:p w:rsidR="00F138C1" w:rsidRPr="00B84A84" w:rsidRDefault="00F138C1" w:rsidP="00F138C1">
      <w:pPr>
        <w:tabs>
          <w:tab w:val="right" w:pos="9360"/>
        </w:tabs>
        <w:rPr>
          <w:sz w:val="20"/>
          <w:szCs w:val="20"/>
          <w:lang w:val="fr-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F138C1" w:rsidRPr="00B84A84" w:rsidTr="00F138C1">
        <w:tc>
          <w:tcPr>
            <w:tcW w:w="4239" w:type="dxa"/>
            <w:shd w:val="clear" w:color="auto" w:fill="auto"/>
          </w:tcPr>
          <w:p w:rsidR="00F138C1" w:rsidRPr="00B84A84" w:rsidRDefault="00FF0398" w:rsidP="00F138C1">
            <w:pPr>
              <w:rPr>
                <w:sz w:val="20"/>
                <w:szCs w:val="20"/>
                <w:lang w:val="fr-CA"/>
              </w:rPr>
            </w:pPr>
            <w:r w:rsidRPr="00B84A84">
              <w:rPr>
                <w:b/>
                <w:sz w:val="20"/>
                <w:szCs w:val="20"/>
                <w:lang w:val="fr-CA"/>
              </w:rPr>
              <w:t>Y.M., et al.</w:t>
            </w:r>
          </w:p>
          <w:p w:rsidR="00F138C1" w:rsidRPr="00B84A84" w:rsidRDefault="00F138C1" w:rsidP="00F138C1">
            <w:pPr>
              <w:tabs>
                <w:tab w:val="left" w:pos="-1440"/>
                <w:tab w:val="left" w:pos="-720"/>
              </w:tabs>
              <w:rPr>
                <w:sz w:val="20"/>
                <w:szCs w:val="20"/>
                <w:lang w:val="fr-CA"/>
              </w:rPr>
            </w:pPr>
            <w:r w:rsidRPr="00B84A84">
              <w:rPr>
                <w:sz w:val="20"/>
                <w:szCs w:val="20"/>
                <w:lang w:val="fr-CA"/>
              </w:rPr>
              <w:tab/>
            </w:r>
            <w:r w:rsidR="00FF0795" w:rsidRPr="00B84A84">
              <w:rPr>
                <w:sz w:val="20"/>
                <w:szCs w:val="20"/>
                <w:lang w:val="fr-CA"/>
              </w:rPr>
              <w:t>Kirkpatrick, Julie-Ann M.</w:t>
            </w:r>
          </w:p>
          <w:p w:rsidR="00FF0795" w:rsidRPr="00B84A84" w:rsidRDefault="00FF0795" w:rsidP="00F138C1">
            <w:pPr>
              <w:tabs>
                <w:tab w:val="left" w:pos="-1440"/>
                <w:tab w:val="left" w:pos="-720"/>
              </w:tabs>
              <w:rPr>
                <w:sz w:val="20"/>
                <w:szCs w:val="20"/>
                <w:lang w:val="en-US"/>
              </w:rPr>
            </w:pPr>
            <w:r w:rsidRPr="00B84A84">
              <w:rPr>
                <w:sz w:val="20"/>
                <w:szCs w:val="20"/>
                <w:lang w:val="fr-CA"/>
              </w:rPr>
              <w:tab/>
            </w:r>
            <w:r w:rsidRPr="00B84A84">
              <w:rPr>
                <w:sz w:val="20"/>
                <w:szCs w:val="20"/>
                <w:lang w:val="en-US"/>
              </w:rPr>
              <w:t xml:space="preserve">Julie M. Kirkpatrick Professional </w:t>
            </w:r>
          </w:p>
          <w:p w:rsidR="00FF0795" w:rsidRPr="00B84A84" w:rsidRDefault="00FF0795" w:rsidP="00F138C1">
            <w:pPr>
              <w:tabs>
                <w:tab w:val="left" w:pos="-1440"/>
                <w:tab w:val="left" w:pos="-720"/>
              </w:tabs>
              <w:rPr>
                <w:sz w:val="20"/>
                <w:szCs w:val="20"/>
                <w:lang w:val="en-US"/>
              </w:rPr>
            </w:pPr>
            <w:r w:rsidRPr="00B84A84">
              <w:rPr>
                <w:sz w:val="20"/>
                <w:szCs w:val="20"/>
                <w:lang w:val="en-US"/>
              </w:rPr>
              <w:tab/>
              <w:t>Corporation</w:t>
            </w:r>
          </w:p>
          <w:p w:rsidR="00F138C1" w:rsidRPr="00B84A84" w:rsidRDefault="00F138C1" w:rsidP="00F138C1">
            <w:pPr>
              <w:tabs>
                <w:tab w:val="left" w:pos="-1440"/>
                <w:tab w:val="left" w:pos="-720"/>
              </w:tabs>
              <w:rPr>
                <w:sz w:val="20"/>
                <w:szCs w:val="20"/>
                <w:lang w:val="en-US"/>
              </w:rPr>
            </w:pPr>
          </w:p>
          <w:p w:rsidR="00F138C1" w:rsidRPr="00B84A84" w:rsidRDefault="00F138C1" w:rsidP="00F138C1">
            <w:pPr>
              <w:tabs>
                <w:tab w:val="left" w:pos="-1440"/>
                <w:tab w:val="left" w:pos="-720"/>
              </w:tabs>
              <w:rPr>
                <w:sz w:val="20"/>
                <w:szCs w:val="20"/>
                <w:lang w:val="en-US"/>
              </w:rPr>
            </w:pPr>
            <w:r w:rsidRPr="00B84A84">
              <w:rPr>
                <w:sz w:val="20"/>
                <w:szCs w:val="20"/>
                <w:lang w:val="en-US"/>
              </w:rPr>
              <w:tab/>
              <w:t>v. (391</w:t>
            </w:r>
            <w:r w:rsidR="00FF0398" w:rsidRPr="00B84A84">
              <w:rPr>
                <w:sz w:val="20"/>
                <w:szCs w:val="20"/>
                <w:lang w:val="en-US"/>
              </w:rPr>
              <w:t>71</w:t>
            </w:r>
            <w:r w:rsidRPr="00B84A84">
              <w:rPr>
                <w:sz w:val="20"/>
                <w:szCs w:val="20"/>
                <w:lang w:val="en-US"/>
              </w:rPr>
              <w:t>)</w:t>
            </w:r>
          </w:p>
          <w:p w:rsidR="00F138C1" w:rsidRPr="00B84A84" w:rsidRDefault="00F138C1" w:rsidP="00F138C1">
            <w:pPr>
              <w:tabs>
                <w:tab w:val="left" w:pos="-1440"/>
                <w:tab w:val="left" w:pos="-720"/>
              </w:tabs>
              <w:rPr>
                <w:sz w:val="20"/>
                <w:szCs w:val="20"/>
                <w:lang w:val="en-US"/>
              </w:rPr>
            </w:pPr>
          </w:p>
          <w:p w:rsidR="00F138C1" w:rsidRPr="00B84A84" w:rsidRDefault="00FF0795" w:rsidP="00F138C1">
            <w:pPr>
              <w:tabs>
                <w:tab w:val="left" w:pos="-1440"/>
                <w:tab w:val="left" w:pos="-720"/>
              </w:tabs>
              <w:rPr>
                <w:b/>
                <w:sz w:val="20"/>
                <w:szCs w:val="20"/>
                <w:lang w:val="en-US"/>
              </w:rPr>
            </w:pPr>
            <w:r w:rsidRPr="00B84A84">
              <w:rPr>
                <w:b/>
                <w:sz w:val="20"/>
                <w:szCs w:val="20"/>
                <w:lang w:val="en-US"/>
              </w:rPr>
              <w:t xml:space="preserve">Her Majesty the Queen in Right of Ontario, et al. </w:t>
            </w:r>
            <w:r w:rsidR="00F138C1" w:rsidRPr="00B84A84">
              <w:rPr>
                <w:b/>
                <w:sz w:val="20"/>
                <w:szCs w:val="20"/>
                <w:lang w:val="en-US"/>
              </w:rPr>
              <w:t>(</w:t>
            </w:r>
            <w:r w:rsidRPr="00B84A84">
              <w:rPr>
                <w:b/>
                <w:sz w:val="20"/>
                <w:szCs w:val="20"/>
                <w:lang w:val="en-US"/>
              </w:rPr>
              <w:t>Ont</w:t>
            </w:r>
            <w:r w:rsidR="00F138C1" w:rsidRPr="00B84A84">
              <w:rPr>
                <w:b/>
                <w:sz w:val="20"/>
                <w:szCs w:val="20"/>
                <w:lang w:val="en-US"/>
              </w:rPr>
              <w:t>.)</w:t>
            </w:r>
          </w:p>
          <w:p w:rsidR="00F138C1" w:rsidRPr="00B84A84" w:rsidRDefault="00F138C1" w:rsidP="00F138C1">
            <w:pPr>
              <w:tabs>
                <w:tab w:val="left" w:pos="-1440"/>
                <w:tab w:val="left" w:pos="-720"/>
              </w:tabs>
              <w:rPr>
                <w:sz w:val="20"/>
                <w:szCs w:val="20"/>
                <w:lang w:val="en-US"/>
              </w:rPr>
            </w:pPr>
            <w:r w:rsidRPr="00B84A84">
              <w:rPr>
                <w:sz w:val="20"/>
                <w:szCs w:val="20"/>
                <w:lang w:val="en-US"/>
              </w:rPr>
              <w:tab/>
            </w:r>
            <w:r w:rsidR="00FF0795" w:rsidRPr="00B84A84">
              <w:rPr>
                <w:sz w:val="20"/>
                <w:szCs w:val="20"/>
                <w:lang w:val="en-US"/>
              </w:rPr>
              <w:t>Wayland, Christopher A.</w:t>
            </w:r>
          </w:p>
          <w:p w:rsidR="00F138C1" w:rsidRPr="00B84A84" w:rsidRDefault="00F138C1" w:rsidP="00F138C1">
            <w:pPr>
              <w:tabs>
                <w:tab w:val="left" w:pos="-1440"/>
                <w:tab w:val="left" w:pos="-720"/>
              </w:tabs>
              <w:rPr>
                <w:sz w:val="20"/>
                <w:szCs w:val="20"/>
              </w:rPr>
            </w:pPr>
            <w:r w:rsidRPr="00B84A84">
              <w:rPr>
                <w:sz w:val="20"/>
                <w:szCs w:val="20"/>
                <w:lang w:val="en-US"/>
              </w:rPr>
              <w:tab/>
            </w:r>
            <w:r w:rsidR="00FF0795" w:rsidRPr="00B84A84">
              <w:rPr>
                <w:sz w:val="20"/>
                <w:szCs w:val="20"/>
              </w:rPr>
              <w:t>McCarthy Tétrault LLP</w:t>
            </w:r>
          </w:p>
          <w:p w:rsidR="00F138C1" w:rsidRPr="00B84A84" w:rsidRDefault="00F138C1" w:rsidP="00F138C1">
            <w:pPr>
              <w:tabs>
                <w:tab w:val="left" w:pos="-1440"/>
                <w:tab w:val="left" w:pos="-720"/>
              </w:tabs>
              <w:rPr>
                <w:sz w:val="20"/>
                <w:szCs w:val="20"/>
              </w:rPr>
            </w:pPr>
          </w:p>
          <w:p w:rsidR="00F138C1" w:rsidRPr="00B84A84" w:rsidRDefault="00F138C1" w:rsidP="00F138C1">
            <w:pPr>
              <w:rPr>
                <w:sz w:val="20"/>
                <w:szCs w:val="20"/>
              </w:rPr>
            </w:pPr>
            <w:r w:rsidRPr="00B84A84">
              <w:rPr>
                <w:sz w:val="20"/>
                <w:szCs w:val="20"/>
              </w:rPr>
              <w:t xml:space="preserve">FILING DATE: </w:t>
            </w:r>
            <w:r w:rsidR="00FF0795" w:rsidRPr="00B84A84">
              <w:rPr>
                <w:sz w:val="20"/>
                <w:szCs w:val="20"/>
              </w:rPr>
              <w:t>May 20</w:t>
            </w:r>
            <w:r w:rsidRPr="00B84A84">
              <w:rPr>
                <w:sz w:val="20"/>
                <w:szCs w:val="20"/>
              </w:rPr>
              <w:t>, 20</w:t>
            </w:r>
            <w:r w:rsidR="00DA1D48" w:rsidRPr="00B84A84">
              <w:rPr>
                <w:sz w:val="20"/>
                <w:szCs w:val="20"/>
              </w:rPr>
              <w:t>20</w:t>
            </w:r>
          </w:p>
          <w:p w:rsidR="004B2E86" w:rsidRPr="00B84A84" w:rsidRDefault="004B2E86" w:rsidP="00F138C1">
            <w:pPr>
              <w:rPr>
                <w:sz w:val="20"/>
                <w:szCs w:val="20"/>
              </w:rPr>
            </w:pPr>
          </w:p>
          <w:p w:rsidR="00F138C1" w:rsidRPr="00B84A84" w:rsidRDefault="005E1A49" w:rsidP="00F138C1">
            <w:pPr>
              <w:rPr>
                <w:sz w:val="20"/>
                <w:szCs w:val="20"/>
              </w:rPr>
            </w:pPr>
            <w:r>
              <w:rPr>
                <w:sz w:val="20"/>
                <w:szCs w:val="20"/>
                <w:lang w:val="fr-CA"/>
              </w:rPr>
              <w:pict>
                <v:rect id="_x0000_i1025" style="width:108pt;height:1pt" o:hrpct="0" o:hrstd="t" o:hrnoshade="t" o:hr="t" fillcolor="black [3213]" stroked="f"/>
              </w:pict>
            </w:r>
          </w:p>
        </w:tc>
        <w:tc>
          <w:tcPr>
            <w:tcW w:w="1141" w:type="dxa"/>
            <w:shd w:val="clear" w:color="auto" w:fill="auto"/>
          </w:tcPr>
          <w:p w:rsidR="00F138C1" w:rsidRPr="00B84A84" w:rsidRDefault="00F138C1" w:rsidP="00F138C1">
            <w:pPr>
              <w:jc w:val="center"/>
              <w:rPr>
                <w:sz w:val="20"/>
                <w:szCs w:val="20"/>
              </w:rPr>
            </w:pPr>
          </w:p>
          <w:p w:rsidR="00F138C1" w:rsidRPr="00B84A84" w:rsidRDefault="00F138C1" w:rsidP="00F138C1">
            <w:pPr>
              <w:jc w:val="center"/>
              <w:rPr>
                <w:sz w:val="20"/>
                <w:szCs w:val="20"/>
              </w:rPr>
            </w:pPr>
          </w:p>
          <w:p w:rsidR="00F138C1" w:rsidRPr="00B84A84" w:rsidRDefault="00F138C1" w:rsidP="00F138C1">
            <w:pPr>
              <w:jc w:val="center"/>
              <w:rPr>
                <w:sz w:val="20"/>
                <w:szCs w:val="20"/>
              </w:rPr>
            </w:pPr>
          </w:p>
          <w:p w:rsidR="00F138C1" w:rsidRPr="00B84A84" w:rsidRDefault="00F138C1" w:rsidP="00F138C1">
            <w:pPr>
              <w:jc w:val="center"/>
              <w:rPr>
                <w:sz w:val="20"/>
                <w:szCs w:val="20"/>
              </w:rPr>
            </w:pPr>
          </w:p>
          <w:p w:rsidR="00F138C1" w:rsidRPr="00B84A84" w:rsidRDefault="00F138C1" w:rsidP="00F138C1">
            <w:pPr>
              <w:jc w:val="center"/>
              <w:rPr>
                <w:sz w:val="20"/>
                <w:szCs w:val="20"/>
              </w:rPr>
            </w:pPr>
          </w:p>
          <w:p w:rsidR="00F138C1" w:rsidRPr="00B84A84" w:rsidRDefault="00F138C1" w:rsidP="00F138C1">
            <w:pPr>
              <w:jc w:val="center"/>
              <w:rPr>
                <w:sz w:val="20"/>
                <w:szCs w:val="20"/>
              </w:rPr>
            </w:pPr>
          </w:p>
          <w:p w:rsidR="00F138C1" w:rsidRPr="00B84A84" w:rsidRDefault="00F138C1" w:rsidP="00F138C1">
            <w:pPr>
              <w:jc w:val="center"/>
              <w:rPr>
                <w:sz w:val="20"/>
                <w:szCs w:val="20"/>
              </w:rPr>
            </w:pPr>
          </w:p>
          <w:p w:rsidR="00F138C1" w:rsidRPr="00B84A84" w:rsidRDefault="00F138C1" w:rsidP="00F138C1">
            <w:pPr>
              <w:jc w:val="center"/>
              <w:rPr>
                <w:sz w:val="20"/>
                <w:szCs w:val="20"/>
              </w:rPr>
            </w:pPr>
          </w:p>
          <w:p w:rsidR="00F138C1" w:rsidRPr="00B84A84" w:rsidRDefault="00F138C1" w:rsidP="00F138C1">
            <w:pPr>
              <w:jc w:val="center"/>
              <w:rPr>
                <w:sz w:val="20"/>
                <w:szCs w:val="20"/>
              </w:rPr>
            </w:pPr>
          </w:p>
          <w:p w:rsidR="00F138C1" w:rsidRPr="00B84A84" w:rsidRDefault="00F138C1" w:rsidP="00F138C1">
            <w:pPr>
              <w:jc w:val="center"/>
              <w:rPr>
                <w:sz w:val="20"/>
                <w:szCs w:val="20"/>
              </w:rPr>
            </w:pPr>
          </w:p>
          <w:p w:rsidR="00F138C1" w:rsidRPr="00B84A84" w:rsidRDefault="00F138C1" w:rsidP="00F138C1">
            <w:pPr>
              <w:jc w:val="center"/>
              <w:rPr>
                <w:sz w:val="20"/>
                <w:szCs w:val="20"/>
              </w:rPr>
            </w:pPr>
          </w:p>
          <w:p w:rsidR="00F138C1" w:rsidRPr="00B84A84" w:rsidRDefault="00F138C1" w:rsidP="00F138C1">
            <w:pPr>
              <w:jc w:val="center"/>
              <w:rPr>
                <w:sz w:val="20"/>
                <w:szCs w:val="20"/>
              </w:rPr>
            </w:pPr>
          </w:p>
          <w:p w:rsidR="004B2E86" w:rsidRPr="00B84A84" w:rsidRDefault="004B2E86" w:rsidP="00F138C1">
            <w:pPr>
              <w:jc w:val="center"/>
              <w:rPr>
                <w:sz w:val="20"/>
                <w:szCs w:val="20"/>
              </w:rPr>
            </w:pPr>
          </w:p>
          <w:p w:rsidR="00FF0795" w:rsidRPr="00B84A84" w:rsidRDefault="00FF0795" w:rsidP="00F138C1">
            <w:pPr>
              <w:jc w:val="center"/>
              <w:rPr>
                <w:sz w:val="20"/>
                <w:szCs w:val="20"/>
              </w:rPr>
            </w:pPr>
          </w:p>
          <w:p w:rsidR="00FF0795" w:rsidRPr="00B84A84" w:rsidRDefault="00FF0795" w:rsidP="00F138C1">
            <w:pPr>
              <w:jc w:val="center"/>
              <w:rPr>
                <w:sz w:val="20"/>
                <w:szCs w:val="20"/>
              </w:rPr>
            </w:pPr>
          </w:p>
          <w:p w:rsidR="00F138C1" w:rsidRPr="00B84A84" w:rsidRDefault="00F138C1" w:rsidP="00F138C1">
            <w:pPr>
              <w:jc w:val="center"/>
              <w:rPr>
                <w:sz w:val="20"/>
                <w:szCs w:val="20"/>
              </w:rPr>
            </w:pPr>
          </w:p>
        </w:tc>
        <w:tc>
          <w:tcPr>
            <w:tcW w:w="4239" w:type="dxa"/>
            <w:shd w:val="clear" w:color="auto" w:fill="auto"/>
          </w:tcPr>
          <w:p w:rsidR="00F138C1" w:rsidRPr="00B84A84" w:rsidRDefault="00BC6EB5" w:rsidP="00F138C1">
            <w:pPr>
              <w:rPr>
                <w:b/>
                <w:sz w:val="20"/>
                <w:szCs w:val="20"/>
                <w:lang w:val="en-US"/>
              </w:rPr>
            </w:pPr>
            <w:r w:rsidRPr="00B84A84">
              <w:rPr>
                <w:b/>
                <w:sz w:val="20"/>
                <w:szCs w:val="20"/>
                <w:lang w:val="en-US"/>
              </w:rPr>
              <w:t>Apotex Inc., et al.</w:t>
            </w:r>
          </w:p>
          <w:p w:rsidR="00F138C1" w:rsidRPr="00B84A84" w:rsidRDefault="00F138C1" w:rsidP="00F138C1">
            <w:pPr>
              <w:tabs>
                <w:tab w:val="left" w:pos="-1440"/>
                <w:tab w:val="left" w:pos="-720"/>
              </w:tabs>
              <w:rPr>
                <w:sz w:val="20"/>
                <w:szCs w:val="20"/>
                <w:lang w:val="en-US"/>
              </w:rPr>
            </w:pPr>
            <w:r w:rsidRPr="00B84A84">
              <w:rPr>
                <w:sz w:val="20"/>
                <w:szCs w:val="20"/>
                <w:lang w:val="en-US"/>
              </w:rPr>
              <w:tab/>
            </w:r>
            <w:r w:rsidR="00BC6EB5" w:rsidRPr="00B84A84">
              <w:rPr>
                <w:sz w:val="20"/>
                <w:szCs w:val="20"/>
                <w:lang w:val="en-US"/>
              </w:rPr>
              <w:t>Radomski, Harry B.</w:t>
            </w:r>
          </w:p>
          <w:p w:rsidR="00F138C1" w:rsidRPr="00B84A84" w:rsidRDefault="00F138C1" w:rsidP="00F138C1">
            <w:pPr>
              <w:tabs>
                <w:tab w:val="left" w:pos="-1440"/>
                <w:tab w:val="left" w:pos="-720"/>
              </w:tabs>
              <w:rPr>
                <w:sz w:val="20"/>
                <w:szCs w:val="20"/>
                <w:lang w:val="en-US"/>
              </w:rPr>
            </w:pPr>
            <w:r w:rsidRPr="00B84A84">
              <w:rPr>
                <w:sz w:val="20"/>
                <w:szCs w:val="20"/>
                <w:lang w:val="en-US"/>
              </w:rPr>
              <w:tab/>
            </w:r>
            <w:r w:rsidR="00BC6EB5" w:rsidRPr="00B84A84">
              <w:rPr>
                <w:sz w:val="20"/>
                <w:szCs w:val="20"/>
                <w:lang w:val="en-US"/>
              </w:rPr>
              <w:t>Goodmans LLP</w:t>
            </w:r>
          </w:p>
          <w:p w:rsidR="00F138C1" w:rsidRPr="00B84A84" w:rsidRDefault="00F138C1" w:rsidP="00F138C1">
            <w:pPr>
              <w:tabs>
                <w:tab w:val="left" w:pos="-1440"/>
                <w:tab w:val="left" w:pos="-720"/>
              </w:tabs>
              <w:rPr>
                <w:sz w:val="20"/>
                <w:szCs w:val="20"/>
                <w:lang w:val="en-US"/>
              </w:rPr>
            </w:pPr>
          </w:p>
          <w:p w:rsidR="00F138C1" w:rsidRPr="00B84A84" w:rsidRDefault="00F138C1" w:rsidP="00F138C1">
            <w:pPr>
              <w:tabs>
                <w:tab w:val="left" w:pos="-1440"/>
                <w:tab w:val="left" w:pos="-720"/>
              </w:tabs>
              <w:rPr>
                <w:sz w:val="20"/>
                <w:szCs w:val="20"/>
                <w:lang w:val="en-US"/>
              </w:rPr>
            </w:pPr>
            <w:r w:rsidRPr="00B84A84">
              <w:rPr>
                <w:sz w:val="20"/>
                <w:szCs w:val="20"/>
                <w:lang w:val="en-US"/>
              </w:rPr>
              <w:tab/>
            </w:r>
            <w:r w:rsidR="00BC6EB5" w:rsidRPr="00B84A84">
              <w:rPr>
                <w:sz w:val="20"/>
                <w:szCs w:val="20"/>
                <w:lang w:val="en-US"/>
              </w:rPr>
              <w:t>v</w:t>
            </w:r>
            <w:r w:rsidRPr="00B84A84">
              <w:rPr>
                <w:sz w:val="20"/>
                <w:szCs w:val="20"/>
                <w:lang w:val="en-US"/>
              </w:rPr>
              <w:t>. (39</w:t>
            </w:r>
            <w:r w:rsidR="00BC6EB5" w:rsidRPr="00B84A84">
              <w:rPr>
                <w:sz w:val="20"/>
                <w:szCs w:val="20"/>
                <w:lang w:val="en-US"/>
              </w:rPr>
              <w:t>172</w:t>
            </w:r>
            <w:r w:rsidRPr="00B84A84">
              <w:rPr>
                <w:sz w:val="20"/>
                <w:szCs w:val="20"/>
                <w:lang w:val="en-US"/>
              </w:rPr>
              <w:t>)</w:t>
            </w:r>
          </w:p>
          <w:p w:rsidR="00F138C1" w:rsidRPr="00B84A84" w:rsidRDefault="00F138C1" w:rsidP="00F138C1">
            <w:pPr>
              <w:tabs>
                <w:tab w:val="left" w:pos="-1440"/>
                <w:tab w:val="left" w:pos="-720"/>
              </w:tabs>
              <w:rPr>
                <w:sz w:val="20"/>
                <w:szCs w:val="20"/>
                <w:lang w:val="en-US"/>
              </w:rPr>
            </w:pPr>
          </w:p>
          <w:p w:rsidR="00F138C1" w:rsidRPr="00B84A84" w:rsidRDefault="00BC6EB5" w:rsidP="00F138C1">
            <w:pPr>
              <w:tabs>
                <w:tab w:val="left" w:pos="-1440"/>
                <w:tab w:val="left" w:pos="-720"/>
              </w:tabs>
              <w:rPr>
                <w:b/>
                <w:sz w:val="20"/>
                <w:szCs w:val="20"/>
                <w:lang w:val="en-US"/>
              </w:rPr>
            </w:pPr>
            <w:r w:rsidRPr="00B84A84">
              <w:rPr>
                <w:b/>
                <w:sz w:val="20"/>
                <w:szCs w:val="20"/>
                <w:lang w:val="en-US"/>
              </w:rPr>
              <w:t xml:space="preserve">ADIR and Servier Canada Inc. </w:t>
            </w:r>
            <w:r w:rsidR="00F138C1" w:rsidRPr="00B84A84">
              <w:rPr>
                <w:b/>
                <w:sz w:val="20"/>
                <w:szCs w:val="20"/>
                <w:lang w:val="en-US"/>
              </w:rPr>
              <w:t>(</w:t>
            </w:r>
            <w:r w:rsidRPr="00B84A84">
              <w:rPr>
                <w:b/>
                <w:sz w:val="20"/>
                <w:szCs w:val="20"/>
                <w:lang w:val="en-US"/>
              </w:rPr>
              <w:t>F.C.</w:t>
            </w:r>
            <w:r w:rsidR="00F138C1" w:rsidRPr="00B84A84">
              <w:rPr>
                <w:b/>
                <w:sz w:val="20"/>
                <w:szCs w:val="20"/>
                <w:lang w:val="en-US"/>
              </w:rPr>
              <w:t>)</w:t>
            </w:r>
          </w:p>
          <w:p w:rsidR="00F138C1" w:rsidRPr="00B84A84" w:rsidRDefault="00F138C1" w:rsidP="00F138C1">
            <w:pPr>
              <w:tabs>
                <w:tab w:val="left" w:pos="-1440"/>
                <w:tab w:val="left" w:pos="-720"/>
              </w:tabs>
              <w:rPr>
                <w:sz w:val="20"/>
                <w:szCs w:val="20"/>
                <w:lang w:val="en-US"/>
              </w:rPr>
            </w:pPr>
            <w:r w:rsidRPr="00B84A84">
              <w:rPr>
                <w:sz w:val="20"/>
                <w:szCs w:val="20"/>
                <w:lang w:val="en-US"/>
              </w:rPr>
              <w:tab/>
            </w:r>
            <w:r w:rsidR="00BC6EB5" w:rsidRPr="00B84A84">
              <w:rPr>
                <w:sz w:val="20"/>
                <w:szCs w:val="20"/>
                <w:lang w:val="en-US"/>
              </w:rPr>
              <w:t>Robinson, Judith</w:t>
            </w:r>
          </w:p>
          <w:p w:rsidR="00F138C1" w:rsidRPr="00B84A84" w:rsidRDefault="00F138C1" w:rsidP="00F138C1">
            <w:pPr>
              <w:tabs>
                <w:tab w:val="left" w:pos="-1440"/>
                <w:tab w:val="left" w:pos="-720"/>
              </w:tabs>
              <w:rPr>
                <w:sz w:val="20"/>
                <w:szCs w:val="20"/>
                <w:lang w:val="en-US"/>
              </w:rPr>
            </w:pPr>
            <w:r w:rsidRPr="00B84A84">
              <w:rPr>
                <w:sz w:val="20"/>
                <w:szCs w:val="20"/>
                <w:lang w:val="en-US"/>
              </w:rPr>
              <w:tab/>
            </w:r>
            <w:r w:rsidR="00BC6EB5" w:rsidRPr="00B84A84">
              <w:rPr>
                <w:sz w:val="20"/>
                <w:szCs w:val="20"/>
                <w:lang w:val="en-US"/>
              </w:rPr>
              <w:t>Norton Rose Fulbright Canada LLP</w:t>
            </w:r>
          </w:p>
          <w:p w:rsidR="00F138C1" w:rsidRPr="00B84A84" w:rsidRDefault="00F138C1" w:rsidP="00F138C1">
            <w:pPr>
              <w:tabs>
                <w:tab w:val="left" w:pos="-1440"/>
                <w:tab w:val="left" w:pos="-720"/>
              </w:tabs>
              <w:rPr>
                <w:sz w:val="20"/>
                <w:szCs w:val="20"/>
                <w:lang w:val="en-US"/>
              </w:rPr>
            </w:pPr>
          </w:p>
          <w:p w:rsidR="00F138C1" w:rsidRPr="00B84A84" w:rsidRDefault="00BC6EB5" w:rsidP="00F138C1">
            <w:pPr>
              <w:rPr>
                <w:sz w:val="20"/>
                <w:szCs w:val="20"/>
                <w:lang w:val="fr-CA"/>
              </w:rPr>
            </w:pPr>
            <w:r w:rsidRPr="00B84A84">
              <w:rPr>
                <w:sz w:val="20"/>
                <w:szCs w:val="20"/>
                <w:lang w:val="fr-CA"/>
              </w:rPr>
              <w:t xml:space="preserve">FILING </w:t>
            </w:r>
            <w:r w:rsidR="00F138C1" w:rsidRPr="00B84A84">
              <w:rPr>
                <w:sz w:val="20"/>
                <w:szCs w:val="20"/>
                <w:lang w:val="fr-CA"/>
              </w:rPr>
              <w:t>DATE</w:t>
            </w:r>
            <w:r w:rsidRPr="00B84A84">
              <w:rPr>
                <w:sz w:val="20"/>
                <w:szCs w:val="20"/>
                <w:lang w:val="fr-CA"/>
              </w:rPr>
              <w:t>: May 20,</w:t>
            </w:r>
            <w:r w:rsidR="00F138C1" w:rsidRPr="00B84A84">
              <w:rPr>
                <w:sz w:val="20"/>
                <w:szCs w:val="20"/>
                <w:lang w:val="fr-CA"/>
              </w:rPr>
              <w:t xml:space="preserve"> 20</w:t>
            </w:r>
            <w:r w:rsidR="00DA1D48" w:rsidRPr="00B84A84">
              <w:rPr>
                <w:sz w:val="20"/>
                <w:szCs w:val="20"/>
                <w:lang w:val="fr-CA"/>
              </w:rPr>
              <w:t>20</w:t>
            </w:r>
          </w:p>
          <w:p w:rsidR="004B2E86" w:rsidRPr="00B84A84" w:rsidRDefault="004B2E86" w:rsidP="00F138C1">
            <w:pPr>
              <w:rPr>
                <w:sz w:val="20"/>
                <w:szCs w:val="20"/>
                <w:lang w:val="fr-CA"/>
              </w:rPr>
            </w:pPr>
          </w:p>
          <w:p w:rsidR="00F138C1" w:rsidRPr="00B84A84" w:rsidRDefault="005E1A49" w:rsidP="00F138C1">
            <w:pPr>
              <w:rPr>
                <w:sz w:val="20"/>
                <w:szCs w:val="20"/>
                <w:lang w:val="fr-CA"/>
              </w:rPr>
            </w:pPr>
            <w:r>
              <w:rPr>
                <w:sz w:val="20"/>
                <w:szCs w:val="20"/>
                <w:lang w:val="fr-CA"/>
              </w:rPr>
              <w:pict>
                <v:rect id="_x0000_i1026" style="width:108pt;height:1pt" o:hrpct="0" o:hrstd="t" o:hrnoshade="t" o:hr="t" fillcolor="black [3213]" stroked="f"/>
              </w:pict>
            </w:r>
          </w:p>
        </w:tc>
      </w:tr>
      <w:tr w:rsidR="00F138C1" w:rsidRPr="00B84A84" w:rsidTr="00F138C1">
        <w:tc>
          <w:tcPr>
            <w:tcW w:w="4239" w:type="dxa"/>
            <w:shd w:val="clear" w:color="auto" w:fill="auto"/>
          </w:tcPr>
          <w:p w:rsidR="00F138C1" w:rsidRPr="00B84A84" w:rsidRDefault="00E82082" w:rsidP="00F138C1">
            <w:pPr>
              <w:keepNext/>
              <w:keepLines/>
              <w:tabs>
                <w:tab w:val="left" w:pos="-1440"/>
                <w:tab w:val="left" w:pos="-720"/>
              </w:tabs>
              <w:rPr>
                <w:b/>
                <w:sz w:val="20"/>
                <w:szCs w:val="20"/>
                <w:lang w:val="fr-CA"/>
              </w:rPr>
            </w:pPr>
            <w:r w:rsidRPr="00B84A84">
              <w:rPr>
                <w:b/>
                <w:sz w:val="20"/>
                <w:szCs w:val="20"/>
                <w:lang w:val="fr-CA"/>
              </w:rPr>
              <w:t>Jean-Guy St-Pierre</w:t>
            </w:r>
          </w:p>
          <w:p w:rsidR="00F138C1" w:rsidRPr="00B84A84" w:rsidRDefault="00F138C1" w:rsidP="00F138C1">
            <w:pPr>
              <w:keepNext/>
              <w:keepLines/>
              <w:tabs>
                <w:tab w:val="left" w:pos="-1440"/>
                <w:tab w:val="left" w:pos="-720"/>
              </w:tabs>
              <w:rPr>
                <w:sz w:val="20"/>
                <w:szCs w:val="20"/>
                <w:lang w:val="fr-CA"/>
              </w:rPr>
            </w:pPr>
            <w:r w:rsidRPr="00B84A84">
              <w:rPr>
                <w:sz w:val="20"/>
                <w:szCs w:val="20"/>
                <w:lang w:val="fr-CA"/>
              </w:rPr>
              <w:tab/>
            </w:r>
            <w:r w:rsidR="00E82082" w:rsidRPr="00B84A84">
              <w:rPr>
                <w:sz w:val="20"/>
                <w:szCs w:val="20"/>
                <w:lang w:val="fr-CA"/>
              </w:rPr>
              <w:t>Martin, Pierre</w:t>
            </w:r>
          </w:p>
          <w:p w:rsidR="00DA1D48" w:rsidRPr="00B84A84" w:rsidRDefault="00F138C1" w:rsidP="00F138C1">
            <w:pPr>
              <w:keepNext/>
              <w:keepLines/>
              <w:tabs>
                <w:tab w:val="left" w:pos="-1440"/>
                <w:tab w:val="left" w:pos="-720"/>
              </w:tabs>
              <w:rPr>
                <w:sz w:val="20"/>
                <w:szCs w:val="20"/>
                <w:lang w:val="fr-CA"/>
              </w:rPr>
            </w:pPr>
            <w:r w:rsidRPr="00B84A84">
              <w:rPr>
                <w:sz w:val="20"/>
                <w:szCs w:val="20"/>
                <w:lang w:val="fr-CA"/>
              </w:rPr>
              <w:tab/>
            </w:r>
            <w:r w:rsidR="00E82082" w:rsidRPr="00B84A84">
              <w:rPr>
                <w:sz w:val="20"/>
                <w:szCs w:val="20"/>
                <w:lang w:val="fr-CA"/>
              </w:rPr>
              <w:t>Cain Lamarre</w:t>
            </w:r>
          </w:p>
          <w:p w:rsidR="00F138C1" w:rsidRPr="00B84A84" w:rsidRDefault="00F138C1" w:rsidP="00F138C1">
            <w:pPr>
              <w:keepNext/>
              <w:keepLines/>
              <w:tabs>
                <w:tab w:val="left" w:pos="-1440"/>
                <w:tab w:val="left" w:pos="-720"/>
              </w:tabs>
              <w:rPr>
                <w:sz w:val="20"/>
                <w:szCs w:val="20"/>
                <w:lang w:val="fr-CA"/>
              </w:rPr>
            </w:pPr>
          </w:p>
          <w:p w:rsidR="00F138C1" w:rsidRPr="00B84A84" w:rsidRDefault="00F138C1" w:rsidP="00F138C1">
            <w:pPr>
              <w:keepNext/>
              <w:keepLines/>
              <w:tabs>
                <w:tab w:val="left" w:pos="-1440"/>
                <w:tab w:val="left" w:pos="-720"/>
              </w:tabs>
              <w:rPr>
                <w:sz w:val="20"/>
                <w:szCs w:val="20"/>
                <w:lang w:val="fr-CA"/>
              </w:rPr>
            </w:pPr>
            <w:r w:rsidRPr="00B84A84">
              <w:rPr>
                <w:sz w:val="20"/>
                <w:szCs w:val="20"/>
                <w:lang w:val="fr-CA"/>
              </w:rPr>
              <w:tab/>
            </w:r>
            <w:r w:rsidR="00E82082" w:rsidRPr="00B84A84">
              <w:rPr>
                <w:sz w:val="20"/>
                <w:szCs w:val="20"/>
                <w:lang w:val="fr-CA"/>
              </w:rPr>
              <w:t>c</w:t>
            </w:r>
            <w:r w:rsidRPr="00B84A84">
              <w:rPr>
                <w:sz w:val="20"/>
                <w:szCs w:val="20"/>
                <w:lang w:val="fr-CA"/>
              </w:rPr>
              <w:t>. (391</w:t>
            </w:r>
            <w:r w:rsidR="00691D3B" w:rsidRPr="00B84A84">
              <w:rPr>
                <w:sz w:val="20"/>
                <w:szCs w:val="20"/>
                <w:lang w:val="fr-CA"/>
              </w:rPr>
              <w:t>73</w:t>
            </w:r>
            <w:r w:rsidRPr="00B84A84">
              <w:rPr>
                <w:sz w:val="20"/>
                <w:szCs w:val="20"/>
                <w:lang w:val="fr-CA"/>
              </w:rPr>
              <w:t>)</w:t>
            </w:r>
          </w:p>
          <w:p w:rsidR="00F138C1" w:rsidRPr="00B84A84" w:rsidRDefault="00F138C1" w:rsidP="00F138C1">
            <w:pPr>
              <w:keepNext/>
              <w:keepLines/>
              <w:tabs>
                <w:tab w:val="left" w:pos="-1440"/>
                <w:tab w:val="left" w:pos="-720"/>
              </w:tabs>
              <w:rPr>
                <w:sz w:val="20"/>
                <w:szCs w:val="20"/>
                <w:lang w:val="fr-CA"/>
              </w:rPr>
            </w:pPr>
          </w:p>
          <w:p w:rsidR="00F138C1" w:rsidRPr="00B84A84" w:rsidRDefault="00E82082" w:rsidP="00F138C1">
            <w:pPr>
              <w:keepNext/>
              <w:keepLines/>
              <w:tabs>
                <w:tab w:val="left" w:pos="-1440"/>
                <w:tab w:val="left" w:pos="-720"/>
              </w:tabs>
              <w:rPr>
                <w:b/>
                <w:sz w:val="20"/>
                <w:szCs w:val="20"/>
                <w:lang w:val="fr-CA"/>
              </w:rPr>
            </w:pPr>
            <w:r w:rsidRPr="00B84A84">
              <w:rPr>
                <w:b/>
                <w:sz w:val="20"/>
                <w:szCs w:val="20"/>
                <w:lang w:val="fr-CA"/>
              </w:rPr>
              <w:t>Chantal Thibault</w:t>
            </w:r>
            <w:r w:rsidR="00F138C1" w:rsidRPr="00B84A84">
              <w:rPr>
                <w:b/>
                <w:sz w:val="20"/>
                <w:szCs w:val="20"/>
                <w:lang w:val="fr-CA"/>
              </w:rPr>
              <w:t xml:space="preserve"> (</w:t>
            </w:r>
            <w:r w:rsidRPr="00B84A84">
              <w:rPr>
                <w:b/>
                <w:sz w:val="20"/>
                <w:szCs w:val="20"/>
                <w:lang w:val="fr-CA"/>
              </w:rPr>
              <w:t>Qc</w:t>
            </w:r>
            <w:r w:rsidR="00F138C1" w:rsidRPr="00B84A84">
              <w:rPr>
                <w:b/>
                <w:sz w:val="20"/>
                <w:szCs w:val="20"/>
                <w:lang w:val="fr-CA"/>
              </w:rPr>
              <w:t>)</w:t>
            </w:r>
          </w:p>
          <w:p w:rsidR="00F138C1" w:rsidRPr="00B84A84" w:rsidRDefault="00F138C1" w:rsidP="00F138C1">
            <w:pPr>
              <w:keepNext/>
              <w:keepLines/>
              <w:tabs>
                <w:tab w:val="left" w:pos="-1440"/>
                <w:tab w:val="left" w:pos="-720"/>
              </w:tabs>
              <w:rPr>
                <w:sz w:val="20"/>
                <w:szCs w:val="20"/>
                <w:lang w:val="fr-CA"/>
              </w:rPr>
            </w:pPr>
            <w:r w:rsidRPr="00B84A84">
              <w:rPr>
                <w:sz w:val="20"/>
                <w:szCs w:val="20"/>
                <w:lang w:val="fr-CA"/>
              </w:rPr>
              <w:tab/>
            </w:r>
            <w:r w:rsidR="00E82082" w:rsidRPr="00B84A84">
              <w:rPr>
                <w:sz w:val="20"/>
                <w:szCs w:val="20"/>
                <w:lang w:val="fr-CA"/>
              </w:rPr>
              <w:t>Poitras, Jonathan F.</w:t>
            </w:r>
          </w:p>
          <w:p w:rsidR="00F138C1" w:rsidRPr="00B84A84" w:rsidRDefault="00F138C1" w:rsidP="00F138C1">
            <w:pPr>
              <w:keepNext/>
              <w:keepLines/>
              <w:tabs>
                <w:tab w:val="left" w:pos="-1440"/>
                <w:tab w:val="left" w:pos="-720"/>
              </w:tabs>
              <w:rPr>
                <w:sz w:val="20"/>
                <w:szCs w:val="20"/>
                <w:lang w:val="fr-CA"/>
              </w:rPr>
            </w:pPr>
            <w:r w:rsidRPr="00B84A84">
              <w:rPr>
                <w:sz w:val="20"/>
                <w:szCs w:val="20"/>
                <w:lang w:val="fr-CA"/>
              </w:rPr>
              <w:tab/>
            </w:r>
            <w:r w:rsidR="00E82082" w:rsidRPr="00B84A84">
              <w:rPr>
                <w:sz w:val="20"/>
                <w:szCs w:val="20"/>
                <w:lang w:val="fr-CA"/>
              </w:rPr>
              <w:t>Picard Sirard Poitras</w:t>
            </w:r>
          </w:p>
          <w:p w:rsidR="00F138C1" w:rsidRPr="00B84A84" w:rsidRDefault="00F138C1" w:rsidP="00F138C1">
            <w:pPr>
              <w:keepNext/>
              <w:keepLines/>
              <w:tabs>
                <w:tab w:val="left" w:pos="-1440"/>
                <w:tab w:val="left" w:pos="-720"/>
              </w:tabs>
              <w:rPr>
                <w:sz w:val="20"/>
                <w:szCs w:val="20"/>
                <w:lang w:val="fr-CA"/>
              </w:rPr>
            </w:pPr>
          </w:p>
          <w:p w:rsidR="004B2E86" w:rsidRPr="00B84A84" w:rsidRDefault="00F138C1" w:rsidP="00F138C1">
            <w:pPr>
              <w:rPr>
                <w:sz w:val="20"/>
                <w:szCs w:val="20"/>
                <w:lang w:val="fr-CA"/>
              </w:rPr>
            </w:pPr>
            <w:r w:rsidRPr="00B84A84">
              <w:rPr>
                <w:sz w:val="20"/>
                <w:szCs w:val="20"/>
                <w:lang w:val="fr-CA"/>
              </w:rPr>
              <w:t>DATE</w:t>
            </w:r>
            <w:r w:rsidR="00E82082" w:rsidRPr="00B84A84">
              <w:rPr>
                <w:sz w:val="20"/>
                <w:szCs w:val="20"/>
                <w:lang w:val="fr-CA"/>
              </w:rPr>
              <w:t xml:space="preserve"> DE PRODUCTION</w:t>
            </w:r>
            <w:r w:rsidRPr="00B84A84">
              <w:rPr>
                <w:sz w:val="20"/>
                <w:szCs w:val="20"/>
                <w:lang w:val="fr-CA"/>
              </w:rPr>
              <w:t xml:space="preserve">: </w:t>
            </w:r>
            <w:r w:rsidR="00E82082" w:rsidRPr="00B84A84">
              <w:rPr>
                <w:sz w:val="20"/>
                <w:szCs w:val="20"/>
                <w:lang w:val="fr-CA"/>
              </w:rPr>
              <w:t>le 20 mai</w:t>
            </w:r>
            <w:r w:rsidRPr="00B84A84">
              <w:rPr>
                <w:sz w:val="20"/>
                <w:szCs w:val="20"/>
                <w:lang w:val="fr-CA"/>
              </w:rPr>
              <w:t xml:space="preserve"> 20</w:t>
            </w:r>
            <w:r w:rsidR="00DA1D48" w:rsidRPr="00B84A84">
              <w:rPr>
                <w:sz w:val="20"/>
                <w:szCs w:val="20"/>
                <w:lang w:val="fr-CA"/>
              </w:rPr>
              <w:t>20</w:t>
            </w:r>
          </w:p>
          <w:p w:rsidR="004B2E86" w:rsidRPr="00B84A84" w:rsidRDefault="004B2E86" w:rsidP="00F138C1">
            <w:pPr>
              <w:rPr>
                <w:sz w:val="20"/>
                <w:szCs w:val="20"/>
                <w:lang w:val="fr-CA"/>
              </w:rPr>
            </w:pPr>
          </w:p>
          <w:p w:rsidR="00F138C1" w:rsidRPr="00B84A84" w:rsidRDefault="005E1A49" w:rsidP="00F138C1">
            <w:pPr>
              <w:rPr>
                <w:sz w:val="20"/>
                <w:szCs w:val="20"/>
                <w:lang w:val="en-US"/>
              </w:rPr>
            </w:pPr>
            <w:r>
              <w:rPr>
                <w:sz w:val="20"/>
                <w:szCs w:val="20"/>
                <w:lang w:val="fr-CA"/>
              </w:rPr>
              <w:pict>
                <v:rect id="_x0000_i1027" style="width:108pt;height:1pt" o:hrpct="0" o:hrstd="t" o:hrnoshade="t" o:hr="t" fillcolor="black [3213]" stroked="f"/>
              </w:pict>
            </w:r>
          </w:p>
        </w:tc>
        <w:tc>
          <w:tcPr>
            <w:tcW w:w="1141" w:type="dxa"/>
            <w:shd w:val="clear" w:color="auto" w:fill="auto"/>
          </w:tcPr>
          <w:p w:rsidR="00F138C1" w:rsidRPr="00B84A84" w:rsidRDefault="00F138C1" w:rsidP="00F138C1">
            <w:pPr>
              <w:jc w:val="center"/>
              <w:rPr>
                <w:sz w:val="20"/>
                <w:szCs w:val="20"/>
                <w:lang w:val="en-US"/>
              </w:rPr>
            </w:pPr>
          </w:p>
          <w:p w:rsidR="00F138C1" w:rsidRPr="00B84A84" w:rsidRDefault="00F138C1" w:rsidP="00F138C1">
            <w:pPr>
              <w:jc w:val="center"/>
              <w:rPr>
                <w:sz w:val="20"/>
                <w:szCs w:val="20"/>
                <w:lang w:val="en-US"/>
              </w:rPr>
            </w:pPr>
          </w:p>
          <w:p w:rsidR="00F138C1" w:rsidRPr="00B84A84" w:rsidRDefault="00F138C1" w:rsidP="00F138C1">
            <w:pPr>
              <w:jc w:val="center"/>
              <w:rPr>
                <w:sz w:val="20"/>
                <w:szCs w:val="20"/>
                <w:lang w:val="en-US"/>
              </w:rPr>
            </w:pPr>
          </w:p>
          <w:p w:rsidR="00F138C1" w:rsidRPr="00B84A84" w:rsidRDefault="00F138C1" w:rsidP="00F138C1">
            <w:pPr>
              <w:jc w:val="center"/>
              <w:rPr>
                <w:sz w:val="20"/>
                <w:szCs w:val="20"/>
                <w:lang w:val="en-US"/>
              </w:rPr>
            </w:pPr>
          </w:p>
          <w:p w:rsidR="00F138C1" w:rsidRPr="00B84A84" w:rsidRDefault="00F138C1" w:rsidP="00F138C1">
            <w:pPr>
              <w:jc w:val="center"/>
              <w:rPr>
                <w:sz w:val="20"/>
                <w:szCs w:val="20"/>
                <w:lang w:val="en-US"/>
              </w:rPr>
            </w:pPr>
          </w:p>
          <w:p w:rsidR="00F138C1" w:rsidRPr="00B84A84" w:rsidRDefault="00F138C1" w:rsidP="00F138C1">
            <w:pPr>
              <w:jc w:val="center"/>
              <w:rPr>
                <w:sz w:val="20"/>
                <w:szCs w:val="20"/>
                <w:lang w:val="en-US"/>
              </w:rPr>
            </w:pPr>
          </w:p>
          <w:p w:rsidR="00F138C1" w:rsidRPr="00B84A84" w:rsidRDefault="00F138C1" w:rsidP="00F138C1">
            <w:pPr>
              <w:jc w:val="center"/>
              <w:rPr>
                <w:sz w:val="20"/>
                <w:szCs w:val="20"/>
                <w:lang w:val="en-US"/>
              </w:rPr>
            </w:pPr>
          </w:p>
          <w:p w:rsidR="00F138C1" w:rsidRPr="00B84A84" w:rsidRDefault="00F138C1" w:rsidP="00F138C1">
            <w:pPr>
              <w:jc w:val="center"/>
              <w:rPr>
                <w:sz w:val="20"/>
                <w:szCs w:val="20"/>
                <w:lang w:val="en-US"/>
              </w:rPr>
            </w:pPr>
          </w:p>
          <w:p w:rsidR="00F138C1" w:rsidRPr="00B84A84" w:rsidRDefault="00F138C1" w:rsidP="00F138C1">
            <w:pPr>
              <w:jc w:val="center"/>
              <w:rPr>
                <w:sz w:val="20"/>
                <w:szCs w:val="20"/>
                <w:lang w:val="en-US"/>
              </w:rPr>
            </w:pPr>
          </w:p>
          <w:p w:rsidR="00F138C1" w:rsidRPr="00B84A84" w:rsidRDefault="00F138C1" w:rsidP="00F138C1">
            <w:pPr>
              <w:jc w:val="center"/>
              <w:rPr>
                <w:sz w:val="20"/>
                <w:szCs w:val="20"/>
                <w:lang w:val="en-US"/>
              </w:rPr>
            </w:pPr>
          </w:p>
          <w:p w:rsidR="00F138C1" w:rsidRPr="00B84A84" w:rsidRDefault="00F138C1" w:rsidP="00F138C1">
            <w:pPr>
              <w:jc w:val="center"/>
              <w:rPr>
                <w:sz w:val="20"/>
                <w:szCs w:val="20"/>
                <w:lang w:val="en-US"/>
              </w:rPr>
            </w:pPr>
          </w:p>
          <w:p w:rsidR="00F138C1" w:rsidRPr="00B84A84" w:rsidRDefault="00F138C1" w:rsidP="00F138C1">
            <w:pPr>
              <w:jc w:val="center"/>
              <w:rPr>
                <w:sz w:val="20"/>
                <w:szCs w:val="20"/>
                <w:lang w:val="en-US"/>
              </w:rPr>
            </w:pPr>
          </w:p>
          <w:p w:rsidR="00F138C1" w:rsidRPr="00B84A84" w:rsidRDefault="00F138C1" w:rsidP="00F138C1">
            <w:pPr>
              <w:jc w:val="center"/>
              <w:rPr>
                <w:sz w:val="20"/>
                <w:szCs w:val="20"/>
                <w:lang w:val="en-US"/>
              </w:rPr>
            </w:pPr>
          </w:p>
          <w:p w:rsidR="004B2E86" w:rsidRPr="00B84A84" w:rsidRDefault="004B2E86" w:rsidP="00F138C1">
            <w:pPr>
              <w:jc w:val="center"/>
              <w:rPr>
                <w:sz w:val="20"/>
                <w:szCs w:val="20"/>
                <w:lang w:val="en-US"/>
              </w:rPr>
            </w:pPr>
          </w:p>
        </w:tc>
        <w:tc>
          <w:tcPr>
            <w:tcW w:w="4239" w:type="dxa"/>
            <w:shd w:val="clear" w:color="auto" w:fill="auto"/>
          </w:tcPr>
          <w:p w:rsidR="00F138C1" w:rsidRPr="00B84A84" w:rsidRDefault="00E82082" w:rsidP="00F138C1">
            <w:pPr>
              <w:rPr>
                <w:b/>
                <w:sz w:val="20"/>
                <w:szCs w:val="20"/>
                <w:lang w:val="en-US"/>
              </w:rPr>
            </w:pPr>
            <w:r w:rsidRPr="00B84A84">
              <w:rPr>
                <w:b/>
                <w:sz w:val="20"/>
                <w:szCs w:val="20"/>
                <w:lang w:val="en-US"/>
              </w:rPr>
              <w:t>Wilma Shane</w:t>
            </w:r>
          </w:p>
          <w:p w:rsidR="00F138C1" w:rsidRPr="00B84A84" w:rsidRDefault="00F138C1" w:rsidP="00F138C1">
            <w:pPr>
              <w:tabs>
                <w:tab w:val="left" w:pos="-1440"/>
                <w:tab w:val="left" w:pos="-720"/>
              </w:tabs>
              <w:rPr>
                <w:sz w:val="20"/>
                <w:szCs w:val="20"/>
                <w:lang w:val="en-US"/>
              </w:rPr>
            </w:pPr>
            <w:r w:rsidRPr="00B84A84">
              <w:rPr>
                <w:sz w:val="20"/>
                <w:szCs w:val="20"/>
                <w:lang w:val="en-US"/>
              </w:rPr>
              <w:tab/>
            </w:r>
            <w:r w:rsidR="00E82082" w:rsidRPr="00B84A84">
              <w:rPr>
                <w:sz w:val="20"/>
                <w:szCs w:val="20"/>
                <w:lang w:val="en-US"/>
              </w:rPr>
              <w:t>Swinamer, Angeli</w:t>
            </w:r>
          </w:p>
          <w:p w:rsidR="00F138C1" w:rsidRPr="00B84A84" w:rsidRDefault="00F138C1" w:rsidP="00F138C1">
            <w:pPr>
              <w:tabs>
                <w:tab w:val="left" w:pos="-1440"/>
                <w:tab w:val="left" w:pos="-720"/>
              </w:tabs>
              <w:rPr>
                <w:sz w:val="20"/>
                <w:szCs w:val="20"/>
                <w:lang w:val="en-US"/>
              </w:rPr>
            </w:pPr>
            <w:r w:rsidRPr="00B84A84">
              <w:rPr>
                <w:sz w:val="20"/>
                <w:szCs w:val="20"/>
                <w:lang w:val="en-US"/>
              </w:rPr>
              <w:tab/>
            </w:r>
            <w:r w:rsidR="00E82082" w:rsidRPr="00B84A84">
              <w:rPr>
                <w:sz w:val="20"/>
                <w:szCs w:val="20"/>
                <w:lang w:val="en-US"/>
              </w:rPr>
              <w:t>MacGillivray Injury and Insurance Law</w:t>
            </w:r>
          </w:p>
          <w:p w:rsidR="00F138C1" w:rsidRPr="00B84A84" w:rsidRDefault="00F138C1" w:rsidP="00F138C1">
            <w:pPr>
              <w:tabs>
                <w:tab w:val="left" w:pos="-1440"/>
                <w:tab w:val="left" w:pos="-720"/>
              </w:tabs>
              <w:rPr>
                <w:sz w:val="20"/>
                <w:szCs w:val="20"/>
                <w:lang w:val="en-US"/>
              </w:rPr>
            </w:pPr>
          </w:p>
          <w:p w:rsidR="00F138C1" w:rsidRPr="00B84A84" w:rsidRDefault="00F138C1" w:rsidP="00F138C1">
            <w:pPr>
              <w:tabs>
                <w:tab w:val="left" w:pos="-1440"/>
                <w:tab w:val="left" w:pos="-720"/>
              </w:tabs>
              <w:rPr>
                <w:sz w:val="20"/>
                <w:szCs w:val="20"/>
                <w:lang w:val="en-US"/>
              </w:rPr>
            </w:pPr>
            <w:r w:rsidRPr="00B84A84">
              <w:rPr>
                <w:sz w:val="20"/>
                <w:szCs w:val="20"/>
                <w:lang w:val="en-US"/>
              </w:rPr>
              <w:tab/>
            </w:r>
            <w:r w:rsidR="00E82082" w:rsidRPr="00B84A84">
              <w:rPr>
                <w:sz w:val="20"/>
                <w:szCs w:val="20"/>
                <w:lang w:val="en-US"/>
              </w:rPr>
              <w:t>v</w:t>
            </w:r>
            <w:r w:rsidRPr="00B84A84">
              <w:rPr>
                <w:sz w:val="20"/>
                <w:szCs w:val="20"/>
                <w:lang w:val="en-US"/>
              </w:rPr>
              <w:t>. (39</w:t>
            </w:r>
            <w:r w:rsidR="00E82082" w:rsidRPr="00B84A84">
              <w:rPr>
                <w:sz w:val="20"/>
                <w:szCs w:val="20"/>
                <w:lang w:val="en-US"/>
              </w:rPr>
              <w:t>1</w:t>
            </w:r>
            <w:r w:rsidRPr="00B84A84">
              <w:rPr>
                <w:sz w:val="20"/>
                <w:szCs w:val="20"/>
                <w:lang w:val="en-US"/>
              </w:rPr>
              <w:t>7</w:t>
            </w:r>
            <w:r w:rsidR="00E82082" w:rsidRPr="00B84A84">
              <w:rPr>
                <w:sz w:val="20"/>
                <w:szCs w:val="20"/>
                <w:lang w:val="en-US"/>
              </w:rPr>
              <w:t>4</w:t>
            </w:r>
            <w:r w:rsidRPr="00B84A84">
              <w:rPr>
                <w:sz w:val="20"/>
                <w:szCs w:val="20"/>
                <w:lang w:val="en-US"/>
              </w:rPr>
              <w:t>)</w:t>
            </w:r>
          </w:p>
          <w:p w:rsidR="00F138C1" w:rsidRPr="00B84A84" w:rsidRDefault="00F138C1" w:rsidP="00F138C1">
            <w:pPr>
              <w:tabs>
                <w:tab w:val="left" w:pos="-1440"/>
                <w:tab w:val="left" w:pos="-720"/>
              </w:tabs>
              <w:rPr>
                <w:sz w:val="20"/>
                <w:szCs w:val="20"/>
                <w:lang w:val="en-US"/>
              </w:rPr>
            </w:pPr>
          </w:p>
          <w:p w:rsidR="00F138C1" w:rsidRPr="00B84A84" w:rsidRDefault="00E82082" w:rsidP="00F138C1">
            <w:pPr>
              <w:tabs>
                <w:tab w:val="left" w:pos="-1440"/>
                <w:tab w:val="left" w:pos="-720"/>
              </w:tabs>
              <w:rPr>
                <w:b/>
                <w:sz w:val="20"/>
                <w:szCs w:val="20"/>
                <w:lang w:val="en-US"/>
              </w:rPr>
            </w:pPr>
            <w:r w:rsidRPr="00B84A84">
              <w:rPr>
                <w:b/>
                <w:sz w:val="20"/>
                <w:szCs w:val="20"/>
                <w:lang w:val="en-US"/>
              </w:rPr>
              <w:t>B2B Bank</w:t>
            </w:r>
            <w:r w:rsidR="00F138C1" w:rsidRPr="00B84A84">
              <w:rPr>
                <w:sz w:val="20"/>
                <w:szCs w:val="20"/>
                <w:lang w:val="en-US"/>
              </w:rPr>
              <w:t xml:space="preserve"> </w:t>
            </w:r>
            <w:r w:rsidR="00F138C1" w:rsidRPr="00B84A84">
              <w:rPr>
                <w:b/>
                <w:sz w:val="20"/>
                <w:szCs w:val="20"/>
                <w:lang w:val="en-US"/>
              </w:rPr>
              <w:t>(</w:t>
            </w:r>
            <w:r w:rsidRPr="00B84A84">
              <w:rPr>
                <w:b/>
                <w:sz w:val="20"/>
                <w:szCs w:val="20"/>
                <w:lang w:val="en-US"/>
              </w:rPr>
              <w:t>N.S.</w:t>
            </w:r>
            <w:r w:rsidR="00F138C1" w:rsidRPr="00B84A84">
              <w:rPr>
                <w:b/>
                <w:sz w:val="20"/>
                <w:szCs w:val="20"/>
                <w:lang w:val="en-US"/>
              </w:rPr>
              <w:t>)</w:t>
            </w:r>
          </w:p>
          <w:p w:rsidR="00F138C1" w:rsidRPr="00B84A84" w:rsidRDefault="00F138C1" w:rsidP="00F138C1">
            <w:pPr>
              <w:tabs>
                <w:tab w:val="left" w:pos="-1440"/>
                <w:tab w:val="left" w:pos="-720"/>
              </w:tabs>
              <w:rPr>
                <w:sz w:val="20"/>
                <w:szCs w:val="20"/>
                <w:lang w:val="en-US"/>
              </w:rPr>
            </w:pPr>
            <w:r w:rsidRPr="00B84A84">
              <w:rPr>
                <w:sz w:val="20"/>
                <w:szCs w:val="20"/>
                <w:lang w:val="en-US"/>
              </w:rPr>
              <w:tab/>
            </w:r>
            <w:r w:rsidR="00E82082" w:rsidRPr="00B84A84">
              <w:rPr>
                <w:sz w:val="20"/>
                <w:szCs w:val="20"/>
                <w:lang w:val="en-US"/>
              </w:rPr>
              <w:t>Macdonald, Thomas M.</w:t>
            </w:r>
          </w:p>
          <w:p w:rsidR="00F138C1" w:rsidRPr="00B84A84" w:rsidRDefault="00F138C1" w:rsidP="00F138C1">
            <w:pPr>
              <w:tabs>
                <w:tab w:val="left" w:pos="-1440"/>
                <w:tab w:val="left" w:pos="-720"/>
              </w:tabs>
              <w:rPr>
                <w:sz w:val="20"/>
                <w:szCs w:val="20"/>
                <w:lang w:val="en-US"/>
              </w:rPr>
            </w:pPr>
            <w:r w:rsidRPr="00B84A84">
              <w:rPr>
                <w:sz w:val="20"/>
                <w:szCs w:val="20"/>
                <w:lang w:val="en-US"/>
              </w:rPr>
              <w:tab/>
            </w:r>
            <w:r w:rsidR="00E82082" w:rsidRPr="00B84A84">
              <w:rPr>
                <w:sz w:val="20"/>
                <w:szCs w:val="20"/>
                <w:lang w:val="en-US"/>
              </w:rPr>
              <w:t>Blois, Nickerson &amp; Bryson</w:t>
            </w:r>
          </w:p>
          <w:p w:rsidR="00F138C1" w:rsidRPr="00B84A84" w:rsidRDefault="00F138C1" w:rsidP="00F138C1">
            <w:pPr>
              <w:tabs>
                <w:tab w:val="left" w:pos="-1440"/>
                <w:tab w:val="left" w:pos="-720"/>
              </w:tabs>
              <w:rPr>
                <w:sz w:val="20"/>
                <w:szCs w:val="20"/>
                <w:lang w:val="en-US"/>
              </w:rPr>
            </w:pPr>
          </w:p>
          <w:p w:rsidR="00F138C1" w:rsidRPr="00B84A84" w:rsidRDefault="00E82082" w:rsidP="00F138C1">
            <w:pPr>
              <w:rPr>
                <w:sz w:val="20"/>
                <w:szCs w:val="20"/>
                <w:lang w:val="en-US"/>
              </w:rPr>
            </w:pPr>
            <w:r w:rsidRPr="00B84A84">
              <w:rPr>
                <w:sz w:val="20"/>
                <w:szCs w:val="20"/>
                <w:lang w:val="en-US"/>
              </w:rPr>
              <w:t xml:space="preserve">FILING </w:t>
            </w:r>
            <w:r w:rsidR="00F138C1" w:rsidRPr="00B84A84">
              <w:rPr>
                <w:sz w:val="20"/>
                <w:szCs w:val="20"/>
                <w:lang w:val="en-US"/>
              </w:rPr>
              <w:t xml:space="preserve">DATE: </w:t>
            </w:r>
            <w:r w:rsidRPr="00B84A84">
              <w:rPr>
                <w:sz w:val="20"/>
                <w:szCs w:val="20"/>
                <w:lang w:val="en-US"/>
              </w:rPr>
              <w:t>May 21,</w:t>
            </w:r>
            <w:r w:rsidR="00F138C1" w:rsidRPr="00B84A84">
              <w:rPr>
                <w:sz w:val="20"/>
                <w:szCs w:val="20"/>
                <w:lang w:val="en-US"/>
              </w:rPr>
              <w:t xml:space="preserve"> 20</w:t>
            </w:r>
            <w:r w:rsidR="00DA1D48" w:rsidRPr="00B84A84">
              <w:rPr>
                <w:sz w:val="20"/>
                <w:szCs w:val="20"/>
                <w:lang w:val="en-US"/>
              </w:rPr>
              <w:t>20</w:t>
            </w:r>
          </w:p>
          <w:p w:rsidR="004B2E86" w:rsidRPr="00B84A84" w:rsidRDefault="004B2E86" w:rsidP="00F138C1">
            <w:pPr>
              <w:rPr>
                <w:sz w:val="20"/>
                <w:szCs w:val="20"/>
                <w:lang w:val="en-US"/>
              </w:rPr>
            </w:pPr>
          </w:p>
          <w:p w:rsidR="00F138C1" w:rsidRPr="00B84A84" w:rsidRDefault="005E1A49" w:rsidP="00F138C1">
            <w:pPr>
              <w:rPr>
                <w:sz w:val="20"/>
                <w:szCs w:val="20"/>
                <w:lang w:val="en-US"/>
              </w:rPr>
            </w:pPr>
            <w:r>
              <w:rPr>
                <w:sz w:val="20"/>
                <w:szCs w:val="20"/>
                <w:lang w:val="fr-CA"/>
              </w:rPr>
              <w:pict>
                <v:rect id="_x0000_i1028" style="width:108pt;height:1pt" o:hrpct="0" o:hrstd="t" o:hrnoshade="t" o:hr="t" fillcolor="black [3213]" stroked="f"/>
              </w:pict>
            </w:r>
          </w:p>
        </w:tc>
      </w:tr>
      <w:tr w:rsidR="00F138C1" w:rsidRPr="00B84A84" w:rsidTr="00F138C1">
        <w:tc>
          <w:tcPr>
            <w:tcW w:w="4239" w:type="dxa"/>
            <w:shd w:val="clear" w:color="auto" w:fill="auto"/>
          </w:tcPr>
          <w:p w:rsidR="00DA1D48" w:rsidRPr="00B84A84" w:rsidRDefault="007066BC" w:rsidP="00DA1D48">
            <w:pPr>
              <w:rPr>
                <w:sz w:val="20"/>
                <w:szCs w:val="20"/>
                <w:lang w:val="en-US"/>
              </w:rPr>
            </w:pPr>
            <w:r w:rsidRPr="00B84A84">
              <w:rPr>
                <w:b/>
                <w:sz w:val="20"/>
                <w:szCs w:val="20"/>
                <w:lang w:val="en-US"/>
              </w:rPr>
              <w:t>Greg Roy</w:t>
            </w:r>
          </w:p>
          <w:p w:rsidR="00DA1D48" w:rsidRPr="00B84A84" w:rsidRDefault="00DA1D48" w:rsidP="00DA1D48">
            <w:pPr>
              <w:tabs>
                <w:tab w:val="left" w:pos="-1440"/>
                <w:tab w:val="left" w:pos="-720"/>
              </w:tabs>
              <w:rPr>
                <w:sz w:val="20"/>
                <w:szCs w:val="20"/>
                <w:lang w:val="en-US"/>
              </w:rPr>
            </w:pPr>
            <w:r w:rsidRPr="00B84A84">
              <w:rPr>
                <w:sz w:val="20"/>
                <w:szCs w:val="20"/>
                <w:lang w:val="en-US"/>
              </w:rPr>
              <w:tab/>
            </w:r>
            <w:r w:rsidR="007066BC" w:rsidRPr="00B84A84">
              <w:rPr>
                <w:sz w:val="20"/>
                <w:szCs w:val="20"/>
                <w:lang w:val="en-US"/>
              </w:rPr>
              <w:t>Shanmuganathan, Janani</w:t>
            </w:r>
          </w:p>
          <w:p w:rsidR="007066BC" w:rsidRPr="00B84A84" w:rsidRDefault="007066BC" w:rsidP="00DA1D48">
            <w:pPr>
              <w:tabs>
                <w:tab w:val="left" w:pos="-1440"/>
                <w:tab w:val="left" w:pos="-720"/>
              </w:tabs>
              <w:rPr>
                <w:sz w:val="20"/>
                <w:szCs w:val="20"/>
                <w:lang w:val="en-US"/>
              </w:rPr>
            </w:pPr>
            <w:r w:rsidRPr="00B84A84">
              <w:rPr>
                <w:sz w:val="20"/>
                <w:szCs w:val="20"/>
                <w:lang w:val="en-US"/>
              </w:rPr>
              <w:tab/>
              <w:t>Goddard Nasseri LLP</w:t>
            </w:r>
          </w:p>
          <w:p w:rsidR="00DA1D48" w:rsidRPr="00B84A84" w:rsidRDefault="00DA1D48" w:rsidP="00DA1D48">
            <w:pPr>
              <w:tabs>
                <w:tab w:val="left" w:pos="-1440"/>
                <w:tab w:val="left" w:pos="-720"/>
              </w:tabs>
              <w:rPr>
                <w:sz w:val="20"/>
                <w:szCs w:val="20"/>
                <w:lang w:val="en-US"/>
              </w:rPr>
            </w:pPr>
          </w:p>
          <w:p w:rsidR="00DA1D48" w:rsidRPr="00B84A84" w:rsidRDefault="00DA1D48" w:rsidP="00DA1D48">
            <w:pPr>
              <w:tabs>
                <w:tab w:val="left" w:pos="-1440"/>
                <w:tab w:val="left" w:pos="-720"/>
              </w:tabs>
              <w:rPr>
                <w:sz w:val="20"/>
                <w:szCs w:val="20"/>
                <w:lang w:val="en-US"/>
              </w:rPr>
            </w:pPr>
            <w:r w:rsidRPr="00B84A84">
              <w:rPr>
                <w:sz w:val="20"/>
                <w:szCs w:val="20"/>
                <w:lang w:val="en-US"/>
              </w:rPr>
              <w:tab/>
              <w:t>v. (391</w:t>
            </w:r>
            <w:r w:rsidR="007066BC" w:rsidRPr="00B84A84">
              <w:rPr>
                <w:sz w:val="20"/>
                <w:szCs w:val="20"/>
                <w:lang w:val="en-US"/>
              </w:rPr>
              <w:t>27</w:t>
            </w:r>
            <w:r w:rsidRPr="00B84A84">
              <w:rPr>
                <w:sz w:val="20"/>
                <w:szCs w:val="20"/>
                <w:lang w:val="en-US"/>
              </w:rPr>
              <w:t>)</w:t>
            </w:r>
          </w:p>
          <w:p w:rsidR="00DA1D48" w:rsidRPr="00B84A84" w:rsidRDefault="00DA1D48" w:rsidP="00DA1D48">
            <w:pPr>
              <w:tabs>
                <w:tab w:val="left" w:pos="-1440"/>
                <w:tab w:val="left" w:pos="-720"/>
              </w:tabs>
              <w:rPr>
                <w:sz w:val="20"/>
                <w:szCs w:val="20"/>
                <w:lang w:val="en-US"/>
              </w:rPr>
            </w:pPr>
          </w:p>
          <w:p w:rsidR="00DA1D48" w:rsidRPr="00B84A84" w:rsidRDefault="007066BC" w:rsidP="00DA1D48">
            <w:pPr>
              <w:tabs>
                <w:tab w:val="left" w:pos="-1440"/>
                <w:tab w:val="left" w:pos="-720"/>
              </w:tabs>
              <w:rPr>
                <w:b/>
                <w:sz w:val="20"/>
                <w:szCs w:val="20"/>
                <w:lang w:val="en-US"/>
              </w:rPr>
            </w:pPr>
            <w:r w:rsidRPr="00B84A84">
              <w:rPr>
                <w:b/>
                <w:sz w:val="20"/>
                <w:szCs w:val="20"/>
                <w:lang w:val="en-US"/>
              </w:rPr>
              <w:t>Her Majesty the Queen</w:t>
            </w:r>
            <w:r w:rsidR="00DA1D48" w:rsidRPr="00B84A84">
              <w:rPr>
                <w:b/>
                <w:sz w:val="20"/>
                <w:szCs w:val="20"/>
                <w:lang w:val="en-US"/>
              </w:rPr>
              <w:t xml:space="preserve"> (</w:t>
            </w:r>
            <w:r w:rsidRPr="00B84A84">
              <w:rPr>
                <w:b/>
                <w:sz w:val="20"/>
                <w:szCs w:val="20"/>
                <w:lang w:val="en-US"/>
              </w:rPr>
              <w:t>Ont</w:t>
            </w:r>
            <w:r w:rsidR="00DA1D48" w:rsidRPr="00B84A84">
              <w:rPr>
                <w:b/>
                <w:sz w:val="20"/>
                <w:szCs w:val="20"/>
                <w:lang w:val="en-US"/>
              </w:rPr>
              <w:t>.)</w:t>
            </w:r>
          </w:p>
          <w:p w:rsidR="00DA1D48" w:rsidRPr="00B84A84" w:rsidRDefault="00DA1D48" w:rsidP="00DA1D48">
            <w:pPr>
              <w:tabs>
                <w:tab w:val="left" w:pos="-1440"/>
                <w:tab w:val="left" w:pos="-720"/>
              </w:tabs>
              <w:rPr>
                <w:sz w:val="20"/>
                <w:szCs w:val="20"/>
                <w:lang w:val="en-US"/>
              </w:rPr>
            </w:pPr>
            <w:r w:rsidRPr="00B84A84">
              <w:rPr>
                <w:sz w:val="20"/>
                <w:szCs w:val="20"/>
                <w:lang w:val="en-US"/>
              </w:rPr>
              <w:tab/>
            </w:r>
            <w:r w:rsidR="007066BC" w:rsidRPr="00B84A84">
              <w:rPr>
                <w:sz w:val="20"/>
                <w:szCs w:val="20"/>
                <w:lang w:val="en-US"/>
              </w:rPr>
              <w:t>Krick, Deborah</w:t>
            </w:r>
          </w:p>
          <w:p w:rsidR="00DA1D48" w:rsidRPr="00B84A84" w:rsidRDefault="00DA1D48" w:rsidP="00DA1D48">
            <w:pPr>
              <w:tabs>
                <w:tab w:val="left" w:pos="-1440"/>
                <w:tab w:val="left" w:pos="-720"/>
              </w:tabs>
              <w:rPr>
                <w:sz w:val="20"/>
                <w:szCs w:val="20"/>
              </w:rPr>
            </w:pPr>
            <w:r w:rsidRPr="00B84A84">
              <w:rPr>
                <w:sz w:val="20"/>
                <w:szCs w:val="20"/>
                <w:lang w:val="en-US"/>
              </w:rPr>
              <w:tab/>
            </w:r>
            <w:r w:rsidR="007066BC" w:rsidRPr="00B84A84">
              <w:rPr>
                <w:sz w:val="20"/>
                <w:szCs w:val="20"/>
              </w:rPr>
              <w:t>Attorney General of Ontario</w:t>
            </w:r>
          </w:p>
          <w:p w:rsidR="00DA1D48" w:rsidRPr="00B84A84" w:rsidRDefault="00DA1D48" w:rsidP="00DA1D48">
            <w:pPr>
              <w:tabs>
                <w:tab w:val="left" w:pos="-1440"/>
                <w:tab w:val="left" w:pos="-720"/>
              </w:tabs>
              <w:rPr>
                <w:sz w:val="20"/>
                <w:szCs w:val="20"/>
              </w:rPr>
            </w:pPr>
          </w:p>
          <w:p w:rsidR="00DA1D48" w:rsidRPr="00B84A84" w:rsidRDefault="00DA1D48" w:rsidP="00DA1D48">
            <w:pPr>
              <w:rPr>
                <w:sz w:val="20"/>
                <w:szCs w:val="20"/>
              </w:rPr>
            </w:pPr>
            <w:r w:rsidRPr="00B84A84">
              <w:rPr>
                <w:sz w:val="20"/>
                <w:szCs w:val="20"/>
              </w:rPr>
              <w:t xml:space="preserve">FILING DATE: </w:t>
            </w:r>
            <w:r w:rsidR="007066BC" w:rsidRPr="00B84A84">
              <w:rPr>
                <w:sz w:val="20"/>
                <w:szCs w:val="20"/>
              </w:rPr>
              <w:t>April</w:t>
            </w:r>
            <w:r w:rsidRPr="00B84A84">
              <w:rPr>
                <w:sz w:val="20"/>
                <w:szCs w:val="20"/>
              </w:rPr>
              <w:t xml:space="preserve"> </w:t>
            </w:r>
            <w:r w:rsidR="007066BC" w:rsidRPr="00B84A84">
              <w:rPr>
                <w:sz w:val="20"/>
                <w:szCs w:val="20"/>
              </w:rPr>
              <w:t>29</w:t>
            </w:r>
            <w:r w:rsidRPr="00B84A84">
              <w:rPr>
                <w:sz w:val="20"/>
                <w:szCs w:val="20"/>
              </w:rPr>
              <w:t>, 2020</w:t>
            </w:r>
          </w:p>
          <w:p w:rsidR="00DA1D48" w:rsidRPr="00B84A84" w:rsidRDefault="00DA1D48" w:rsidP="00DA1D48">
            <w:pPr>
              <w:rPr>
                <w:sz w:val="20"/>
                <w:szCs w:val="20"/>
              </w:rPr>
            </w:pPr>
          </w:p>
          <w:p w:rsidR="00F138C1" w:rsidRPr="00B84A84" w:rsidRDefault="005E1A49" w:rsidP="00DA1D48">
            <w:pPr>
              <w:rPr>
                <w:sz w:val="20"/>
                <w:szCs w:val="20"/>
                <w:lang w:val="en-US"/>
              </w:rPr>
            </w:pPr>
            <w:r>
              <w:rPr>
                <w:sz w:val="20"/>
                <w:szCs w:val="20"/>
                <w:lang w:val="fr-CA"/>
              </w:rPr>
              <w:pict>
                <v:rect id="_x0000_i1029" style="width:108pt;height:1pt" o:hrpct="0" o:hrstd="t" o:hrnoshade="t" o:hr="t" fillcolor="black [3213]" stroked="f"/>
              </w:pict>
            </w:r>
          </w:p>
        </w:tc>
        <w:tc>
          <w:tcPr>
            <w:tcW w:w="1141" w:type="dxa"/>
            <w:shd w:val="clear" w:color="auto" w:fill="auto"/>
          </w:tcPr>
          <w:p w:rsidR="00F138C1" w:rsidRPr="00B84A84" w:rsidRDefault="00F138C1" w:rsidP="00F138C1">
            <w:pPr>
              <w:jc w:val="center"/>
              <w:rPr>
                <w:sz w:val="20"/>
                <w:szCs w:val="20"/>
                <w:lang w:val="en-US"/>
              </w:rPr>
            </w:pPr>
          </w:p>
          <w:p w:rsidR="00DA1D48" w:rsidRPr="00B84A84" w:rsidRDefault="00DA1D48" w:rsidP="00F138C1">
            <w:pPr>
              <w:jc w:val="center"/>
              <w:rPr>
                <w:sz w:val="20"/>
                <w:szCs w:val="20"/>
                <w:lang w:val="en-US"/>
              </w:rPr>
            </w:pPr>
          </w:p>
          <w:p w:rsidR="00DA1D48" w:rsidRPr="00B84A84" w:rsidRDefault="00DA1D48" w:rsidP="00F138C1">
            <w:pPr>
              <w:jc w:val="center"/>
              <w:rPr>
                <w:sz w:val="20"/>
                <w:szCs w:val="20"/>
                <w:lang w:val="en-US"/>
              </w:rPr>
            </w:pPr>
          </w:p>
          <w:p w:rsidR="00DA1D48" w:rsidRPr="00B84A84" w:rsidRDefault="00DA1D48" w:rsidP="00F138C1">
            <w:pPr>
              <w:jc w:val="center"/>
              <w:rPr>
                <w:sz w:val="20"/>
                <w:szCs w:val="20"/>
                <w:lang w:val="en-US"/>
              </w:rPr>
            </w:pPr>
          </w:p>
          <w:p w:rsidR="00DA1D48" w:rsidRPr="00B84A84" w:rsidRDefault="00DA1D48" w:rsidP="00F138C1">
            <w:pPr>
              <w:jc w:val="center"/>
              <w:rPr>
                <w:sz w:val="20"/>
                <w:szCs w:val="20"/>
                <w:lang w:val="en-US"/>
              </w:rPr>
            </w:pPr>
          </w:p>
          <w:p w:rsidR="00DA1D48" w:rsidRPr="00B84A84" w:rsidRDefault="00DA1D48" w:rsidP="00F138C1">
            <w:pPr>
              <w:jc w:val="center"/>
              <w:rPr>
                <w:sz w:val="20"/>
                <w:szCs w:val="20"/>
                <w:lang w:val="en-US"/>
              </w:rPr>
            </w:pPr>
          </w:p>
          <w:p w:rsidR="00DA1D48" w:rsidRPr="00B84A84" w:rsidRDefault="00DA1D48" w:rsidP="00F138C1">
            <w:pPr>
              <w:jc w:val="center"/>
              <w:rPr>
                <w:sz w:val="20"/>
                <w:szCs w:val="20"/>
                <w:lang w:val="en-US"/>
              </w:rPr>
            </w:pPr>
          </w:p>
          <w:p w:rsidR="00DA1D48" w:rsidRPr="00B84A84" w:rsidRDefault="00DA1D48" w:rsidP="00F138C1">
            <w:pPr>
              <w:jc w:val="center"/>
              <w:rPr>
                <w:sz w:val="20"/>
                <w:szCs w:val="20"/>
                <w:lang w:val="en-US"/>
              </w:rPr>
            </w:pPr>
          </w:p>
          <w:p w:rsidR="00DA1D48" w:rsidRPr="00B84A84" w:rsidRDefault="00DA1D48" w:rsidP="00F138C1">
            <w:pPr>
              <w:jc w:val="center"/>
              <w:rPr>
                <w:sz w:val="20"/>
                <w:szCs w:val="20"/>
                <w:lang w:val="en-US"/>
              </w:rPr>
            </w:pPr>
          </w:p>
          <w:p w:rsidR="00DA1D48" w:rsidRPr="00B84A84" w:rsidRDefault="00DA1D48" w:rsidP="00F138C1">
            <w:pPr>
              <w:jc w:val="center"/>
              <w:rPr>
                <w:sz w:val="20"/>
                <w:szCs w:val="20"/>
                <w:lang w:val="en-US"/>
              </w:rPr>
            </w:pPr>
          </w:p>
          <w:p w:rsidR="00DA1D48" w:rsidRPr="00B84A84" w:rsidRDefault="00DA1D48" w:rsidP="00F138C1">
            <w:pPr>
              <w:jc w:val="center"/>
              <w:rPr>
                <w:sz w:val="20"/>
                <w:szCs w:val="20"/>
                <w:lang w:val="en-US"/>
              </w:rPr>
            </w:pPr>
          </w:p>
          <w:p w:rsidR="00DA1D48" w:rsidRPr="00B84A84" w:rsidRDefault="00DA1D48" w:rsidP="00F138C1">
            <w:pPr>
              <w:jc w:val="center"/>
              <w:rPr>
                <w:sz w:val="20"/>
                <w:szCs w:val="20"/>
                <w:lang w:val="en-US"/>
              </w:rPr>
            </w:pPr>
          </w:p>
          <w:p w:rsidR="00DA1D48" w:rsidRPr="00B84A84" w:rsidRDefault="00DA1D48" w:rsidP="00F138C1">
            <w:pPr>
              <w:jc w:val="center"/>
              <w:rPr>
                <w:sz w:val="20"/>
                <w:szCs w:val="20"/>
                <w:lang w:val="en-US"/>
              </w:rPr>
            </w:pPr>
          </w:p>
          <w:p w:rsidR="00DA1D48" w:rsidRPr="00B84A84" w:rsidRDefault="00DA1D48" w:rsidP="00F138C1">
            <w:pPr>
              <w:jc w:val="center"/>
              <w:rPr>
                <w:sz w:val="20"/>
                <w:szCs w:val="20"/>
                <w:lang w:val="en-US"/>
              </w:rPr>
            </w:pPr>
          </w:p>
        </w:tc>
        <w:tc>
          <w:tcPr>
            <w:tcW w:w="4239" w:type="dxa"/>
            <w:shd w:val="clear" w:color="auto" w:fill="auto"/>
          </w:tcPr>
          <w:p w:rsidR="00DA1D48" w:rsidRPr="00B84A84" w:rsidRDefault="007066BC" w:rsidP="00DA1D48">
            <w:pPr>
              <w:rPr>
                <w:b/>
                <w:sz w:val="20"/>
                <w:szCs w:val="20"/>
                <w:lang w:val="fr-CA"/>
              </w:rPr>
            </w:pPr>
            <w:r w:rsidRPr="00B84A84">
              <w:rPr>
                <w:b/>
                <w:sz w:val="20"/>
                <w:szCs w:val="20"/>
                <w:lang w:val="fr-CA"/>
              </w:rPr>
              <w:t>Salma Abdulle</w:t>
            </w:r>
          </w:p>
          <w:p w:rsidR="00DA1D48" w:rsidRPr="00B84A84" w:rsidRDefault="00DA1D48" w:rsidP="00DA1D48">
            <w:pPr>
              <w:tabs>
                <w:tab w:val="left" w:pos="-1440"/>
                <w:tab w:val="left" w:pos="-720"/>
              </w:tabs>
              <w:rPr>
                <w:sz w:val="20"/>
                <w:szCs w:val="20"/>
                <w:lang w:val="fr-CA"/>
              </w:rPr>
            </w:pPr>
            <w:r w:rsidRPr="00B84A84">
              <w:rPr>
                <w:sz w:val="20"/>
                <w:szCs w:val="20"/>
                <w:lang w:val="fr-CA"/>
              </w:rPr>
              <w:tab/>
            </w:r>
            <w:r w:rsidR="007066BC" w:rsidRPr="00B84A84">
              <w:rPr>
                <w:sz w:val="20"/>
                <w:szCs w:val="20"/>
                <w:lang w:val="fr-CA"/>
              </w:rPr>
              <w:t>Doucette, Delmar</w:t>
            </w:r>
          </w:p>
          <w:p w:rsidR="00DA1D48" w:rsidRPr="00B84A84" w:rsidRDefault="00DA1D48" w:rsidP="00DA1D48">
            <w:pPr>
              <w:tabs>
                <w:tab w:val="left" w:pos="-1440"/>
                <w:tab w:val="left" w:pos="-720"/>
              </w:tabs>
              <w:rPr>
                <w:sz w:val="20"/>
                <w:szCs w:val="20"/>
                <w:lang w:val="fr-CA"/>
              </w:rPr>
            </w:pPr>
            <w:r w:rsidRPr="00B84A84">
              <w:rPr>
                <w:sz w:val="20"/>
                <w:szCs w:val="20"/>
                <w:lang w:val="fr-CA"/>
              </w:rPr>
              <w:tab/>
            </w:r>
            <w:r w:rsidR="007066BC" w:rsidRPr="00B84A84">
              <w:rPr>
                <w:sz w:val="20"/>
                <w:szCs w:val="20"/>
                <w:lang w:val="fr-CA"/>
              </w:rPr>
              <w:t>Doucette Furgiuele Ruffo</w:t>
            </w:r>
          </w:p>
          <w:p w:rsidR="00DA1D48" w:rsidRPr="00B84A84" w:rsidRDefault="00DA1D48" w:rsidP="00DA1D48">
            <w:pPr>
              <w:tabs>
                <w:tab w:val="left" w:pos="-1440"/>
                <w:tab w:val="left" w:pos="-720"/>
              </w:tabs>
              <w:rPr>
                <w:sz w:val="20"/>
                <w:szCs w:val="20"/>
                <w:lang w:val="fr-CA"/>
              </w:rPr>
            </w:pPr>
          </w:p>
          <w:p w:rsidR="00DA1D48" w:rsidRPr="00B84A84" w:rsidRDefault="00DA1D48" w:rsidP="00DA1D48">
            <w:pPr>
              <w:tabs>
                <w:tab w:val="left" w:pos="-1440"/>
                <w:tab w:val="left" w:pos="-720"/>
              </w:tabs>
              <w:rPr>
                <w:sz w:val="20"/>
                <w:szCs w:val="20"/>
                <w:lang w:val="en-US"/>
              </w:rPr>
            </w:pPr>
            <w:r w:rsidRPr="00B84A84">
              <w:rPr>
                <w:sz w:val="20"/>
                <w:szCs w:val="20"/>
                <w:lang w:val="fr-CA"/>
              </w:rPr>
              <w:tab/>
            </w:r>
            <w:r w:rsidR="007066BC" w:rsidRPr="00B84A84">
              <w:rPr>
                <w:sz w:val="20"/>
                <w:szCs w:val="20"/>
                <w:lang w:val="en-US"/>
              </w:rPr>
              <w:t>v</w:t>
            </w:r>
            <w:r w:rsidRPr="00B84A84">
              <w:rPr>
                <w:sz w:val="20"/>
                <w:szCs w:val="20"/>
                <w:lang w:val="en-US"/>
              </w:rPr>
              <w:t>. (39</w:t>
            </w:r>
            <w:r w:rsidR="007066BC" w:rsidRPr="00B84A84">
              <w:rPr>
                <w:sz w:val="20"/>
                <w:szCs w:val="20"/>
                <w:lang w:val="en-US"/>
              </w:rPr>
              <w:t>175</w:t>
            </w:r>
            <w:r w:rsidRPr="00B84A84">
              <w:rPr>
                <w:sz w:val="20"/>
                <w:szCs w:val="20"/>
                <w:lang w:val="en-US"/>
              </w:rPr>
              <w:t>)</w:t>
            </w:r>
          </w:p>
          <w:p w:rsidR="00DA1D48" w:rsidRPr="00B84A84" w:rsidRDefault="00DA1D48" w:rsidP="00DA1D48">
            <w:pPr>
              <w:tabs>
                <w:tab w:val="left" w:pos="-1440"/>
                <w:tab w:val="left" w:pos="-720"/>
              </w:tabs>
              <w:rPr>
                <w:sz w:val="20"/>
                <w:szCs w:val="20"/>
                <w:lang w:val="en-US"/>
              </w:rPr>
            </w:pPr>
          </w:p>
          <w:p w:rsidR="00DA1D48" w:rsidRPr="00B84A84" w:rsidRDefault="007066BC" w:rsidP="00DA1D48">
            <w:pPr>
              <w:tabs>
                <w:tab w:val="left" w:pos="-1440"/>
                <w:tab w:val="left" w:pos="-720"/>
              </w:tabs>
              <w:rPr>
                <w:b/>
                <w:sz w:val="20"/>
                <w:szCs w:val="20"/>
                <w:lang w:val="en-US"/>
              </w:rPr>
            </w:pPr>
            <w:r w:rsidRPr="00B84A84">
              <w:rPr>
                <w:b/>
                <w:sz w:val="20"/>
                <w:szCs w:val="20"/>
                <w:lang w:val="en-US"/>
              </w:rPr>
              <w:t xml:space="preserve">Her Majesty the Queen </w:t>
            </w:r>
            <w:r w:rsidR="00DA1D48" w:rsidRPr="00B84A84">
              <w:rPr>
                <w:b/>
                <w:sz w:val="20"/>
                <w:szCs w:val="20"/>
                <w:lang w:val="en-US"/>
              </w:rPr>
              <w:t>(</w:t>
            </w:r>
            <w:r w:rsidRPr="00B84A84">
              <w:rPr>
                <w:b/>
                <w:sz w:val="20"/>
                <w:szCs w:val="20"/>
                <w:lang w:val="en-US"/>
              </w:rPr>
              <w:t>Ont.</w:t>
            </w:r>
            <w:r w:rsidR="00DA1D48" w:rsidRPr="00B84A84">
              <w:rPr>
                <w:b/>
                <w:sz w:val="20"/>
                <w:szCs w:val="20"/>
                <w:lang w:val="en-US"/>
              </w:rPr>
              <w:t>)</w:t>
            </w:r>
          </w:p>
          <w:p w:rsidR="00DA1D48" w:rsidRPr="00B84A84" w:rsidRDefault="00DA1D48" w:rsidP="00DA1D48">
            <w:pPr>
              <w:tabs>
                <w:tab w:val="left" w:pos="-1440"/>
                <w:tab w:val="left" w:pos="-720"/>
              </w:tabs>
              <w:rPr>
                <w:sz w:val="20"/>
                <w:szCs w:val="20"/>
                <w:lang w:val="en-US"/>
              </w:rPr>
            </w:pPr>
            <w:r w:rsidRPr="00B84A84">
              <w:rPr>
                <w:sz w:val="20"/>
                <w:szCs w:val="20"/>
                <w:lang w:val="en-US"/>
              </w:rPr>
              <w:tab/>
            </w:r>
            <w:r w:rsidR="007066BC" w:rsidRPr="00B84A84">
              <w:rPr>
                <w:sz w:val="20"/>
                <w:szCs w:val="20"/>
                <w:lang w:val="en-US"/>
              </w:rPr>
              <w:t>Nakelsky, Elise</w:t>
            </w:r>
          </w:p>
          <w:p w:rsidR="00DA1D48" w:rsidRPr="00B84A84" w:rsidRDefault="00DA1D48" w:rsidP="00DA1D48">
            <w:pPr>
              <w:tabs>
                <w:tab w:val="left" w:pos="-1440"/>
                <w:tab w:val="left" w:pos="-720"/>
              </w:tabs>
              <w:rPr>
                <w:sz w:val="20"/>
                <w:szCs w:val="20"/>
                <w:lang w:val="en-US"/>
              </w:rPr>
            </w:pPr>
            <w:r w:rsidRPr="00B84A84">
              <w:rPr>
                <w:sz w:val="20"/>
                <w:szCs w:val="20"/>
                <w:lang w:val="en-US"/>
              </w:rPr>
              <w:tab/>
            </w:r>
            <w:r w:rsidR="007066BC" w:rsidRPr="00B84A84">
              <w:rPr>
                <w:sz w:val="20"/>
                <w:szCs w:val="20"/>
                <w:lang w:val="en-US"/>
              </w:rPr>
              <w:t>Attorney General of Ontario</w:t>
            </w:r>
          </w:p>
          <w:p w:rsidR="00DA1D48" w:rsidRPr="00B84A84" w:rsidRDefault="00DA1D48" w:rsidP="00DA1D48">
            <w:pPr>
              <w:tabs>
                <w:tab w:val="left" w:pos="-1440"/>
                <w:tab w:val="left" w:pos="-720"/>
              </w:tabs>
              <w:rPr>
                <w:sz w:val="20"/>
                <w:szCs w:val="20"/>
                <w:lang w:val="en-US"/>
              </w:rPr>
            </w:pPr>
          </w:p>
          <w:p w:rsidR="00DA1D48" w:rsidRPr="00B84A84" w:rsidRDefault="007066BC" w:rsidP="00DA1D48">
            <w:pPr>
              <w:rPr>
                <w:sz w:val="20"/>
                <w:szCs w:val="20"/>
                <w:lang w:val="fr-CA"/>
              </w:rPr>
            </w:pPr>
            <w:r w:rsidRPr="00B84A84">
              <w:rPr>
                <w:sz w:val="20"/>
                <w:szCs w:val="20"/>
                <w:lang w:val="fr-CA"/>
              </w:rPr>
              <w:t xml:space="preserve">FILING </w:t>
            </w:r>
            <w:r w:rsidR="00DA1D48" w:rsidRPr="00B84A84">
              <w:rPr>
                <w:sz w:val="20"/>
                <w:szCs w:val="20"/>
                <w:lang w:val="fr-CA"/>
              </w:rPr>
              <w:t xml:space="preserve">DATE: </w:t>
            </w:r>
            <w:r w:rsidRPr="00B84A84">
              <w:rPr>
                <w:sz w:val="20"/>
                <w:szCs w:val="20"/>
                <w:lang w:val="fr-CA"/>
              </w:rPr>
              <w:t>May</w:t>
            </w:r>
            <w:r w:rsidR="00DA1D48" w:rsidRPr="00B84A84">
              <w:rPr>
                <w:sz w:val="20"/>
                <w:szCs w:val="20"/>
                <w:lang w:val="fr-CA"/>
              </w:rPr>
              <w:t xml:space="preserve"> </w:t>
            </w:r>
            <w:r w:rsidRPr="00B84A84">
              <w:rPr>
                <w:sz w:val="20"/>
                <w:szCs w:val="20"/>
                <w:lang w:val="fr-CA"/>
              </w:rPr>
              <w:t>25,</w:t>
            </w:r>
            <w:r w:rsidR="00DA1D48" w:rsidRPr="00B84A84">
              <w:rPr>
                <w:sz w:val="20"/>
                <w:szCs w:val="20"/>
                <w:lang w:val="fr-CA"/>
              </w:rPr>
              <w:t xml:space="preserve"> 2020</w:t>
            </w:r>
          </w:p>
          <w:p w:rsidR="00DA1D48" w:rsidRPr="00B84A84" w:rsidRDefault="00DA1D48" w:rsidP="00DA1D48">
            <w:pPr>
              <w:rPr>
                <w:sz w:val="20"/>
                <w:szCs w:val="20"/>
                <w:lang w:val="fr-CA"/>
              </w:rPr>
            </w:pPr>
          </w:p>
          <w:p w:rsidR="00F138C1" w:rsidRPr="00B84A84" w:rsidRDefault="005E1A49" w:rsidP="00DA1D48">
            <w:pPr>
              <w:rPr>
                <w:sz w:val="20"/>
                <w:szCs w:val="20"/>
                <w:lang w:val="fr-CA"/>
              </w:rPr>
            </w:pPr>
            <w:r>
              <w:rPr>
                <w:sz w:val="20"/>
                <w:szCs w:val="20"/>
                <w:lang w:val="fr-CA"/>
              </w:rPr>
              <w:pict>
                <v:rect id="_x0000_i1030" style="width:108pt;height:1pt" o:hrpct="0" o:hrstd="t" o:hrnoshade="t" o:hr="t" fillcolor="black [3213]" stroked="f"/>
              </w:pict>
            </w:r>
          </w:p>
        </w:tc>
      </w:tr>
    </w:tbl>
    <w:p w:rsidR="007066BC" w:rsidRPr="00B84A84" w:rsidRDefault="007066BC">
      <w:r w:rsidRPr="00B84A84">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F9125A" w:rsidRPr="00B84A84" w:rsidTr="00F138C1">
        <w:tc>
          <w:tcPr>
            <w:tcW w:w="4239" w:type="dxa"/>
            <w:shd w:val="clear" w:color="auto" w:fill="auto"/>
          </w:tcPr>
          <w:p w:rsidR="00F9125A" w:rsidRPr="00B84A84" w:rsidRDefault="000F566B" w:rsidP="00F9125A">
            <w:pPr>
              <w:rPr>
                <w:sz w:val="20"/>
                <w:szCs w:val="20"/>
                <w:lang w:val="fr-CA"/>
              </w:rPr>
            </w:pPr>
            <w:r w:rsidRPr="00B84A84">
              <w:rPr>
                <w:b/>
                <w:sz w:val="20"/>
                <w:szCs w:val="20"/>
                <w:lang w:val="fr-CA"/>
              </w:rPr>
              <w:t>Angela R. Senft, et al.</w:t>
            </w:r>
          </w:p>
          <w:p w:rsidR="00F9125A" w:rsidRPr="00B84A84" w:rsidRDefault="00F9125A" w:rsidP="00F9125A">
            <w:pPr>
              <w:tabs>
                <w:tab w:val="left" w:pos="-1440"/>
                <w:tab w:val="left" w:pos="-720"/>
              </w:tabs>
              <w:rPr>
                <w:sz w:val="20"/>
                <w:szCs w:val="20"/>
                <w:lang w:val="en-US"/>
              </w:rPr>
            </w:pPr>
            <w:r w:rsidRPr="00B84A84">
              <w:rPr>
                <w:sz w:val="20"/>
                <w:szCs w:val="20"/>
                <w:lang w:val="fr-CA"/>
              </w:rPr>
              <w:tab/>
            </w:r>
            <w:r w:rsidR="000F566B" w:rsidRPr="00B84A84">
              <w:rPr>
                <w:sz w:val="20"/>
                <w:szCs w:val="20"/>
                <w:lang w:val="en-US"/>
              </w:rPr>
              <w:t>Whittle, Garry W.</w:t>
            </w:r>
          </w:p>
          <w:p w:rsidR="000F566B" w:rsidRPr="00B84A84" w:rsidRDefault="000F566B" w:rsidP="00F9125A">
            <w:pPr>
              <w:tabs>
                <w:tab w:val="left" w:pos="-1440"/>
                <w:tab w:val="left" w:pos="-720"/>
              </w:tabs>
              <w:rPr>
                <w:sz w:val="20"/>
                <w:szCs w:val="20"/>
                <w:lang w:val="en-US"/>
              </w:rPr>
            </w:pPr>
            <w:r w:rsidRPr="00B84A84">
              <w:rPr>
                <w:sz w:val="20"/>
                <w:szCs w:val="20"/>
                <w:lang w:val="en-US"/>
              </w:rPr>
              <w:tab/>
              <w:t>Whittle &amp; Company</w:t>
            </w:r>
          </w:p>
          <w:p w:rsidR="00F9125A" w:rsidRPr="00B84A84" w:rsidRDefault="00F9125A" w:rsidP="00F9125A">
            <w:pPr>
              <w:tabs>
                <w:tab w:val="left" w:pos="-1440"/>
                <w:tab w:val="left" w:pos="-720"/>
              </w:tabs>
              <w:rPr>
                <w:sz w:val="20"/>
                <w:szCs w:val="20"/>
                <w:lang w:val="en-US"/>
              </w:rPr>
            </w:pPr>
          </w:p>
          <w:p w:rsidR="00F9125A" w:rsidRPr="00B84A84" w:rsidRDefault="00F9125A" w:rsidP="00F9125A">
            <w:pPr>
              <w:tabs>
                <w:tab w:val="left" w:pos="-1440"/>
                <w:tab w:val="left" w:pos="-720"/>
              </w:tabs>
              <w:rPr>
                <w:sz w:val="20"/>
                <w:szCs w:val="20"/>
                <w:lang w:val="en-US"/>
              </w:rPr>
            </w:pPr>
            <w:r w:rsidRPr="00B84A84">
              <w:rPr>
                <w:sz w:val="20"/>
                <w:szCs w:val="20"/>
                <w:lang w:val="en-US"/>
              </w:rPr>
              <w:tab/>
              <w:t>v. (391</w:t>
            </w:r>
            <w:r w:rsidR="007066BC" w:rsidRPr="00B84A84">
              <w:rPr>
                <w:sz w:val="20"/>
                <w:szCs w:val="20"/>
                <w:lang w:val="en-US"/>
              </w:rPr>
              <w:t>76</w:t>
            </w:r>
            <w:r w:rsidRPr="00B84A84">
              <w:rPr>
                <w:sz w:val="20"/>
                <w:szCs w:val="20"/>
                <w:lang w:val="en-US"/>
              </w:rPr>
              <w:t>)</w:t>
            </w:r>
          </w:p>
          <w:p w:rsidR="00F9125A" w:rsidRPr="00B84A84" w:rsidRDefault="00F9125A" w:rsidP="00F9125A">
            <w:pPr>
              <w:tabs>
                <w:tab w:val="left" w:pos="-1440"/>
                <w:tab w:val="left" w:pos="-720"/>
              </w:tabs>
              <w:rPr>
                <w:sz w:val="20"/>
                <w:szCs w:val="20"/>
                <w:lang w:val="en-US"/>
              </w:rPr>
            </w:pPr>
          </w:p>
          <w:p w:rsidR="00F9125A" w:rsidRPr="00B84A84" w:rsidRDefault="000F566B" w:rsidP="00F9125A">
            <w:pPr>
              <w:tabs>
                <w:tab w:val="left" w:pos="-1440"/>
                <w:tab w:val="left" w:pos="-720"/>
              </w:tabs>
              <w:rPr>
                <w:b/>
                <w:sz w:val="20"/>
                <w:szCs w:val="20"/>
                <w:lang w:val="fr-CA"/>
              </w:rPr>
            </w:pPr>
            <w:r w:rsidRPr="00B84A84">
              <w:rPr>
                <w:b/>
                <w:sz w:val="20"/>
                <w:szCs w:val="20"/>
                <w:lang w:val="fr-CA"/>
              </w:rPr>
              <w:t xml:space="preserve">Audrey Vigneau, et al. </w:t>
            </w:r>
            <w:r w:rsidR="00F9125A" w:rsidRPr="00B84A84">
              <w:rPr>
                <w:b/>
                <w:sz w:val="20"/>
                <w:szCs w:val="20"/>
                <w:lang w:val="fr-CA"/>
              </w:rPr>
              <w:t>(</w:t>
            </w:r>
            <w:r w:rsidRPr="00B84A84">
              <w:rPr>
                <w:b/>
                <w:sz w:val="20"/>
                <w:szCs w:val="20"/>
                <w:lang w:val="fr-CA"/>
              </w:rPr>
              <w:t>Yn</w:t>
            </w:r>
            <w:r w:rsidR="00F9125A" w:rsidRPr="00B84A84">
              <w:rPr>
                <w:b/>
                <w:sz w:val="20"/>
                <w:szCs w:val="20"/>
                <w:lang w:val="fr-CA"/>
              </w:rPr>
              <w:t>)</w:t>
            </w:r>
          </w:p>
          <w:p w:rsidR="00F9125A" w:rsidRPr="00B84A84" w:rsidRDefault="00F9125A" w:rsidP="00F9125A">
            <w:pPr>
              <w:tabs>
                <w:tab w:val="left" w:pos="-1440"/>
                <w:tab w:val="left" w:pos="-720"/>
              </w:tabs>
              <w:rPr>
                <w:sz w:val="20"/>
                <w:szCs w:val="20"/>
                <w:lang w:val="en-US"/>
              </w:rPr>
            </w:pPr>
            <w:r w:rsidRPr="00B84A84">
              <w:rPr>
                <w:sz w:val="20"/>
                <w:szCs w:val="20"/>
                <w:lang w:val="fr-CA"/>
              </w:rPr>
              <w:tab/>
            </w:r>
            <w:r w:rsidR="000F566B" w:rsidRPr="00B84A84">
              <w:rPr>
                <w:sz w:val="20"/>
                <w:szCs w:val="20"/>
                <w:lang w:val="en-US"/>
              </w:rPr>
              <w:t>Sutherland, Q.C., David F.</w:t>
            </w:r>
          </w:p>
          <w:p w:rsidR="00F9125A" w:rsidRPr="00B84A84" w:rsidRDefault="00F9125A" w:rsidP="00F9125A">
            <w:pPr>
              <w:tabs>
                <w:tab w:val="left" w:pos="-1440"/>
                <w:tab w:val="left" w:pos="-720"/>
              </w:tabs>
              <w:rPr>
                <w:sz w:val="20"/>
                <w:szCs w:val="20"/>
              </w:rPr>
            </w:pPr>
            <w:r w:rsidRPr="00B84A84">
              <w:rPr>
                <w:sz w:val="20"/>
                <w:szCs w:val="20"/>
                <w:lang w:val="en-US"/>
              </w:rPr>
              <w:tab/>
            </w:r>
            <w:r w:rsidR="000F566B" w:rsidRPr="00B84A84">
              <w:rPr>
                <w:sz w:val="20"/>
                <w:szCs w:val="20"/>
              </w:rPr>
              <w:t>David F. Sutherland &amp; Associates</w:t>
            </w:r>
          </w:p>
          <w:p w:rsidR="00F9125A" w:rsidRPr="00B84A84" w:rsidRDefault="00F9125A" w:rsidP="00F9125A">
            <w:pPr>
              <w:tabs>
                <w:tab w:val="left" w:pos="-1440"/>
                <w:tab w:val="left" w:pos="-720"/>
              </w:tabs>
              <w:rPr>
                <w:sz w:val="20"/>
                <w:szCs w:val="20"/>
              </w:rPr>
            </w:pPr>
          </w:p>
          <w:p w:rsidR="00F9125A" w:rsidRPr="00B84A84" w:rsidRDefault="000F566B" w:rsidP="00F9125A">
            <w:pPr>
              <w:rPr>
                <w:sz w:val="20"/>
                <w:szCs w:val="20"/>
              </w:rPr>
            </w:pPr>
            <w:r w:rsidRPr="00B84A84">
              <w:rPr>
                <w:sz w:val="20"/>
                <w:szCs w:val="20"/>
              </w:rPr>
              <w:t>FILING DATE: May 25</w:t>
            </w:r>
            <w:r w:rsidR="00F9125A" w:rsidRPr="00B84A84">
              <w:rPr>
                <w:sz w:val="20"/>
                <w:szCs w:val="20"/>
              </w:rPr>
              <w:t>, 2020</w:t>
            </w:r>
          </w:p>
          <w:p w:rsidR="00F9125A" w:rsidRPr="00B84A84" w:rsidRDefault="00F9125A" w:rsidP="00F9125A">
            <w:pPr>
              <w:rPr>
                <w:sz w:val="20"/>
                <w:szCs w:val="20"/>
              </w:rPr>
            </w:pPr>
          </w:p>
          <w:p w:rsidR="00F9125A" w:rsidRPr="00B84A84" w:rsidRDefault="005E1A49" w:rsidP="00F9125A">
            <w:pPr>
              <w:rPr>
                <w:b/>
                <w:sz w:val="20"/>
                <w:szCs w:val="20"/>
                <w:lang w:val="en-US"/>
              </w:rPr>
            </w:pPr>
            <w:r>
              <w:rPr>
                <w:sz w:val="20"/>
                <w:szCs w:val="20"/>
                <w:lang w:val="fr-CA"/>
              </w:rPr>
              <w:pict>
                <v:rect id="_x0000_i1031" style="width:108pt;height:1pt" o:hrpct="0" o:hrstd="t" o:hrnoshade="t" o:hr="t" fillcolor="black [3213]" stroked="f"/>
              </w:pict>
            </w:r>
          </w:p>
        </w:tc>
        <w:tc>
          <w:tcPr>
            <w:tcW w:w="1141" w:type="dxa"/>
            <w:shd w:val="clear" w:color="auto" w:fill="auto"/>
          </w:tcPr>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0F566B" w:rsidRPr="00B84A84" w:rsidRDefault="000F566B" w:rsidP="00F138C1">
            <w:pPr>
              <w:jc w:val="center"/>
              <w:rPr>
                <w:sz w:val="20"/>
                <w:szCs w:val="20"/>
                <w:lang w:val="en-US"/>
              </w:rPr>
            </w:pPr>
          </w:p>
          <w:p w:rsidR="00F9125A" w:rsidRPr="00B84A84" w:rsidRDefault="00F9125A" w:rsidP="00F138C1">
            <w:pPr>
              <w:jc w:val="center"/>
              <w:rPr>
                <w:sz w:val="20"/>
                <w:szCs w:val="20"/>
                <w:lang w:val="en-US"/>
              </w:rPr>
            </w:pPr>
          </w:p>
        </w:tc>
        <w:tc>
          <w:tcPr>
            <w:tcW w:w="4239" w:type="dxa"/>
            <w:shd w:val="clear" w:color="auto" w:fill="auto"/>
          </w:tcPr>
          <w:p w:rsidR="00F9125A" w:rsidRPr="00B84A84" w:rsidRDefault="000F566B" w:rsidP="00F9125A">
            <w:pPr>
              <w:rPr>
                <w:sz w:val="20"/>
                <w:szCs w:val="20"/>
                <w:lang w:val="fr-CA"/>
              </w:rPr>
            </w:pPr>
            <w:r w:rsidRPr="00B84A84">
              <w:rPr>
                <w:b/>
                <w:sz w:val="20"/>
                <w:szCs w:val="20"/>
                <w:lang w:val="fr-CA"/>
              </w:rPr>
              <w:t>Agence du revenu du Québec</w:t>
            </w:r>
          </w:p>
          <w:p w:rsidR="00F9125A" w:rsidRPr="00B84A84" w:rsidRDefault="00F9125A" w:rsidP="00F9125A">
            <w:pPr>
              <w:tabs>
                <w:tab w:val="left" w:pos="-1440"/>
                <w:tab w:val="left" w:pos="-720"/>
              </w:tabs>
              <w:rPr>
                <w:sz w:val="20"/>
                <w:szCs w:val="20"/>
                <w:lang w:val="fr-CA"/>
              </w:rPr>
            </w:pPr>
            <w:r w:rsidRPr="00B84A84">
              <w:rPr>
                <w:sz w:val="20"/>
                <w:szCs w:val="20"/>
                <w:lang w:val="fr-CA"/>
              </w:rPr>
              <w:tab/>
            </w:r>
            <w:r w:rsidR="000F566B" w:rsidRPr="00B84A84">
              <w:rPr>
                <w:sz w:val="20"/>
                <w:szCs w:val="20"/>
                <w:lang w:val="fr-CA"/>
              </w:rPr>
              <w:t>Larochelle, c.r., Paul</w:t>
            </w:r>
          </w:p>
          <w:p w:rsidR="000F566B" w:rsidRPr="00B84A84" w:rsidRDefault="000F566B" w:rsidP="00F9125A">
            <w:pPr>
              <w:tabs>
                <w:tab w:val="left" w:pos="-1440"/>
                <w:tab w:val="left" w:pos="-720"/>
              </w:tabs>
              <w:rPr>
                <w:sz w:val="20"/>
                <w:szCs w:val="20"/>
                <w:lang w:val="fr-CA"/>
              </w:rPr>
            </w:pPr>
            <w:r w:rsidRPr="00B84A84">
              <w:rPr>
                <w:sz w:val="20"/>
                <w:szCs w:val="20"/>
                <w:lang w:val="fr-CA"/>
              </w:rPr>
              <w:tab/>
              <w:t>Revenu Québec</w:t>
            </w:r>
          </w:p>
          <w:p w:rsidR="00F9125A" w:rsidRPr="00B84A84" w:rsidRDefault="00F9125A" w:rsidP="00F9125A">
            <w:pPr>
              <w:tabs>
                <w:tab w:val="left" w:pos="-1440"/>
                <w:tab w:val="left" w:pos="-720"/>
              </w:tabs>
              <w:rPr>
                <w:sz w:val="20"/>
                <w:szCs w:val="20"/>
                <w:lang w:val="fr-CA"/>
              </w:rPr>
            </w:pPr>
          </w:p>
          <w:p w:rsidR="00F9125A" w:rsidRPr="00B84A84" w:rsidRDefault="00F9125A" w:rsidP="00F9125A">
            <w:pPr>
              <w:tabs>
                <w:tab w:val="left" w:pos="-1440"/>
                <w:tab w:val="left" w:pos="-720"/>
              </w:tabs>
              <w:rPr>
                <w:sz w:val="20"/>
                <w:szCs w:val="20"/>
                <w:lang w:val="fr-CA"/>
              </w:rPr>
            </w:pPr>
            <w:r w:rsidRPr="00B84A84">
              <w:rPr>
                <w:sz w:val="20"/>
                <w:szCs w:val="20"/>
                <w:lang w:val="fr-CA"/>
              </w:rPr>
              <w:tab/>
            </w:r>
            <w:r w:rsidR="000F566B" w:rsidRPr="00B84A84">
              <w:rPr>
                <w:sz w:val="20"/>
                <w:szCs w:val="20"/>
                <w:lang w:val="fr-CA"/>
              </w:rPr>
              <w:t>c</w:t>
            </w:r>
            <w:r w:rsidRPr="00B84A84">
              <w:rPr>
                <w:sz w:val="20"/>
                <w:szCs w:val="20"/>
                <w:lang w:val="fr-CA"/>
              </w:rPr>
              <w:t>. (391</w:t>
            </w:r>
            <w:r w:rsidR="000F566B" w:rsidRPr="00B84A84">
              <w:rPr>
                <w:sz w:val="20"/>
                <w:szCs w:val="20"/>
                <w:lang w:val="fr-CA"/>
              </w:rPr>
              <w:t>77</w:t>
            </w:r>
            <w:r w:rsidRPr="00B84A84">
              <w:rPr>
                <w:sz w:val="20"/>
                <w:szCs w:val="20"/>
                <w:lang w:val="fr-CA"/>
              </w:rPr>
              <w:t>)</w:t>
            </w:r>
          </w:p>
          <w:p w:rsidR="00F9125A" w:rsidRPr="00B84A84" w:rsidRDefault="00F9125A" w:rsidP="00F9125A">
            <w:pPr>
              <w:tabs>
                <w:tab w:val="left" w:pos="-1440"/>
                <w:tab w:val="left" w:pos="-720"/>
              </w:tabs>
              <w:rPr>
                <w:sz w:val="20"/>
                <w:szCs w:val="20"/>
                <w:lang w:val="fr-CA"/>
              </w:rPr>
            </w:pPr>
          </w:p>
          <w:p w:rsidR="00F9125A" w:rsidRPr="00B84A84" w:rsidRDefault="000F566B" w:rsidP="00F9125A">
            <w:pPr>
              <w:tabs>
                <w:tab w:val="left" w:pos="-1440"/>
                <w:tab w:val="left" w:pos="-720"/>
              </w:tabs>
              <w:rPr>
                <w:b/>
                <w:sz w:val="20"/>
                <w:szCs w:val="20"/>
                <w:lang w:val="fr-CA"/>
              </w:rPr>
            </w:pPr>
            <w:r w:rsidRPr="00B84A84">
              <w:rPr>
                <w:b/>
                <w:sz w:val="20"/>
                <w:szCs w:val="20"/>
                <w:lang w:val="fr-CA"/>
              </w:rPr>
              <w:t>B.T. Céramiques inc., et al.</w:t>
            </w:r>
            <w:r w:rsidR="00F9125A" w:rsidRPr="00B84A84">
              <w:rPr>
                <w:b/>
                <w:sz w:val="20"/>
                <w:szCs w:val="20"/>
                <w:lang w:val="fr-CA"/>
              </w:rPr>
              <w:t xml:space="preserve"> (</w:t>
            </w:r>
            <w:r w:rsidRPr="00B84A84">
              <w:rPr>
                <w:b/>
                <w:sz w:val="20"/>
                <w:szCs w:val="20"/>
                <w:lang w:val="fr-CA"/>
              </w:rPr>
              <w:t>Qc</w:t>
            </w:r>
            <w:r w:rsidR="00F9125A" w:rsidRPr="00B84A84">
              <w:rPr>
                <w:b/>
                <w:sz w:val="20"/>
                <w:szCs w:val="20"/>
                <w:lang w:val="fr-CA"/>
              </w:rPr>
              <w:t>)</w:t>
            </w:r>
          </w:p>
          <w:p w:rsidR="00F9125A" w:rsidRPr="00B84A84" w:rsidRDefault="00F9125A" w:rsidP="00F9125A">
            <w:pPr>
              <w:tabs>
                <w:tab w:val="left" w:pos="-1440"/>
                <w:tab w:val="left" w:pos="-720"/>
              </w:tabs>
              <w:rPr>
                <w:sz w:val="20"/>
                <w:szCs w:val="20"/>
                <w:lang w:val="fr-CA"/>
              </w:rPr>
            </w:pPr>
            <w:r w:rsidRPr="00B84A84">
              <w:rPr>
                <w:sz w:val="20"/>
                <w:szCs w:val="20"/>
                <w:lang w:val="fr-CA"/>
              </w:rPr>
              <w:tab/>
            </w:r>
            <w:r w:rsidR="000F566B" w:rsidRPr="00B84A84">
              <w:rPr>
                <w:sz w:val="20"/>
                <w:szCs w:val="20"/>
                <w:lang w:val="fr-CA"/>
              </w:rPr>
              <w:t>Mostovac, Christopher</w:t>
            </w:r>
          </w:p>
          <w:p w:rsidR="00F9125A" w:rsidRPr="00B84A84" w:rsidRDefault="00F9125A" w:rsidP="00F9125A">
            <w:pPr>
              <w:tabs>
                <w:tab w:val="left" w:pos="-1440"/>
                <w:tab w:val="left" w:pos="-720"/>
              </w:tabs>
              <w:rPr>
                <w:sz w:val="20"/>
                <w:szCs w:val="20"/>
                <w:lang w:val="fr-CA"/>
              </w:rPr>
            </w:pPr>
            <w:r w:rsidRPr="00B84A84">
              <w:rPr>
                <w:sz w:val="20"/>
                <w:szCs w:val="20"/>
                <w:lang w:val="fr-CA"/>
              </w:rPr>
              <w:tab/>
            </w:r>
            <w:r w:rsidR="000F566B" w:rsidRPr="00B84A84">
              <w:rPr>
                <w:sz w:val="20"/>
                <w:szCs w:val="20"/>
                <w:lang w:val="fr-CA"/>
              </w:rPr>
              <w:t>Starnino Mostovac</w:t>
            </w:r>
          </w:p>
          <w:p w:rsidR="00F9125A" w:rsidRPr="00B84A84" w:rsidRDefault="00F9125A" w:rsidP="00F9125A">
            <w:pPr>
              <w:tabs>
                <w:tab w:val="left" w:pos="-1440"/>
                <w:tab w:val="left" w:pos="-720"/>
              </w:tabs>
              <w:rPr>
                <w:sz w:val="20"/>
                <w:szCs w:val="20"/>
                <w:lang w:val="fr-CA"/>
              </w:rPr>
            </w:pPr>
          </w:p>
          <w:p w:rsidR="00F9125A" w:rsidRPr="00B84A84" w:rsidRDefault="00F9125A" w:rsidP="00F9125A">
            <w:pPr>
              <w:rPr>
                <w:sz w:val="20"/>
                <w:szCs w:val="20"/>
                <w:lang w:val="fr-CA"/>
              </w:rPr>
            </w:pPr>
            <w:r w:rsidRPr="00B84A84">
              <w:rPr>
                <w:sz w:val="20"/>
                <w:szCs w:val="20"/>
                <w:lang w:val="fr-CA"/>
              </w:rPr>
              <w:t>DATE</w:t>
            </w:r>
            <w:r w:rsidR="000F566B" w:rsidRPr="00B84A84">
              <w:rPr>
                <w:sz w:val="20"/>
                <w:szCs w:val="20"/>
                <w:lang w:val="fr-CA"/>
              </w:rPr>
              <w:t xml:space="preserve"> DE PRODUCTION</w:t>
            </w:r>
            <w:r w:rsidRPr="00B84A84">
              <w:rPr>
                <w:sz w:val="20"/>
                <w:szCs w:val="20"/>
                <w:lang w:val="fr-CA"/>
              </w:rPr>
              <w:t xml:space="preserve">: </w:t>
            </w:r>
            <w:r w:rsidR="000F566B" w:rsidRPr="00B84A84">
              <w:rPr>
                <w:sz w:val="20"/>
                <w:szCs w:val="20"/>
                <w:lang w:val="fr-CA"/>
              </w:rPr>
              <w:t>le</w:t>
            </w:r>
            <w:r w:rsidRPr="00B84A84">
              <w:rPr>
                <w:sz w:val="20"/>
                <w:szCs w:val="20"/>
                <w:lang w:val="fr-CA"/>
              </w:rPr>
              <w:t xml:space="preserve"> </w:t>
            </w:r>
            <w:r w:rsidR="000F566B" w:rsidRPr="00B84A84">
              <w:rPr>
                <w:sz w:val="20"/>
                <w:szCs w:val="20"/>
                <w:lang w:val="fr-CA"/>
              </w:rPr>
              <w:t>2</w:t>
            </w:r>
            <w:r w:rsidRPr="00B84A84">
              <w:rPr>
                <w:sz w:val="20"/>
                <w:szCs w:val="20"/>
                <w:lang w:val="fr-CA"/>
              </w:rPr>
              <w:t>6</w:t>
            </w:r>
            <w:r w:rsidR="000F566B" w:rsidRPr="00B84A84">
              <w:rPr>
                <w:sz w:val="20"/>
                <w:szCs w:val="20"/>
                <w:lang w:val="fr-CA"/>
              </w:rPr>
              <w:t xml:space="preserve"> mai</w:t>
            </w:r>
            <w:r w:rsidRPr="00B84A84">
              <w:rPr>
                <w:sz w:val="20"/>
                <w:szCs w:val="20"/>
                <w:lang w:val="fr-CA"/>
              </w:rPr>
              <w:t xml:space="preserve"> 2020</w:t>
            </w:r>
          </w:p>
          <w:p w:rsidR="00F9125A" w:rsidRPr="00B84A84" w:rsidRDefault="00F9125A" w:rsidP="00F9125A">
            <w:pPr>
              <w:rPr>
                <w:sz w:val="20"/>
                <w:szCs w:val="20"/>
                <w:lang w:val="fr-CA"/>
              </w:rPr>
            </w:pPr>
          </w:p>
          <w:p w:rsidR="00F9125A" w:rsidRPr="00B84A84" w:rsidRDefault="005E1A49" w:rsidP="00F9125A">
            <w:pPr>
              <w:rPr>
                <w:b/>
                <w:sz w:val="20"/>
                <w:szCs w:val="20"/>
                <w:lang w:val="fr-CA"/>
              </w:rPr>
            </w:pPr>
            <w:r>
              <w:rPr>
                <w:sz w:val="20"/>
                <w:szCs w:val="20"/>
                <w:lang w:val="fr-CA"/>
              </w:rPr>
              <w:pict>
                <v:rect id="_x0000_i1032" style="width:108pt;height:1pt" o:hrpct="0" o:hrstd="t" o:hrnoshade="t" o:hr="t" fillcolor="black [3213]" stroked="f"/>
              </w:pict>
            </w:r>
          </w:p>
        </w:tc>
      </w:tr>
      <w:tr w:rsidR="00F9125A" w:rsidRPr="00B84A84" w:rsidTr="00F138C1">
        <w:tc>
          <w:tcPr>
            <w:tcW w:w="4239" w:type="dxa"/>
            <w:shd w:val="clear" w:color="auto" w:fill="auto"/>
          </w:tcPr>
          <w:p w:rsidR="00F9125A" w:rsidRPr="00B84A84" w:rsidRDefault="00BD4110" w:rsidP="00F9125A">
            <w:pPr>
              <w:rPr>
                <w:sz w:val="20"/>
                <w:szCs w:val="20"/>
                <w:lang w:val="fr-CA"/>
              </w:rPr>
            </w:pPr>
            <w:r w:rsidRPr="00B84A84">
              <w:rPr>
                <w:b/>
                <w:sz w:val="20"/>
                <w:szCs w:val="20"/>
                <w:lang w:val="fr-CA"/>
              </w:rPr>
              <w:t>André Lavallée</w:t>
            </w:r>
          </w:p>
          <w:p w:rsidR="00F9125A" w:rsidRPr="00B84A84" w:rsidRDefault="00F9125A" w:rsidP="00F9125A">
            <w:pPr>
              <w:tabs>
                <w:tab w:val="left" w:pos="-1440"/>
                <w:tab w:val="left" w:pos="-720"/>
              </w:tabs>
              <w:rPr>
                <w:sz w:val="20"/>
                <w:szCs w:val="20"/>
                <w:lang w:val="fr-CA"/>
              </w:rPr>
            </w:pPr>
            <w:r w:rsidRPr="00B84A84">
              <w:rPr>
                <w:sz w:val="20"/>
                <w:szCs w:val="20"/>
                <w:lang w:val="fr-CA"/>
              </w:rPr>
              <w:tab/>
            </w:r>
            <w:r w:rsidR="00BD4110" w:rsidRPr="00B84A84">
              <w:rPr>
                <w:sz w:val="20"/>
                <w:szCs w:val="20"/>
                <w:lang w:val="fr-CA"/>
              </w:rPr>
              <w:t>Fernandez, Nina</w:t>
            </w:r>
          </w:p>
          <w:p w:rsidR="00BD4110" w:rsidRPr="00B84A84" w:rsidRDefault="00BD4110" w:rsidP="00F9125A">
            <w:pPr>
              <w:tabs>
                <w:tab w:val="left" w:pos="-1440"/>
                <w:tab w:val="left" w:pos="-720"/>
              </w:tabs>
              <w:rPr>
                <w:sz w:val="20"/>
                <w:szCs w:val="20"/>
                <w:lang w:val="fr-CA"/>
              </w:rPr>
            </w:pPr>
            <w:r w:rsidRPr="00B84A84">
              <w:rPr>
                <w:sz w:val="20"/>
                <w:szCs w:val="20"/>
                <w:lang w:val="fr-CA"/>
              </w:rPr>
              <w:tab/>
              <w:t>FNC Avocats</w:t>
            </w:r>
          </w:p>
          <w:p w:rsidR="00F9125A" w:rsidRPr="00B84A84" w:rsidRDefault="00F9125A" w:rsidP="00F9125A">
            <w:pPr>
              <w:tabs>
                <w:tab w:val="left" w:pos="-1440"/>
                <w:tab w:val="left" w:pos="-720"/>
              </w:tabs>
              <w:rPr>
                <w:sz w:val="20"/>
                <w:szCs w:val="20"/>
                <w:lang w:val="fr-CA"/>
              </w:rPr>
            </w:pPr>
          </w:p>
          <w:p w:rsidR="00F9125A" w:rsidRPr="00B84A84" w:rsidRDefault="00F9125A" w:rsidP="00F9125A">
            <w:pPr>
              <w:tabs>
                <w:tab w:val="left" w:pos="-1440"/>
                <w:tab w:val="left" w:pos="-720"/>
              </w:tabs>
              <w:rPr>
                <w:sz w:val="20"/>
                <w:szCs w:val="20"/>
                <w:lang w:val="fr-CA"/>
              </w:rPr>
            </w:pPr>
            <w:r w:rsidRPr="00B84A84">
              <w:rPr>
                <w:sz w:val="20"/>
                <w:szCs w:val="20"/>
                <w:lang w:val="fr-CA"/>
              </w:rPr>
              <w:tab/>
            </w:r>
            <w:r w:rsidR="000F566B" w:rsidRPr="00B84A84">
              <w:rPr>
                <w:sz w:val="20"/>
                <w:szCs w:val="20"/>
                <w:lang w:val="fr-CA"/>
              </w:rPr>
              <w:t>c</w:t>
            </w:r>
            <w:r w:rsidRPr="00B84A84">
              <w:rPr>
                <w:sz w:val="20"/>
                <w:szCs w:val="20"/>
                <w:lang w:val="fr-CA"/>
              </w:rPr>
              <w:t>. (391</w:t>
            </w:r>
            <w:r w:rsidR="000F566B" w:rsidRPr="00B84A84">
              <w:rPr>
                <w:sz w:val="20"/>
                <w:szCs w:val="20"/>
                <w:lang w:val="fr-CA"/>
              </w:rPr>
              <w:t>78</w:t>
            </w:r>
            <w:r w:rsidRPr="00B84A84">
              <w:rPr>
                <w:sz w:val="20"/>
                <w:szCs w:val="20"/>
                <w:lang w:val="fr-CA"/>
              </w:rPr>
              <w:t>)</w:t>
            </w:r>
          </w:p>
          <w:p w:rsidR="00F9125A" w:rsidRPr="00B84A84" w:rsidRDefault="00F9125A" w:rsidP="00F9125A">
            <w:pPr>
              <w:tabs>
                <w:tab w:val="left" w:pos="-1440"/>
                <w:tab w:val="left" w:pos="-720"/>
              </w:tabs>
              <w:rPr>
                <w:sz w:val="20"/>
                <w:szCs w:val="20"/>
                <w:lang w:val="fr-CA"/>
              </w:rPr>
            </w:pPr>
          </w:p>
          <w:p w:rsidR="00F9125A" w:rsidRPr="00B84A84" w:rsidRDefault="00BD4110" w:rsidP="00F9125A">
            <w:pPr>
              <w:tabs>
                <w:tab w:val="left" w:pos="-1440"/>
                <w:tab w:val="left" w:pos="-720"/>
              </w:tabs>
              <w:rPr>
                <w:b/>
                <w:sz w:val="20"/>
                <w:szCs w:val="20"/>
                <w:lang w:val="fr-CA"/>
              </w:rPr>
            </w:pPr>
            <w:r w:rsidRPr="00B84A84">
              <w:rPr>
                <w:b/>
                <w:sz w:val="20"/>
                <w:szCs w:val="20"/>
                <w:lang w:val="fr-CA"/>
              </w:rPr>
              <w:t xml:space="preserve">Ville de Sainte-Adèle </w:t>
            </w:r>
            <w:r w:rsidR="00F9125A" w:rsidRPr="00B84A84">
              <w:rPr>
                <w:b/>
                <w:sz w:val="20"/>
                <w:szCs w:val="20"/>
                <w:lang w:val="fr-CA"/>
              </w:rPr>
              <w:t>(</w:t>
            </w:r>
            <w:r w:rsidRPr="00B84A84">
              <w:rPr>
                <w:b/>
                <w:sz w:val="20"/>
                <w:szCs w:val="20"/>
                <w:lang w:val="fr-CA"/>
              </w:rPr>
              <w:t>Qc</w:t>
            </w:r>
            <w:r w:rsidR="00F9125A" w:rsidRPr="00B84A84">
              <w:rPr>
                <w:b/>
                <w:sz w:val="20"/>
                <w:szCs w:val="20"/>
                <w:lang w:val="fr-CA"/>
              </w:rPr>
              <w:t>)</w:t>
            </w:r>
          </w:p>
          <w:p w:rsidR="00F9125A" w:rsidRPr="00B84A84" w:rsidRDefault="00F9125A" w:rsidP="00F9125A">
            <w:pPr>
              <w:tabs>
                <w:tab w:val="left" w:pos="-1440"/>
                <w:tab w:val="left" w:pos="-720"/>
              </w:tabs>
              <w:rPr>
                <w:sz w:val="20"/>
                <w:szCs w:val="20"/>
                <w:lang w:val="en-US"/>
              </w:rPr>
            </w:pPr>
            <w:r w:rsidRPr="00B84A84">
              <w:rPr>
                <w:sz w:val="20"/>
                <w:szCs w:val="20"/>
                <w:lang w:val="fr-CA"/>
              </w:rPr>
              <w:tab/>
            </w:r>
            <w:r w:rsidR="00BD4110" w:rsidRPr="00B84A84">
              <w:rPr>
                <w:sz w:val="20"/>
                <w:szCs w:val="20"/>
                <w:lang w:val="en-US"/>
              </w:rPr>
              <w:t>Bourgon, Benoît G.</w:t>
            </w:r>
          </w:p>
          <w:p w:rsidR="00F9125A" w:rsidRPr="00B84A84" w:rsidRDefault="00F9125A" w:rsidP="00F9125A">
            <w:pPr>
              <w:tabs>
                <w:tab w:val="left" w:pos="-1440"/>
                <w:tab w:val="left" w:pos="-720"/>
              </w:tabs>
              <w:rPr>
                <w:sz w:val="20"/>
                <w:szCs w:val="20"/>
              </w:rPr>
            </w:pPr>
            <w:r w:rsidRPr="00B84A84">
              <w:rPr>
                <w:sz w:val="20"/>
                <w:szCs w:val="20"/>
                <w:lang w:val="en-US"/>
              </w:rPr>
              <w:tab/>
            </w:r>
            <w:r w:rsidR="00BD4110" w:rsidRPr="00B84A84">
              <w:rPr>
                <w:sz w:val="20"/>
                <w:szCs w:val="20"/>
              </w:rPr>
              <w:t>Robinson Sheppard Shapiro</w:t>
            </w:r>
          </w:p>
          <w:p w:rsidR="00F9125A" w:rsidRPr="00B84A84" w:rsidRDefault="00F9125A" w:rsidP="00F9125A">
            <w:pPr>
              <w:tabs>
                <w:tab w:val="left" w:pos="-1440"/>
                <w:tab w:val="left" w:pos="-720"/>
              </w:tabs>
              <w:rPr>
                <w:sz w:val="20"/>
                <w:szCs w:val="20"/>
              </w:rPr>
            </w:pPr>
          </w:p>
          <w:p w:rsidR="00F9125A" w:rsidRPr="00B84A84" w:rsidRDefault="00F9125A" w:rsidP="00F9125A">
            <w:pPr>
              <w:rPr>
                <w:sz w:val="20"/>
                <w:szCs w:val="20"/>
                <w:lang w:val="fr-CA"/>
              </w:rPr>
            </w:pPr>
            <w:r w:rsidRPr="00B84A84">
              <w:rPr>
                <w:sz w:val="20"/>
                <w:szCs w:val="20"/>
                <w:lang w:val="fr-CA"/>
              </w:rPr>
              <w:t>DATE</w:t>
            </w:r>
            <w:r w:rsidR="00BD4110" w:rsidRPr="00B84A84">
              <w:rPr>
                <w:sz w:val="20"/>
                <w:szCs w:val="20"/>
                <w:lang w:val="fr-CA"/>
              </w:rPr>
              <w:t xml:space="preserve"> DE PRODUCTION : le 2</w:t>
            </w:r>
            <w:r w:rsidRPr="00B84A84">
              <w:rPr>
                <w:sz w:val="20"/>
                <w:szCs w:val="20"/>
                <w:lang w:val="fr-CA"/>
              </w:rPr>
              <w:t>6</w:t>
            </w:r>
            <w:r w:rsidR="00BD4110" w:rsidRPr="00B84A84">
              <w:rPr>
                <w:sz w:val="20"/>
                <w:szCs w:val="20"/>
                <w:lang w:val="fr-CA"/>
              </w:rPr>
              <w:t xml:space="preserve"> mai</w:t>
            </w:r>
            <w:r w:rsidRPr="00B84A84">
              <w:rPr>
                <w:sz w:val="20"/>
                <w:szCs w:val="20"/>
                <w:lang w:val="fr-CA"/>
              </w:rPr>
              <w:t xml:space="preserve"> 2020</w:t>
            </w:r>
          </w:p>
          <w:p w:rsidR="00F9125A" w:rsidRPr="00B84A84" w:rsidRDefault="00F9125A" w:rsidP="00F9125A">
            <w:pPr>
              <w:rPr>
                <w:sz w:val="20"/>
                <w:szCs w:val="20"/>
                <w:lang w:val="fr-CA"/>
              </w:rPr>
            </w:pPr>
          </w:p>
          <w:p w:rsidR="00F9125A" w:rsidRPr="00B84A84" w:rsidRDefault="005E1A49" w:rsidP="00F9125A">
            <w:pPr>
              <w:rPr>
                <w:b/>
                <w:sz w:val="20"/>
                <w:szCs w:val="20"/>
                <w:lang w:val="en-US"/>
              </w:rPr>
            </w:pPr>
            <w:r>
              <w:rPr>
                <w:sz w:val="20"/>
                <w:szCs w:val="20"/>
                <w:lang w:val="fr-CA"/>
              </w:rPr>
              <w:pict>
                <v:rect id="_x0000_i1033" style="width:108pt;height:1pt" o:hrpct="0" o:hrstd="t" o:hrnoshade="t" o:hr="t" fillcolor="black [3213]" stroked="f"/>
              </w:pict>
            </w:r>
          </w:p>
        </w:tc>
        <w:tc>
          <w:tcPr>
            <w:tcW w:w="1141" w:type="dxa"/>
            <w:shd w:val="clear" w:color="auto" w:fill="auto"/>
          </w:tcPr>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BD4110" w:rsidRPr="00B84A84" w:rsidRDefault="00BD4110"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tc>
        <w:tc>
          <w:tcPr>
            <w:tcW w:w="4239" w:type="dxa"/>
            <w:shd w:val="clear" w:color="auto" w:fill="auto"/>
          </w:tcPr>
          <w:p w:rsidR="00F9125A" w:rsidRPr="00B84A84" w:rsidRDefault="00BD4110" w:rsidP="00F9125A">
            <w:pPr>
              <w:rPr>
                <w:sz w:val="20"/>
                <w:szCs w:val="20"/>
                <w:lang w:val="fr-CA"/>
              </w:rPr>
            </w:pPr>
            <w:r w:rsidRPr="00B84A84">
              <w:rPr>
                <w:b/>
                <w:sz w:val="20"/>
                <w:szCs w:val="20"/>
                <w:lang w:val="fr-CA"/>
              </w:rPr>
              <w:t>Michel Dessureault, et al.</w:t>
            </w:r>
          </w:p>
          <w:p w:rsidR="00F9125A" w:rsidRPr="00B84A84" w:rsidRDefault="00F9125A" w:rsidP="00F9125A">
            <w:pPr>
              <w:tabs>
                <w:tab w:val="left" w:pos="-1440"/>
                <w:tab w:val="left" w:pos="-720"/>
              </w:tabs>
              <w:rPr>
                <w:sz w:val="20"/>
                <w:szCs w:val="20"/>
                <w:lang w:val="fr-CA"/>
              </w:rPr>
            </w:pPr>
            <w:r w:rsidRPr="00B84A84">
              <w:rPr>
                <w:sz w:val="20"/>
                <w:szCs w:val="20"/>
                <w:lang w:val="fr-CA"/>
              </w:rPr>
              <w:tab/>
            </w:r>
            <w:r w:rsidR="00BD4110" w:rsidRPr="00B84A84">
              <w:rPr>
                <w:sz w:val="20"/>
                <w:szCs w:val="20"/>
                <w:lang w:val="fr-CA"/>
              </w:rPr>
              <w:t>Daigle, François</w:t>
            </w:r>
          </w:p>
          <w:p w:rsidR="00BD4110" w:rsidRPr="00B84A84" w:rsidRDefault="00BD4110" w:rsidP="00F9125A">
            <w:pPr>
              <w:tabs>
                <w:tab w:val="left" w:pos="-1440"/>
                <w:tab w:val="left" w:pos="-720"/>
              </w:tabs>
              <w:rPr>
                <w:sz w:val="20"/>
                <w:szCs w:val="20"/>
                <w:lang w:val="fr-CA"/>
              </w:rPr>
            </w:pPr>
            <w:r w:rsidRPr="00B84A84">
              <w:rPr>
                <w:sz w:val="20"/>
                <w:szCs w:val="20"/>
                <w:lang w:val="fr-CA"/>
              </w:rPr>
              <w:tab/>
              <w:t>Daigle, avocats fiscalistes inc.</w:t>
            </w:r>
          </w:p>
          <w:p w:rsidR="00F9125A" w:rsidRPr="00B84A84" w:rsidRDefault="00F9125A" w:rsidP="00F9125A">
            <w:pPr>
              <w:tabs>
                <w:tab w:val="left" w:pos="-1440"/>
                <w:tab w:val="left" w:pos="-720"/>
              </w:tabs>
              <w:rPr>
                <w:sz w:val="20"/>
                <w:szCs w:val="20"/>
                <w:lang w:val="fr-CA"/>
              </w:rPr>
            </w:pPr>
          </w:p>
          <w:p w:rsidR="00F9125A" w:rsidRPr="00B84A84" w:rsidRDefault="00F9125A" w:rsidP="00F9125A">
            <w:pPr>
              <w:tabs>
                <w:tab w:val="left" w:pos="-1440"/>
                <w:tab w:val="left" w:pos="-720"/>
              </w:tabs>
              <w:rPr>
                <w:sz w:val="20"/>
                <w:szCs w:val="20"/>
                <w:lang w:val="fr-CA"/>
              </w:rPr>
            </w:pPr>
            <w:r w:rsidRPr="00B84A84">
              <w:rPr>
                <w:sz w:val="20"/>
                <w:szCs w:val="20"/>
                <w:lang w:val="fr-CA"/>
              </w:rPr>
              <w:tab/>
            </w:r>
            <w:r w:rsidR="00BD4110" w:rsidRPr="00B84A84">
              <w:rPr>
                <w:sz w:val="20"/>
                <w:szCs w:val="20"/>
                <w:lang w:val="fr-CA"/>
              </w:rPr>
              <w:t>c</w:t>
            </w:r>
            <w:r w:rsidRPr="00B84A84">
              <w:rPr>
                <w:sz w:val="20"/>
                <w:szCs w:val="20"/>
                <w:lang w:val="fr-CA"/>
              </w:rPr>
              <w:t>. (39</w:t>
            </w:r>
            <w:r w:rsidR="00BD4110" w:rsidRPr="00B84A84">
              <w:rPr>
                <w:sz w:val="20"/>
                <w:szCs w:val="20"/>
                <w:lang w:val="fr-CA"/>
              </w:rPr>
              <w:t>179</w:t>
            </w:r>
            <w:r w:rsidRPr="00B84A84">
              <w:rPr>
                <w:sz w:val="20"/>
                <w:szCs w:val="20"/>
                <w:lang w:val="fr-CA"/>
              </w:rPr>
              <w:t>)</w:t>
            </w:r>
          </w:p>
          <w:p w:rsidR="00F9125A" w:rsidRPr="00B84A84" w:rsidRDefault="00F9125A" w:rsidP="00F9125A">
            <w:pPr>
              <w:tabs>
                <w:tab w:val="left" w:pos="-1440"/>
                <w:tab w:val="left" w:pos="-720"/>
              </w:tabs>
              <w:rPr>
                <w:sz w:val="20"/>
                <w:szCs w:val="20"/>
                <w:lang w:val="fr-CA"/>
              </w:rPr>
            </w:pPr>
          </w:p>
          <w:p w:rsidR="00F9125A" w:rsidRPr="00B84A84" w:rsidRDefault="00BD4110" w:rsidP="00F9125A">
            <w:pPr>
              <w:tabs>
                <w:tab w:val="left" w:pos="-1440"/>
                <w:tab w:val="left" w:pos="-720"/>
              </w:tabs>
              <w:rPr>
                <w:b/>
                <w:sz w:val="20"/>
                <w:szCs w:val="20"/>
                <w:lang w:val="fr-CA"/>
              </w:rPr>
            </w:pPr>
            <w:r w:rsidRPr="00B84A84">
              <w:rPr>
                <w:b/>
                <w:sz w:val="20"/>
                <w:szCs w:val="20"/>
                <w:lang w:val="fr-CA"/>
              </w:rPr>
              <w:t xml:space="preserve">Guy Desaulniers, et al. </w:t>
            </w:r>
            <w:r w:rsidR="00F9125A" w:rsidRPr="00B84A84">
              <w:rPr>
                <w:b/>
                <w:sz w:val="20"/>
                <w:szCs w:val="20"/>
                <w:lang w:val="fr-CA"/>
              </w:rPr>
              <w:t>(</w:t>
            </w:r>
            <w:r w:rsidRPr="00B84A84">
              <w:rPr>
                <w:b/>
                <w:sz w:val="20"/>
                <w:szCs w:val="20"/>
                <w:lang w:val="fr-CA"/>
              </w:rPr>
              <w:t>Qc</w:t>
            </w:r>
            <w:r w:rsidR="00F9125A" w:rsidRPr="00B84A84">
              <w:rPr>
                <w:b/>
                <w:sz w:val="20"/>
                <w:szCs w:val="20"/>
                <w:lang w:val="fr-CA"/>
              </w:rPr>
              <w:t>)</w:t>
            </w:r>
          </w:p>
          <w:p w:rsidR="00F9125A" w:rsidRPr="00B84A84" w:rsidRDefault="00F9125A" w:rsidP="00F9125A">
            <w:pPr>
              <w:tabs>
                <w:tab w:val="left" w:pos="-1440"/>
                <w:tab w:val="left" w:pos="-720"/>
              </w:tabs>
              <w:rPr>
                <w:sz w:val="20"/>
                <w:szCs w:val="20"/>
                <w:lang w:val="fr-CA"/>
              </w:rPr>
            </w:pPr>
            <w:r w:rsidRPr="00B84A84">
              <w:rPr>
                <w:sz w:val="20"/>
                <w:szCs w:val="20"/>
                <w:lang w:val="fr-CA"/>
              </w:rPr>
              <w:tab/>
            </w:r>
            <w:r w:rsidR="00BD4110" w:rsidRPr="00B84A84">
              <w:rPr>
                <w:sz w:val="20"/>
                <w:szCs w:val="20"/>
                <w:lang w:val="fr-CA"/>
              </w:rPr>
              <w:t>Ayotte, Mathieu</w:t>
            </w:r>
          </w:p>
          <w:p w:rsidR="00F9125A" w:rsidRPr="00B84A84" w:rsidRDefault="00F9125A" w:rsidP="00F9125A">
            <w:pPr>
              <w:tabs>
                <w:tab w:val="left" w:pos="-1440"/>
                <w:tab w:val="left" w:pos="-720"/>
              </w:tabs>
              <w:rPr>
                <w:sz w:val="20"/>
                <w:szCs w:val="20"/>
                <w:lang w:val="fr-CA"/>
              </w:rPr>
            </w:pPr>
            <w:r w:rsidRPr="00B84A84">
              <w:rPr>
                <w:sz w:val="20"/>
                <w:szCs w:val="20"/>
                <w:lang w:val="fr-CA"/>
              </w:rPr>
              <w:tab/>
            </w:r>
            <w:r w:rsidR="00BD4110" w:rsidRPr="00B84A84">
              <w:rPr>
                <w:sz w:val="20"/>
                <w:szCs w:val="20"/>
                <w:lang w:val="fr-CA"/>
              </w:rPr>
              <w:t>Beauvais Truchon s.e.n.c.r.l.</w:t>
            </w:r>
          </w:p>
          <w:p w:rsidR="00F9125A" w:rsidRPr="00B84A84" w:rsidRDefault="00F9125A" w:rsidP="00F9125A">
            <w:pPr>
              <w:tabs>
                <w:tab w:val="left" w:pos="-1440"/>
                <w:tab w:val="left" w:pos="-720"/>
              </w:tabs>
              <w:rPr>
                <w:sz w:val="20"/>
                <w:szCs w:val="20"/>
                <w:lang w:val="fr-CA"/>
              </w:rPr>
            </w:pPr>
          </w:p>
          <w:p w:rsidR="00F9125A" w:rsidRPr="00B84A84" w:rsidRDefault="00F9125A" w:rsidP="00F9125A">
            <w:pPr>
              <w:rPr>
                <w:sz w:val="20"/>
                <w:szCs w:val="20"/>
                <w:lang w:val="fr-CA"/>
              </w:rPr>
            </w:pPr>
            <w:r w:rsidRPr="00B84A84">
              <w:rPr>
                <w:sz w:val="20"/>
                <w:szCs w:val="20"/>
                <w:lang w:val="fr-CA"/>
              </w:rPr>
              <w:t>DATE</w:t>
            </w:r>
            <w:r w:rsidR="00BD4110" w:rsidRPr="00B84A84">
              <w:rPr>
                <w:sz w:val="20"/>
                <w:szCs w:val="20"/>
                <w:lang w:val="fr-CA"/>
              </w:rPr>
              <w:t xml:space="preserve"> DE PRODUCTION </w:t>
            </w:r>
            <w:r w:rsidRPr="00B84A84">
              <w:rPr>
                <w:sz w:val="20"/>
                <w:szCs w:val="20"/>
                <w:lang w:val="fr-CA"/>
              </w:rPr>
              <w:t xml:space="preserve">: </w:t>
            </w:r>
            <w:r w:rsidR="00BD4110" w:rsidRPr="00B84A84">
              <w:rPr>
                <w:sz w:val="20"/>
                <w:szCs w:val="20"/>
                <w:lang w:val="fr-CA"/>
              </w:rPr>
              <w:t>le 2</w:t>
            </w:r>
            <w:r w:rsidRPr="00B84A84">
              <w:rPr>
                <w:sz w:val="20"/>
                <w:szCs w:val="20"/>
                <w:lang w:val="fr-CA"/>
              </w:rPr>
              <w:t>6</w:t>
            </w:r>
            <w:r w:rsidR="00BD4110" w:rsidRPr="00B84A84">
              <w:rPr>
                <w:sz w:val="20"/>
                <w:szCs w:val="20"/>
                <w:lang w:val="fr-CA"/>
              </w:rPr>
              <w:t xml:space="preserve"> mai</w:t>
            </w:r>
            <w:r w:rsidRPr="00B84A84">
              <w:rPr>
                <w:sz w:val="20"/>
                <w:szCs w:val="20"/>
                <w:lang w:val="fr-CA"/>
              </w:rPr>
              <w:t xml:space="preserve"> 2020</w:t>
            </w:r>
          </w:p>
          <w:p w:rsidR="00F9125A" w:rsidRPr="00B84A84" w:rsidRDefault="00F9125A" w:rsidP="00F9125A">
            <w:pPr>
              <w:rPr>
                <w:sz w:val="20"/>
                <w:szCs w:val="20"/>
                <w:lang w:val="fr-CA"/>
              </w:rPr>
            </w:pPr>
          </w:p>
          <w:p w:rsidR="00F9125A" w:rsidRPr="00B84A84" w:rsidRDefault="005E1A49" w:rsidP="00F9125A">
            <w:pPr>
              <w:rPr>
                <w:b/>
                <w:sz w:val="20"/>
                <w:szCs w:val="20"/>
                <w:lang w:val="en-US"/>
              </w:rPr>
            </w:pPr>
            <w:r>
              <w:rPr>
                <w:sz w:val="20"/>
                <w:szCs w:val="20"/>
                <w:lang w:val="fr-CA"/>
              </w:rPr>
              <w:pict>
                <v:rect id="_x0000_i1034" style="width:108pt;height:1pt" o:hrpct="0" o:hrstd="t" o:hrnoshade="t" o:hr="t" fillcolor="black [3213]" stroked="f"/>
              </w:pict>
            </w:r>
          </w:p>
        </w:tc>
      </w:tr>
      <w:tr w:rsidR="00F9125A" w:rsidRPr="00B84A84" w:rsidTr="00F138C1">
        <w:tc>
          <w:tcPr>
            <w:tcW w:w="4239" w:type="dxa"/>
            <w:shd w:val="clear" w:color="auto" w:fill="auto"/>
          </w:tcPr>
          <w:p w:rsidR="00F9125A" w:rsidRPr="00B84A84" w:rsidRDefault="0037021E" w:rsidP="00F9125A">
            <w:pPr>
              <w:rPr>
                <w:sz w:val="20"/>
                <w:szCs w:val="20"/>
                <w:lang w:val="en-US"/>
              </w:rPr>
            </w:pPr>
            <w:r w:rsidRPr="00B84A84">
              <w:rPr>
                <w:b/>
                <w:sz w:val="20"/>
                <w:szCs w:val="20"/>
                <w:lang w:val="en-US"/>
              </w:rPr>
              <w:t>Marshall Kazman, et al.</w:t>
            </w:r>
          </w:p>
          <w:p w:rsidR="00F9125A" w:rsidRPr="00B84A84" w:rsidRDefault="00F9125A" w:rsidP="00F9125A">
            <w:pPr>
              <w:tabs>
                <w:tab w:val="left" w:pos="-1440"/>
                <w:tab w:val="left" w:pos="-720"/>
              </w:tabs>
              <w:rPr>
                <w:sz w:val="20"/>
                <w:szCs w:val="20"/>
                <w:lang w:val="en-US"/>
              </w:rPr>
            </w:pPr>
            <w:r w:rsidRPr="00B84A84">
              <w:rPr>
                <w:sz w:val="20"/>
                <w:szCs w:val="20"/>
                <w:lang w:val="en-US"/>
              </w:rPr>
              <w:tab/>
            </w:r>
            <w:r w:rsidR="0037021E" w:rsidRPr="00B84A84">
              <w:rPr>
                <w:sz w:val="20"/>
                <w:szCs w:val="20"/>
                <w:lang w:val="en-US"/>
              </w:rPr>
              <w:t>Addario, Frank</w:t>
            </w:r>
          </w:p>
          <w:p w:rsidR="0037021E" w:rsidRPr="00B84A84" w:rsidRDefault="0037021E" w:rsidP="00F9125A">
            <w:pPr>
              <w:tabs>
                <w:tab w:val="left" w:pos="-1440"/>
                <w:tab w:val="left" w:pos="-720"/>
              </w:tabs>
              <w:rPr>
                <w:sz w:val="20"/>
                <w:szCs w:val="20"/>
                <w:lang w:val="en-US"/>
              </w:rPr>
            </w:pPr>
            <w:r w:rsidRPr="00B84A84">
              <w:rPr>
                <w:sz w:val="20"/>
                <w:szCs w:val="20"/>
                <w:lang w:val="en-US"/>
              </w:rPr>
              <w:tab/>
              <w:t>Addario Law Group LLP</w:t>
            </w:r>
          </w:p>
          <w:p w:rsidR="00F9125A" w:rsidRPr="00B84A84" w:rsidRDefault="00F9125A" w:rsidP="00F9125A">
            <w:pPr>
              <w:tabs>
                <w:tab w:val="left" w:pos="-1440"/>
                <w:tab w:val="left" w:pos="-720"/>
              </w:tabs>
              <w:rPr>
                <w:sz w:val="20"/>
                <w:szCs w:val="20"/>
                <w:lang w:val="en-US"/>
              </w:rPr>
            </w:pPr>
          </w:p>
          <w:p w:rsidR="00F9125A" w:rsidRPr="00B84A84" w:rsidRDefault="00F9125A" w:rsidP="00F9125A">
            <w:pPr>
              <w:tabs>
                <w:tab w:val="left" w:pos="-1440"/>
                <w:tab w:val="left" w:pos="-720"/>
              </w:tabs>
              <w:rPr>
                <w:sz w:val="20"/>
                <w:szCs w:val="20"/>
                <w:lang w:val="en-US"/>
              </w:rPr>
            </w:pPr>
            <w:r w:rsidRPr="00B84A84">
              <w:rPr>
                <w:sz w:val="20"/>
                <w:szCs w:val="20"/>
                <w:lang w:val="en-US"/>
              </w:rPr>
              <w:tab/>
              <w:t>v. (39</w:t>
            </w:r>
            <w:r w:rsidR="0037021E" w:rsidRPr="00B84A84">
              <w:rPr>
                <w:sz w:val="20"/>
                <w:szCs w:val="20"/>
                <w:lang w:val="en-US"/>
              </w:rPr>
              <w:t>077</w:t>
            </w:r>
            <w:r w:rsidRPr="00B84A84">
              <w:rPr>
                <w:sz w:val="20"/>
                <w:szCs w:val="20"/>
                <w:lang w:val="en-US"/>
              </w:rPr>
              <w:t>)</w:t>
            </w:r>
          </w:p>
          <w:p w:rsidR="00F9125A" w:rsidRPr="00B84A84" w:rsidRDefault="00F9125A" w:rsidP="00F9125A">
            <w:pPr>
              <w:tabs>
                <w:tab w:val="left" w:pos="-1440"/>
                <w:tab w:val="left" w:pos="-720"/>
              </w:tabs>
              <w:rPr>
                <w:sz w:val="20"/>
                <w:szCs w:val="20"/>
                <w:lang w:val="en-US"/>
              </w:rPr>
            </w:pPr>
          </w:p>
          <w:p w:rsidR="00F9125A" w:rsidRPr="00B84A84" w:rsidRDefault="0037021E" w:rsidP="00F9125A">
            <w:pPr>
              <w:tabs>
                <w:tab w:val="left" w:pos="-1440"/>
                <w:tab w:val="left" w:pos="-720"/>
              </w:tabs>
              <w:rPr>
                <w:b/>
                <w:sz w:val="20"/>
                <w:szCs w:val="20"/>
                <w:lang w:val="en-US"/>
              </w:rPr>
            </w:pPr>
            <w:r w:rsidRPr="00B84A84">
              <w:rPr>
                <w:b/>
                <w:sz w:val="20"/>
                <w:szCs w:val="20"/>
                <w:lang w:val="en-US"/>
              </w:rPr>
              <w:t xml:space="preserve">Her Majesty the Queen, et al. </w:t>
            </w:r>
            <w:r w:rsidR="00F9125A" w:rsidRPr="00B84A84">
              <w:rPr>
                <w:b/>
                <w:sz w:val="20"/>
                <w:szCs w:val="20"/>
                <w:lang w:val="en-US"/>
              </w:rPr>
              <w:t>(</w:t>
            </w:r>
            <w:r w:rsidRPr="00B84A84">
              <w:rPr>
                <w:b/>
                <w:sz w:val="20"/>
                <w:szCs w:val="20"/>
                <w:lang w:val="en-US"/>
              </w:rPr>
              <w:t>Ont</w:t>
            </w:r>
            <w:r w:rsidR="00F9125A" w:rsidRPr="00B84A84">
              <w:rPr>
                <w:b/>
                <w:sz w:val="20"/>
                <w:szCs w:val="20"/>
                <w:lang w:val="en-US"/>
              </w:rPr>
              <w:t>.)</w:t>
            </w:r>
          </w:p>
          <w:p w:rsidR="00F9125A" w:rsidRPr="00B84A84" w:rsidRDefault="00F9125A" w:rsidP="00F9125A">
            <w:pPr>
              <w:tabs>
                <w:tab w:val="left" w:pos="-1440"/>
                <w:tab w:val="left" w:pos="-720"/>
              </w:tabs>
              <w:rPr>
                <w:sz w:val="20"/>
                <w:szCs w:val="20"/>
                <w:lang w:val="en-US"/>
              </w:rPr>
            </w:pPr>
            <w:r w:rsidRPr="00B84A84">
              <w:rPr>
                <w:sz w:val="20"/>
                <w:szCs w:val="20"/>
                <w:lang w:val="en-US"/>
              </w:rPr>
              <w:tab/>
            </w:r>
            <w:r w:rsidR="0037021E" w:rsidRPr="00B84A84">
              <w:rPr>
                <w:sz w:val="20"/>
                <w:szCs w:val="20"/>
                <w:lang w:val="en-US"/>
              </w:rPr>
              <w:t>Patton, John R.</w:t>
            </w:r>
          </w:p>
          <w:p w:rsidR="00F9125A" w:rsidRPr="00B84A84" w:rsidRDefault="00F9125A" w:rsidP="00F9125A">
            <w:pPr>
              <w:tabs>
                <w:tab w:val="left" w:pos="-1440"/>
                <w:tab w:val="left" w:pos="-720"/>
              </w:tabs>
              <w:rPr>
                <w:sz w:val="20"/>
                <w:szCs w:val="20"/>
              </w:rPr>
            </w:pPr>
            <w:r w:rsidRPr="00B84A84">
              <w:rPr>
                <w:sz w:val="20"/>
                <w:szCs w:val="20"/>
                <w:lang w:val="en-US"/>
              </w:rPr>
              <w:tab/>
            </w:r>
            <w:r w:rsidR="0037021E" w:rsidRPr="00B84A84">
              <w:rPr>
                <w:sz w:val="20"/>
                <w:szCs w:val="20"/>
              </w:rPr>
              <w:t>Attorney General of Ontario</w:t>
            </w:r>
          </w:p>
          <w:p w:rsidR="00F9125A" w:rsidRPr="00B84A84" w:rsidRDefault="00F9125A" w:rsidP="00F9125A">
            <w:pPr>
              <w:tabs>
                <w:tab w:val="left" w:pos="-1440"/>
                <w:tab w:val="left" w:pos="-720"/>
              </w:tabs>
              <w:rPr>
                <w:sz w:val="20"/>
                <w:szCs w:val="20"/>
              </w:rPr>
            </w:pPr>
          </w:p>
          <w:p w:rsidR="00F9125A" w:rsidRPr="00B84A84" w:rsidRDefault="00F9125A" w:rsidP="00F9125A">
            <w:pPr>
              <w:rPr>
                <w:sz w:val="20"/>
                <w:szCs w:val="20"/>
              </w:rPr>
            </w:pPr>
            <w:r w:rsidRPr="00B84A84">
              <w:rPr>
                <w:sz w:val="20"/>
                <w:szCs w:val="20"/>
              </w:rPr>
              <w:t xml:space="preserve">FILING DATE: </w:t>
            </w:r>
            <w:r w:rsidR="0037021E" w:rsidRPr="00B84A84">
              <w:rPr>
                <w:sz w:val="20"/>
                <w:szCs w:val="20"/>
              </w:rPr>
              <w:t>March</w:t>
            </w:r>
            <w:r w:rsidRPr="00B84A84">
              <w:rPr>
                <w:sz w:val="20"/>
                <w:szCs w:val="20"/>
              </w:rPr>
              <w:t xml:space="preserve"> 6, 2020</w:t>
            </w:r>
          </w:p>
          <w:p w:rsidR="00F9125A" w:rsidRPr="00B84A84" w:rsidRDefault="00F9125A" w:rsidP="00F9125A">
            <w:pPr>
              <w:rPr>
                <w:sz w:val="20"/>
                <w:szCs w:val="20"/>
              </w:rPr>
            </w:pPr>
          </w:p>
          <w:p w:rsidR="00F9125A" w:rsidRPr="00B84A84" w:rsidRDefault="005E1A49" w:rsidP="00F9125A">
            <w:pPr>
              <w:rPr>
                <w:b/>
                <w:sz w:val="20"/>
                <w:szCs w:val="20"/>
                <w:lang w:val="en-US"/>
              </w:rPr>
            </w:pPr>
            <w:r>
              <w:rPr>
                <w:sz w:val="20"/>
                <w:szCs w:val="20"/>
                <w:lang w:val="fr-CA"/>
              </w:rPr>
              <w:pict>
                <v:rect id="_x0000_i1035" style="width:108pt;height:1pt" o:hrpct="0" o:hrstd="t" o:hrnoshade="t" o:hr="t" fillcolor="black [3213]" stroked="f"/>
              </w:pict>
            </w:r>
          </w:p>
        </w:tc>
        <w:tc>
          <w:tcPr>
            <w:tcW w:w="1141" w:type="dxa"/>
            <w:shd w:val="clear" w:color="auto" w:fill="auto"/>
          </w:tcPr>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37021E" w:rsidRPr="00B84A84" w:rsidRDefault="0037021E"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tc>
        <w:tc>
          <w:tcPr>
            <w:tcW w:w="4239" w:type="dxa"/>
            <w:shd w:val="clear" w:color="auto" w:fill="auto"/>
          </w:tcPr>
          <w:p w:rsidR="00F9125A" w:rsidRPr="00B84A84" w:rsidRDefault="0002603A" w:rsidP="00F9125A">
            <w:pPr>
              <w:rPr>
                <w:sz w:val="20"/>
                <w:szCs w:val="20"/>
                <w:lang w:val="en-US"/>
              </w:rPr>
            </w:pPr>
            <w:r w:rsidRPr="00B84A84">
              <w:rPr>
                <w:b/>
                <w:sz w:val="20"/>
                <w:szCs w:val="20"/>
                <w:lang w:val="en-US"/>
              </w:rPr>
              <w:t>Church of Atheism of Central Canada</w:t>
            </w:r>
          </w:p>
          <w:p w:rsidR="00F9125A" w:rsidRPr="00B84A84" w:rsidRDefault="00F9125A" w:rsidP="00F9125A">
            <w:pPr>
              <w:tabs>
                <w:tab w:val="left" w:pos="-1440"/>
                <w:tab w:val="left" w:pos="-720"/>
              </w:tabs>
              <w:rPr>
                <w:sz w:val="20"/>
                <w:szCs w:val="20"/>
                <w:lang w:val="en-US"/>
              </w:rPr>
            </w:pPr>
            <w:r w:rsidRPr="00B84A84">
              <w:rPr>
                <w:sz w:val="20"/>
                <w:szCs w:val="20"/>
                <w:lang w:val="en-US"/>
              </w:rPr>
              <w:tab/>
            </w:r>
            <w:r w:rsidR="0002603A" w:rsidRPr="00B84A84">
              <w:rPr>
                <w:sz w:val="20"/>
                <w:szCs w:val="20"/>
                <w:lang w:val="en-US"/>
              </w:rPr>
              <w:t>Church of Atheism of Central Canada</w:t>
            </w:r>
          </w:p>
          <w:p w:rsidR="00F9125A" w:rsidRPr="00B84A84" w:rsidRDefault="00F9125A" w:rsidP="00F9125A">
            <w:pPr>
              <w:tabs>
                <w:tab w:val="left" w:pos="-1440"/>
                <w:tab w:val="left" w:pos="-720"/>
              </w:tabs>
              <w:rPr>
                <w:sz w:val="20"/>
                <w:szCs w:val="20"/>
                <w:lang w:val="en-US"/>
              </w:rPr>
            </w:pPr>
          </w:p>
          <w:p w:rsidR="00F9125A" w:rsidRPr="00B84A84" w:rsidRDefault="00F9125A" w:rsidP="00F9125A">
            <w:pPr>
              <w:tabs>
                <w:tab w:val="left" w:pos="-1440"/>
                <w:tab w:val="left" w:pos="-720"/>
              </w:tabs>
              <w:rPr>
                <w:sz w:val="20"/>
                <w:szCs w:val="20"/>
                <w:lang w:val="en-US"/>
              </w:rPr>
            </w:pPr>
            <w:r w:rsidRPr="00B84A84">
              <w:rPr>
                <w:sz w:val="20"/>
                <w:szCs w:val="20"/>
                <w:lang w:val="en-US"/>
              </w:rPr>
              <w:tab/>
              <w:t>v. (3</w:t>
            </w:r>
            <w:r w:rsidR="0002603A" w:rsidRPr="00B84A84">
              <w:rPr>
                <w:sz w:val="20"/>
                <w:szCs w:val="20"/>
                <w:lang w:val="en-US"/>
              </w:rPr>
              <w:t>9</w:t>
            </w:r>
            <w:r w:rsidRPr="00B84A84">
              <w:rPr>
                <w:sz w:val="20"/>
                <w:szCs w:val="20"/>
                <w:lang w:val="en-US"/>
              </w:rPr>
              <w:t>1</w:t>
            </w:r>
            <w:r w:rsidR="0002603A" w:rsidRPr="00B84A84">
              <w:rPr>
                <w:sz w:val="20"/>
                <w:szCs w:val="20"/>
                <w:lang w:val="en-US"/>
              </w:rPr>
              <w:t>80</w:t>
            </w:r>
            <w:r w:rsidRPr="00B84A84">
              <w:rPr>
                <w:sz w:val="20"/>
                <w:szCs w:val="20"/>
                <w:lang w:val="en-US"/>
              </w:rPr>
              <w:t>)</w:t>
            </w:r>
          </w:p>
          <w:p w:rsidR="00F9125A" w:rsidRPr="00B84A84" w:rsidRDefault="00F9125A" w:rsidP="00F9125A">
            <w:pPr>
              <w:tabs>
                <w:tab w:val="left" w:pos="-1440"/>
                <w:tab w:val="left" w:pos="-720"/>
              </w:tabs>
              <w:rPr>
                <w:sz w:val="20"/>
                <w:szCs w:val="20"/>
                <w:lang w:val="en-US"/>
              </w:rPr>
            </w:pPr>
          </w:p>
          <w:p w:rsidR="00F9125A" w:rsidRPr="00B84A84" w:rsidRDefault="0002603A" w:rsidP="00F9125A">
            <w:pPr>
              <w:tabs>
                <w:tab w:val="left" w:pos="-1440"/>
                <w:tab w:val="left" w:pos="-720"/>
              </w:tabs>
              <w:rPr>
                <w:b/>
                <w:sz w:val="20"/>
                <w:szCs w:val="20"/>
                <w:lang w:val="en-US"/>
              </w:rPr>
            </w:pPr>
            <w:r w:rsidRPr="00B84A84">
              <w:rPr>
                <w:b/>
                <w:sz w:val="20"/>
                <w:szCs w:val="20"/>
                <w:lang w:val="en-US"/>
              </w:rPr>
              <w:t xml:space="preserve">Minister of National Revenue </w:t>
            </w:r>
            <w:r w:rsidR="00F9125A" w:rsidRPr="00B84A84">
              <w:rPr>
                <w:b/>
                <w:sz w:val="20"/>
                <w:szCs w:val="20"/>
                <w:lang w:val="en-US"/>
              </w:rPr>
              <w:t>(</w:t>
            </w:r>
            <w:r w:rsidRPr="00B84A84">
              <w:rPr>
                <w:b/>
                <w:sz w:val="20"/>
                <w:szCs w:val="20"/>
                <w:lang w:val="en-US"/>
              </w:rPr>
              <w:t>F.C</w:t>
            </w:r>
            <w:r w:rsidR="00F9125A" w:rsidRPr="00B84A84">
              <w:rPr>
                <w:b/>
                <w:sz w:val="20"/>
                <w:szCs w:val="20"/>
                <w:lang w:val="en-US"/>
              </w:rPr>
              <w:t>.)</w:t>
            </w:r>
          </w:p>
          <w:p w:rsidR="00F9125A" w:rsidRPr="00B84A84" w:rsidRDefault="00F9125A" w:rsidP="00F9125A">
            <w:pPr>
              <w:tabs>
                <w:tab w:val="left" w:pos="-1440"/>
                <w:tab w:val="left" w:pos="-720"/>
              </w:tabs>
              <w:rPr>
                <w:sz w:val="20"/>
                <w:szCs w:val="20"/>
                <w:lang w:val="en-US"/>
              </w:rPr>
            </w:pPr>
            <w:r w:rsidRPr="00B84A84">
              <w:rPr>
                <w:sz w:val="20"/>
                <w:szCs w:val="20"/>
                <w:lang w:val="en-US"/>
              </w:rPr>
              <w:tab/>
            </w:r>
            <w:r w:rsidR="0002603A" w:rsidRPr="00B84A84">
              <w:rPr>
                <w:sz w:val="20"/>
                <w:szCs w:val="20"/>
                <w:lang w:val="en-US"/>
              </w:rPr>
              <w:t>Rains, Linsey</w:t>
            </w:r>
          </w:p>
          <w:p w:rsidR="00F9125A" w:rsidRPr="00B84A84" w:rsidRDefault="00F9125A" w:rsidP="00F9125A">
            <w:pPr>
              <w:tabs>
                <w:tab w:val="left" w:pos="-1440"/>
                <w:tab w:val="left" w:pos="-720"/>
              </w:tabs>
              <w:rPr>
                <w:sz w:val="20"/>
                <w:szCs w:val="20"/>
              </w:rPr>
            </w:pPr>
            <w:r w:rsidRPr="00B84A84">
              <w:rPr>
                <w:sz w:val="20"/>
                <w:szCs w:val="20"/>
                <w:lang w:val="en-US"/>
              </w:rPr>
              <w:tab/>
            </w:r>
            <w:r w:rsidR="0002603A" w:rsidRPr="00B84A84">
              <w:rPr>
                <w:sz w:val="20"/>
                <w:szCs w:val="20"/>
              </w:rPr>
              <w:t>Deputy Attorney General of Canada</w:t>
            </w:r>
          </w:p>
          <w:p w:rsidR="00F9125A" w:rsidRPr="00B84A84" w:rsidRDefault="00F9125A" w:rsidP="00F9125A">
            <w:pPr>
              <w:tabs>
                <w:tab w:val="left" w:pos="-1440"/>
                <w:tab w:val="left" w:pos="-720"/>
              </w:tabs>
              <w:rPr>
                <w:sz w:val="20"/>
                <w:szCs w:val="20"/>
              </w:rPr>
            </w:pPr>
          </w:p>
          <w:p w:rsidR="00F9125A" w:rsidRPr="00B84A84" w:rsidRDefault="00F9125A" w:rsidP="00F9125A">
            <w:pPr>
              <w:rPr>
                <w:sz w:val="20"/>
                <w:szCs w:val="20"/>
              </w:rPr>
            </w:pPr>
            <w:r w:rsidRPr="00B84A84">
              <w:rPr>
                <w:sz w:val="20"/>
                <w:szCs w:val="20"/>
              </w:rPr>
              <w:t xml:space="preserve">FILING DATE: </w:t>
            </w:r>
            <w:r w:rsidR="0002603A" w:rsidRPr="00B84A84">
              <w:rPr>
                <w:sz w:val="20"/>
                <w:szCs w:val="20"/>
              </w:rPr>
              <w:t>May</w:t>
            </w:r>
            <w:r w:rsidRPr="00B84A84">
              <w:rPr>
                <w:sz w:val="20"/>
                <w:szCs w:val="20"/>
              </w:rPr>
              <w:t xml:space="preserve"> </w:t>
            </w:r>
            <w:r w:rsidR="0002603A" w:rsidRPr="00B84A84">
              <w:rPr>
                <w:sz w:val="20"/>
                <w:szCs w:val="20"/>
              </w:rPr>
              <w:t>27</w:t>
            </w:r>
            <w:r w:rsidRPr="00B84A84">
              <w:rPr>
                <w:sz w:val="20"/>
                <w:szCs w:val="20"/>
              </w:rPr>
              <w:t>, 2020</w:t>
            </w:r>
          </w:p>
          <w:p w:rsidR="00F9125A" w:rsidRPr="00B84A84" w:rsidRDefault="00F9125A" w:rsidP="00F9125A">
            <w:pPr>
              <w:rPr>
                <w:sz w:val="20"/>
                <w:szCs w:val="20"/>
              </w:rPr>
            </w:pPr>
          </w:p>
          <w:p w:rsidR="00F9125A" w:rsidRPr="00B84A84" w:rsidRDefault="005E1A49" w:rsidP="00F9125A">
            <w:pPr>
              <w:rPr>
                <w:b/>
                <w:sz w:val="20"/>
                <w:szCs w:val="20"/>
                <w:lang w:val="en-US"/>
              </w:rPr>
            </w:pPr>
            <w:r>
              <w:rPr>
                <w:sz w:val="20"/>
                <w:szCs w:val="20"/>
                <w:lang w:val="fr-CA"/>
              </w:rPr>
              <w:pict>
                <v:rect id="_x0000_i1036" style="width:108pt;height:1pt" o:hrpct="0" o:hrstd="t" o:hrnoshade="t" o:hr="t" fillcolor="black [3213]" stroked="f"/>
              </w:pict>
            </w:r>
          </w:p>
        </w:tc>
      </w:tr>
      <w:tr w:rsidR="00F9125A" w:rsidRPr="00B84A84" w:rsidTr="00F138C1">
        <w:tc>
          <w:tcPr>
            <w:tcW w:w="4239" w:type="dxa"/>
            <w:shd w:val="clear" w:color="auto" w:fill="auto"/>
          </w:tcPr>
          <w:p w:rsidR="00F9125A" w:rsidRPr="00B84A84" w:rsidRDefault="00121BA5" w:rsidP="00F9125A">
            <w:pPr>
              <w:rPr>
                <w:sz w:val="20"/>
                <w:szCs w:val="20"/>
                <w:lang w:val="en-US"/>
              </w:rPr>
            </w:pPr>
            <w:r w:rsidRPr="00B84A84">
              <w:rPr>
                <w:b/>
                <w:sz w:val="20"/>
                <w:szCs w:val="20"/>
                <w:lang w:val="en-US"/>
              </w:rPr>
              <w:t>Grant Thornton LLP, et al.</w:t>
            </w:r>
          </w:p>
          <w:p w:rsidR="00F9125A" w:rsidRPr="00B84A84" w:rsidRDefault="00F9125A" w:rsidP="00F9125A">
            <w:pPr>
              <w:tabs>
                <w:tab w:val="left" w:pos="-1440"/>
                <w:tab w:val="left" w:pos="-720"/>
              </w:tabs>
              <w:rPr>
                <w:sz w:val="20"/>
                <w:szCs w:val="20"/>
                <w:lang w:val="en-US"/>
              </w:rPr>
            </w:pPr>
            <w:r w:rsidRPr="00B84A84">
              <w:rPr>
                <w:sz w:val="20"/>
                <w:szCs w:val="20"/>
                <w:lang w:val="en-US"/>
              </w:rPr>
              <w:tab/>
            </w:r>
            <w:r w:rsidR="00121BA5" w:rsidRPr="00B84A84">
              <w:rPr>
                <w:sz w:val="20"/>
                <w:szCs w:val="20"/>
                <w:lang w:val="en-US"/>
              </w:rPr>
              <w:t>Hurley, Q.C., Patrick E.</w:t>
            </w:r>
          </w:p>
          <w:p w:rsidR="00121BA5" w:rsidRPr="00B84A84" w:rsidRDefault="00121BA5" w:rsidP="00F9125A">
            <w:pPr>
              <w:tabs>
                <w:tab w:val="left" w:pos="-1440"/>
                <w:tab w:val="left" w:pos="-720"/>
              </w:tabs>
              <w:rPr>
                <w:sz w:val="20"/>
                <w:szCs w:val="20"/>
                <w:lang w:val="en-US"/>
              </w:rPr>
            </w:pPr>
            <w:r w:rsidRPr="00B84A84">
              <w:rPr>
                <w:sz w:val="20"/>
                <w:szCs w:val="20"/>
                <w:lang w:val="en-US"/>
              </w:rPr>
              <w:tab/>
              <w:t>McInnes Cooper</w:t>
            </w:r>
          </w:p>
          <w:p w:rsidR="00F9125A" w:rsidRPr="00B84A84" w:rsidRDefault="00F9125A" w:rsidP="00F9125A">
            <w:pPr>
              <w:tabs>
                <w:tab w:val="left" w:pos="-1440"/>
                <w:tab w:val="left" w:pos="-720"/>
              </w:tabs>
              <w:rPr>
                <w:sz w:val="20"/>
                <w:szCs w:val="20"/>
                <w:lang w:val="en-US"/>
              </w:rPr>
            </w:pPr>
          </w:p>
          <w:p w:rsidR="00F9125A" w:rsidRPr="00B84A84" w:rsidRDefault="00F9125A" w:rsidP="00F9125A">
            <w:pPr>
              <w:tabs>
                <w:tab w:val="left" w:pos="-1440"/>
                <w:tab w:val="left" w:pos="-720"/>
              </w:tabs>
              <w:rPr>
                <w:sz w:val="20"/>
                <w:szCs w:val="20"/>
                <w:lang w:val="en-US"/>
              </w:rPr>
            </w:pPr>
            <w:r w:rsidRPr="00B84A84">
              <w:rPr>
                <w:sz w:val="20"/>
                <w:szCs w:val="20"/>
                <w:lang w:val="en-US"/>
              </w:rPr>
              <w:tab/>
              <w:t>v. (391</w:t>
            </w:r>
            <w:r w:rsidR="00121BA5" w:rsidRPr="00B84A84">
              <w:rPr>
                <w:sz w:val="20"/>
                <w:szCs w:val="20"/>
                <w:lang w:val="en-US"/>
              </w:rPr>
              <w:t>82</w:t>
            </w:r>
            <w:r w:rsidRPr="00B84A84">
              <w:rPr>
                <w:sz w:val="20"/>
                <w:szCs w:val="20"/>
                <w:lang w:val="en-US"/>
              </w:rPr>
              <w:t>)</w:t>
            </w:r>
          </w:p>
          <w:p w:rsidR="00F9125A" w:rsidRPr="00B84A84" w:rsidRDefault="00F9125A" w:rsidP="00F9125A">
            <w:pPr>
              <w:tabs>
                <w:tab w:val="left" w:pos="-1440"/>
                <w:tab w:val="left" w:pos="-720"/>
              </w:tabs>
              <w:rPr>
                <w:sz w:val="20"/>
                <w:szCs w:val="20"/>
                <w:lang w:val="en-US"/>
              </w:rPr>
            </w:pPr>
          </w:p>
          <w:p w:rsidR="00F9125A" w:rsidRPr="00B84A84" w:rsidRDefault="00121BA5" w:rsidP="00F9125A">
            <w:pPr>
              <w:tabs>
                <w:tab w:val="left" w:pos="-1440"/>
                <w:tab w:val="left" w:pos="-720"/>
              </w:tabs>
              <w:rPr>
                <w:b/>
                <w:sz w:val="20"/>
                <w:szCs w:val="20"/>
                <w:lang w:val="en-US"/>
              </w:rPr>
            </w:pPr>
            <w:r w:rsidRPr="00B84A84">
              <w:rPr>
                <w:b/>
                <w:sz w:val="20"/>
                <w:szCs w:val="20"/>
                <w:lang w:val="en-US"/>
              </w:rPr>
              <w:t xml:space="preserve">Province of New Brunswick, et al. </w:t>
            </w:r>
            <w:r w:rsidR="00F9125A" w:rsidRPr="00B84A84">
              <w:rPr>
                <w:b/>
                <w:sz w:val="20"/>
                <w:szCs w:val="20"/>
                <w:lang w:val="en-US"/>
              </w:rPr>
              <w:t>(</w:t>
            </w:r>
            <w:r w:rsidRPr="00B84A84">
              <w:rPr>
                <w:b/>
                <w:sz w:val="20"/>
                <w:szCs w:val="20"/>
                <w:lang w:val="en-US"/>
              </w:rPr>
              <w:t>N.B</w:t>
            </w:r>
            <w:r w:rsidR="00F9125A" w:rsidRPr="00B84A84">
              <w:rPr>
                <w:b/>
                <w:sz w:val="20"/>
                <w:szCs w:val="20"/>
                <w:lang w:val="en-US"/>
              </w:rPr>
              <w:t>.)</w:t>
            </w:r>
          </w:p>
          <w:p w:rsidR="00F9125A" w:rsidRPr="00B84A84" w:rsidRDefault="00F9125A" w:rsidP="00F9125A">
            <w:pPr>
              <w:tabs>
                <w:tab w:val="left" w:pos="-1440"/>
                <w:tab w:val="left" w:pos="-720"/>
              </w:tabs>
              <w:rPr>
                <w:sz w:val="20"/>
                <w:szCs w:val="20"/>
                <w:lang w:val="en-US"/>
              </w:rPr>
            </w:pPr>
            <w:r w:rsidRPr="00B84A84">
              <w:rPr>
                <w:sz w:val="20"/>
                <w:szCs w:val="20"/>
                <w:lang w:val="en-US"/>
              </w:rPr>
              <w:tab/>
            </w:r>
            <w:r w:rsidR="00121BA5" w:rsidRPr="00B84A84">
              <w:rPr>
                <w:sz w:val="20"/>
                <w:szCs w:val="20"/>
                <w:lang w:val="en-US"/>
              </w:rPr>
              <w:t>McElman, Q.C., Frederick C.</w:t>
            </w:r>
          </w:p>
          <w:p w:rsidR="00F9125A" w:rsidRPr="00B84A84" w:rsidRDefault="00F9125A" w:rsidP="00F9125A">
            <w:pPr>
              <w:tabs>
                <w:tab w:val="left" w:pos="-1440"/>
                <w:tab w:val="left" w:pos="-720"/>
              </w:tabs>
              <w:rPr>
                <w:sz w:val="20"/>
                <w:szCs w:val="20"/>
              </w:rPr>
            </w:pPr>
            <w:r w:rsidRPr="00B84A84">
              <w:rPr>
                <w:sz w:val="20"/>
                <w:szCs w:val="20"/>
                <w:lang w:val="en-US"/>
              </w:rPr>
              <w:tab/>
            </w:r>
            <w:r w:rsidR="00121BA5" w:rsidRPr="00B84A84">
              <w:rPr>
                <w:sz w:val="20"/>
                <w:szCs w:val="20"/>
              </w:rPr>
              <w:t>Stewart McKelvey</w:t>
            </w:r>
          </w:p>
          <w:p w:rsidR="00F9125A" w:rsidRPr="00B84A84" w:rsidRDefault="00F9125A" w:rsidP="00F9125A">
            <w:pPr>
              <w:tabs>
                <w:tab w:val="left" w:pos="-1440"/>
                <w:tab w:val="left" w:pos="-720"/>
              </w:tabs>
              <w:rPr>
                <w:sz w:val="20"/>
                <w:szCs w:val="20"/>
              </w:rPr>
            </w:pPr>
          </w:p>
          <w:p w:rsidR="00F9125A" w:rsidRPr="00B84A84" w:rsidRDefault="00121BA5" w:rsidP="00F9125A">
            <w:pPr>
              <w:rPr>
                <w:sz w:val="20"/>
                <w:szCs w:val="20"/>
              </w:rPr>
            </w:pPr>
            <w:r w:rsidRPr="00B84A84">
              <w:rPr>
                <w:sz w:val="20"/>
                <w:szCs w:val="20"/>
              </w:rPr>
              <w:t>FILING DATE: May</w:t>
            </w:r>
            <w:r w:rsidR="00F9125A" w:rsidRPr="00B84A84">
              <w:rPr>
                <w:sz w:val="20"/>
                <w:szCs w:val="20"/>
              </w:rPr>
              <w:t xml:space="preserve"> </w:t>
            </w:r>
            <w:r w:rsidRPr="00B84A84">
              <w:rPr>
                <w:sz w:val="20"/>
                <w:szCs w:val="20"/>
              </w:rPr>
              <w:t>27</w:t>
            </w:r>
            <w:r w:rsidR="00F9125A" w:rsidRPr="00B84A84">
              <w:rPr>
                <w:sz w:val="20"/>
                <w:szCs w:val="20"/>
              </w:rPr>
              <w:t>, 2020</w:t>
            </w:r>
          </w:p>
          <w:p w:rsidR="00F9125A" w:rsidRPr="00B84A84" w:rsidRDefault="00F9125A" w:rsidP="00F9125A">
            <w:pPr>
              <w:rPr>
                <w:sz w:val="20"/>
                <w:szCs w:val="20"/>
              </w:rPr>
            </w:pPr>
          </w:p>
          <w:p w:rsidR="00F9125A" w:rsidRPr="00B84A84" w:rsidRDefault="005E1A49" w:rsidP="00F9125A">
            <w:pPr>
              <w:rPr>
                <w:b/>
                <w:sz w:val="20"/>
                <w:szCs w:val="20"/>
                <w:lang w:val="en-US"/>
              </w:rPr>
            </w:pPr>
            <w:r>
              <w:rPr>
                <w:sz w:val="20"/>
                <w:szCs w:val="20"/>
                <w:lang w:val="fr-CA"/>
              </w:rPr>
              <w:pict>
                <v:rect id="_x0000_i1037" style="width:108pt;height:1pt" o:hrpct="0" o:hrstd="t" o:hrnoshade="t" o:hr="t" fillcolor="black [3213]" stroked="f"/>
              </w:pict>
            </w:r>
          </w:p>
        </w:tc>
        <w:tc>
          <w:tcPr>
            <w:tcW w:w="1141" w:type="dxa"/>
            <w:shd w:val="clear" w:color="auto" w:fill="auto"/>
          </w:tcPr>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121BA5" w:rsidRPr="00B84A84" w:rsidRDefault="00121BA5" w:rsidP="00F138C1">
            <w:pPr>
              <w:jc w:val="center"/>
              <w:rPr>
                <w:sz w:val="20"/>
                <w:szCs w:val="20"/>
                <w:lang w:val="en-US"/>
              </w:rPr>
            </w:pPr>
          </w:p>
          <w:p w:rsidR="00F9125A" w:rsidRPr="00B84A84" w:rsidRDefault="00F9125A" w:rsidP="00F138C1">
            <w:pPr>
              <w:jc w:val="center"/>
              <w:rPr>
                <w:sz w:val="20"/>
                <w:szCs w:val="20"/>
                <w:lang w:val="en-US"/>
              </w:rPr>
            </w:pPr>
          </w:p>
        </w:tc>
        <w:tc>
          <w:tcPr>
            <w:tcW w:w="4239" w:type="dxa"/>
            <w:shd w:val="clear" w:color="auto" w:fill="auto"/>
          </w:tcPr>
          <w:p w:rsidR="00F9125A" w:rsidRPr="00B84A84" w:rsidRDefault="00121BA5" w:rsidP="00F9125A">
            <w:pPr>
              <w:rPr>
                <w:sz w:val="20"/>
                <w:szCs w:val="20"/>
                <w:lang w:val="en-US"/>
              </w:rPr>
            </w:pPr>
            <w:r w:rsidRPr="00B84A84">
              <w:rPr>
                <w:b/>
                <w:sz w:val="20"/>
                <w:szCs w:val="20"/>
                <w:lang w:val="en-US"/>
              </w:rPr>
              <w:t>WORKS Gourmet Burger Bistro Inc., et al.</w:t>
            </w:r>
          </w:p>
          <w:p w:rsidR="00F9125A" w:rsidRPr="00B84A84" w:rsidRDefault="00F9125A" w:rsidP="00F9125A">
            <w:pPr>
              <w:tabs>
                <w:tab w:val="left" w:pos="-1440"/>
                <w:tab w:val="left" w:pos="-720"/>
              </w:tabs>
              <w:rPr>
                <w:sz w:val="20"/>
                <w:szCs w:val="20"/>
                <w:lang w:val="en-US"/>
              </w:rPr>
            </w:pPr>
            <w:r w:rsidRPr="00B84A84">
              <w:rPr>
                <w:sz w:val="20"/>
                <w:szCs w:val="20"/>
                <w:lang w:val="en-US"/>
              </w:rPr>
              <w:tab/>
            </w:r>
            <w:r w:rsidR="00121BA5" w:rsidRPr="00B84A84">
              <w:rPr>
                <w:sz w:val="20"/>
                <w:szCs w:val="20"/>
                <w:lang w:val="en-US"/>
              </w:rPr>
              <w:t>Dolman, Jennifer</w:t>
            </w:r>
          </w:p>
          <w:p w:rsidR="00121BA5" w:rsidRPr="00B84A84" w:rsidRDefault="00121BA5" w:rsidP="00F9125A">
            <w:pPr>
              <w:tabs>
                <w:tab w:val="left" w:pos="-1440"/>
                <w:tab w:val="left" w:pos="-720"/>
              </w:tabs>
              <w:rPr>
                <w:sz w:val="20"/>
                <w:szCs w:val="20"/>
                <w:lang w:val="en-US"/>
              </w:rPr>
            </w:pPr>
            <w:r w:rsidRPr="00B84A84">
              <w:rPr>
                <w:sz w:val="20"/>
                <w:szCs w:val="20"/>
                <w:lang w:val="en-US"/>
              </w:rPr>
              <w:tab/>
              <w:t>Osler, Hoskin &amp; Harcourt LLP</w:t>
            </w:r>
          </w:p>
          <w:p w:rsidR="00F9125A" w:rsidRPr="00B84A84" w:rsidRDefault="00F9125A" w:rsidP="00F9125A">
            <w:pPr>
              <w:tabs>
                <w:tab w:val="left" w:pos="-1440"/>
                <w:tab w:val="left" w:pos="-720"/>
              </w:tabs>
              <w:rPr>
                <w:sz w:val="20"/>
                <w:szCs w:val="20"/>
                <w:lang w:val="en-US"/>
              </w:rPr>
            </w:pPr>
          </w:p>
          <w:p w:rsidR="00F9125A" w:rsidRPr="00B84A84" w:rsidRDefault="00F9125A" w:rsidP="00F9125A">
            <w:pPr>
              <w:tabs>
                <w:tab w:val="left" w:pos="-1440"/>
                <w:tab w:val="left" w:pos="-720"/>
              </w:tabs>
              <w:rPr>
                <w:sz w:val="20"/>
                <w:szCs w:val="20"/>
                <w:lang w:val="fr-CA"/>
              </w:rPr>
            </w:pPr>
            <w:r w:rsidRPr="00B84A84">
              <w:rPr>
                <w:sz w:val="20"/>
                <w:szCs w:val="20"/>
                <w:lang w:val="en-US"/>
              </w:rPr>
              <w:tab/>
            </w:r>
            <w:r w:rsidRPr="00B84A84">
              <w:rPr>
                <w:sz w:val="20"/>
                <w:szCs w:val="20"/>
                <w:lang w:val="fr-CA"/>
              </w:rPr>
              <w:t>v. (391</w:t>
            </w:r>
            <w:r w:rsidR="00121BA5" w:rsidRPr="00B84A84">
              <w:rPr>
                <w:sz w:val="20"/>
                <w:szCs w:val="20"/>
                <w:lang w:val="fr-CA"/>
              </w:rPr>
              <w:t>83</w:t>
            </w:r>
            <w:r w:rsidRPr="00B84A84">
              <w:rPr>
                <w:sz w:val="20"/>
                <w:szCs w:val="20"/>
                <w:lang w:val="fr-CA"/>
              </w:rPr>
              <w:t>)</w:t>
            </w:r>
          </w:p>
          <w:p w:rsidR="00F9125A" w:rsidRPr="00B84A84" w:rsidRDefault="00F9125A" w:rsidP="00F9125A">
            <w:pPr>
              <w:tabs>
                <w:tab w:val="left" w:pos="-1440"/>
                <w:tab w:val="left" w:pos="-720"/>
              </w:tabs>
              <w:rPr>
                <w:sz w:val="20"/>
                <w:szCs w:val="20"/>
                <w:lang w:val="fr-CA"/>
              </w:rPr>
            </w:pPr>
          </w:p>
          <w:p w:rsidR="00F9125A" w:rsidRPr="00B84A84" w:rsidRDefault="00121BA5" w:rsidP="00F9125A">
            <w:pPr>
              <w:tabs>
                <w:tab w:val="left" w:pos="-1440"/>
                <w:tab w:val="left" w:pos="-720"/>
              </w:tabs>
              <w:rPr>
                <w:b/>
                <w:sz w:val="20"/>
                <w:szCs w:val="20"/>
                <w:lang w:val="en-US"/>
              </w:rPr>
            </w:pPr>
            <w:r w:rsidRPr="00B84A84">
              <w:rPr>
                <w:b/>
                <w:sz w:val="20"/>
                <w:szCs w:val="20"/>
                <w:lang w:val="fr-CA"/>
              </w:rPr>
              <w:t xml:space="preserve">2352392 Ontario Inc., et al. </w:t>
            </w:r>
            <w:r w:rsidR="00F9125A" w:rsidRPr="00B84A84">
              <w:rPr>
                <w:b/>
                <w:sz w:val="20"/>
                <w:szCs w:val="20"/>
                <w:lang w:val="en-US"/>
              </w:rPr>
              <w:t>(</w:t>
            </w:r>
            <w:r w:rsidRPr="00B84A84">
              <w:rPr>
                <w:b/>
                <w:sz w:val="20"/>
                <w:szCs w:val="20"/>
                <w:lang w:val="en-US"/>
              </w:rPr>
              <w:t>Ont</w:t>
            </w:r>
            <w:r w:rsidR="00F9125A" w:rsidRPr="00B84A84">
              <w:rPr>
                <w:b/>
                <w:sz w:val="20"/>
                <w:szCs w:val="20"/>
                <w:lang w:val="en-US"/>
              </w:rPr>
              <w:t>.)</w:t>
            </w:r>
          </w:p>
          <w:p w:rsidR="00F9125A" w:rsidRPr="00B84A84" w:rsidRDefault="00F9125A" w:rsidP="00F9125A">
            <w:pPr>
              <w:tabs>
                <w:tab w:val="left" w:pos="-1440"/>
                <w:tab w:val="left" w:pos="-720"/>
              </w:tabs>
              <w:rPr>
                <w:sz w:val="20"/>
                <w:szCs w:val="20"/>
                <w:lang w:val="en-US"/>
              </w:rPr>
            </w:pPr>
            <w:r w:rsidRPr="00B84A84">
              <w:rPr>
                <w:sz w:val="20"/>
                <w:szCs w:val="20"/>
                <w:lang w:val="en-US"/>
              </w:rPr>
              <w:tab/>
            </w:r>
            <w:r w:rsidR="00121BA5" w:rsidRPr="00B84A84">
              <w:rPr>
                <w:sz w:val="20"/>
                <w:szCs w:val="20"/>
                <w:lang w:val="en-US"/>
              </w:rPr>
              <w:t>Goldman, Steven H.</w:t>
            </w:r>
          </w:p>
          <w:p w:rsidR="00F9125A" w:rsidRPr="00B84A84" w:rsidRDefault="00F9125A" w:rsidP="00F9125A">
            <w:pPr>
              <w:tabs>
                <w:tab w:val="left" w:pos="-1440"/>
                <w:tab w:val="left" w:pos="-720"/>
              </w:tabs>
              <w:rPr>
                <w:sz w:val="20"/>
                <w:szCs w:val="20"/>
              </w:rPr>
            </w:pPr>
            <w:r w:rsidRPr="00B84A84">
              <w:rPr>
                <w:sz w:val="20"/>
                <w:szCs w:val="20"/>
                <w:lang w:val="en-US"/>
              </w:rPr>
              <w:tab/>
            </w:r>
            <w:r w:rsidR="00121BA5" w:rsidRPr="00B84A84">
              <w:rPr>
                <w:sz w:val="20"/>
                <w:szCs w:val="20"/>
              </w:rPr>
              <w:t>Goldman Hine LLP</w:t>
            </w:r>
          </w:p>
          <w:p w:rsidR="00F9125A" w:rsidRPr="00B84A84" w:rsidRDefault="00F9125A" w:rsidP="00F9125A">
            <w:pPr>
              <w:tabs>
                <w:tab w:val="left" w:pos="-1440"/>
                <w:tab w:val="left" w:pos="-720"/>
              </w:tabs>
              <w:rPr>
                <w:sz w:val="20"/>
                <w:szCs w:val="20"/>
              </w:rPr>
            </w:pPr>
          </w:p>
          <w:p w:rsidR="00F9125A" w:rsidRPr="00B84A84" w:rsidRDefault="00F9125A" w:rsidP="00F9125A">
            <w:pPr>
              <w:rPr>
                <w:sz w:val="20"/>
                <w:szCs w:val="20"/>
              </w:rPr>
            </w:pPr>
            <w:r w:rsidRPr="00B84A84">
              <w:rPr>
                <w:sz w:val="20"/>
                <w:szCs w:val="20"/>
              </w:rPr>
              <w:t xml:space="preserve">FILING DATE: </w:t>
            </w:r>
            <w:r w:rsidR="00121BA5" w:rsidRPr="00B84A84">
              <w:rPr>
                <w:sz w:val="20"/>
                <w:szCs w:val="20"/>
              </w:rPr>
              <w:t>May</w:t>
            </w:r>
            <w:r w:rsidRPr="00B84A84">
              <w:rPr>
                <w:sz w:val="20"/>
                <w:szCs w:val="20"/>
              </w:rPr>
              <w:t xml:space="preserve"> </w:t>
            </w:r>
            <w:r w:rsidR="00121BA5" w:rsidRPr="00B84A84">
              <w:rPr>
                <w:sz w:val="20"/>
                <w:szCs w:val="20"/>
              </w:rPr>
              <w:t>27</w:t>
            </w:r>
            <w:r w:rsidRPr="00B84A84">
              <w:rPr>
                <w:sz w:val="20"/>
                <w:szCs w:val="20"/>
              </w:rPr>
              <w:t>, 2020</w:t>
            </w:r>
          </w:p>
          <w:p w:rsidR="00F9125A" w:rsidRPr="00B84A84" w:rsidRDefault="00F9125A" w:rsidP="00F9125A">
            <w:pPr>
              <w:rPr>
                <w:sz w:val="20"/>
                <w:szCs w:val="20"/>
              </w:rPr>
            </w:pPr>
          </w:p>
          <w:p w:rsidR="00F9125A" w:rsidRPr="00B84A84" w:rsidRDefault="005E1A49" w:rsidP="00F9125A">
            <w:pPr>
              <w:rPr>
                <w:b/>
                <w:sz w:val="20"/>
                <w:szCs w:val="20"/>
                <w:lang w:val="en-US"/>
              </w:rPr>
            </w:pPr>
            <w:r>
              <w:rPr>
                <w:sz w:val="20"/>
                <w:szCs w:val="20"/>
                <w:lang w:val="fr-CA"/>
              </w:rPr>
              <w:pict>
                <v:rect id="_x0000_i1038" style="width:108pt;height:1pt" o:hrpct="0" o:hrstd="t" o:hrnoshade="t" o:hr="t" fillcolor="black [3213]" stroked="f"/>
              </w:pict>
            </w:r>
          </w:p>
        </w:tc>
      </w:tr>
    </w:tbl>
    <w:p w:rsidR="00121BA5" w:rsidRPr="00B84A84" w:rsidRDefault="00121BA5"/>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141"/>
        <w:gridCol w:w="4239"/>
      </w:tblGrid>
      <w:tr w:rsidR="00F9125A" w:rsidRPr="00B84A84" w:rsidTr="00F138C1">
        <w:tc>
          <w:tcPr>
            <w:tcW w:w="4239" w:type="dxa"/>
            <w:shd w:val="clear" w:color="auto" w:fill="auto"/>
          </w:tcPr>
          <w:p w:rsidR="00F9125A" w:rsidRPr="00B84A84" w:rsidRDefault="000765BE" w:rsidP="00F9125A">
            <w:pPr>
              <w:rPr>
                <w:sz w:val="20"/>
                <w:szCs w:val="20"/>
                <w:lang w:val="en-US"/>
              </w:rPr>
            </w:pPr>
            <w:r w:rsidRPr="00B84A84">
              <w:rPr>
                <w:b/>
                <w:sz w:val="20"/>
                <w:szCs w:val="20"/>
                <w:lang w:val="en-US"/>
              </w:rPr>
              <w:t>Ronald A. Weinberg</w:t>
            </w:r>
          </w:p>
          <w:p w:rsidR="00F9125A" w:rsidRPr="00B84A84" w:rsidRDefault="00F9125A" w:rsidP="00F9125A">
            <w:pPr>
              <w:tabs>
                <w:tab w:val="left" w:pos="-1440"/>
                <w:tab w:val="left" w:pos="-720"/>
              </w:tabs>
              <w:rPr>
                <w:sz w:val="20"/>
                <w:szCs w:val="20"/>
                <w:lang w:val="en-US"/>
              </w:rPr>
            </w:pPr>
            <w:r w:rsidRPr="00B84A84">
              <w:rPr>
                <w:sz w:val="20"/>
                <w:szCs w:val="20"/>
                <w:lang w:val="en-US"/>
              </w:rPr>
              <w:tab/>
            </w:r>
            <w:r w:rsidR="000765BE" w:rsidRPr="00B84A84">
              <w:rPr>
                <w:sz w:val="20"/>
                <w:szCs w:val="20"/>
                <w:lang w:val="en-US"/>
              </w:rPr>
              <w:t>Emond, Annie</w:t>
            </w:r>
          </w:p>
          <w:p w:rsidR="000765BE" w:rsidRPr="00B84A84" w:rsidRDefault="000765BE" w:rsidP="00F9125A">
            <w:pPr>
              <w:tabs>
                <w:tab w:val="left" w:pos="-1440"/>
                <w:tab w:val="left" w:pos="-720"/>
              </w:tabs>
              <w:rPr>
                <w:sz w:val="20"/>
                <w:szCs w:val="20"/>
                <w:lang w:val="en-US"/>
              </w:rPr>
            </w:pPr>
            <w:r w:rsidRPr="00B84A84">
              <w:rPr>
                <w:sz w:val="20"/>
                <w:szCs w:val="20"/>
                <w:lang w:val="en-US"/>
              </w:rPr>
              <w:tab/>
              <w:t>Boro Frigon Gordon Jones</w:t>
            </w:r>
          </w:p>
          <w:p w:rsidR="00F9125A" w:rsidRPr="00B84A84" w:rsidRDefault="00F9125A" w:rsidP="00F9125A">
            <w:pPr>
              <w:tabs>
                <w:tab w:val="left" w:pos="-1440"/>
                <w:tab w:val="left" w:pos="-720"/>
              </w:tabs>
              <w:rPr>
                <w:sz w:val="20"/>
                <w:szCs w:val="20"/>
                <w:lang w:val="en-US"/>
              </w:rPr>
            </w:pPr>
          </w:p>
          <w:p w:rsidR="00F9125A" w:rsidRPr="00B84A84" w:rsidRDefault="00F9125A" w:rsidP="00F9125A">
            <w:pPr>
              <w:tabs>
                <w:tab w:val="left" w:pos="-1440"/>
                <w:tab w:val="left" w:pos="-720"/>
              </w:tabs>
              <w:rPr>
                <w:sz w:val="20"/>
                <w:szCs w:val="20"/>
                <w:lang w:val="fr-CA"/>
              </w:rPr>
            </w:pPr>
            <w:r w:rsidRPr="00B84A84">
              <w:rPr>
                <w:sz w:val="20"/>
                <w:szCs w:val="20"/>
                <w:lang w:val="en-US"/>
              </w:rPr>
              <w:tab/>
            </w:r>
            <w:r w:rsidR="000765BE" w:rsidRPr="00B84A84">
              <w:rPr>
                <w:sz w:val="20"/>
                <w:szCs w:val="20"/>
                <w:lang w:val="fr-CA"/>
              </w:rPr>
              <w:t>c</w:t>
            </w:r>
            <w:r w:rsidRPr="00B84A84">
              <w:rPr>
                <w:sz w:val="20"/>
                <w:szCs w:val="20"/>
                <w:lang w:val="fr-CA"/>
              </w:rPr>
              <w:t>. (391</w:t>
            </w:r>
            <w:r w:rsidR="000765BE" w:rsidRPr="00B84A84">
              <w:rPr>
                <w:sz w:val="20"/>
                <w:szCs w:val="20"/>
                <w:lang w:val="fr-CA"/>
              </w:rPr>
              <w:t>84</w:t>
            </w:r>
            <w:r w:rsidRPr="00B84A84">
              <w:rPr>
                <w:sz w:val="20"/>
                <w:szCs w:val="20"/>
                <w:lang w:val="fr-CA"/>
              </w:rPr>
              <w:t>)</w:t>
            </w:r>
          </w:p>
          <w:p w:rsidR="00F9125A" w:rsidRPr="00B84A84" w:rsidRDefault="00F9125A" w:rsidP="00F9125A">
            <w:pPr>
              <w:tabs>
                <w:tab w:val="left" w:pos="-1440"/>
                <w:tab w:val="left" w:pos="-720"/>
              </w:tabs>
              <w:rPr>
                <w:sz w:val="20"/>
                <w:szCs w:val="20"/>
                <w:lang w:val="fr-CA"/>
              </w:rPr>
            </w:pPr>
          </w:p>
          <w:p w:rsidR="00F9125A" w:rsidRPr="00B84A84" w:rsidRDefault="000765BE" w:rsidP="00F9125A">
            <w:pPr>
              <w:tabs>
                <w:tab w:val="left" w:pos="-1440"/>
                <w:tab w:val="left" w:pos="-720"/>
              </w:tabs>
              <w:rPr>
                <w:b/>
                <w:sz w:val="20"/>
                <w:szCs w:val="20"/>
                <w:lang w:val="fr-CA"/>
              </w:rPr>
            </w:pPr>
            <w:r w:rsidRPr="00B84A84">
              <w:rPr>
                <w:b/>
                <w:sz w:val="20"/>
                <w:szCs w:val="20"/>
                <w:lang w:val="fr-CA"/>
              </w:rPr>
              <w:t>Sa Majesté la Reine</w:t>
            </w:r>
            <w:r w:rsidR="00F9125A" w:rsidRPr="00B84A84">
              <w:rPr>
                <w:b/>
                <w:sz w:val="20"/>
                <w:szCs w:val="20"/>
                <w:lang w:val="fr-CA"/>
              </w:rPr>
              <w:t xml:space="preserve"> (</w:t>
            </w:r>
            <w:r w:rsidRPr="00B84A84">
              <w:rPr>
                <w:b/>
                <w:sz w:val="20"/>
                <w:szCs w:val="20"/>
                <w:lang w:val="fr-CA"/>
              </w:rPr>
              <w:t>Qc</w:t>
            </w:r>
            <w:r w:rsidR="00F9125A" w:rsidRPr="00B84A84">
              <w:rPr>
                <w:b/>
                <w:sz w:val="20"/>
                <w:szCs w:val="20"/>
                <w:lang w:val="fr-CA"/>
              </w:rPr>
              <w:t>)</w:t>
            </w:r>
          </w:p>
          <w:p w:rsidR="00F9125A" w:rsidRPr="00B84A84" w:rsidRDefault="00F9125A" w:rsidP="00F9125A">
            <w:pPr>
              <w:tabs>
                <w:tab w:val="left" w:pos="-1440"/>
                <w:tab w:val="left" w:pos="-720"/>
              </w:tabs>
              <w:rPr>
                <w:sz w:val="20"/>
                <w:szCs w:val="20"/>
                <w:lang w:val="fr-CA"/>
              </w:rPr>
            </w:pPr>
            <w:r w:rsidRPr="00B84A84">
              <w:rPr>
                <w:sz w:val="20"/>
                <w:szCs w:val="20"/>
                <w:lang w:val="fr-CA"/>
              </w:rPr>
              <w:tab/>
            </w:r>
            <w:r w:rsidR="000765BE" w:rsidRPr="00B84A84">
              <w:rPr>
                <w:sz w:val="20"/>
                <w:szCs w:val="20"/>
                <w:lang w:val="fr-CA"/>
              </w:rPr>
              <w:t>Ferguson, Matthew</w:t>
            </w:r>
          </w:p>
          <w:p w:rsidR="000765BE" w:rsidRPr="00B84A84" w:rsidRDefault="00F9125A" w:rsidP="00F9125A">
            <w:pPr>
              <w:tabs>
                <w:tab w:val="left" w:pos="-1440"/>
                <w:tab w:val="left" w:pos="-720"/>
              </w:tabs>
              <w:rPr>
                <w:sz w:val="20"/>
                <w:szCs w:val="20"/>
                <w:lang w:val="fr-CA"/>
              </w:rPr>
            </w:pPr>
            <w:r w:rsidRPr="00B84A84">
              <w:rPr>
                <w:sz w:val="20"/>
                <w:szCs w:val="20"/>
                <w:lang w:val="fr-CA"/>
              </w:rPr>
              <w:tab/>
            </w:r>
            <w:r w:rsidR="000765BE" w:rsidRPr="00B84A84">
              <w:rPr>
                <w:sz w:val="20"/>
                <w:szCs w:val="20"/>
                <w:lang w:val="fr-CA"/>
              </w:rPr>
              <w:t xml:space="preserve">Directeur des poursuites criminelles et </w:t>
            </w:r>
          </w:p>
          <w:p w:rsidR="00F9125A" w:rsidRPr="00B84A84" w:rsidRDefault="000765BE" w:rsidP="00F9125A">
            <w:pPr>
              <w:tabs>
                <w:tab w:val="left" w:pos="-1440"/>
                <w:tab w:val="left" w:pos="-720"/>
              </w:tabs>
              <w:rPr>
                <w:sz w:val="20"/>
                <w:szCs w:val="20"/>
                <w:lang w:val="fr-CA"/>
              </w:rPr>
            </w:pPr>
            <w:r w:rsidRPr="00B84A84">
              <w:rPr>
                <w:sz w:val="20"/>
                <w:szCs w:val="20"/>
                <w:lang w:val="fr-CA"/>
              </w:rPr>
              <w:tab/>
              <w:t>pénales du Québec</w:t>
            </w:r>
          </w:p>
          <w:p w:rsidR="00F9125A" w:rsidRPr="00B84A84" w:rsidRDefault="00F9125A" w:rsidP="00F9125A">
            <w:pPr>
              <w:tabs>
                <w:tab w:val="left" w:pos="-1440"/>
                <w:tab w:val="left" w:pos="-720"/>
              </w:tabs>
              <w:rPr>
                <w:sz w:val="20"/>
                <w:szCs w:val="20"/>
                <w:lang w:val="fr-CA"/>
              </w:rPr>
            </w:pPr>
          </w:p>
          <w:p w:rsidR="00F9125A" w:rsidRPr="00B84A84" w:rsidRDefault="00F9125A" w:rsidP="00F9125A">
            <w:pPr>
              <w:rPr>
                <w:sz w:val="20"/>
                <w:szCs w:val="20"/>
                <w:lang w:val="fr-CA"/>
              </w:rPr>
            </w:pPr>
            <w:r w:rsidRPr="00B84A84">
              <w:rPr>
                <w:sz w:val="20"/>
                <w:szCs w:val="20"/>
                <w:lang w:val="fr-CA"/>
              </w:rPr>
              <w:t>DATE</w:t>
            </w:r>
            <w:r w:rsidR="000765BE" w:rsidRPr="00B84A84">
              <w:rPr>
                <w:sz w:val="20"/>
                <w:szCs w:val="20"/>
                <w:lang w:val="fr-CA"/>
              </w:rPr>
              <w:t xml:space="preserve"> DE PRODUCTION </w:t>
            </w:r>
            <w:r w:rsidRPr="00B84A84">
              <w:rPr>
                <w:sz w:val="20"/>
                <w:szCs w:val="20"/>
                <w:lang w:val="fr-CA"/>
              </w:rPr>
              <w:t xml:space="preserve">: </w:t>
            </w:r>
            <w:r w:rsidR="000765BE" w:rsidRPr="00B84A84">
              <w:rPr>
                <w:sz w:val="20"/>
                <w:szCs w:val="20"/>
                <w:lang w:val="fr-CA"/>
              </w:rPr>
              <w:t>le 28 mai</w:t>
            </w:r>
            <w:r w:rsidRPr="00B84A84">
              <w:rPr>
                <w:sz w:val="20"/>
                <w:szCs w:val="20"/>
                <w:lang w:val="fr-CA"/>
              </w:rPr>
              <w:t xml:space="preserve"> 2020</w:t>
            </w:r>
          </w:p>
          <w:p w:rsidR="00F9125A" w:rsidRPr="00B84A84" w:rsidRDefault="00F9125A" w:rsidP="00F9125A">
            <w:pPr>
              <w:rPr>
                <w:sz w:val="20"/>
                <w:szCs w:val="20"/>
                <w:lang w:val="fr-CA"/>
              </w:rPr>
            </w:pPr>
          </w:p>
          <w:p w:rsidR="00F9125A" w:rsidRPr="00B84A84" w:rsidRDefault="005E1A49" w:rsidP="00F9125A">
            <w:pPr>
              <w:rPr>
                <w:b/>
                <w:sz w:val="20"/>
                <w:szCs w:val="20"/>
                <w:lang w:val="en-US"/>
              </w:rPr>
            </w:pPr>
            <w:r>
              <w:rPr>
                <w:sz w:val="20"/>
                <w:szCs w:val="20"/>
                <w:lang w:val="fr-CA"/>
              </w:rPr>
              <w:pict>
                <v:rect id="_x0000_i1039" style="width:108pt;height:1pt" o:hrpct="0" o:hrstd="t" o:hrnoshade="t" o:hr="t" fillcolor="black [3213]" stroked="f"/>
              </w:pict>
            </w:r>
          </w:p>
        </w:tc>
        <w:tc>
          <w:tcPr>
            <w:tcW w:w="1141" w:type="dxa"/>
            <w:shd w:val="clear" w:color="auto" w:fill="auto"/>
          </w:tcPr>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p w:rsidR="000765BE" w:rsidRPr="00B84A84" w:rsidRDefault="000765BE" w:rsidP="00F138C1">
            <w:pPr>
              <w:jc w:val="center"/>
              <w:rPr>
                <w:sz w:val="20"/>
                <w:szCs w:val="20"/>
                <w:lang w:val="en-US"/>
              </w:rPr>
            </w:pPr>
          </w:p>
          <w:p w:rsidR="000765BE" w:rsidRPr="00B84A84" w:rsidRDefault="000765BE" w:rsidP="00F138C1">
            <w:pPr>
              <w:jc w:val="center"/>
              <w:rPr>
                <w:sz w:val="20"/>
                <w:szCs w:val="20"/>
                <w:lang w:val="en-US"/>
              </w:rPr>
            </w:pPr>
          </w:p>
          <w:p w:rsidR="00F9125A" w:rsidRPr="00B84A84" w:rsidRDefault="00F9125A" w:rsidP="00F138C1">
            <w:pPr>
              <w:jc w:val="center"/>
              <w:rPr>
                <w:sz w:val="20"/>
                <w:szCs w:val="20"/>
                <w:lang w:val="en-US"/>
              </w:rPr>
            </w:pPr>
          </w:p>
          <w:p w:rsidR="00F9125A" w:rsidRPr="00B84A84" w:rsidRDefault="00F9125A" w:rsidP="00F138C1">
            <w:pPr>
              <w:jc w:val="center"/>
              <w:rPr>
                <w:sz w:val="20"/>
                <w:szCs w:val="20"/>
                <w:lang w:val="en-US"/>
              </w:rPr>
            </w:pPr>
          </w:p>
        </w:tc>
        <w:tc>
          <w:tcPr>
            <w:tcW w:w="4239" w:type="dxa"/>
            <w:shd w:val="clear" w:color="auto" w:fill="auto"/>
          </w:tcPr>
          <w:p w:rsidR="00F9125A" w:rsidRPr="00B84A84" w:rsidRDefault="00F9125A" w:rsidP="00F9125A">
            <w:pPr>
              <w:rPr>
                <w:b/>
                <w:sz w:val="20"/>
                <w:szCs w:val="20"/>
                <w:lang w:val="en-US"/>
              </w:rPr>
            </w:pPr>
          </w:p>
        </w:tc>
      </w:tr>
    </w:tbl>
    <w:p w:rsidR="00F138C1" w:rsidRPr="00B84A84" w:rsidRDefault="00F138C1" w:rsidP="00F138C1">
      <w:pPr>
        <w:tabs>
          <w:tab w:val="right" w:pos="9360"/>
        </w:tabs>
        <w:rPr>
          <w:sz w:val="20"/>
          <w:szCs w:val="20"/>
          <w:lang w:val="fr-CA"/>
        </w:rPr>
      </w:pPr>
    </w:p>
    <w:p w:rsidR="00F138C1" w:rsidRPr="00B84A84" w:rsidRDefault="00F138C1" w:rsidP="00F138C1">
      <w:pPr>
        <w:tabs>
          <w:tab w:val="right" w:pos="9360"/>
        </w:tabs>
        <w:rPr>
          <w:sz w:val="20"/>
          <w:szCs w:val="20"/>
          <w:lang w:val="fr-CA"/>
        </w:rPr>
      </w:pPr>
    </w:p>
    <w:p w:rsidR="00C01FCB" w:rsidRPr="00B84A84" w:rsidRDefault="00C01FCB" w:rsidP="0095096B">
      <w:pPr>
        <w:tabs>
          <w:tab w:val="right" w:pos="9360"/>
        </w:tabs>
        <w:rPr>
          <w:sz w:val="20"/>
          <w:szCs w:val="20"/>
          <w:lang w:val="fr-CA"/>
        </w:rPr>
      </w:pPr>
    </w:p>
    <w:p w:rsidR="00242AEE" w:rsidRPr="00B84A84" w:rsidRDefault="00242AEE" w:rsidP="0095096B">
      <w:pPr>
        <w:tabs>
          <w:tab w:val="right" w:pos="9360"/>
        </w:tabs>
        <w:rPr>
          <w:sz w:val="20"/>
          <w:szCs w:val="20"/>
          <w:lang w:val="fr-CA"/>
        </w:rPr>
        <w:sectPr w:rsidR="00242AEE" w:rsidRPr="00B84A84" w:rsidSect="00955827">
          <w:headerReference w:type="default" r:id="rId16"/>
          <w:footerReference w:type="default" r:id="rId17"/>
          <w:headerReference w:type="first" r:id="rId18"/>
          <w:footerReference w:type="first" r:id="rId19"/>
          <w:pgSz w:w="12240" w:h="15840"/>
          <w:pgMar w:top="720" w:right="965" w:bottom="1080" w:left="1656" w:header="706" w:footer="706" w:gutter="0"/>
          <w:pgNumType w:start="1"/>
          <w:cols w:space="708"/>
          <w:titlePg/>
          <w:docGrid w:linePitch="360"/>
        </w:sectPr>
      </w:pPr>
    </w:p>
    <w:p w:rsidR="00693C38" w:rsidRPr="00B84A84" w:rsidRDefault="00DD0BDC" w:rsidP="00567602">
      <w:pPr>
        <w:pStyle w:val="Header1StyleE"/>
        <w:pBdr>
          <w:bottom w:val="single" w:sz="12" w:space="1" w:color="auto"/>
        </w:pBdr>
        <w:rPr>
          <w:lang w:val="fr-CA"/>
        </w:rPr>
      </w:pPr>
      <w:bookmarkStart w:id="2" w:name="QuickMark_1"/>
      <w:bookmarkStart w:id="3" w:name="_Toc42854322"/>
      <w:bookmarkEnd w:id="2"/>
      <w:r w:rsidRPr="00B84A84">
        <w:rPr>
          <w:lang w:val="fr-CA"/>
        </w:rPr>
        <w:t xml:space="preserve">Oral hearing </w:t>
      </w:r>
      <w:r w:rsidR="00751E02">
        <w:rPr>
          <w:lang w:val="fr-CA"/>
        </w:rPr>
        <w:t xml:space="preserve">by video-conference </w:t>
      </w:r>
      <w:r w:rsidRPr="00B84A84">
        <w:rPr>
          <w:lang w:val="fr-CA"/>
        </w:rPr>
        <w:t>on applications for leave</w:t>
      </w:r>
      <w:r w:rsidR="00271E1E" w:rsidRPr="00B84A84">
        <w:rPr>
          <w:lang w:val="fr-CA"/>
        </w:rPr>
        <w:t xml:space="preserve"> / </w:t>
      </w:r>
      <w:r w:rsidR="00693C38" w:rsidRPr="00B84A84">
        <w:rPr>
          <w:lang w:val="fr-CA"/>
        </w:rPr>
        <w:br/>
      </w:r>
      <w:r w:rsidRPr="00B84A84">
        <w:rPr>
          <w:lang w:val="fr-CA"/>
        </w:rPr>
        <w:t xml:space="preserve">Audience </w:t>
      </w:r>
      <w:r w:rsidR="00751E02">
        <w:rPr>
          <w:lang w:val="fr-CA"/>
        </w:rPr>
        <w:t xml:space="preserve">par vidéoconférence </w:t>
      </w:r>
      <w:r w:rsidRPr="00B84A84">
        <w:rPr>
          <w:lang w:val="fr-CA"/>
        </w:rPr>
        <w:t>sur les demandes d’autorisation</w:t>
      </w:r>
      <w:bookmarkEnd w:id="3"/>
    </w:p>
    <w:p w:rsidR="00FB1DB6" w:rsidRPr="00B84A84" w:rsidRDefault="00FB1DB6" w:rsidP="00432989">
      <w:pPr>
        <w:rPr>
          <w:sz w:val="20"/>
          <w:szCs w:val="20"/>
          <w:lang w:val="fr-CA"/>
        </w:rPr>
      </w:pPr>
    </w:p>
    <w:p w:rsidR="00432989" w:rsidRPr="00840E69" w:rsidRDefault="008C4308" w:rsidP="00432989">
      <w:pPr>
        <w:rPr>
          <w:sz w:val="20"/>
          <w:szCs w:val="20"/>
          <w:lang w:val="fr-CA"/>
        </w:rPr>
      </w:pPr>
      <w:r w:rsidRPr="00840E69">
        <w:rPr>
          <w:b/>
          <w:sz w:val="20"/>
          <w:szCs w:val="20"/>
          <w:lang w:val="fr-CA"/>
        </w:rPr>
        <w:t>JUNE</w:t>
      </w:r>
      <w:r w:rsidR="00432989" w:rsidRPr="00840E69">
        <w:rPr>
          <w:b/>
          <w:sz w:val="20"/>
          <w:szCs w:val="20"/>
          <w:lang w:val="fr-CA"/>
        </w:rPr>
        <w:t xml:space="preserve"> </w:t>
      </w:r>
      <w:r w:rsidR="00691D1D" w:rsidRPr="00840E69">
        <w:rPr>
          <w:b/>
          <w:sz w:val="20"/>
          <w:szCs w:val="20"/>
          <w:lang w:val="fr-CA"/>
        </w:rPr>
        <w:t>1</w:t>
      </w:r>
      <w:r w:rsidRPr="00840E69">
        <w:rPr>
          <w:b/>
          <w:sz w:val="20"/>
          <w:szCs w:val="20"/>
          <w:lang w:val="fr-CA"/>
        </w:rPr>
        <w:t>2</w:t>
      </w:r>
      <w:r w:rsidR="00432989" w:rsidRPr="00840E69">
        <w:rPr>
          <w:b/>
          <w:sz w:val="20"/>
          <w:szCs w:val="20"/>
          <w:lang w:val="fr-CA"/>
        </w:rPr>
        <w:t xml:space="preserve">, </w:t>
      </w:r>
      <w:r w:rsidR="0034657E" w:rsidRPr="00840E69">
        <w:rPr>
          <w:b/>
          <w:sz w:val="20"/>
          <w:szCs w:val="20"/>
          <w:lang w:val="fr-CA"/>
        </w:rPr>
        <w:t>20</w:t>
      </w:r>
      <w:r w:rsidR="005967EF" w:rsidRPr="00840E69">
        <w:rPr>
          <w:b/>
          <w:sz w:val="20"/>
          <w:szCs w:val="20"/>
          <w:lang w:val="fr-CA"/>
        </w:rPr>
        <w:t>20</w:t>
      </w:r>
      <w:r w:rsidR="00432989" w:rsidRPr="00840E69">
        <w:rPr>
          <w:b/>
          <w:sz w:val="20"/>
          <w:szCs w:val="20"/>
          <w:lang w:val="fr-CA"/>
        </w:rPr>
        <w:t xml:space="preserve"> / LE </w:t>
      </w:r>
      <w:r w:rsidR="00691D1D" w:rsidRPr="00840E69">
        <w:rPr>
          <w:b/>
          <w:sz w:val="20"/>
          <w:szCs w:val="20"/>
          <w:lang w:val="fr-CA"/>
        </w:rPr>
        <w:t>1</w:t>
      </w:r>
      <w:r w:rsidRPr="00840E69">
        <w:rPr>
          <w:b/>
          <w:sz w:val="20"/>
          <w:szCs w:val="20"/>
          <w:lang w:val="fr-CA"/>
        </w:rPr>
        <w:t>2</w:t>
      </w:r>
      <w:r w:rsidR="00432989" w:rsidRPr="00840E69">
        <w:rPr>
          <w:b/>
          <w:sz w:val="20"/>
          <w:szCs w:val="20"/>
          <w:lang w:val="fr-CA"/>
        </w:rPr>
        <w:t xml:space="preserve"> </w:t>
      </w:r>
      <w:r w:rsidRPr="00840E69">
        <w:rPr>
          <w:b/>
          <w:sz w:val="20"/>
          <w:szCs w:val="20"/>
          <w:lang w:val="fr-CA"/>
        </w:rPr>
        <w:t>JUIN</w:t>
      </w:r>
      <w:r w:rsidR="00432989" w:rsidRPr="00840E69">
        <w:rPr>
          <w:b/>
          <w:sz w:val="20"/>
          <w:szCs w:val="20"/>
          <w:lang w:val="fr-CA"/>
        </w:rPr>
        <w:t xml:space="preserve"> </w:t>
      </w:r>
      <w:r w:rsidR="0034657E" w:rsidRPr="00840E69">
        <w:rPr>
          <w:b/>
          <w:sz w:val="20"/>
          <w:szCs w:val="20"/>
          <w:lang w:val="fr-CA"/>
        </w:rPr>
        <w:t>20</w:t>
      </w:r>
      <w:r w:rsidR="005967EF" w:rsidRPr="00840E69">
        <w:rPr>
          <w:b/>
          <w:sz w:val="20"/>
          <w:szCs w:val="20"/>
          <w:lang w:val="fr-CA"/>
        </w:rPr>
        <w:t>20</w:t>
      </w:r>
    </w:p>
    <w:p w:rsidR="00432989" w:rsidRPr="00840E69" w:rsidRDefault="00432989" w:rsidP="00432989">
      <w:pPr>
        <w:rPr>
          <w:sz w:val="20"/>
          <w:szCs w:val="20"/>
          <w:lang w:val="fr-CA"/>
        </w:rPr>
      </w:pPr>
    </w:p>
    <w:p w:rsidR="00A744AF" w:rsidRPr="00B84A84" w:rsidRDefault="00D701DF" w:rsidP="00A744AF">
      <w:pPr>
        <w:rPr>
          <w:color w:val="000000"/>
          <w:sz w:val="20"/>
          <w:szCs w:val="20"/>
          <w:lang w:val="en-US"/>
        </w:rPr>
      </w:pPr>
      <w:r w:rsidRPr="00B84A84">
        <w:rPr>
          <w:b/>
          <w:bCs/>
          <w:color w:val="000000"/>
          <w:sz w:val="20"/>
          <w:szCs w:val="20"/>
        </w:rPr>
        <w:t xml:space="preserve">Haben Abrham Weldekidan v. Her Majesty the Queen </w:t>
      </w:r>
      <w:r w:rsidR="00A744AF" w:rsidRPr="00B84A84">
        <w:rPr>
          <w:color w:val="000000"/>
          <w:sz w:val="20"/>
          <w:szCs w:val="20"/>
        </w:rPr>
        <w:t>(</w:t>
      </w:r>
      <w:r w:rsidRPr="00B84A84">
        <w:rPr>
          <w:color w:val="000000"/>
          <w:sz w:val="20"/>
          <w:szCs w:val="20"/>
        </w:rPr>
        <w:t>Man</w:t>
      </w:r>
      <w:r w:rsidR="00A744AF" w:rsidRPr="00B84A84">
        <w:rPr>
          <w:color w:val="000000"/>
          <w:sz w:val="20"/>
          <w:szCs w:val="20"/>
        </w:rPr>
        <w:t>.) (C</w:t>
      </w:r>
      <w:r w:rsidRPr="00B84A84">
        <w:rPr>
          <w:color w:val="000000"/>
          <w:sz w:val="20"/>
          <w:szCs w:val="20"/>
        </w:rPr>
        <w:t>r</w:t>
      </w:r>
      <w:r w:rsidR="00A744AF" w:rsidRPr="00B84A84">
        <w:rPr>
          <w:color w:val="000000"/>
          <w:sz w:val="20"/>
          <w:szCs w:val="20"/>
        </w:rPr>
        <w:t>i</w:t>
      </w:r>
      <w:r w:rsidRPr="00B84A84">
        <w:rPr>
          <w:color w:val="000000"/>
          <w:sz w:val="20"/>
          <w:szCs w:val="20"/>
        </w:rPr>
        <w:t>m</w:t>
      </w:r>
      <w:r w:rsidR="00A744AF" w:rsidRPr="00B84A84">
        <w:rPr>
          <w:color w:val="000000"/>
          <w:sz w:val="20"/>
          <w:szCs w:val="20"/>
        </w:rPr>
        <w:t>i</w:t>
      </w:r>
      <w:r w:rsidRPr="00B84A84">
        <w:rPr>
          <w:color w:val="000000"/>
          <w:sz w:val="20"/>
          <w:szCs w:val="20"/>
        </w:rPr>
        <w:t>na</w:t>
      </w:r>
      <w:r w:rsidR="00A744AF" w:rsidRPr="00B84A84">
        <w:rPr>
          <w:color w:val="000000"/>
          <w:sz w:val="20"/>
          <w:szCs w:val="20"/>
        </w:rPr>
        <w:t>l) (By Leave) (</w:t>
      </w:r>
      <w:hyperlink r:id="rId20" w:history="1">
        <w:r w:rsidR="00A744AF" w:rsidRPr="00B84A84">
          <w:rPr>
            <w:rStyle w:val="Hyperlink"/>
            <w:sz w:val="20"/>
            <w:szCs w:val="20"/>
          </w:rPr>
          <w:t>3</w:t>
        </w:r>
        <w:r w:rsidRPr="00B84A84">
          <w:rPr>
            <w:rStyle w:val="Hyperlink"/>
            <w:sz w:val="20"/>
            <w:szCs w:val="20"/>
          </w:rPr>
          <w:t>8984</w:t>
        </w:r>
      </w:hyperlink>
      <w:r w:rsidR="00A744AF" w:rsidRPr="00B84A84">
        <w:rPr>
          <w:color w:val="000000"/>
          <w:sz w:val="20"/>
          <w:szCs w:val="20"/>
        </w:rPr>
        <w:t>)</w:t>
      </w:r>
    </w:p>
    <w:p w:rsidR="00A744AF" w:rsidRPr="00B84A84" w:rsidRDefault="00A744AF" w:rsidP="00A744AF">
      <w:pPr>
        <w:rPr>
          <w:sz w:val="20"/>
          <w:szCs w:val="20"/>
          <w:lang w:val="en-US"/>
        </w:rPr>
      </w:pPr>
      <w:r w:rsidRPr="00B84A84">
        <w:rPr>
          <w:sz w:val="20"/>
          <w:szCs w:val="20"/>
          <w:lang w:val="en-US"/>
        </w:rPr>
        <w:t>(Oral hearing on leave application / Audition de la demande d’autorisation d’appel)</w:t>
      </w:r>
    </w:p>
    <w:p w:rsidR="00A744AF" w:rsidRPr="00B84A84" w:rsidRDefault="00A744AF" w:rsidP="00A744AF">
      <w:pPr>
        <w:rPr>
          <w:color w:val="000000"/>
          <w:sz w:val="20"/>
          <w:szCs w:val="20"/>
          <w:lang w:val="en-US"/>
        </w:rPr>
      </w:pPr>
    </w:p>
    <w:p w:rsidR="00A744AF" w:rsidRPr="00B84A84" w:rsidRDefault="00A744AF" w:rsidP="00A744AF">
      <w:pPr>
        <w:ind w:left="1109" w:hanging="1109"/>
        <w:rPr>
          <w:color w:val="000000"/>
          <w:sz w:val="20"/>
          <w:szCs w:val="20"/>
        </w:rPr>
      </w:pPr>
      <w:r w:rsidRPr="00B84A84">
        <w:rPr>
          <w:color w:val="000000"/>
          <w:sz w:val="20"/>
          <w:szCs w:val="20"/>
        </w:rPr>
        <w:t xml:space="preserve">Coram: </w:t>
      </w:r>
      <w:r w:rsidR="00E06F20" w:rsidRPr="00B84A84">
        <w:rPr>
          <w:color w:val="000000"/>
          <w:sz w:val="20"/>
          <w:szCs w:val="20"/>
        </w:rPr>
        <w:tab/>
      </w:r>
      <w:r w:rsidR="00D701DF" w:rsidRPr="00B84A84">
        <w:rPr>
          <w:color w:val="000000"/>
          <w:sz w:val="20"/>
          <w:szCs w:val="20"/>
        </w:rPr>
        <w:t>Wagner C.J. and Abella, Moldaver, Karakatsanis, Côté, Brown, Rowe, Martin and Kasirer JJ.</w:t>
      </w:r>
    </w:p>
    <w:p w:rsidR="00A744AF" w:rsidRPr="00B84A84" w:rsidRDefault="00A744AF" w:rsidP="00A744AF">
      <w:pPr>
        <w:rPr>
          <w:color w:val="000000"/>
          <w:sz w:val="20"/>
          <w:szCs w:val="20"/>
        </w:rPr>
      </w:pPr>
    </w:p>
    <w:p w:rsidR="00304AC4" w:rsidRPr="00B84A84" w:rsidRDefault="00304AC4" w:rsidP="00A744AF">
      <w:pPr>
        <w:rPr>
          <w:color w:val="000000"/>
          <w:sz w:val="20"/>
          <w:szCs w:val="20"/>
        </w:rPr>
      </w:pPr>
      <w:r w:rsidRPr="00B84A84">
        <w:rPr>
          <w:b/>
          <w:bCs/>
          <w:color w:val="000000"/>
          <w:sz w:val="20"/>
          <w:szCs w:val="20"/>
        </w:rPr>
        <w:t>DISMISSED / REJETÉE</w:t>
      </w:r>
    </w:p>
    <w:p w:rsidR="008C4308" w:rsidRPr="00B84A84" w:rsidRDefault="008C4308" w:rsidP="00A744AF">
      <w:pPr>
        <w:rPr>
          <w:color w:val="000000"/>
          <w:sz w:val="20"/>
          <w:szCs w:val="20"/>
        </w:rPr>
      </w:pPr>
    </w:p>
    <w:p w:rsidR="00B00A0B" w:rsidRPr="00B84A84" w:rsidRDefault="005E1A49" w:rsidP="00A744AF">
      <w:pPr>
        <w:rPr>
          <w:color w:val="000000"/>
          <w:sz w:val="20"/>
          <w:szCs w:val="20"/>
        </w:rPr>
      </w:pPr>
      <w:r>
        <w:rPr>
          <w:rFonts w:eastAsia="Times New Roman" w:cs="Times New Roman"/>
          <w:sz w:val="20"/>
          <w:szCs w:val="20"/>
          <w:lang w:val="fr-CA" w:eastAsia="en-CA"/>
        </w:rPr>
        <w:pict>
          <v:rect id="_x0000_i1042" style="width:2in;height:1pt" o:hrpct="0" o:hralign="center" o:hrstd="t" o:hrnoshade="t" o:hr="t" fillcolor="black [3213]" stroked="f"/>
        </w:pict>
      </w:r>
    </w:p>
    <w:p w:rsidR="00432989" w:rsidRPr="00B84A84" w:rsidRDefault="00432989">
      <w:pPr>
        <w:rPr>
          <w:sz w:val="20"/>
          <w:szCs w:val="20"/>
          <w:lang w:val="fr-CA"/>
        </w:rPr>
      </w:pPr>
    </w:p>
    <w:p w:rsidR="00B00A0B" w:rsidRPr="00B84A84" w:rsidRDefault="00B00A0B">
      <w:pPr>
        <w:rPr>
          <w:sz w:val="20"/>
          <w:szCs w:val="20"/>
          <w:lang w:val="fr-CA"/>
        </w:rPr>
      </w:pPr>
    </w:p>
    <w:p w:rsidR="00E06F20" w:rsidRPr="00B84A84" w:rsidRDefault="00E06F20">
      <w:pPr>
        <w:rPr>
          <w:sz w:val="20"/>
          <w:szCs w:val="20"/>
          <w:lang w:val="fr-CA"/>
        </w:rPr>
      </w:pPr>
    </w:p>
    <w:p w:rsidR="008D292F" w:rsidRPr="00B84A84" w:rsidRDefault="008D292F" w:rsidP="002E2327">
      <w:pPr>
        <w:widowControl w:val="0"/>
        <w:spacing w:line="0" w:lineRule="atLeast"/>
        <w:rPr>
          <w:sz w:val="20"/>
          <w:szCs w:val="20"/>
          <w:lang w:val="fr-CA"/>
        </w:rPr>
        <w:sectPr w:rsidR="008D292F" w:rsidRPr="00B84A84" w:rsidSect="008D292F">
          <w:headerReference w:type="even" r:id="rId21"/>
          <w:headerReference w:type="default" r:id="rId22"/>
          <w:footerReference w:type="even" r:id="rId23"/>
          <w:footerReference w:type="default" r:id="rId24"/>
          <w:headerReference w:type="first" r:id="rId25"/>
          <w:footerReference w:type="first" r:id="rId26"/>
          <w:pgSz w:w="12240" w:h="15840"/>
          <w:pgMar w:top="720" w:right="965" w:bottom="1080" w:left="1656" w:header="720" w:footer="965" w:gutter="0"/>
          <w:cols w:space="720"/>
          <w:titlePg/>
          <w:docGrid w:linePitch="326"/>
        </w:sectPr>
      </w:pPr>
    </w:p>
    <w:p w:rsidR="00693C38" w:rsidRPr="00B84A84" w:rsidRDefault="00DD0BDC" w:rsidP="00567602">
      <w:pPr>
        <w:pStyle w:val="Header1StyleE"/>
        <w:pBdr>
          <w:bottom w:val="single" w:sz="12" w:space="1" w:color="auto"/>
        </w:pBdr>
        <w:rPr>
          <w:lang w:val="fr-CA"/>
        </w:rPr>
      </w:pPr>
      <w:bookmarkStart w:id="4" w:name="_Toc42854323"/>
      <w:r w:rsidRPr="00B84A84">
        <w:rPr>
          <w:lang w:val="fr-CA"/>
        </w:rPr>
        <w:t>Judgments on applications</w:t>
      </w:r>
      <w:r w:rsidR="000C1D9D" w:rsidRPr="00B84A84">
        <w:rPr>
          <w:lang w:val="fr-CA"/>
        </w:rPr>
        <w:t xml:space="preserve"> </w:t>
      </w:r>
      <w:r w:rsidRPr="00B84A84">
        <w:rPr>
          <w:lang w:val="fr-CA"/>
        </w:rPr>
        <w:t>for leave</w:t>
      </w:r>
      <w:r w:rsidR="00693C38" w:rsidRPr="00B84A84">
        <w:rPr>
          <w:noProof/>
          <w:sz w:val="20"/>
          <w:lang w:val="fr-CA"/>
        </w:rPr>
        <w:t xml:space="preserve"> </w:t>
      </w:r>
      <w:r w:rsidR="00271E1E" w:rsidRPr="00B84A84">
        <w:rPr>
          <w:noProof/>
          <w:sz w:val="20"/>
          <w:lang w:val="fr-CA"/>
        </w:rPr>
        <w:t xml:space="preserve">/ </w:t>
      </w:r>
      <w:r w:rsidR="00693C38" w:rsidRPr="00B84A84">
        <w:rPr>
          <w:noProof/>
          <w:sz w:val="20"/>
          <w:lang w:val="fr-CA"/>
        </w:rPr>
        <w:br/>
      </w:r>
      <w:r w:rsidRPr="00B84A84">
        <w:rPr>
          <w:lang w:val="fr-CA"/>
        </w:rPr>
        <w:t>Jugements rendus sur les demandes d’autorisation</w:t>
      </w:r>
      <w:bookmarkEnd w:id="4"/>
    </w:p>
    <w:p w:rsidR="00FB1DB6" w:rsidRPr="00B84A84" w:rsidRDefault="00FB1DB6" w:rsidP="00693C38">
      <w:pPr>
        <w:rPr>
          <w:sz w:val="20"/>
          <w:szCs w:val="20"/>
          <w:lang w:val="fr-CA"/>
        </w:rPr>
      </w:pPr>
    </w:p>
    <w:p w:rsidR="00F16063" w:rsidRPr="00B84A84" w:rsidRDefault="00D701DF" w:rsidP="00F16063">
      <w:pPr>
        <w:rPr>
          <w:b/>
          <w:sz w:val="20"/>
          <w:szCs w:val="20"/>
        </w:rPr>
      </w:pPr>
      <w:r w:rsidRPr="00B84A84">
        <w:rPr>
          <w:b/>
          <w:sz w:val="20"/>
          <w:szCs w:val="20"/>
        </w:rPr>
        <w:t>JUNE</w:t>
      </w:r>
      <w:r w:rsidR="00F16063" w:rsidRPr="00B84A84">
        <w:rPr>
          <w:b/>
          <w:sz w:val="20"/>
          <w:szCs w:val="20"/>
        </w:rPr>
        <w:t xml:space="preserve"> </w:t>
      </w:r>
      <w:r w:rsidRPr="00B84A84">
        <w:rPr>
          <w:b/>
          <w:sz w:val="20"/>
          <w:szCs w:val="20"/>
        </w:rPr>
        <w:t>1</w:t>
      </w:r>
      <w:r w:rsidR="00691D1D" w:rsidRPr="00B84A84">
        <w:rPr>
          <w:b/>
          <w:sz w:val="20"/>
          <w:szCs w:val="20"/>
        </w:rPr>
        <w:t>1</w:t>
      </w:r>
      <w:r w:rsidR="00F16063" w:rsidRPr="00B84A84">
        <w:rPr>
          <w:b/>
          <w:sz w:val="20"/>
          <w:szCs w:val="20"/>
        </w:rPr>
        <w:t xml:space="preserve">, </w:t>
      </w:r>
      <w:r w:rsidR="0034657E" w:rsidRPr="00B84A84">
        <w:rPr>
          <w:b/>
          <w:sz w:val="20"/>
          <w:szCs w:val="20"/>
        </w:rPr>
        <w:t>20</w:t>
      </w:r>
      <w:r w:rsidR="005967EF" w:rsidRPr="00B84A84">
        <w:rPr>
          <w:b/>
          <w:sz w:val="20"/>
          <w:szCs w:val="20"/>
        </w:rPr>
        <w:t>20</w:t>
      </w:r>
      <w:r w:rsidR="00F16063" w:rsidRPr="00B84A84">
        <w:rPr>
          <w:b/>
          <w:sz w:val="20"/>
          <w:szCs w:val="20"/>
        </w:rPr>
        <w:t xml:space="preserve"> / LE </w:t>
      </w:r>
      <w:r w:rsidR="00691D1D" w:rsidRPr="00B84A84">
        <w:rPr>
          <w:b/>
          <w:sz w:val="20"/>
          <w:szCs w:val="20"/>
        </w:rPr>
        <w:t>1</w:t>
      </w:r>
      <w:r w:rsidRPr="00B84A84">
        <w:rPr>
          <w:b/>
          <w:sz w:val="20"/>
          <w:szCs w:val="20"/>
        </w:rPr>
        <w:t>1</w:t>
      </w:r>
      <w:r w:rsidR="00F16063" w:rsidRPr="00B84A84">
        <w:rPr>
          <w:b/>
          <w:sz w:val="20"/>
          <w:szCs w:val="20"/>
        </w:rPr>
        <w:t xml:space="preserve"> </w:t>
      </w:r>
      <w:r w:rsidRPr="00B84A84">
        <w:rPr>
          <w:b/>
          <w:sz w:val="20"/>
          <w:szCs w:val="20"/>
        </w:rPr>
        <w:t>JUIN</w:t>
      </w:r>
      <w:r w:rsidR="00F16063" w:rsidRPr="00B84A84">
        <w:rPr>
          <w:b/>
          <w:sz w:val="20"/>
          <w:szCs w:val="20"/>
        </w:rPr>
        <w:t xml:space="preserve"> </w:t>
      </w:r>
      <w:r w:rsidR="0034657E" w:rsidRPr="00B84A84">
        <w:rPr>
          <w:b/>
          <w:sz w:val="20"/>
          <w:szCs w:val="20"/>
        </w:rPr>
        <w:t>20</w:t>
      </w:r>
      <w:r w:rsidR="005967EF" w:rsidRPr="00B84A84">
        <w:rPr>
          <w:b/>
          <w:sz w:val="20"/>
          <w:szCs w:val="20"/>
        </w:rPr>
        <w:t>20</w:t>
      </w:r>
    </w:p>
    <w:p w:rsidR="00D774AB" w:rsidRPr="00B84A84" w:rsidRDefault="00D774AB" w:rsidP="00D774AB">
      <w:pPr>
        <w:widowControl w:val="0"/>
        <w:jc w:val="both"/>
        <w:rPr>
          <w:sz w:val="20"/>
          <w:lang w:val="en-US"/>
        </w:rPr>
      </w:pPr>
    </w:p>
    <w:tbl>
      <w:tblPr>
        <w:tblW w:w="4950" w:type="pct"/>
        <w:tblCellMar>
          <w:left w:w="0" w:type="dxa"/>
          <w:bottom w:w="99" w:type="dxa"/>
          <w:right w:w="0" w:type="dxa"/>
        </w:tblCellMar>
        <w:tblLook w:val="04A0" w:firstRow="1" w:lastRow="0" w:firstColumn="1" w:lastColumn="0" w:noHBand="0" w:noVBand="1"/>
      </w:tblPr>
      <w:tblGrid>
        <w:gridCol w:w="1034"/>
        <w:gridCol w:w="3588"/>
        <w:gridCol w:w="463"/>
        <w:gridCol w:w="4438"/>
      </w:tblGrid>
      <w:tr w:rsidR="00D774AB" w:rsidRPr="00B84A84" w:rsidTr="00D774AB">
        <w:tc>
          <w:tcPr>
            <w:tcW w:w="543" w:type="pct"/>
            <w:hideMark/>
          </w:tcPr>
          <w:p w:rsidR="00D774AB" w:rsidRPr="00B84A84" w:rsidRDefault="00D774AB">
            <w:pPr>
              <w:jc w:val="both"/>
              <w:rPr>
                <w:sz w:val="20"/>
                <w:lang w:val="en-US"/>
              </w:rPr>
            </w:pPr>
            <w:r w:rsidRPr="00B84A84">
              <w:rPr>
                <w:rStyle w:val="SCCFileNumberChar"/>
                <w:sz w:val="20"/>
              </w:rPr>
              <w:t>39071</w:t>
            </w:r>
          </w:p>
        </w:tc>
        <w:tc>
          <w:tcPr>
            <w:tcW w:w="4457" w:type="pct"/>
            <w:gridSpan w:val="3"/>
            <w:hideMark/>
          </w:tcPr>
          <w:p w:rsidR="00D774AB" w:rsidRPr="00B84A84" w:rsidRDefault="00D774AB">
            <w:pPr>
              <w:pStyle w:val="SCCLsocParty"/>
              <w:jc w:val="both"/>
              <w:rPr>
                <w:b/>
                <w:sz w:val="20"/>
                <w:szCs w:val="20"/>
                <w:lang w:val="en-US"/>
              </w:rPr>
            </w:pPr>
            <w:r w:rsidRPr="00B84A84">
              <w:rPr>
                <w:b/>
                <w:sz w:val="20"/>
                <w:szCs w:val="20"/>
                <w:lang w:val="en-US"/>
              </w:rPr>
              <w:t>Siksika Health Services v. Health Sciences Association of Alberta</w:t>
            </w:r>
            <w:r w:rsidR="001647D0" w:rsidRPr="00B84A84">
              <w:rPr>
                <w:b/>
                <w:sz w:val="20"/>
                <w:szCs w:val="20"/>
                <w:lang w:val="en-US"/>
              </w:rPr>
              <w:t xml:space="preserve"> and</w:t>
            </w:r>
            <w:r w:rsidRPr="00B84A84">
              <w:rPr>
                <w:b/>
                <w:sz w:val="20"/>
                <w:szCs w:val="20"/>
                <w:lang w:val="en-US"/>
              </w:rPr>
              <w:t xml:space="preserve"> Alberta Labour Relations Board</w:t>
            </w:r>
          </w:p>
          <w:p w:rsidR="00D774AB" w:rsidRPr="00B84A84" w:rsidRDefault="00D774AB">
            <w:pPr>
              <w:jc w:val="both"/>
              <w:rPr>
                <w:sz w:val="20"/>
                <w:szCs w:val="20"/>
                <w:lang w:val="en-US"/>
              </w:rPr>
            </w:pPr>
            <w:r w:rsidRPr="00B84A84">
              <w:rPr>
                <w:sz w:val="20"/>
              </w:rPr>
              <w:t>(Alta.) (Civil) (By Leave)</w:t>
            </w:r>
          </w:p>
        </w:tc>
      </w:tr>
      <w:tr w:rsidR="00DF7C80" w:rsidRPr="00B84A84" w:rsidTr="00D774AB">
        <w:tc>
          <w:tcPr>
            <w:tcW w:w="5000" w:type="pct"/>
            <w:gridSpan w:val="4"/>
          </w:tcPr>
          <w:p w:rsidR="001647D0" w:rsidRPr="00B84A84" w:rsidRDefault="001647D0" w:rsidP="001647D0">
            <w:pPr>
              <w:jc w:val="both"/>
              <w:rPr>
                <w:sz w:val="20"/>
                <w:szCs w:val="20"/>
              </w:rPr>
            </w:pPr>
            <w:r w:rsidRPr="00B84A84">
              <w:rPr>
                <w:sz w:val="20"/>
                <w:szCs w:val="20"/>
              </w:rPr>
              <w:t>The application for leave to appeal from the judgment of the Court of Appeal of Alberta (Calgary), Number 1801-0280-AC, 2019 ABCA 494, dated December 17, 2019, is dismissed with costs to the respondent, Health Sciences Association of Alberta.</w:t>
            </w:r>
          </w:p>
          <w:p w:rsidR="00DF7C80" w:rsidRPr="00B84A84" w:rsidRDefault="00DF7C80">
            <w:pPr>
              <w:jc w:val="both"/>
              <w:rPr>
                <w:sz w:val="20"/>
              </w:rPr>
            </w:pPr>
          </w:p>
        </w:tc>
      </w:tr>
      <w:tr w:rsidR="00D774AB" w:rsidRPr="00B84A84" w:rsidTr="00D774AB">
        <w:tc>
          <w:tcPr>
            <w:tcW w:w="5000" w:type="pct"/>
            <w:gridSpan w:val="4"/>
            <w:hideMark/>
          </w:tcPr>
          <w:p w:rsidR="00D774AB" w:rsidRPr="00B84A84" w:rsidRDefault="00D774AB">
            <w:pPr>
              <w:jc w:val="both"/>
              <w:rPr>
                <w:sz w:val="20"/>
              </w:rPr>
            </w:pPr>
            <w:r w:rsidRPr="00B84A84">
              <w:rPr>
                <w:sz w:val="20"/>
              </w:rPr>
              <w:t xml:space="preserve">Administrative law — Boards and Tribunals — Jurisdiction — Aboriginal law — Treaty rights — Labour relations — Bargaining units — First Nation has treaty right for provision of health care services — Provincial labour relations board certifies bargaining agent for ambulance attendants employed by First Nation’s health authority — Whether province has jurisdiction —Whether </w:t>
            </w:r>
            <w:r w:rsidRPr="00B84A84">
              <w:rPr>
                <w:i/>
                <w:color w:val="000000"/>
                <w:spacing w:val="-1"/>
                <w:sz w:val="20"/>
              </w:rPr>
              <w:t>NIL/TU,O Child &amp; Family Services Society v B.C. Government and Service Employees’ Union</w:t>
            </w:r>
            <w:r w:rsidRPr="00B84A84">
              <w:rPr>
                <w:color w:val="000000"/>
                <w:spacing w:val="-1"/>
                <w:sz w:val="20"/>
              </w:rPr>
              <w:t xml:space="preserve">, </w:t>
            </w:r>
            <w:r w:rsidRPr="00B84A84">
              <w:rPr>
                <w:color w:val="000000"/>
                <w:sz w:val="20"/>
              </w:rPr>
              <w:t xml:space="preserve">2010 SCC 45, is distinguishable </w:t>
            </w:r>
            <w:r w:rsidRPr="00B84A84">
              <w:rPr>
                <w:sz w:val="20"/>
              </w:rPr>
              <w:t>— Whether there is conflicting jurisprudence</w:t>
            </w:r>
            <w:r w:rsidRPr="00B84A84">
              <w:rPr>
                <w:color w:val="000000"/>
                <w:sz w:val="20"/>
              </w:rPr>
              <w:t>?</w:t>
            </w:r>
          </w:p>
        </w:tc>
      </w:tr>
      <w:tr w:rsidR="00D774AB" w:rsidRPr="00B84A84" w:rsidTr="00D774AB">
        <w:tc>
          <w:tcPr>
            <w:tcW w:w="5000" w:type="pct"/>
            <w:gridSpan w:val="4"/>
          </w:tcPr>
          <w:p w:rsidR="00D774AB" w:rsidRPr="00B84A84" w:rsidRDefault="00D774AB">
            <w:pPr>
              <w:jc w:val="both"/>
              <w:rPr>
                <w:sz w:val="20"/>
              </w:rPr>
            </w:pPr>
          </w:p>
          <w:p w:rsidR="00D774AB" w:rsidRPr="00B84A84" w:rsidRDefault="00D774AB">
            <w:pPr>
              <w:jc w:val="both"/>
              <w:rPr>
                <w:sz w:val="20"/>
              </w:rPr>
            </w:pPr>
            <w:r w:rsidRPr="00B84A84">
              <w:rPr>
                <w:sz w:val="20"/>
                <w:lang w:val="en"/>
              </w:rPr>
              <w:t xml:space="preserve">Health Sciences Association of Alberta applied to the Alberta Labour Relations Board to be certified as the bargaining agent for ambulance attendants employed with Siksika Emergency Medical Services, a division of Siksika Health Services of Siksika Nation. Certification ballots favoured unionization. Siksika Health Services objected on the ground that Siksika Nation has rights to health care services </w:t>
            </w:r>
            <w:r w:rsidRPr="00B84A84">
              <w:rPr>
                <w:spacing w:val="-1"/>
                <w:sz w:val="20"/>
              </w:rPr>
              <w:t>under Treaty No. 7</w:t>
            </w:r>
            <w:r w:rsidRPr="00B84A84">
              <w:rPr>
                <w:sz w:val="20"/>
                <w:lang w:val="en"/>
              </w:rPr>
              <w:t xml:space="preserve">. Siksika Nation asserted that it is a federally regulated employer and these labour matters should be dealt with under federal legislation. The Alberta Labour Relations Board held that Siksika Emergency Medical Services is a provincial undertaking for purposes of the </w:t>
            </w:r>
            <w:r w:rsidRPr="00B84A84">
              <w:rPr>
                <w:i/>
                <w:color w:val="000000"/>
                <w:sz w:val="20"/>
              </w:rPr>
              <w:t>Labour Relations Code</w:t>
            </w:r>
            <w:r w:rsidRPr="00B84A84">
              <w:rPr>
                <w:color w:val="000000"/>
                <w:sz w:val="20"/>
              </w:rPr>
              <w:t>, RSA 2000, c L</w:t>
            </w:r>
            <w:r w:rsidRPr="00B84A84">
              <w:rPr>
                <w:color w:val="000000"/>
                <w:sz w:val="20"/>
              </w:rPr>
              <w:noBreakHyphen/>
              <w:t>1</w:t>
            </w:r>
            <w:r w:rsidRPr="00B84A84">
              <w:rPr>
                <w:sz w:val="20"/>
                <w:lang w:val="en"/>
              </w:rPr>
              <w:t>. It certified the Health Sciences Association of Alberta as the bargaining agent for the ambulance attendants. The Court of Queen’s Bench dismissed an application for judicial review. The Court of Appeal dismissed an appeal.</w:t>
            </w:r>
          </w:p>
        </w:tc>
      </w:tr>
      <w:tr w:rsidR="00D774AB" w:rsidRPr="00B84A84" w:rsidTr="00D774AB">
        <w:tc>
          <w:tcPr>
            <w:tcW w:w="5000" w:type="pct"/>
            <w:gridSpan w:val="4"/>
          </w:tcPr>
          <w:p w:rsidR="00D774AB" w:rsidRPr="00B84A84" w:rsidRDefault="00D774AB">
            <w:pPr>
              <w:jc w:val="both"/>
              <w:rPr>
                <w:sz w:val="20"/>
                <w:lang w:val="en"/>
              </w:rPr>
            </w:pPr>
          </w:p>
        </w:tc>
      </w:tr>
      <w:tr w:rsidR="00D774AB" w:rsidRPr="00B84A84" w:rsidTr="00D774AB">
        <w:tc>
          <w:tcPr>
            <w:tcW w:w="2427" w:type="pct"/>
            <w:gridSpan w:val="2"/>
          </w:tcPr>
          <w:p w:rsidR="00D774AB" w:rsidRPr="00B84A84" w:rsidRDefault="00D774AB">
            <w:pPr>
              <w:jc w:val="both"/>
              <w:rPr>
                <w:sz w:val="20"/>
                <w:lang w:val="en"/>
              </w:rPr>
            </w:pPr>
            <w:r w:rsidRPr="00B84A84">
              <w:rPr>
                <w:sz w:val="20"/>
                <w:lang w:val="en"/>
              </w:rPr>
              <w:t>June 2, 2017</w:t>
            </w:r>
          </w:p>
          <w:p w:rsidR="00D774AB" w:rsidRPr="00B84A84" w:rsidRDefault="00D774AB">
            <w:pPr>
              <w:jc w:val="both"/>
              <w:rPr>
                <w:sz w:val="20"/>
                <w:lang w:val="en"/>
              </w:rPr>
            </w:pPr>
            <w:r w:rsidRPr="00B84A84">
              <w:rPr>
                <w:sz w:val="20"/>
                <w:lang w:val="en"/>
              </w:rPr>
              <w:t>Alberta Labour Relations Board</w:t>
            </w:r>
          </w:p>
          <w:p w:rsidR="00D774AB" w:rsidRPr="00B84A84" w:rsidRDefault="00D774AB">
            <w:pPr>
              <w:jc w:val="both"/>
              <w:rPr>
                <w:sz w:val="20"/>
                <w:lang w:val="en-US"/>
              </w:rPr>
            </w:pPr>
            <w:r w:rsidRPr="00B84A84">
              <w:rPr>
                <w:sz w:val="20"/>
                <w:lang w:val="en"/>
              </w:rPr>
              <w:t>(</w:t>
            </w:r>
            <w:r w:rsidRPr="00B84A84">
              <w:rPr>
                <w:sz w:val="20"/>
              </w:rPr>
              <w:t>G. Gray, Vice</w:t>
            </w:r>
            <w:r w:rsidRPr="00B84A84">
              <w:rPr>
                <w:sz w:val="20"/>
              </w:rPr>
              <w:noBreakHyphen/>
              <w:t xml:space="preserve">Chair and M. Kozielec, </w:t>
            </w:r>
          </w:p>
          <w:p w:rsidR="00D774AB" w:rsidRPr="00B84A84" w:rsidRDefault="00D774AB">
            <w:pPr>
              <w:jc w:val="both"/>
              <w:rPr>
                <w:sz w:val="20"/>
              </w:rPr>
            </w:pPr>
            <w:r w:rsidRPr="00B84A84">
              <w:rPr>
                <w:sz w:val="20"/>
              </w:rPr>
              <w:t>P. Marsden, Members)</w:t>
            </w:r>
          </w:p>
          <w:p w:rsidR="00D774AB" w:rsidRPr="00B84A84" w:rsidRDefault="00D774AB">
            <w:pPr>
              <w:jc w:val="both"/>
              <w:rPr>
                <w:sz w:val="20"/>
              </w:rPr>
            </w:pPr>
          </w:p>
        </w:tc>
        <w:tc>
          <w:tcPr>
            <w:tcW w:w="243" w:type="pct"/>
          </w:tcPr>
          <w:p w:rsidR="00D774AB" w:rsidRPr="00B84A84" w:rsidRDefault="00D774AB">
            <w:pPr>
              <w:jc w:val="both"/>
              <w:rPr>
                <w:sz w:val="20"/>
              </w:rPr>
            </w:pPr>
          </w:p>
        </w:tc>
        <w:tc>
          <w:tcPr>
            <w:tcW w:w="2330" w:type="pct"/>
          </w:tcPr>
          <w:p w:rsidR="00D774AB" w:rsidRPr="00B84A84" w:rsidRDefault="00D774AB">
            <w:pPr>
              <w:jc w:val="both"/>
              <w:rPr>
                <w:sz w:val="20"/>
                <w:lang w:val="en"/>
              </w:rPr>
            </w:pPr>
            <w:r w:rsidRPr="00B84A84">
              <w:rPr>
                <w:rFonts w:ascii="BauOT" w:hAnsi="BauOT" w:cs="Arial"/>
                <w:color w:val="333333"/>
                <w:sz w:val="20"/>
                <w:lang w:val="en"/>
              </w:rPr>
              <w:t>Bargaining agent certified</w:t>
            </w:r>
          </w:p>
          <w:p w:rsidR="00D774AB" w:rsidRPr="00B84A84" w:rsidRDefault="00D774AB">
            <w:pPr>
              <w:jc w:val="both"/>
              <w:rPr>
                <w:sz w:val="20"/>
                <w:lang w:val="en-US"/>
              </w:rPr>
            </w:pPr>
          </w:p>
        </w:tc>
      </w:tr>
      <w:tr w:rsidR="00D774AB" w:rsidRPr="00B84A84" w:rsidTr="00D774AB">
        <w:tc>
          <w:tcPr>
            <w:tcW w:w="2427" w:type="pct"/>
            <w:gridSpan w:val="2"/>
            <w:hideMark/>
          </w:tcPr>
          <w:p w:rsidR="00D774AB" w:rsidRPr="00B84A84" w:rsidRDefault="00D774AB">
            <w:pPr>
              <w:jc w:val="both"/>
              <w:rPr>
                <w:sz w:val="20"/>
              </w:rPr>
            </w:pPr>
            <w:r w:rsidRPr="00B84A84">
              <w:rPr>
                <w:sz w:val="20"/>
              </w:rPr>
              <w:t>August 9, 2018</w:t>
            </w:r>
          </w:p>
          <w:p w:rsidR="00D774AB" w:rsidRPr="00B84A84" w:rsidRDefault="00D774AB">
            <w:pPr>
              <w:jc w:val="both"/>
              <w:rPr>
                <w:sz w:val="20"/>
              </w:rPr>
            </w:pPr>
            <w:r w:rsidRPr="00B84A84">
              <w:rPr>
                <w:sz w:val="20"/>
              </w:rPr>
              <w:t>Court of Queen’s Bench of Alberta</w:t>
            </w:r>
          </w:p>
          <w:p w:rsidR="00D774AB" w:rsidRPr="00B84A84" w:rsidRDefault="00D774AB">
            <w:pPr>
              <w:jc w:val="both"/>
              <w:rPr>
                <w:sz w:val="20"/>
              </w:rPr>
            </w:pPr>
            <w:r w:rsidRPr="00B84A84">
              <w:rPr>
                <w:sz w:val="20"/>
              </w:rPr>
              <w:t>(Nation J.)</w:t>
            </w:r>
          </w:p>
          <w:p w:rsidR="00D774AB" w:rsidRPr="00B84A84" w:rsidRDefault="005E1A49">
            <w:pPr>
              <w:jc w:val="both"/>
              <w:rPr>
                <w:sz w:val="20"/>
              </w:rPr>
            </w:pPr>
            <w:hyperlink r:id="rId27" w:history="1">
              <w:r w:rsidR="00D774AB" w:rsidRPr="00B84A84">
                <w:rPr>
                  <w:rStyle w:val="Hyperlink"/>
                  <w:sz w:val="20"/>
                </w:rPr>
                <w:t>2018 ABQB 591</w:t>
              </w:r>
            </w:hyperlink>
          </w:p>
          <w:p w:rsidR="00D774AB" w:rsidRPr="00B84A84" w:rsidRDefault="00D774AB">
            <w:pPr>
              <w:jc w:val="both"/>
              <w:rPr>
                <w:sz w:val="20"/>
              </w:rPr>
            </w:pPr>
            <w:r w:rsidRPr="00B84A84">
              <w:rPr>
                <w:sz w:val="20"/>
              </w:rPr>
              <w:t xml:space="preserve"> </w:t>
            </w:r>
          </w:p>
        </w:tc>
        <w:tc>
          <w:tcPr>
            <w:tcW w:w="243" w:type="pct"/>
          </w:tcPr>
          <w:p w:rsidR="00D774AB" w:rsidRPr="00B84A84" w:rsidRDefault="00D774AB">
            <w:pPr>
              <w:jc w:val="both"/>
              <w:rPr>
                <w:sz w:val="20"/>
              </w:rPr>
            </w:pPr>
          </w:p>
        </w:tc>
        <w:tc>
          <w:tcPr>
            <w:tcW w:w="2330" w:type="pct"/>
          </w:tcPr>
          <w:p w:rsidR="00D774AB" w:rsidRPr="00B84A84" w:rsidRDefault="00D774AB">
            <w:pPr>
              <w:jc w:val="both"/>
              <w:rPr>
                <w:sz w:val="20"/>
                <w:lang w:val="en"/>
              </w:rPr>
            </w:pPr>
            <w:r w:rsidRPr="00B84A84">
              <w:rPr>
                <w:sz w:val="20"/>
                <w:lang w:val="en"/>
              </w:rPr>
              <w:t>Application for judicial review dismissed</w:t>
            </w:r>
          </w:p>
          <w:p w:rsidR="00D774AB" w:rsidRPr="00B84A84" w:rsidRDefault="00D774AB">
            <w:pPr>
              <w:jc w:val="both"/>
              <w:rPr>
                <w:sz w:val="20"/>
                <w:lang w:val="en-US"/>
              </w:rPr>
            </w:pPr>
          </w:p>
        </w:tc>
      </w:tr>
      <w:tr w:rsidR="00D774AB" w:rsidRPr="00B84A84" w:rsidTr="00D774AB">
        <w:tc>
          <w:tcPr>
            <w:tcW w:w="2427" w:type="pct"/>
            <w:gridSpan w:val="2"/>
          </w:tcPr>
          <w:p w:rsidR="00D774AB" w:rsidRPr="00B84A84" w:rsidRDefault="00D774AB">
            <w:pPr>
              <w:jc w:val="both"/>
              <w:rPr>
                <w:sz w:val="20"/>
              </w:rPr>
            </w:pPr>
            <w:r w:rsidRPr="00B84A84">
              <w:rPr>
                <w:sz w:val="20"/>
              </w:rPr>
              <w:t>December 17, 2019</w:t>
            </w:r>
          </w:p>
          <w:p w:rsidR="00D774AB" w:rsidRPr="00B84A84" w:rsidRDefault="00D774AB">
            <w:pPr>
              <w:jc w:val="both"/>
              <w:rPr>
                <w:sz w:val="20"/>
              </w:rPr>
            </w:pPr>
            <w:r w:rsidRPr="00B84A84">
              <w:rPr>
                <w:sz w:val="20"/>
              </w:rPr>
              <w:t>Court of Appeal of Alberta (Calgary)</w:t>
            </w:r>
          </w:p>
          <w:p w:rsidR="00D774AB" w:rsidRPr="00B84A84" w:rsidRDefault="00D774AB">
            <w:pPr>
              <w:jc w:val="both"/>
              <w:rPr>
                <w:sz w:val="20"/>
              </w:rPr>
            </w:pPr>
            <w:r w:rsidRPr="00B84A84">
              <w:rPr>
                <w:sz w:val="20"/>
              </w:rPr>
              <w:t>(Watson, Greckol, Pentelechuk JJ.A.)</w:t>
            </w:r>
          </w:p>
          <w:p w:rsidR="00D774AB" w:rsidRPr="00B84A84" w:rsidRDefault="005E1A49">
            <w:pPr>
              <w:jc w:val="both"/>
              <w:rPr>
                <w:sz w:val="20"/>
              </w:rPr>
            </w:pPr>
            <w:hyperlink r:id="rId28" w:history="1">
              <w:r w:rsidR="00D774AB" w:rsidRPr="00B84A84">
                <w:rPr>
                  <w:rStyle w:val="Hyperlink"/>
                  <w:sz w:val="20"/>
                </w:rPr>
                <w:t>2019 ABCA 494</w:t>
              </w:r>
            </w:hyperlink>
            <w:r w:rsidR="00D774AB" w:rsidRPr="00B84A84">
              <w:rPr>
                <w:sz w:val="20"/>
              </w:rPr>
              <w:t xml:space="preserve">; </w:t>
            </w:r>
            <w:r w:rsidR="00D774AB" w:rsidRPr="00B84A84">
              <w:rPr>
                <w:sz w:val="20"/>
                <w:lang w:val="en"/>
              </w:rPr>
              <w:t>1801</w:t>
            </w:r>
            <w:r w:rsidR="00D774AB" w:rsidRPr="00B84A84">
              <w:rPr>
                <w:sz w:val="20"/>
                <w:lang w:val="en"/>
              </w:rPr>
              <w:noBreakHyphen/>
              <w:t>0280</w:t>
            </w:r>
            <w:r w:rsidR="00D774AB" w:rsidRPr="00B84A84">
              <w:rPr>
                <w:sz w:val="20"/>
                <w:lang w:val="en"/>
              </w:rPr>
              <w:noBreakHyphen/>
              <w:t>AC</w:t>
            </w:r>
          </w:p>
          <w:p w:rsidR="00D774AB" w:rsidRPr="00B84A84" w:rsidRDefault="00D774AB">
            <w:pPr>
              <w:jc w:val="both"/>
              <w:rPr>
                <w:sz w:val="20"/>
              </w:rPr>
            </w:pPr>
          </w:p>
        </w:tc>
        <w:tc>
          <w:tcPr>
            <w:tcW w:w="243" w:type="pct"/>
          </w:tcPr>
          <w:p w:rsidR="00D774AB" w:rsidRPr="00B84A84" w:rsidRDefault="00D774AB">
            <w:pPr>
              <w:jc w:val="both"/>
              <w:rPr>
                <w:sz w:val="20"/>
              </w:rPr>
            </w:pPr>
          </w:p>
        </w:tc>
        <w:tc>
          <w:tcPr>
            <w:tcW w:w="2330" w:type="pct"/>
            <w:hideMark/>
          </w:tcPr>
          <w:p w:rsidR="00D774AB" w:rsidRPr="00B84A84" w:rsidRDefault="00D774AB">
            <w:pPr>
              <w:jc w:val="both"/>
              <w:rPr>
                <w:sz w:val="20"/>
              </w:rPr>
            </w:pPr>
            <w:r w:rsidRPr="00B84A84">
              <w:rPr>
                <w:sz w:val="20"/>
              </w:rPr>
              <w:t>Appeal dismissed</w:t>
            </w:r>
          </w:p>
        </w:tc>
      </w:tr>
      <w:tr w:rsidR="00D774AB" w:rsidRPr="00B84A84" w:rsidTr="00D774AB">
        <w:tc>
          <w:tcPr>
            <w:tcW w:w="2427" w:type="pct"/>
            <w:gridSpan w:val="2"/>
            <w:hideMark/>
          </w:tcPr>
          <w:p w:rsidR="00D774AB" w:rsidRPr="00B84A84" w:rsidRDefault="00D774AB">
            <w:pPr>
              <w:jc w:val="both"/>
              <w:rPr>
                <w:sz w:val="20"/>
              </w:rPr>
            </w:pPr>
            <w:r w:rsidRPr="00B84A84">
              <w:rPr>
                <w:sz w:val="20"/>
              </w:rPr>
              <w:t>February 14, 2020</w:t>
            </w:r>
          </w:p>
          <w:p w:rsidR="00D774AB" w:rsidRPr="00B84A84" w:rsidRDefault="00D774AB">
            <w:pPr>
              <w:jc w:val="both"/>
              <w:rPr>
                <w:sz w:val="20"/>
              </w:rPr>
            </w:pPr>
            <w:r w:rsidRPr="00B84A84">
              <w:rPr>
                <w:sz w:val="20"/>
              </w:rPr>
              <w:t>Supreme Court of Canada</w:t>
            </w:r>
          </w:p>
        </w:tc>
        <w:tc>
          <w:tcPr>
            <w:tcW w:w="243" w:type="pct"/>
          </w:tcPr>
          <w:p w:rsidR="00D774AB" w:rsidRPr="00B84A84" w:rsidRDefault="00D774AB">
            <w:pPr>
              <w:jc w:val="both"/>
              <w:rPr>
                <w:sz w:val="20"/>
              </w:rPr>
            </w:pPr>
          </w:p>
        </w:tc>
        <w:tc>
          <w:tcPr>
            <w:tcW w:w="2330" w:type="pct"/>
          </w:tcPr>
          <w:p w:rsidR="00D774AB" w:rsidRPr="00B84A84" w:rsidRDefault="00D774AB">
            <w:pPr>
              <w:jc w:val="both"/>
              <w:rPr>
                <w:sz w:val="20"/>
              </w:rPr>
            </w:pPr>
            <w:r w:rsidRPr="00B84A84">
              <w:rPr>
                <w:sz w:val="20"/>
              </w:rPr>
              <w:t>Application for leave to appeal filed</w:t>
            </w:r>
          </w:p>
          <w:p w:rsidR="00D774AB" w:rsidRPr="00B84A84" w:rsidRDefault="00D774AB">
            <w:pPr>
              <w:jc w:val="both"/>
              <w:rPr>
                <w:sz w:val="20"/>
              </w:rPr>
            </w:pPr>
          </w:p>
        </w:tc>
      </w:tr>
    </w:tbl>
    <w:p w:rsidR="00D774AB" w:rsidRPr="00B84A84" w:rsidRDefault="00D774AB" w:rsidP="00D774AB">
      <w:pPr>
        <w:jc w:val="both"/>
        <w:rPr>
          <w:rFonts w:eastAsia="Times New Roman"/>
          <w:sz w:val="20"/>
          <w:szCs w:val="20"/>
        </w:rPr>
      </w:pPr>
    </w:p>
    <w:p w:rsidR="00D774AB" w:rsidRPr="00B84A84" w:rsidRDefault="005E1A49" w:rsidP="00D774AB">
      <w:pPr>
        <w:jc w:val="center"/>
        <w:rPr>
          <w:sz w:val="20"/>
        </w:rPr>
      </w:pPr>
      <w:r>
        <w:rPr>
          <w:sz w:val="20"/>
        </w:rPr>
        <w:pict>
          <v:rect id="_x0000_i1045" style="width:2in;height:.75pt" o:hrpct="0" o:hralign="center" o:hrstd="t" o:hrnoshade="t" o:hr="t" fillcolor="black [3213]" stroked="f"/>
        </w:pict>
      </w:r>
    </w:p>
    <w:p w:rsidR="00D774AB" w:rsidRPr="00B84A84" w:rsidRDefault="00D774AB" w:rsidP="00D774AB">
      <w:pPr>
        <w:jc w:val="both"/>
        <w:rPr>
          <w:sz w:val="20"/>
        </w:rPr>
      </w:pPr>
    </w:p>
    <w:p w:rsidR="000D573A" w:rsidRPr="00B84A84" w:rsidRDefault="000D573A">
      <w:r w:rsidRPr="00B84A84">
        <w:br w:type="page"/>
      </w:r>
    </w:p>
    <w:tbl>
      <w:tblPr>
        <w:tblW w:w="4950" w:type="pct"/>
        <w:tblCellMar>
          <w:left w:w="0" w:type="dxa"/>
          <w:bottom w:w="99" w:type="dxa"/>
          <w:right w:w="0" w:type="dxa"/>
        </w:tblCellMar>
        <w:tblLook w:val="04A0" w:firstRow="1" w:lastRow="0" w:firstColumn="1" w:lastColumn="0" w:noHBand="0" w:noVBand="1"/>
      </w:tblPr>
      <w:tblGrid>
        <w:gridCol w:w="1034"/>
        <w:gridCol w:w="3588"/>
        <w:gridCol w:w="463"/>
        <w:gridCol w:w="4438"/>
      </w:tblGrid>
      <w:tr w:rsidR="00D774AB" w:rsidRPr="00B84A84" w:rsidTr="00D774AB">
        <w:tc>
          <w:tcPr>
            <w:tcW w:w="543" w:type="pct"/>
            <w:hideMark/>
          </w:tcPr>
          <w:p w:rsidR="00D774AB" w:rsidRPr="00B84A84" w:rsidRDefault="00D774AB">
            <w:pPr>
              <w:jc w:val="both"/>
              <w:rPr>
                <w:sz w:val="20"/>
                <w:lang w:val="fr-CA"/>
              </w:rPr>
            </w:pPr>
            <w:r w:rsidRPr="00B84A84">
              <w:rPr>
                <w:rStyle w:val="SCCFileNumberChar"/>
                <w:sz w:val="20"/>
                <w:lang w:val="fr-CA"/>
              </w:rPr>
              <w:t>39071</w:t>
            </w:r>
          </w:p>
        </w:tc>
        <w:tc>
          <w:tcPr>
            <w:tcW w:w="4457" w:type="pct"/>
            <w:gridSpan w:val="3"/>
            <w:hideMark/>
          </w:tcPr>
          <w:p w:rsidR="00D774AB" w:rsidRPr="00B84A84" w:rsidRDefault="00D774AB">
            <w:pPr>
              <w:pStyle w:val="SCCLsocParty"/>
              <w:jc w:val="both"/>
              <w:rPr>
                <w:b/>
                <w:sz w:val="20"/>
                <w:szCs w:val="20"/>
              </w:rPr>
            </w:pPr>
            <w:r w:rsidRPr="00B84A84">
              <w:rPr>
                <w:b/>
                <w:sz w:val="20"/>
                <w:szCs w:val="20"/>
              </w:rPr>
              <w:t xml:space="preserve">Siksika Health Services c. </w:t>
            </w:r>
            <w:r w:rsidR="001647D0" w:rsidRPr="00B84A84">
              <w:rPr>
                <w:b/>
                <w:sz w:val="20"/>
                <w:szCs w:val="20"/>
              </w:rPr>
              <w:t>Association de la science de la santé de l’Alberta et Alberta Labour Relations Board</w:t>
            </w:r>
          </w:p>
          <w:p w:rsidR="00D774AB" w:rsidRPr="00B84A84" w:rsidRDefault="00D774AB">
            <w:pPr>
              <w:jc w:val="both"/>
              <w:rPr>
                <w:sz w:val="20"/>
                <w:szCs w:val="20"/>
                <w:lang w:val="fr-CA"/>
              </w:rPr>
            </w:pPr>
            <w:r w:rsidRPr="00B84A84">
              <w:rPr>
                <w:sz w:val="20"/>
                <w:lang w:val="fr-CA"/>
              </w:rPr>
              <w:t>(Alb.) (Civile) (Autorisation)</w:t>
            </w:r>
          </w:p>
        </w:tc>
      </w:tr>
      <w:tr w:rsidR="00DF7C80" w:rsidRPr="00840E69" w:rsidTr="00D774AB">
        <w:tc>
          <w:tcPr>
            <w:tcW w:w="5000" w:type="pct"/>
            <w:gridSpan w:val="4"/>
          </w:tcPr>
          <w:p w:rsidR="00DF7C80" w:rsidRPr="00B84A84" w:rsidRDefault="001647D0">
            <w:pPr>
              <w:jc w:val="both"/>
              <w:rPr>
                <w:sz w:val="20"/>
                <w:szCs w:val="20"/>
                <w:lang w:val="fr-CA"/>
              </w:rPr>
            </w:pPr>
            <w:r w:rsidRPr="00B84A84">
              <w:rPr>
                <w:sz w:val="20"/>
                <w:szCs w:val="20"/>
                <w:lang w:val="fr-CA"/>
              </w:rPr>
              <w:t xml:space="preserve">La demande d’autorisation d’appel de l’arrêt de la Cour d’appel de l’Alberta (Calgary), numéro 1801-0280-AC, 2019 ABCA 494, daté du 17 décembre 2019, est rejetée avec dépens </w:t>
            </w:r>
            <w:r w:rsidRPr="00B84A84">
              <w:rPr>
                <w:rFonts w:cs="Times New Roman"/>
                <w:sz w:val="20"/>
                <w:szCs w:val="20"/>
                <w:lang w:val="fr-CA"/>
              </w:rPr>
              <w:t>en faveur de</w:t>
            </w:r>
            <w:r w:rsidRPr="00B84A84">
              <w:rPr>
                <w:sz w:val="20"/>
                <w:szCs w:val="20"/>
                <w:lang w:val="fr-CA"/>
              </w:rPr>
              <w:t xml:space="preserve"> l’intimée, Association de la science de la santé de l’Alberta.</w:t>
            </w:r>
          </w:p>
          <w:p w:rsidR="001647D0" w:rsidRPr="00B84A84" w:rsidRDefault="001647D0">
            <w:pPr>
              <w:jc w:val="both"/>
              <w:rPr>
                <w:sz w:val="20"/>
                <w:lang w:val="fr-CA"/>
              </w:rPr>
            </w:pPr>
          </w:p>
        </w:tc>
      </w:tr>
      <w:tr w:rsidR="00D774AB" w:rsidRPr="00840E69" w:rsidTr="00D774AB">
        <w:tc>
          <w:tcPr>
            <w:tcW w:w="5000" w:type="pct"/>
            <w:gridSpan w:val="4"/>
            <w:hideMark/>
          </w:tcPr>
          <w:p w:rsidR="00D774AB" w:rsidRPr="00B84A84" w:rsidRDefault="00D774AB">
            <w:pPr>
              <w:jc w:val="both"/>
              <w:rPr>
                <w:sz w:val="20"/>
                <w:lang w:val="fr-CA"/>
              </w:rPr>
            </w:pPr>
            <w:r w:rsidRPr="00B84A84">
              <w:rPr>
                <w:sz w:val="20"/>
                <w:lang w:val="fr-CA"/>
              </w:rPr>
              <w:t>Droit administratif — Organismes et tribunaux administratifs — Compétence — Droit des Autochtones — Droits issus de traités — Relations du travail — Unités de négociation — La Première Nation a un droit issu de traité pour la prestation de services de santé — La commission provinciale des relations du travail accrédite l’agent de négociation pour les ambulanciers au service de l’autorité sanitaire de la Première Nation — La Province a</w:t>
            </w:r>
            <w:r w:rsidRPr="00B84A84">
              <w:rPr>
                <w:sz w:val="20"/>
                <w:lang w:val="fr-CA"/>
              </w:rPr>
              <w:noBreakHyphen/>
              <w:t>t</w:t>
            </w:r>
            <w:r w:rsidRPr="00B84A84">
              <w:rPr>
                <w:sz w:val="20"/>
                <w:lang w:val="fr-CA"/>
              </w:rPr>
              <w:noBreakHyphen/>
              <w:t>elle compétence? — Faut</w:t>
            </w:r>
            <w:r w:rsidRPr="00B84A84">
              <w:rPr>
                <w:sz w:val="20"/>
                <w:lang w:val="fr-CA"/>
              </w:rPr>
              <w:noBreakHyphen/>
              <w:t xml:space="preserve">il faire une distinction avec l’arrêt </w:t>
            </w:r>
            <w:r w:rsidRPr="00B84A84">
              <w:rPr>
                <w:i/>
                <w:color w:val="000000"/>
                <w:spacing w:val="-1"/>
                <w:sz w:val="20"/>
                <w:lang w:val="fr-CA"/>
              </w:rPr>
              <w:t>NIL/TU,O Child &amp; Family Services Society c. B.C. Government and Service Employees’ Union</w:t>
            </w:r>
            <w:r w:rsidRPr="00B84A84">
              <w:rPr>
                <w:color w:val="000000"/>
                <w:spacing w:val="-1"/>
                <w:sz w:val="20"/>
                <w:lang w:val="fr-CA"/>
              </w:rPr>
              <w:t xml:space="preserve">, </w:t>
            </w:r>
            <w:r w:rsidRPr="00B84A84">
              <w:rPr>
                <w:color w:val="000000"/>
                <w:sz w:val="20"/>
                <w:lang w:val="fr-CA"/>
              </w:rPr>
              <w:t xml:space="preserve">2010 CSC 45? </w:t>
            </w:r>
            <w:r w:rsidRPr="00B84A84">
              <w:rPr>
                <w:sz w:val="20"/>
                <w:lang w:val="fr-CA"/>
              </w:rPr>
              <w:t>— Y a</w:t>
            </w:r>
            <w:r w:rsidRPr="00B84A84">
              <w:rPr>
                <w:sz w:val="20"/>
                <w:lang w:val="fr-CA"/>
              </w:rPr>
              <w:noBreakHyphen/>
              <w:t>t</w:t>
            </w:r>
            <w:r w:rsidRPr="00B84A84">
              <w:rPr>
                <w:sz w:val="20"/>
                <w:lang w:val="fr-CA"/>
              </w:rPr>
              <w:noBreakHyphen/>
              <w:t>il jurisprudence contradictoire</w:t>
            </w:r>
            <w:r w:rsidRPr="00B84A84">
              <w:rPr>
                <w:color w:val="000000"/>
                <w:sz w:val="20"/>
                <w:lang w:val="fr-CA"/>
              </w:rPr>
              <w:t>?</w:t>
            </w:r>
          </w:p>
        </w:tc>
      </w:tr>
      <w:tr w:rsidR="00D774AB" w:rsidRPr="00B84A84" w:rsidTr="00D774AB">
        <w:tc>
          <w:tcPr>
            <w:tcW w:w="5000" w:type="pct"/>
            <w:gridSpan w:val="4"/>
          </w:tcPr>
          <w:p w:rsidR="00D774AB" w:rsidRPr="00B84A84" w:rsidRDefault="00D774AB">
            <w:pPr>
              <w:jc w:val="both"/>
              <w:rPr>
                <w:sz w:val="20"/>
                <w:lang w:val="fr-CA"/>
              </w:rPr>
            </w:pPr>
          </w:p>
          <w:p w:rsidR="00D774AB" w:rsidRPr="00B84A84" w:rsidRDefault="00D774AB">
            <w:pPr>
              <w:jc w:val="both"/>
              <w:rPr>
                <w:sz w:val="20"/>
                <w:lang w:val="fr-CA"/>
              </w:rPr>
            </w:pPr>
            <w:r w:rsidRPr="00B84A84">
              <w:rPr>
                <w:sz w:val="20"/>
                <w:lang w:val="fr-CA"/>
              </w:rPr>
              <w:t>Health Sciences Association of Alberta a présenté à l’Alberta Labour Relations Board une demande d’accréditation à titre d’agent de négociation pour les ambulanciers au service de Siksika Emergency Medical Services, une division de Siksika Health Services de la Siksika Nation. Les bulletins de vote d’accréditation favorisaient la syndicalisation. Siksika Health Services s’est opposée au motif que la Siksika Nation avait droit à des services de santé en vertu du Traité n</w:t>
            </w:r>
            <w:r w:rsidRPr="00B84A84">
              <w:rPr>
                <w:sz w:val="20"/>
                <w:vertAlign w:val="superscript"/>
                <w:lang w:val="fr-CA"/>
              </w:rPr>
              <w:t>o</w:t>
            </w:r>
            <w:r w:rsidRPr="00B84A84">
              <w:rPr>
                <w:spacing w:val="-1"/>
                <w:sz w:val="20"/>
                <w:lang w:val="fr-CA"/>
              </w:rPr>
              <w:t xml:space="preserve"> 7</w:t>
            </w:r>
            <w:r w:rsidRPr="00B84A84">
              <w:rPr>
                <w:sz w:val="20"/>
                <w:lang w:val="fr-CA"/>
              </w:rPr>
              <w:t xml:space="preserve">. Siksika Nation a soutenu qu’elle était un employeur relevant de la compétence fédérale et que ces questions de travail devaient être traitées sous le régime de la législation fédérale. L’Alberta Labour Relations Board a statué que Siksika Emergency Medical Services était une entreprise provinciale pour l’application du </w:t>
            </w:r>
            <w:r w:rsidRPr="00B84A84">
              <w:rPr>
                <w:i/>
                <w:color w:val="000000"/>
                <w:sz w:val="20"/>
                <w:lang w:val="fr-CA"/>
              </w:rPr>
              <w:t>Labour Relations Code</w:t>
            </w:r>
            <w:r w:rsidRPr="00B84A84">
              <w:rPr>
                <w:color w:val="000000"/>
                <w:sz w:val="20"/>
                <w:lang w:val="fr-CA"/>
              </w:rPr>
              <w:t>, RSA 2000, ch. L</w:t>
            </w:r>
            <w:r w:rsidRPr="00B84A84">
              <w:rPr>
                <w:color w:val="000000"/>
                <w:sz w:val="20"/>
                <w:lang w:val="fr-CA"/>
              </w:rPr>
              <w:noBreakHyphen/>
              <w:t>1</w:t>
            </w:r>
            <w:r w:rsidRPr="00B84A84">
              <w:rPr>
                <w:sz w:val="20"/>
                <w:lang w:val="fr-CA"/>
              </w:rPr>
              <w:t>. Elle a accrédité Health Sciences Association of Alberta comme l’agent de négociation pour les ambulanciers. La Cour du Banc de la Reine a rejeté la demande de contrôle judiciaire. La Cour d’appel a rejeté l’appel.</w:t>
            </w:r>
          </w:p>
        </w:tc>
      </w:tr>
      <w:tr w:rsidR="00D774AB" w:rsidRPr="00B84A84" w:rsidTr="00D774AB">
        <w:tc>
          <w:tcPr>
            <w:tcW w:w="5000" w:type="pct"/>
            <w:gridSpan w:val="4"/>
          </w:tcPr>
          <w:p w:rsidR="00D774AB" w:rsidRPr="00B84A84" w:rsidRDefault="00D774AB">
            <w:pPr>
              <w:jc w:val="both"/>
              <w:rPr>
                <w:sz w:val="20"/>
                <w:lang w:val="fr-CA"/>
              </w:rPr>
            </w:pPr>
          </w:p>
        </w:tc>
      </w:tr>
      <w:tr w:rsidR="00D774AB" w:rsidRPr="00B84A84" w:rsidTr="00D774AB">
        <w:tc>
          <w:tcPr>
            <w:tcW w:w="2427" w:type="pct"/>
            <w:gridSpan w:val="2"/>
          </w:tcPr>
          <w:p w:rsidR="00D774AB" w:rsidRPr="00B84A84" w:rsidRDefault="00D774AB">
            <w:pPr>
              <w:jc w:val="both"/>
              <w:rPr>
                <w:sz w:val="20"/>
                <w:lang w:val="fr-CA"/>
              </w:rPr>
            </w:pPr>
            <w:r w:rsidRPr="00B84A84">
              <w:rPr>
                <w:sz w:val="20"/>
                <w:lang w:val="fr-CA"/>
              </w:rPr>
              <w:t>2 juin 2017</w:t>
            </w:r>
          </w:p>
          <w:p w:rsidR="00D774AB" w:rsidRPr="00B84A84" w:rsidRDefault="00D774AB">
            <w:pPr>
              <w:jc w:val="both"/>
              <w:rPr>
                <w:sz w:val="20"/>
                <w:lang w:val="fr-CA"/>
              </w:rPr>
            </w:pPr>
            <w:r w:rsidRPr="00B84A84">
              <w:rPr>
                <w:sz w:val="20"/>
                <w:lang w:val="fr-CA"/>
              </w:rPr>
              <w:t>Alberta Labour Relations Board</w:t>
            </w:r>
          </w:p>
          <w:p w:rsidR="00D774AB" w:rsidRPr="00B84A84" w:rsidRDefault="00D774AB">
            <w:pPr>
              <w:jc w:val="both"/>
              <w:rPr>
                <w:sz w:val="20"/>
                <w:lang w:val="fr-CA"/>
              </w:rPr>
            </w:pPr>
            <w:r w:rsidRPr="00B84A84">
              <w:rPr>
                <w:sz w:val="20"/>
                <w:lang w:val="fr-CA"/>
              </w:rPr>
              <w:t>(Vice-présidente G. Gray, membres instructeurs M. Kozielec et P. Marsden)</w:t>
            </w:r>
          </w:p>
          <w:p w:rsidR="00D774AB" w:rsidRPr="00B84A84" w:rsidRDefault="00D774AB">
            <w:pPr>
              <w:jc w:val="both"/>
              <w:rPr>
                <w:sz w:val="20"/>
                <w:lang w:val="fr-CA"/>
              </w:rPr>
            </w:pPr>
          </w:p>
        </w:tc>
        <w:tc>
          <w:tcPr>
            <w:tcW w:w="243" w:type="pct"/>
          </w:tcPr>
          <w:p w:rsidR="00D774AB" w:rsidRPr="00B84A84" w:rsidRDefault="00D774AB">
            <w:pPr>
              <w:jc w:val="both"/>
              <w:rPr>
                <w:sz w:val="20"/>
                <w:lang w:val="fr-CA"/>
              </w:rPr>
            </w:pPr>
          </w:p>
        </w:tc>
        <w:tc>
          <w:tcPr>
            <w:tcW w:w="2330" w:type="pct"/>
          </w:tcPr>
          <w:p w:rsidR="00D774AB" w:rsidRPr="00B84A84" w:rsidRDefault="00D774AB">
            <w:pPr>
              <w:jc w:val="both"/>
              <w:rPr>
                <w:sz w:val="20"/>
                <w:lang w:val="fr-CA"/>
              </w:rPr>
            </w:pPr>
            <w:r w:rsidRPr="00B84A84">
              <w:rPr>
                <w:rFonts w:ascii="BauOT" w:hAnsi="BauOT" w:cs="Arial"/>
                <w:color w:val="333333"/>
                <w:sz w:val="20"/>
                <w:lang w:val="fr-CA"/>
              </w:rPr>
              <w:t>Accréditation de l’agent de négociation</w:t>
            </w:r>
          </w:p>
          <w:p w:rsidR="00D774AB" w:rsidRPr="00B84A84" w:rsidRDefault="00D774AB">
            <w:pPr>
              <w:jc w:val="both"/>
              <w:rPr>
                <w:sz w:val="20"/>
                <w:lang w:val="fr-CA"/>
              </w:rPr>
            </w:pPr>
          </w:p>
        </w:tc>
      </w:tr>
      <w:tr w:rsidR="00D774AB" w:rsidRPr="00840E69" w:rsidTr="00D774AB">
        <w:tc>
          <w:tcPr>
            <w:tcW w:w="2427" w:type="pct"/>
            <w:gridSpan w:val="2"/>
            <w:hideMark/>
          </w:tcPr>
          <w:p w:rsidR="00D774AB" w:rsidRPr="00B84A84" w:rsidRDefault="00D774AB">
            <w:pPr>
              <w:jc w:val="both"/>
              <w:rPr>
                <w:sz w:val="20"/>
                <w:lang w:val="fr-CA"/>
              </w:rPr>
            </w:pPr>
            <w:r w:rsidRPr="00B84A84">
              <w:rPr>
                <w:sz w:val="20"/>
                <w:lang w:val="fr-CA"/>
              </w:rPr>
              <w:t>9 août 2018</w:t>
            </w:r>
          </w:p>
          <w:p w:rsidR="00D774AB" w:rsidRPr="00B84A84" w:rsidRDefault="00D774AB">
            <w:pPr>
              <w:jc w:val="both"/>
              <w:rPr>
                <w:sz w:val="20"/>
                <w:lang w:val="fr-CA"/>
              </w:rPr>
            </w:pPr>
            <w:r w:rsidRPr="00B84A84">
              <w:rPr>
                <w:sz w:val="20"/>
                <w:lang w:val="fr-CA"/>
              </w:rPr>
              <w:t>Cour du Banc de la Reine de l’Alberta</w:t>
            </w:r>
          </w:p>
          <w:p w:rsidR="00D774AB" w:rsidRPr="00B84A84" w:rsidRDefault="00D774AB">
            <w:pPr>
              <w:jc w:val="both"/>
              <w:rPr>
                <w:sz w:val="20"/>
                <w:lang w:val="fr-CA"/>
              </w:rPr>
            </w:pPr>
            <w:r w:rsidRPr="00B84A84">
              <w:rPr>
                <w:sz w:val="20"/>
                <w:lang w:val="fr-CA"/>
              </w:rPr>
              <w:t>(Juge Nation)</w:t>
            </w:r>
          </w:p>
          <w:p w:rsidR="00D774AB" w:rsidRPr="00B84A84" w:rsidRDefault="005E1A49">
            <w:pPr>
              <w:jc w:val="both"/>
              <w:rPr>
                <w:sz w:val="20"/>
                <w:lang w:val="fr-CA"/>
              </w:rPr>
            </w:pPr>
            <w:hyperlink r:id="rId29" w:history="1">
              <w:r w:rsidR="00D774AB" w:rsidRPr="00B84A84">
                <w:rPr>
                  <w:rStyle w:val="Hyperlink"/>
                  <w:sz w:val="20"/>
                  <w:lang w:val="fr-CA"/>
                </w:rPr>
                <w:t>2018 ABQB 591</w:t>
              </w:r>
            </w:hyperlink>
          </w:p>
          <w:p w:rsidR="00D774AB" w:rsidRPr="00B84A84" w:rsidRDefault="00D774AB">
            <w:pPr>
              <w:jc w:val="both"/>
              <w:rPr>
                <w:sz w:val="20"/>
                <w:lang w:val="fr-CA"/>
              </w:rPr>
            </w:pPr>
            <w:r w:rsidRPr="00B84A84">
              <w:rPr>
                <w:sz w:val="20"/>
                <w:lang w:val="fr-CA"/>
              </w:rPr>
              <w:t xml:space="preserve"> </w:t>
            </w:r>
          </w:p>
        </w:tc>
        <w:tc>
          <w:tcPr>
            <w:tcW w:w="243" w:type="pct"/>
          </w:tcPr>
          <w:p w:rsidR="00D774AB" w:rsidRPr="00B84A84" w:rsidRDefault="00D774AB">
            <w:pPr>
              <w:jc w:val="both"/>
              <w:rPr>
                <w:sz w:val="20"/>
                <w:lang w:val="fr-CA"/>
              </w:rPr>
            </w:pPr>
          </w:p>
        </w:tc>
        <w:tc>
          <w:tcPr>
            <w:tcW w:w="2330" w:type="pct"/>
          </w:tcPr>
          <w:p w:rsidR="00D774AB" w:rsidRPr="00B84A84" w:rsidRDefault="00D774AB">
            <w:pPr>
              <w:jc w:val="both"/>
              <w:rPr>
                <w:sz w:val="20"/>
                <w:lang w:val="fr-CA"/>
              </w:rPr>
            </w:pPr>
            <w:r w:rsidRPr="00B84A84">
              <w:rPr>
                <w:sz w:val="20"/>
                <w:lang w:val="fr-CA"/>
              </w:rPr>
              <w:t>Rejet de la demande de contrôle judiciaire</w:t>
            </w:r>
          </w:p>
          <w:p w:rsidR="00D774AB" w:rsidRPr="00B84A84" w:rsidRDefault="00D774AB">
            <w:pPr>
              <w:jc w:val="both"/>
              <w:rPr>
                <w:sz w:val="20"/>
                <w:lang w:val="fr-CA"/>
              </w:rPr>
            </w:pPr>
          </w:p>
        </w:tc>
      </w:tr>
      <w:tr w:rsidR="00D774AB" w:rsidRPr="00B84A84" w:rsidTr="00D774AB">
        <w:tc>
          <w:tcPr>
            <w:tcW w:w="2427" w:type="pct"/>
            <w:gridSpan w:val="2"/>
          </w:tcPr>
          <w:p w:rsidR="00D774AB" w:rsidRPr="00B84A84" w:rsidRDefault="00D774AB">
            <w:pPr>
              <w:jc w:val="both"/>
              <w:rPr>
                <w:sz w:val="20"/>
                <w:lang w:val="fr-CA"/>
              </w:rPr>
            </w:pPr>
            <w:r w:rsidRPr="00B84A84">
              <w:rPr>
                <w:sz w:val="20"/>
                <w:lang w:val="fr-CA"/>
              </w:rPr>
              <w:t>17 décembre 2019</w:t>
            </w:r>
          </w:p>
          <w:p w:rsidR="00D774AB" w:rsidRPr="00B84A84" w:rsidRDefault="00D774AB">
            <w:pPr>
              <w:jc w:val="both"/>
              <w:rPr>
                <w:sz w:val="20"/>
                <w:lang w:val="fr-CA"/>
              </w:rPr>
            </w:pPr>
            <w:r w:rsidRPr="00B84A84">
              <w:rPr>
                <w:sz w:val="20"/>
                <w:lang w:val="fr-CA"/>
              </w:rPr>
              <w:t>Cour d’appel de l’Alberta (Calgary)</w:t>
            </w:r>
          </w:p>
          <w:p w:rsidR="00D774AB" w:rsidRPr="00B84A84" w:rsidRDefault="00D774AB">
            <w:pPr>
              <w:jc w:val="both"/>
              <w:rPr>
                <w:sz w:val="20"/>
                <w:lang w:val="fr-CA"/>
              </w:rPr>
            </w:pPr>
            <w:r w:rsidRPr="00B84A84">
              <w:rPr>
                <w:sz w:val="20"/>
                <w:lang w:val="fr-CA"/>
              </w:rPr>
              <w:t>(Juges Watson, Greckol et Pentelechuk)</w:t>
            </w:r>
          </w:p>
          <w:p w:rsidR="00D774AB" w:rsidRPr="00B84A84" w:rsidRDefault="005E1A49">
            <w:pPr>
              <w:jc w:val="both"/>
              <w:rPr>
                <w:sz w:val="20"/>
                <w:lang w:val="fr-CA"/>
              </w:rPr>
            </w:pPr>
            <w:hyperlink r:id="rId30" w:history="1">
              <w:r w:rsidR="00D774AB" w:rsidRPr="00B84A84">
                <w:rPr>
                  <w:rStyle w:val="Hyperlink"/>
                  <w:sz w:val="20"/>
                  <w:lang w:val="fr-CA"/>
                </w:rPr>
                <w:t>2019 ABCA 494</w:t>
              </w:r>
            </w:hyperlink>
            <w:r w:rsidR="00D774AB" w:rsidRPr="00B84A84">
              <w:rPr>
                <w:sz w:val="20"/>
                <w:lang w:val="fr-CA"/>
              </w:rPr>
              <w:t>; 1801</w:t>
            </w:r>
            <w:r w:rsidR="00D774AB" w:rsidRPr="00B84A84">
              <w:rPr>
                <w:sz w:val="20"/>
                <w:lang w:val="fr-CA"/>
              </w:rPr>
              <w:noBreakHyphen/>
              <w:t>0280</w:t>
            </w:r>
            <w:r w:rsidR="00D774AB" w:rsidRPr="00B84A84">
              <w:rPr>
                <w:sz w:val="20"/>
                <w:lang w:val="fr-CA"/>
              </w:rPr>
              <w:noBreakHyphen/>
              <w:t>AC</w:t>
            </w:r>
          </w:p>
          <w:p w:rsidR="00D774AB" w:rsidRPr="00B84A84" w:rsidRDefault="00D774AB">
            <w:pPr>
              <w:jc w:val="both"/>
              <w:rPr>
                <w:sz w:val="20"/>
                <w:lang w:val="fr-CA"/>
              </w:rPr>
            </w:pPr>
          </w:p>
        </w:tc>
        <w:tc>
          <w:tcPr>
            <w:tcW w:w="243" w:type="pct"/>
          </w:tcPr>
          <w:p w:rsidR="00D774AB" w:rsidRPr="00B84A84" w:rsidRDefault="00D774AB">
            <w:pPr>
              <w:jc w:val="both"/>
              <w:rPr>
                <w:sz w:val="20"/>
                <w:lang w:val="fr-CA"/>
              </w:rPr>
            </w:pPr>
          </w:p>
        </w:tc>
        <w:tc>
          <w:tcPr>
            <w:tcW w:w="2330" w:type="pct"/>
            <w:hideMark/>
          </w:tcPr>
          <w:p w:rsidR="00D774AB" w:rsidRPr="00B84A84" w:rsidRDefault="00D774AB">
            <w:pPr>
              <w:jc w:val="both"/>
              <w:rPr>
                <w:sz w:val="20"/>
                <w:lang w:val="fr-CA"/>
              </w:rPr>
            </w:pPr>
            <w:r w:rsidRPr="00B84A84">
              <w:rPr>
                <w:sz w:val="20"/>
                <w:lang w:val="fr-CA"/>
              </w:rPr>
              <w:t>Rejet de l’appel</w:t>
            </w:r>
          </w:p>
        </w:tc>
      </w:tr>
      <w:tr w:rsidR="00D774AB" w:rsidRPr="00840E69" w:rsidTr="00D774AB">
        <w:tc>
          <w:tcPr>
            <w:tcW w:w="2427" w:type="pct"/>
            <w:gridSpan w:val="2"/>
            <w:hideMark/>
          </w:tcPr>
          <w:p w:rsidR="00D774AB" w:rsidRPr="00B84A84" w:rsidRDefault="00D774AB">
            <w:pPr>
              <w:jc w:val="both"/>
              <w:rPr>
                <w:sz w:val="20"/>
                <w:lang w:val="fr-CA"/>
              </w:rPr>
            </w:pPr>
            <w:r w:rsidRPr="00B84A84">
              <w:rPr>
                <w:sz w:val="20"/>
                <w:lang w:val="fr-CA"/>
              </w:rPr>
              <w:t>14 février 2020</w:t>
            </w:r>
          </w:p>
          <w:p w:rsidR="00D774AB" w:rsidRPr="00B84A84" w:rsidRDefault="00D774AB">
            <w:pPr>
              <w:jc w:val="both"/>
              <w:rPr>
                <w:sz w:val="20"/>
                <w:lang w:val="fr-CA"/>
              </w:rPr>
            </w:pPr>
            <w:r w:rsidRPr="00B84A84">
              <w:rPr>
                <w:sz w:val="20"/>
                <w:lang w:val="fr-CA"/>
              </w:rPr>
              <w:t>Cour suprême du Canada</w:t>
            </w:r>
          </w:p>
        </w:tc>
        <w:tc>
          <w:tcPr>
            <w:tcW w:w="243" w:type="pct"/>
          </w:tcPr>
          <w:p w:rsidR="00D774AB" w:rsidRPr="00B84A84" w:rsidRDefault="00D774AB">
            <w:pPr>
              <w:jc w:val="both"/>
              <w:rPr>
                <w:sz w:val="20"/>
                <w:lang w:val="fr-CA"/>
              </w:rPr>
            </w:pPr>
          </w:p>
        </w:tc>
        <w:tc>
          <w:tcPr>
            <w:tcW w:w="2330" w:type="pct"/>
          </w:tcPr>
          <w:p w:rsidR="00D774AB" w:rsidRPr="00B84A84" w:rsidRDefault="00D774AB">
            <w:pPr>
              <w:jc w:val="both"/>
              <w:rPr>
                <w:sz w:val="20"/>
                <w:lang w:val="fr-CA"/>
              </w:rPr>
            </w:pPr>
            <w:r w:rsidRPr="00B84A84">
              <w:rPr>
                <w:sz w:val="20"/>
                <w:lang w:val="fr-CA"/>
              </w:rPr>
              <w:t>Dépôt de la demande d’autorisation d’appel</w:t>
            </w:r>
          </w:p>
          <w:p w:rsidR="00D774AB" w:rsidRPr="00B84A84" w:rsidRDefault="00D774AB">
            <w:pPr>
              <w:jc w:val="both"/>
              <w:rPr>
                <w:sz w:val="20"/>
                <w:lang w:val="fr-CA"/>
              </w:rPr>
            </w:pPr>
          </w:p>
        </w:tc>
      </w:tr>
    </w:tbl>
    <w:p w:rsidR="00D774AB" w:rsidRPr="00B84A84" w:rsidRDefault="00D774AB" w:rsidP="00D774AB">
      <w:pPr>
        <w:jc w:val="both"/>
        <w:rPr>
          <w:rFonts w:eastAsia="Times New Roman"/>
          <w:sz w:val="20"/>
          <w:szCs w:val="20"/>
          <w:lang w:val="fr-CA"/>
        </w:rPr>
      </w:pPr>
    </w:p>
    <w:p w:rsidR="00D774AB" w:rsidRPr="00B84A84" w:rsidRDefault="005E1A49" w:rsidP="00D774AB">
      <w:pPr>
        <w:jc w:val="center"/>
        <w:rPr>
          <w:sz w:val="20"/>
          <w:lang w:val="en-US"/>
        </w:rPr>
      </w:pPr>
      <w:r>
        <w:rPr>
          <w:sz w:val="20"/>
        </w:rPr>
        <w:pict>
          <v:rect id="_x0000_i1046" style="width:2in;height:.75pt" o:hrpct="0" o:hralign="center" o:hrstd="t" o:hrnoshade="t" o:hr="t" fillcolor="black [3213]" stroked="f"/>
        </w:pict>
      </w:r>
    </w:p>
    <w:p w:rsidR="00D774AB" w:rsidRPr="00B84A84" w:rsidRDefault="00D774AB" w:rsidP="00D774AB">
      <w:pPr>
        <w:widowControl w:val="0"/>
        <w:jc w:val="both"/>
        <w:rPr>
          <w:sz w:val="20"/>
          <w:lang w:val="fr-CA"/>
        </w:rPr>
      </w:pPr>
    </w:p>
    <w:tbl>
      <w:tblPr>
        <w:tblW w:w="4950" w:type="pct"/>
        <w:tblCellMar>
          <w:left w:w="0" w:type="dxa"/>
          <w:bottom w:w="99" w:type="dxa"/>
          <w:right w:w="0" w:type="dxa"/>
        </w:tblCellMar>
        <w:tblLook w:val="04A0" w:firstRow="1" w:lastRow="0" w:firstColumn="1" w:lastColumn="0" w:noHBand="0" w:noVBand="1"/>
      </w:tblPr>
      <w:tblGrid>
        <w:gridCol w:w="1034"/>
        <w:gridCol w:w="3588"/>
        <w:gridCol w:w="463"/>
        <w:gridCol w:w="4438"/>
      </w:tblGrid>
      <w:tr w:rsidR="00D774AB" w:rsidRPr="00B84A84" w:rsidTr="00D774AB">
        <w:tc>
          <w:tcPr>
            <w:tcW w:w="543" w:type="pct"/>
            <w:hideMark/>
          </w:tcPr>
          <w:p w:rsidR="00D774AB" w:rsidRPr="00B84A84" w:rsidRDefault="00D774AB">
            <w:pPr>
              <w:jc w:val="both"/>
              <w:rPr>
                <w:sz w:val="20"/>
              </w:rPr>
            </w:pPr>
            <w:r w:rsidRPr="00B84A84">
              <w:rPr>
                <w:rStyle w:val="SCCFileNumberChar"/>
                <w:sz w:val="20"/>
              </w:rPr>
              <w:t>39068</w:t>
            </w:r>
          </w:p>
        </w:tc>
        <w:tc>
          <w:tcPr>
            <w:tcW w:w="4457" w:type="pct"/>
            <w:gridSpan w:val="3"/>
            <w:hideMark/>
          </w:tcPr>
          <w:p w:rsidR="00D774AB" w:rsidRPr="00B84A84" w:rsidRDefault="00D774AB">
            <w:pPr>
              <w:pStyle w:val="SCCLsocParty"/>
              <w:jc w:val="both"/>
              <w:rPr>
                <w:b/>
                <w:sz w:val="20"/>
                <w:szCs w:val="20"/>
              </w:rPr>
            </w:pPr>
            <w:r w:rsidRPr="00B84A84">
              <w:rPr>
                <w:b/>
                <w:sz w:val="20"/>
                <w:szCs w:val="20"/>
              </w:rPr>
              <w:t>Claude Bouchard v. Conseil des écoles catholiques du Centre-Est</w:t>
            </w:r>
            <w:r w:rsidR="006907C0" w:rsidRPr="00B84A84">
              <w:rPr>
                <w:b/>
                <w:sz w:val="20"/>
                <w:szCs w:val="20"/>
              </w:rPr>
              <w:t xml:space="preserve"> and</w:t>
            </w:r>
            <w:r w:rsidRPr="00B84A84">
              <w:rPr>
                <w:b/>
                <w:sz w:val="20"/>
                <w:szCs w:val="20"/>
              </w:rPr>
              <w:t xml:space="preserve"> Jason Dupuis</w:t>
            </w:r>
          </w:p>
          <w:p w:rsidR="00D774AB" w:rsidRPr="00B84A84" w:rsidRDefault="00D774AB">
            <w:pPr>
              <w:jc w:val="both"/>
              <w:rPr>
                <w:sz w:val="20"/>
                <w:szCs w:val="20"/>
              </w:rPr>
            </w:pPr>
            <w:r w:rsidRPr="00B84A84">
              <w:rPr>
                <w:sz w:val="20"/>
              </w:rPr>
              <w:t>(Ont.) (Civil) (By Leave)</w:t>
            </w:r>
          </w:p>
        </w:tc>
      </w:tr>
      <w:tr w:rsidR="00DF7C80" w:rsidRPr="00B84A84" w:rsidTr="00D774AB">
        <w:tc>
          <w:tcPr>
            <w:tcW w:w="5000" w:type="pct"/>
            <w:gridSpan w:val="4"/>
          </w:tcPr>
          <w:p w:rsidR="006907C0" w:rsidRPr="00B84A84" w:rsidRDefault="006907C0" w:rsidP="006907C0">
            <w:pPr>
              <w:jc w:val="both"/>
              <w:rPr>
                <w:sz w:val="20"/>
                <w:szCs w:val="20"/>
              </w:rPr>
            </w:pPr>
            <w:r w:rsidRPr="00B84A84">
              <w:rPr>
                <w:sz w:val="20"/>
                <w:szCs w:val="20"/>
              </w:rPr>
              <w:t xml:space="preserve">The application for leave to appeal from the judgment of the </w:t>
            </w:r>
            <w:r w:rsidRPr="00B84A84">
              <w:rPr>
                <w:sz w:val="20"/>
                <w:szCs w:val="20"/>
                <w:lang w:val="en-US"/>
              </w:rPr>
              <w:t>Court of Appeal for Ontario</w:t>
            </w:r>
            <w:r w:rsidRPr="00B84A84">
              <w:rPr>
                <w:sz w:val="20"/>
                <w:szCs w:val="20"/>
              </w:rPr>
              <w:t xml:space="preserve">, Number </w:t>
            </w:r>
            <w:r w:rsidRPr="00B84A84">
              <w:rPr>
                <w:sz w:val="20"/>
                <w:szCs w:val="20"/>
                <w:lang w:val="en-US"/>
              </w:rPr>
              <w:t xml:space="preserve">C64821, 2019 ONCA 922, </w:t>
            </w:r>
            <w:r w:rsidRPr="00B84A84">
              <w:rPr>
                <w:sz w:val="20"/>
                <w:szCs w:val="20"/>
              </w:rPr>
              <w:t xml:space="preserve">dated </w:t>
            </w:r>
            <w:r w:rsidRPr="00B84A84">
              <w:rPr>
                <w:sz w:val="20"/>
                <w:szCs w:val="20"/>
                <w:lang w:val="en-US"/>
              </w:rPr>
              <w:t>November 14, 2019</w:t>
            </w:r>
            <w:r w:rsidRPr="00B84A84">
              <w:rPr>
                <w:sz w:val="20"/>
                <w:szCs w:val="20"/>
              </w:rPr>
              <w:t xml:space="preserve">, is dismissed with costs. </w:t>
            </w:r>
          </w:p>
          <w:p w:rsidR="00DF7C80" w:rsidRPr="00B84A84" w:rsidRDefault="00DF7C80">
            <w:pPr>
              <w:jc w:val="both"/>
              <w:rPr>
                <w:sz w:val="20"/>
              </w:rPr>
            </w:pPr>
          </w:p>
        </w:tc>
      </w:tr>
      <w:tr w:rsidR="00D774AB" w:rsidRPr="00B84A84" w:rsidTr="00D774AB">
        <w:tc>
          <w:tcPr>
            <w:tcW w:w="5000" w:type="pct"/>
            <w:gridSpan w:val="4"/>
            <w:hideMark/>
          </w:tcPr>
          <w:p w:rsidR="00D774AB" w:rsidRPr="00B84A84" w:rsidRDefault="00D774AB">
            <w:pPr>
              <w:jc w:val="both"/>
              <w:rPr>
                <w:sz w:val="20"/>
              </w:rPr>
            </w:pPr>
            <w:r w:rsidRPr="00B84A84">
              <w:rPr>
                <w:sz w:val="20"/>
              </w:rPr>
              <w:t xml:space="preserve">Employment law — Dismissal without cause — Inciting breach of contract — Insubordination — Cultural facilitator dismissed by school board after being disciplined for insubordination, disrespectful or unacceptable conduct and secret recording of meeting with school administration — Whether cultural facilitator’s conduct warranted dismissal — Whether school principal provoked breach of contract between cultural facilitator and school board </w:t>
            </w:r>
            <w:r w:rsidRPr="00B84A84">
              <w:rPr>
                <w:i/>
                <w:sz w:val="20"/>
              </w:rPr>
              <w:t>— Occupational Health and Safety Act</w:t>
            </w:r>
            <w:r w:rsidRPr="00B84A84">
              <w:rPr>
                <w:sz w:val="20"/>
              </w:rPr>
              <w:t xml:space="preserve">, R.S.O 1990, c. O.1, s. 32.0.7(1) — </w:t>
            </w:r>
            <w:r w:rsidRPr="00B84A84">
              <w:rPr>
                <w:i/>
                <w:sz w:val="20"/>
              </w:rPr>
              <w:t>Operation of Schools – General</w:t>
            </w:r>
            <w:r w:rsidRPr="00B84A84">
              <w:rPr>
                <w:sz w:val="20"/>
              </w:rPr>
              <w:t>,</w:t>
            </w:r>
            <w:r w:rsidRPr="00B84A84">
              <w:rPr>
                <w:i/>
                <w:sz w:val="20"/>
              </w:rPr>
              <w:t xml:space="preserve"> </w:t>
            </w:r>
            <w:r w:rsidRPr="00B84A84">
              <w:rPr>
                <w:sz w:val="20"/>
              </w:rPr>
              <w:t>R.R.O 1990, Reg. 298, s. 3(5.1).</w:t>
            </w:r>
          </w:p>
        </w:tc>
      </w:tr>
      <w:tr w:rsidR="00D774AB" w:rsidRPr="00B84A84" w:rsidTr="00D774AB">
        <w:tc>
          <w:tcPr>
            <w:tcW w:w="5000" w:type="pct"/>
            <w:gridSpan w:val="4"/>
          </w:tcPr>
          <w:p w:rsidR="00D774AB" w:rsidRPr="00B84A84" w:rsidRDefault="00D774AB">
            <w:pPr>
              <w:jc w:val="both"/>
              <w:rPr>
                <w:sz w:val="20"/>
              </w:rPr>
            </w:pPr>
          </w:p>
        </w:tc>
      </w:tr>
      <w:tr w:rsidR="00D774AB" w:rsidRPr="00B84A84" w:rsidTr="00D774AB">
        <w:tc>
          <w:tcPr>
            <w:tcW w:w="5000" w:type="pct"/>
            <w:gridSpan w:val="4"/>
          </w:tcPr>
          <w:p w:rsidR="00D774AB" w:rsidRPr="00B84A84" w:rsidRDefault="00D774AB">
            <w:pPr>
              <w:jc w:val="both"/>
              <w:rPr>
                <w:sz w:val="20"/>
              </w:rPr>
            </w:pPr>
            <w:r w:rsidRPr="00B84A84">
              <w:rPr>
                <w:sz w:val="20"/>
              </w:rPr>
              <w:t>The applicant, Claude Bouchard, held the position of cultural facilitator at École secondaire catholique Garneau for eight years. During that time, progressive formal disciplinary measures were taken against him for insubordination, disrespectful or unacceptable conduct and the secret recording of a meeting with the school administration. The Conseil des écoles catholiques du Centre</w:t>
            </w:r>
            <w:r w:rsidRPr="00B84A84">
              <w:rPr>
                <w:sz w:val="20"/>
              </w:rPr>
              <w:noBreakHyphen/>
              <w:t>Est (“school board”) ultimately dismissed Mr. Bouchard, alleging that it had good and sufficient cause. Mr. Bouchard sued the school board for dismissal without cause and Jason Dupuis, the school principal at the time, for inciting breach of contract. He denied the school board’s accusations and claimed that he had met all expectations for his role but that the school administration, with no expertise in cultural facilitation, had misinterpreted those expectations. The school board maintained that Mr. Bouchard had been insubordinate and unprofessional on many occasions and had refused to perform certain important tasks assigned to him in his position. Following a three</w:t>
            </w:r>
            <w:r w:rsidRPr="00B84A84">
              <w:rPr>
                <w:sz w:val="20"/>
              </w:rPr>
              <w:noBreakHyphen/>
              <w:t xml:space="preserve">week trial, the trial judge dismissed both actions. The Ontario Court of Appeal dismissed Mr. Bouchard’s appeal. </w:t>
            </w:r>
          </w:p>
          <w:p w:rsidR="00D774AB" w:rsidRPr="00B84A84" w:rsidRDefault="00D774AB">
            <w:pPr>
              <w:jc w:val="both"/>
              <w:rPr>
                <w:sz w:val="20"/>
              </w:rPr>
            </w:pPr>
          </w:p>
        </w:tc>
      </w:tr>
      <w:tr w:rsidR="00D774AB" w:rsidRPr="00B84A84" w:rsidTr="00D774AB">
        <w:tc>
          <w:tcPr>
            <w:tcW w:w="2427" w:type="pct"/>
            <w:gridSpan w:val="2"/>
          </w:tcPr>
          <w:p w:rsidR="00D774AB" w:rsidRPr="00B84A84" w:rsidRDefault="00D774AB">
            <w:pPr>
              <w:jc w:val="both"/>
              <w:rPr>
                <w:sz w:val="20"/>
              </w:rPr>
            </w:pPr>
            <w:r w:rsidRPr="00B84A84">
              <w:rPr>
                <w:sz w:val="20"/>
              </w:rPr>
              <w:t>December 5, 2017</w:t>
            </w:r>
          </w:p>
          <w:p w:rsidR="00D774AB" w:rsidRPr="00B84A84" w:rsidRDefault="00D774AB">
            <w:pPr>
              <w:jc w:val="both"/>
              <w:rPr>
                <w:sz w:val="20"/>
              </w:rPr>
            </w:pPr>
            <w:r w:rsidRPr="00B84A84">
              <w:rPr>
                <w:sz w:val="20"/>
              </w:rPr>
              <w:t>Ontario Superior Court of Justice</w:t>
            </w:r>
          </w:p>
          <w:p w:rsidR="00D774AB" w:rsidRPr="00B84A84" w:rsidRDefault="00D774AB">
            <w:pPr>
              <w:jc w:val="both"/>
              <w:rPr>
                <w:sz w:val="20"/>
              </w:rPr>
            </w:pPr>
            <w:r w:rsidRPr="00B84A84">
              <w:rPr>
                <w:sz w:val="20"/>
              </w:rPr>
              <w:t>(Gomery J.)</w:t>
            </w:r>
          </w:p>
          <w:p w:rsidR="00D774AB" w:rsidRPr="00B84A84" w:rsidRDefault="00D774AB">
            <w:pPr>
              <w:jc w:val="both"/>
              <w:rPr>
                <w:sz w:val="20"/>
              </w:rPr>
            </w:pPr>
            <w:r w:rsidRPr="00B84A84">
              <w:rPr>
                <w:sz w:val="20"/>
              </w:rPr>
              <w:t xml:space="preserve">2017 ONSC 7258 </w:t>
            </w:r>
          </w:p>
          <w:p w:rsidR="00D774AB" w:rsidRPr="00B84A84" w:rsidRDefault="00D774AB">
            <w:pPr>
              <w:jc w:val="both"/>
              <w:rPr>
                <w:sz w:val="20"/>
              </w:rPr>
            </w:pPr>
          </w:p>
        </w:tc>
        <w:tc>
          <w:tcPr>
            <w:tcW w:w="243" w:type="pct"/>
          </w:tcPr>
          <w:p w:rsidR="00D774AB" w:rsidRPr="00B84A84" w:rsidRDefault="00D774AB">
            <w:pPr>
              <w:jc w:val="both"/>
              <w:rPr>
                <w:sz w:val="20"/>
              </w:rPr>
            </w:pPr>
          </w:p>
        </w:tc>
        <w:tc>
          <w:tcPr>
            <w:tcW w:w="2330" w:type="pct"/>
            <w:hideMark/>
          </w:tcPr>
          <w:p w:rsidR="00D774AB" w:rsidRPr="00B84A84" w:rsidRDefault="00D774AB">
            <w:pPr>
              <w:jc w:val="both"/>
              <w:rPr>
                <w:sz w:val="20"/>
              </w:rPr>
            </w:pPr>
            <w:r w:rsidRPr="00B84A84">
              <w:rPr>
                <w:sz w:val="20"/>
              </w:rPr>
              <w:t>Mr. Bouchard’s action filed jointly against CECCE and Jason Dupuis dismissed in its entirety</w:t>
            </w:r>
          </w:p>
        </w:tc>
      </w:tr>
      <w:tr w:rsidR="00D774AB" w:rsidRPr="00B84A84" w:rsidTr="00D774AB">
        <w:tc>
          <w:tcPr>
            <w:tcW w:w="2427" w:type="pct"/>
            <w:gridSpan w:val="2"/>
          </w:tcPr>
          <w:p w:rsidR="00D774AB" w:rsidRPr="00B84A84" w:rsidRDefault="00D774AB">
            <w:pPr>
              <w:jc w:val="both"/>
              <w:rPr>
                <w:sz w:val="20"/>
              </w:rPr>
            </w:pPr>
            <w:r w:rsidRPr="00B84A84">
              <w:rPr>
                <w:sz w:val="20"/>
              </w:rPr>
              <w:t>February 16, 2018</w:t>
            </w:r>
          </w:p>
          <w:p w:rsidR="00D774AB" w:rsidRPr="00B84A84" w:rsidRDefault="00D774AB">
            <w:pPr>
              <w:jc w:val="both"/>
              <w:rPr>
                <w:sz w:val="20"/>
              </w:rPr>
            </w:pPr>
            <w:r w:rsidRPr="00B84A84">
              <w:rPr>
                <w:sz w:val="20"/>
              </w:rPr>
              <w:t>Ontario Superior Court of Justice</w:t>
            </w:r>
          </w:p>
          <w:p w:rsidR="00D774AB" w:rsidRPr="00B84A84" w:rsidRDefault="00D774AB">
            <w:pPr>
              <w:jc w:val="both"/>
              <w:rPr>
                <w:sz w:val="20"/>
              </w:rPr>
            </w:pPr>
            <w:r w:rsidRPr="00B84A84">
              <w:rPr>
                <w:sz w:val="20"/>
              </w:rPr>
              <w:t>(Gomery J.)</w:t>
            </w:r>
          </w:p>
          <w:p w:rsidR="00D774AB" w:rsidRPr="00B84A84" w:rsidRDefault="005E1A49">
            <w:pPr>
              <w:jc w:val="both"/>
              <w:rPr>
                <w:sz w:val="20"/>
              </w:rPr>
            </w:pPr>
            <w:hyperlink r:id="rId31" w:history="1">
              <w:r w:rsidR="00D774AB" w:rsidRPr="00B84A84">
                <w:rPr>
                  <w:rStyle w:val="Hyperlink"/>
                  <w:sz w:val="20"/>
                </w:rPr>
                <w:t>2018 ONSC 1129</w:t>
              </w:r>
            </w:hyperlink>
          </w:p>
          <w:p w:rsidR="00D774AB" w:rsidRPr="00B84A84" w:rsidRDefault="00D774AB">
            <w:pPr>
              <w:jc w:val="both"/>
              <w:rPr>
                <w:sz w:val="20"/>
              </w:rPr>
            </w:pPr>
          </w:p>
        </w:tc>
        <w:tc>
          <w:tcPr>
            <w:tcW w:w="243" w:type="pct"/>
          </w:tcPr>
          <w:p w:rsidR="00D774AB" w:rsidRPr="00B84A84" w:rsidRDefault="00D774AB">
            <w:pPr>
              <w:jc w:val="both"/>
              <w:rPr>
                <w:sz w:val="20"/>
              </w:rPr>
            </w:pPr>
          </w:p>
        </w:tc>
        <w:tc>
          <w:tcPr>
            <w:tcW w:w="2330" w:type="pct"/>
            <w:hideMark/>
          </w:tcPr>
          <w:p w:rsidR="00D774AB" w:rsidRPr="00B84A84" w:rsidRDefault="00D774AB">
            <w:pPr>
              <w:jc w:val="both"/>
              <w:rPr>
                <w:sz w:val="20"/>
              </w:rPr>
            </w:pPr>
            <w:r w:rsidRPr="00B84A84">
              <w:rPr>
                <w:sz w:val="20"/>
              </w:rPr>
              <w:t xml:space="preserve">Mr. Bouchard ordered to pay defendants $220,000 in costs </w:t>
            </w:r>
          </w:p>
        </w:tc>
      </w:tr>
      <w:tr w:rsidR="00D774AB" w:rsidRPr="00B84A84" w:rsidTr="00D774AB">
        <w:tc>
          <w:tcPr>
            <w:tcW w:w="2427" w:type="pct"/>
            <w:gridSpan w:val="2"/>
          </w:tcPr>
          <w:p w:rsidR="00D774AB" w:rsidRPr="00B84A84" w:rsidRDefault="00D774AB">
            <w:pPr>
              <w:jc w:val="both"/>
              <w:rPr>
                <w:sz w:val="20"/>
              </w:rPr>
            </w:pPr>
            <w:r w:rsidRPr="00B84A84">
              <w:rPr>
                <w:sz w:val="20"/>
              </w:rPr>
              <w:t>November 22, 2019</w:t>
            </w:r>
          </w:p>
          <w:p w:rsidR="00D774AB" w:rsidRPr="00B84A84" w:rsidRDefault="00D774AB">
            <w:pPr>
              <w:jc w:val="both"/>
              <w:rPr>
                <w:sz w:val="20"/>
              </w:rPr>
            </w:pPr>
            <w:r w:rsidRPr="00B84A84">
              <w:rPr>
                <w:sz w:val="20"/>
              </w:rPr>
              <w:t>Ontario Court of Appeal</w:t>
            </w:r>
          </w:p>
          <w:p w:rsidR="00D774AB" w:rsidRPr="00B84A84" w:rsidRDefault="00D774AB">
            <w:pPr>
              <w:jc w:val="both"/>
              <w:rPr>
                <w:sz w:val="20"/>
              </w:rPr>
            </w:pPr>
            <w:r w:rsidRPr="00B84A84">
              <w:rPr>
                <w:sz w:val="20"/>
              </w:rPr>
              <w:t>(Hoy, Roberts and Harvison Young JJ.A.)</w:t>
            </w:r>
          </w:p>
          <w:p w:rsidR="00D774AB" w:rsidRPr="00B84A84" w:rsidRDefault="005E1A49">
            <w:pPr>
              <w:jc w:val="both"/>
              <w:rPr>
                <w:sz w:val="20"/>
              </w:rPr>
            </w:pPr>
            <w:hyperlink r:id="rId32" w:history="1">
              <w:r w:rsidR="00D774AB" w:rsidRPr="00B84A84">
                <w:rPr>
                  <w:rStyle w:val="Hyperlink"/>
                  <w:sz w:val="20"/>
                </w:rPr>
                <w:t>2019 ONCA 922</w:t>
              </w:r>
            </w:hyperlink>
          </w:p>
          <w:p w:rsidR="00D774AB" w:rsidRPr="00B84A84" w:rsidRDefault="00D774AB">
            <w:pPr>
              <w:jc w:val="both"/>
              <w:rPr>
                <w:sz w:val="20"/>
              </w:rPr>
            </w:pPr>
          </w:p>
        </w:tc>
        <w:tc>
          <w:tcPr>
            <w:tcW w:w="243" w:type="pct"/>
          </w:tcPr>
          <w:p w:rsidR="00D774AB" w:rsidRPr="00B84A84" w:rsidRDefault="00D774AB">
            <w:pPr>
              <w:jc w:val="both"/>
              <w:rPr>
                <w:sz w:val="20"/>
              </w:rPr>
            </w:pPr>
          </w:p>
        </w:tc>
        <w:tc>
          <w:tcPr>
            <w:tcW w:w="2330" w:type="pct"/>
          </w:tcPr>
          <w:p w:rsidR="00D774AB" w:rsidRPr="00B84A84" w:rsidRDefault="00D774AB">
            <w:pPr>
              <w:jc w:val="both"/>
              <w:rPr>
                <w:sz w:val="20"/>
              </w:rPr>
            </w:pPr>
            <w:r w:rsidRPr="00B84A84">
              <w:rPr>
                <w:sz w:val="20"/>
              </w:rPr>
              <w:t xml:space="preserve">Mr. Bouchard’s appeal from trial judge’s decision dismissing his action for dismissal without cause dismissed </w:t>
            </w:r>
          </w:p>
          <w:p w:rsidR="00D774AB" w:rsidRPr="00B84A84" w:rsidRDefault="00D774AB">
            <w:pPr>
              <w:jc w:val="both"/>
              <w:rPr>
                <w:sz w:val="20"/>
              </w:rPr>
            </w:pPr>
          </w:p>
        </w:tc>
      </w:tr>
      <w:tr w:rsidR="00D774AB" w:rsidRPr="00B84A84" w:rsidTr="00D774AB">
        <w:tc>
          <w:tcPr>
            <w:tcW w:w="2427" w:type="pct"/>
            <w:gridSpan w:val="2"/>
            <w:hideMark/>
          </w:tcPr>
          <w:p w:rsidR="00D774AB" w:rsidRPr="00B84A84" w:rsidRDefault="00D774AB">
            <w:pPr>
              <w:jc w:val="both"/>
              <w:rPr>
                <w:sz w:val="20"/>
              </w:rPr>
            </w:pPr>
            <w:r w:rsidRPr="00B84A84">
              <w:rPr>
                <w:sz w:val="20"/>
              </w:rPr>
              <w:t>January 13, 2020</w:t>
            </w:r>
          </w:p>
          <w:p w:rsidR="00D774AB" w:rsidRPr="00B84A84" w:rsidRDefault="00D774AB">
            <w:pPr>
              <w:jc w:val="both"/>
              <w:rPr>
                <w:sz w:val="20"/>
              </w:rPr>
            </w:pPr>
            <w:r w:rsidRPr="00B84A84">
              <w:rPr>
                <w:sz w:val="20"/>
              </w:rPr>
              <w:t>Supreme Court of Canada</w:t>
            </w:r>
          </w:p>
        </w:tc>
        <w:tc>
          <w:tcPr>
            <w:tcW w:w="243" w:type="pct"/>
          </w:tcPr>
          <w:p w:rsidR="00D774AB" w:rsidRPr="00B84A84" w:rsidRDefault="00D774AB">
            <w:pPr>
              <w:jc w:val="both"/>
              <w:rPr>
                <w:sz w:val="20"/>
              </w:rPr>
            </w:pPr>
          </w:p>
        </w:tc>
        <w:tc>
          <w:tcPr>
            <w:tcW w:w="2330" w:type="pct"/>
          </w:tcPr>
          <w:p w:rsidR="00D774AB" w:rsidRPr="00B84A84" w:rsidRDefault="00D774AB">
            <w:pPr>
              <w:jc w:val="both"/>
              <w:rPr>
                <w:sz w:val="20"/>
              </w:rPr>
            </w:pPr>
            <w:r w:rsidRPr="00B84A84">
              <w:rPr>
                <w:sz w:val="20"/>
              </w:rPr>
              <w:t>Application for leave to appeal filed</w:t>
            </w:r>
          </w:p>
          <w:p w:rsidR="00D774AB" w:rsidRPr="00B84A84" w:rsidRDefault="00D774AB">
            <w:pPr>
              <w:jc w:val="both"/>
              <w:rPr>
                <w:sz w:val="20"/>
              </w:rPr>
            </w:pPr>
          </w:p>
        </w:tc>
      </w:tr>
    </w:tbl>
    <w:p w:rsidR="00D774AB" w:rsidRPr="00B84A84" w:rsidRDefault="00D774AB" w:rsidP="00D774AB">
      <w:pPr>
        <w:jc w:val="both"/>
        <w:rPr>
          <w:rFonts w:eastAsia="Times New Roman"/>
          <w:sz w:val="20"/>
          <w:szCs w:val="20"/>
        </w:rPr>
      </w:pPr>
    </w:p>
    <w:p w:rsidR="00D774AB" w:rsidRPr="00B84A84" w:rsidRDefault="005E1A49" w:rsidP="00D774AB">
      <w:pPr>
        <w:jc w:val="center"/>
        <w:rPr>
          <w:sz w:val="20"/>
          <w:lang w:val="en-US"/>
        </w:rPr>
      </w:pPr>
      <w:r>
        <w:rPr>
          <w:sz w:val="20"/>
        </w:rPr>
        <w:pict>
          <v:rect id="_x0000_i1047" style="width:2in;height:.75pt" o:hrpct="0" o:hralign="center" o:hrstd="t" o:hrnoshade="t" o:hr="t" fillcolor="black [3213]" stroked="f"/>
        </w:pict>
      </w:r>
    </w:p>
    <w:p w:rsidR="00D774AB" w:rsidRPr="00B84A84" w:rsidRDefault="00D774AB" w:rsidP="00D774AB">
      <w:pPr>
        <w:jc w:val="both"/>
        <w:rPr>
          <w:sz w:val="20"/>
        </w:rPr>
      </w:pPr>
    </w:p>
    <w:tbl>
      <w:tblPr>
        <w:tblW w:w="4950" w:type="pct"/>
        <w:tblCellMar>
          <w:left w:w="0" w:type="dxa"/>
          <w:bottom w:w="99" w:type="dxa"/>
          <w:right w:w="0" w:type="dxa"/>
        </w:tblCellMar>
        <w:tblLook w:val="04A0" w:firstRow="1" w:lastRow="0" w:firstColumn="1" w:lastColumn="0" w:noHBand="0" w:noVBand="1"/>
      </w:tblPr>
      <w:tblGrid>
        <w:gridCol w:w="1034"/>
        <w:gridCol w:w="3588"/>
        <w:gridCol w:w="463"/>
        <w:gridCol w:w="4438"/>
      </w:tblGrid>
      <w:tr w:rsidR="00D774AB" w:rsidRPr="00B84A84" w:rsidTr="00D774AB">
        <w:tc>
          <w:tcPr>
            <w:tcW w:w="543" w:type="pct"/>
            <w:hideMark/>
          </w:tcPr>
          <w:p w:rsidR="00D774AB" w:rsidRPr="00B84A84" w:rsidRDefault="00D774AB">
            <w:pPr>
              <w:jc w:val="both"/>
              <w:rPr>
                <w:sz w:val="20"/>
                <w:lang w:val="en-US"/>
              </w:rPr>
            </w:pPr>
            <w:r w:rsidRPr="00B84A84">
              <w:rPr>
                <w:rStyle w:val="SCCFileNumberChar"/>
                <w:sz w:val="20"/>
              </w:rPr>
              <w:t>39068</w:t>
            </w:r>
          </w:p>
        </w:tc>
        <w:tc>
          <w:tcPr>
            <w:tcW w:w="4457" w:type="pct"/>
            <w:gridSpan w:val="3"/>
            <w:hideMark/>
          </w:tcPr>
          <w:p w:rsidR="00D774AB" w:rsidRPr="00B84A84" w:rsidRDefault="00D774AB">
            <w:pPr>
              <w:pStyle w:val="SCCLsocParty"/>
              <w:jc w:val="both"/>
              <w:rPr>
                <w:b/>
                <w:sz w:val="20"/>
                <w:szCs w:val="20"/>
              </w:rPr>
            </w:pPr>
            <w:r w:rsidRPr="00B84A84">
              <w:rPr>
                <w:b/>
                <w:sz w:val="20"/>
                <w:szCs w:val="20"/>
              </w:rPr>
              <w:t>Claude Bouchard c. Conseil des écoles catholiques du Centre-Est</w:t>
            </w:r>
            <w:r w:rsidR="006907C0" w:rsidRPr="00B84A84">
              <w:rPr>
                <w:b/>
                <w:sz w:val="20"/>
                <w:szCs w:val="20"/>
              </w:rPr>
              <w:t xml:space="preserve"> et</w:t>
            </w:r>
            <w:r w:rsidRPr="00B84A84">
              <w:rPr>
                <w:b/>
                <w:sz w:val="20"/>
                <w:szCs w:val="20"/>
              </w:rPr>
              <w:t xml:space="preserve"> Jason Dupuis</w:t>
            </w:r>
          </w:p>
          <w:p w:rsidR="00D774AB" w:rsidRPr="00B84A84" w:rsidRDefault="00D774AB">
            <w:pPr>
              <w:jc w:val="both"/>
              <w:rPr>
                <w:sz w:val="20"/>
                <w:szCs w:val="20"/>
              </w:rPr>
            </w:pPr>
            <w:r w:rsidRPr="00B84A84">
              <w:rPr>
                <w:sz w:val="20"/>
              </w:rPr>
              <w:t>(Ont.) (Civile) (Autorisation)</w:t>
            </w:r>
          </w:p>
        </w:tc>
      </w:tr>
      <w:tr w:rsidR="00DF7C80" w:rsidRPr="00840E69" w:rsidTr="00D774AB">
        <w:tc>
          <w:tcPr>
            <w:tcW w:w="5000" w:type="pct"/>
            <w:gridSpan w:val="4"/>
          </w:tcPr>
          <w:p w:rsidR="006907C0" w:rsidRPr="00B84A84" w:rsidRDefault="006907C0" w:rsidP="006907C0">
            <w:pPr>
              <w:jc w:val="both"/>
              <w:rPr>
                <w:sz w:val="20"/>
                <w:szCs w:val="20"/>
                <w:lang w:val="fr-CA"/>
              </w:rPr>
            </w:pPr>
            <w:r w:rsidRPr="00B84A84">
              <w:rPr>
                <w:sz w:val="20"/>
                <w:szCs w:val="20"/>
                <w:lang w:val="fr-CA"/>
              </w:rPr>
              <w:t>La demande d’autorisation d’appel de l’arrêt de la Cour d’appel de l’Ontario, numéro C64821, 2019 ONCA 922, daté du 14 novembre 2019, est rejetée avec dépens.</w:t>
            </w:r>
          </w:p>
          <w:p w:rsidR="00DF7C80" w:rsidRPr="00B84A84" w:rsidRDefault="00DF7C80">
            <w:pPr>
              <w:jc w:val="both"/>
              <w:rPr>
                <w:sz w:val="20"/>
                <w:lang w:val="fr-CA"/>
              </w:rPr>
            </w:pPr>
          </w:p>
        </w:tc>
      </w:tr>
      <w:tr w:rsidR="00D774AB" w:rsidRPr="00B84A84" w:rsidTr="00D774AB">
        <w:tc>
          <w:tcPr>
            <w:tcW w:w="5000" w:type="pct"/>
            <w:gridSpan w:val="4"/>
            <w:hideMark/>
          </w:tcPr>
          <w:p w:rsidR="00D774AB" w:rsidRPr="00B84A84" w:rsidRDefault="00D774AB">
            <w:pPr>
              <w:jc w:val="both"/>
              <w:rPr>
                <w:sz w:val="20"/>
                <w:lang w:val="fr-CA"/>
              </w:rPr>
            </w:pPr>
            <w:r w:rsidRPr="00B84A84">
              <w:rPr>
                <w:sz w:val="20"/>
                <w:lang w:val="fr-CA"/>
              </w:rPr>
              <w:t>Droit de l’emploi — Congédiement sans cause — Incitation au bris de contrat — Insubordination — Animateur culturel congédié par le Conseil scolaire après avoir fait l’objet de mesures disciplinaires pour insubordination, comportement irrespectueux ou inacceptable et enregistrement clandestin d’une rencontre avec la direction de l’École — Est</w:t>
            </w:r>
            <w:r w:rsidRPr="00B84A84">
              <w:rPr>
                <w:sz w:val="20"/>
                <w:lang w:val="fr-CA"/>
              </w:rPr>
              <w:noBreakHyphen/>
              <w:t>ce que le comportement de l’Animateur culturel a justifié son congédiement? — Est</w:t>
            </w:r>
            <w:r w:rsidRPr="00B84A84">
              <w:rPr>
                <w:sz w:val="20"/>
                <w:lang w:val="fr-CA"/>
              </w:rPr>
              <w:noBreakHyphen/>
              <w:t xml:space="preserve">ce que le directeur de l’école a provoqué le bris du contrat entre l’animateur culturel et le Conseil? </w:t>
            </w:r>
            <w:r w:rsidRPr="00B84A84">
              <w:rPr>
                <w:i/>
                <w:sz w:val="20"/>
                <w:lang w:val="fr-CA"/>
              </w:rPr>
              <w:t>— Loi sur la santé et la sécurité au travail,</w:t>
            </w:r>
            <w:r w:rsidRPr="00B84A84">
              <w:rPr>
                <w:sz w:val="20"/>
                <w:lang w:val="fr-CA"/>
              </w:rPr>
              <w:t xml:space="preserve"> L.R.O 1990 c. O.1, para. 32.07(1) — </w:t>
            </w:r>
            <w:r w:rsidRPr="00B84A84">
              <w:rPr>
                <w:i/>
                <w:sz w:val="20"/>
                <w:lang w:val="fr-CA"/>
              </w:rPr>
              <w:t xml:space="preserve">Loi sur l’éducation, </w:t>
            </w:r>
            <w:r w:rsidRPr="00B84A84">
              <w:rPr>
                <w:sz w:val="20"/>
                <w:lang w:val="fr-CA"/>
              </w:rPr>
              <w:t>L.R.O 1990, c. E.2 para 3(5.1).</w:t>
            </w:r>
          </w:p>
        </w:tc>
      </w:tr>
      <w:tr w:rsidR="00D774AB" w:rsidRPr="00B84A84" w:rsidTr="00D774AB">
        <w:tc>
          <w:tcPr>
            <w:tcW w:w="5000" w:type="pct"/>
            <w:gridSpan w:val="4"/>
          </w:tcPr>
          <w:p w:rsidR="00D774AB" w:rsidRPr="00B84A84" w:rsidRDefault="00D774AB">
            <w:pPr>
              <w:jc w:val="both"/>
              <w:rPr>
                <w:sz w:val="20"/>
                <w:lang w:val="fr-CA"/>
              </w:rPr>
            </w:pPr>
          </w:p>
        </w:tc>
      </w:tr>
      <w:tr w:rsidR="00D774AB" w:rsidRPr="00840E69" w:rsidTr="00D774AB">
        <w:tc>
          <w:tcPr>
            <w:tcW w:w="5000" w:type="pct"/>
            <w:gridSpan w:val="4"/>
          </w:tcPr>
          <w:p w:rsidR="00D774AB" w:rsidRPr="00B84A84" w:rsidRDefault="00D774AB">
            <w:pPr>
              <w:jc w:val="both"/>
              <w:rPr>
                <w:sz w:val="20"/>
                <w:lang w:val="fr-CA"/>
              </w:rPr>
            </w:pPr>
            <w:r w:rsidRPr="00B84A84">
              <w:rPr>
                <w:sz w:val="20"/>
                <w:lang w:val="fr-CA"/>
              </w:rPr>
              <w:t>Le demandeur, M. Claude Bouchard, a occupé le poste d’animateur culturel à l’École secondaire catholique Garneau pendant huit ans. Pendant cette période, M. Bouchard a fait l’objet de mesures disciplinaires formelles et progressives pour insubordination, comportement irrespectueux ou inacceptable et enregistrement clandestin d’une rencontre avec la direction de l’École. Le Conseil des écoles catholiques du Centre</w:t>
            </w:r>
            <w:r w:rsidRPr="00B84A84">
              <w:rPr>
                <w:sz w:val="20"/>
                <w:lang w:val="fr-CA"/>
              </w:rPr>
              <w:noBreakHyphen/>
              <w:t xml:space="preserve">Est a ultimement congédié M. Bouchard, en alléguant cause juste et suffisante M. Bouchard a intenté une poursuite contre le Conseil pour congédiement sans cause, et contre, Jason Dupuis, le directeur de l’École à l’époque pour incitation au bris de contrat. Ce dernier a nié accusations du Conseil et revendiquant qu’il avait rencontré toutes les attentes de son rôle, mais que la direction de l’École, n’ayant aucune expertise en animation culturelle, les a mal interprétées. Le Conseil, pour sa part, a maintenu que M. Bouchard avait à maintes reprises fait preuve d’insubordination et de manque de professionnalisme, et qu’il avait refusé d’exécuter certaines tâches assignées et importantes de son poste. Suite à un procès de trois semaines, la juge du procès a rejeté les deux actions. La Cour d’appel de l’Ontario a rejeté l’appel de M. Bouchard. </w:t>
            </w:r>
          </w:p>
          <w:p w:rsidR="00D774AB" w:rsidRPr="00B84A84" w:rsidRDefault="00D774AB">
            <w:pPr>
              <w:jc w:val="both"/>
              <w:rPr>
                <w:sz w:val="20"/>
                <w:lang w:val="fr-CA"/>
              </w:rPr>
            </w:pPr>
          </w:p>
        </w:tc>
      </w:tr>
      <w:tr w:rsidR="00D774AB" w:rsidRPr="00840E69" w:rsidTr="00D774AB">
        <w:tc>
          <w:tcPr>
            <w:tcW w:w="2427" w:type="pct"/>
            <w:gridSpan w:val="2"/>
          </w:tcPr>
          <w:p w:rsidR="00D774AB" w:rsidRPr="00B84A84" w:rsidRDefault="00D774AB">
            <w:pPr>
              <w:jc w:val="both"/>
              <w:rPr>
                <w:sz w:val="20"/>
                <w:lang w:val="fr-CA"/>
              </w:rPr>
            </w:pPr>
            <w:r w:rsidRPr="00B84A84">
              <w:rPr>
                <w:sz w:val="20"/>
                <w:lang w:val="fr-CA"/>
              </w:rPr>
              <w:t>Le 5 décembre 2017</w:t>
            </w:r>
          </w:p>
          <w:p w:rsidR="00D774AB" w:rsidRPr="00B84A84" w:rsidRDefault="00D774AB">
            <w:pPr>
              <w:jc w:val="both"/>
              <w:rPr>
                <w:sz w:val="20"/>
                <w:lang w:val="fr-CA"/>
              </w:rPr>
            </w:pPr>
            <w:r w:rsidRPr="00B84A84">
              <w:rPr>
                <w:sz w:val="20"/>
                <w:lang w:val="fr-CA"/>
              </w:rPr>
              <w:t>Cour supérieure de justice de l’Ontario</w:t>
            </w:r>
          </w:p>
          <w:p w:rsidR="00D774AB" w:rsidRPr="00B84A84" w:rsidRDefault="00D774AB">
            <w:pPr>
              <w:jc w:val="both"/>
              <w:rPr>
                <w:sz w:val="20"/>
                <w:lang w:val="en-US"/>
              </w:rPr>
            </w:pPr>
            <w:r w:rsidRPr="00B84A84">
              <w:rPr>
                <w:sz w:val="20"/>
              </w:rPr>
              <w:t>(La juge Gomery)</w:t>
            </w:r>
          </w:p>
          <w:p w:rsidR="00D774AB" w:rsidRPr="00B84A84" w:rsidRDefault="00D774AB">
            <w:pPr>
              <w:jc w:val="both"/>
              <w:rPr>
                <w:sz w:val="20"/>
              </w:rPr>
            </w:pPr>
            <w:r w:rsidRPr="00B84A84">
              <w:rPr>
                <w:sz w:val="20"/>
              </w:rPr>
              <w:t xml:space="preserve">2017 ONSC 7258 </w:t>
            </w:r>
          </w:p>
          <w:p w:rsidR="00D774AB" w:rsidRPr="00B84A84" w:rsidRDefault="00D774AB">
            <w:pPr>
              <w:jc w:val="both"/>
              <w:rPr>
                <w:sz w:val="20"/>
              </w:rPr>
            </w:pPr>
          </w:p>
        </w:tc>
        <w:tc>
          <w:tcPr>
            <w:tcW w:w="243" w:type="pct"/>
          </w:tcPr>
          <w:p w:rsidR="00D774AB" w:rsidRPr="00B84A84" w:rsidRDefault="00D774AB">
            <w:pPr>
              <w:jc w:val="both"/>
              <w:rPr>
                <w:sz w:val="20"/>
              </w:rPr>
            </w:pPr>
          </w:p>
        </w:tc>
        <w:tc>
          <w:tcPr>
            <w:tcW w:w="2330" w:type="pct"/>
            <w:hideMark/>
          </w:tcPr>
          <w:p w:rsidR="00D774AB" w:rsidRPr="00B84A84" w:rsidRDefault="00D774AB">
            <w:pPr>
              <w:jc w:val="both"/>
              <w:rPr>
                <w:sz w:val="20"/>
                <w:lang w:val="fr-CA"/>
              </w:rPr>
            </w:pPr>
            <w:r w:rsidRPr="00B84A84">
              <w:rPr>
                <w:sz w:val="20"/>
                <w:lang w:val="fr-CA"/>
              </w:rPr>
              <w:t>Le tribunal ordonne et juge que l’action de M. Bouchard déposée conjointement entre le CECCE et M. Jason Dupuis est rejetée dans son ensemble.</w:t>
            </w:r>
          </w:p>
        </w:tc>
      </w:tr>
      <w:tr w:rsidR="00D774AB" w:rsidRPr="00840E69" w:rsidTr="00D774AB">
        <w:tc>
          <w:tcPr>
            <w:tcW w:w="2427" w:type="pct"/>
            <w:gridSpan w:val="2"/>
          </w:tcPr>
          <w:p w:rsidR="00D774AB" w:rsidRPr="00B84A84" w:rsidRDefault="00D774AB">
            <w:pPr>
              <w:jc w:val="both"/>
              <w:rPr>
                <w:sz w:val="20"/>
                <w:lang w:val="fr-CA"/>
              </w:rPr>
            </w:pPr>
            <w:r w:rsidRPr="00B84A84">
              <w:rPr>
                <w:sz w:val="20"/>
                <w:lang w:val="fr-CA"/>
              </w:rPr>
              <w:t>Le 16 février 2018</w:t>
            </w:r>
          </w:p>
          <w:p w:rsidR="00D774AB" w:rsidRPr="00B84A84" w:rsidRDefault="00D774AB">
            <w:pPr>
              <w:jc w:val="both"/>
              <w:rPr>
                <w:sz w:val="20"/>
                <w:lang w:val="fr-CA"/>
              </w:rPr>
            </w:pPr>
            <w:r w:rsidRPr="00B84A84">
              <w:rPr>
                <w:sz w:val="20"/>
                <w:lang w:val="fr-CA"/>
              </w:rPr>
              <w:t>Cour supérieure de justice de l’Ontario</w:t>
            </w:r>
          </w:p>
          <w:p w:rsidR="00D774AB" w:rsidRPr="00B84A84" w:rsidRDefault="00D774AB">
            <w:pPr>
              <w:jc w:val="both"/>
              <w:rPr>
                <w:sz w:val="20"/>
                <w:lang w:val="en-US"/>
              </w:rPr>
            </w:pPr>
            <w:r w:rsidRPr="00B84A84">
              <w:rPr>
                <w:sz w:val="20"/>
              </w:rPr>
              <w:t>(La juge Gomery)</w:t>
            </w:r>
          </w:p>
          <w:p w:rsidR="00D774AB" w:rsidRPr="00B84A84" w:rsidRDefault="005E1A49">
            <w:pPr>
              <w:jc w:val="both"/>
              <w:rPr>
                <w:sz w:val="20"/>
              </w:rPr>
            </w:pPr>
            <w:hyperlink r:id="rId33" w:history="1">
              <w:r w:rsidR="00D774AB" w:rsidRPr="00B84A84">
                <w:rPr>
                  <w:rStyle w:val="Hyperlink"/>
                  <w:sz w:val="20"/>
                </w:rPr>
                <w:t>2018 ONSC 1129</w:t>
              </w:r>
            </w:hyperlink>
          </w:p>
          <w:p w:rsidR="00D774AB" w:rsidRPr="00B84A84" w:rsidRDefault="00D774AB">
            <w:pPr>
              <w:jc w:val="both"/>
              <w:rPr>
                <w:sz w:val="20"/>
              </w:rPr>
            </w:pPr>
          </w:p>
        </w:tc>
        <w:tc>
          <w:tcPr>
            <w:tcW w:w="243" w:type="pct"/>
          </w:tcPr>
          <w:p w:rsidR="00D774AB" w:rsidRPr="00B84A84" w:rsidRDefault="00D774AB">
            <w:pPr>
              <w:jc w:val="both"/>
              <w:rPr>
                <w:sz w:val="20"/>
              </w:rPr>
            </w:pPr>
          </w:p>
        </w:tc>
        <w:tc>
          <w:tcPr>
            <w:tcW w:w="2330" w:type="pct"/>
            <w:hideMark/>
          </w:tcPr>
          <w:p w:rsidR="00D774AB" w:rsidRPr="00B84A84" w:rsidRDefault="00D774AB">
            <w:pPr>
              <w:jc w:val="both"/>
              <w:rPr>
                <w:sz w:val="20"/>
                <w:lang w:val="fr-CA"/>
              </w:rPr>
            </w:pPr>
            <w:r w:rsidRPr="00B84A84">
              <w:rPr>
                <w:sz w:val="20"/>
                <w:lang w:val="fr-CA"/>
              </w:rPr>
              <w:t xml:space="preserve">Le tribunal ordonne le paiement par M. Bouchard aux défendeurs des dépens de 220 000 $ </w:t>
            </w:r>
          </w:p>
        </w:tc>
      </w:tr>
      <w:tr w:rsidR="00D774AB" w:rsidRPr="00840E69" w:rsidTr="00D774AB">
        <w:tc>
          <w:tcPr>
            <w:tcW w:w="2427" w:type="pct"/>
            <w:gridSpan w:val="2"/>
          </w:tcPr>
          <w:p w:rsidR="00D774AB" w:rsidRPr="00B84A84" w:rsidRDefault="00D774AB">
            <w:pPr>
              <w:jc w:val="both"/>
              <w:rPr>
                <w:sz w:val="20"/>
                <w:lang w:val="fr-CA"/>
              </w:rPr>
            </w:pPr>
            <w:r w:rsidRPr="00B84A84">
              <w:rPr>
                <w:sz w:val="20"/>
                <w:lang w:val="fr-CA"/>
              </w:rPr>
              <w:t>Le 22 novembre 2019</w:t>
            </w:r>
          </w:p>
          <w:p w:rsidR="00D774AB" w:rsidRPr="00B84A84" w:rsidRDefault="00D774AB">
            <w:pPr>
              <w:jc w:val="both"/>
              <w:rPr>
                <w:sz w:val="20"/>
                <w:lang w:val="fr-CA"/>
              </w:rPr>
            </w:pPr>
            <w:r w:rsidRPr="00B84A84">
              <w:rPr>
                <w:sz w:val="20"/>
                <w:lang w:val="fr-CA"/>
              </w:rPr>
              <w:t>Cour d’appel de l’Ontario</w:t>
            </w:r>
          </w:p>
          <w:p w:rsidR="00D774AB" w:rsidRPr="00B84A84" w:rsidRDefault="00D774AB">
            <w:pPr>
              <w:jc w:val="both"/>
              <w:rPr>
                <w:sz w:val="20"/>
                <w:lang w:val="en-US"/>
              </w:rPr>
            </w:pPr>
            <w:r w:rsidRPr="00B84A84">
              <w:rPr>
                <w:sz w:val="20"/>
              </w:rPr>
              <w:t>(Les juges Hoy, Roberts, et Harvison Young</w:t>
            </w:r>
          </w:p>
          <w:p w:rsidR="00D774AB" w:rsidRPr="00B84A84" w:rsidRDefault="005E1A49">
            <w:pPr>
              <w:jc w:val="both"/>
              <w:rPr>
                <w:sz w:val="20"/>
              </w:rPr>
            </w:pPr>
            <w:hyperlink r:id="rId34" w:history="1">
              <w:r w:rsidR="00D774AB" w:rsidRPr="00B84A84">
                <w:rPr>
                  <w:rStyle w:val="Hyperlink"/>
                  <w:sz w:val="20"/>
                </w:rPr>
                <w:t>2019 ONCA 922</w:t>
              </w:r>
            </w:hyperlink>
          </w:p>
          <w:p w:rsidR="00D774AB" w:rsidRPr="00B84A84" w:rsidRDefault="00D774AB">
            <w:pPr>
              <w:jc w:val="both"/>
              <w:rPr>
                <w:sz w:val="20"/>
              </w:rPr>
            </w:pPr>
          </w:p>
        </w:tc>
        <w:tc>
          <w:tcPr>
            <w:tcW w:w="243" w:type="pct"/>
          </w:tcPr>
          <w:p w:rsidR="00D774AB" w:rsidRPr="00B84A84" w:rsidRDefault="00D774AB">
            <w:pPr>
              <w:jc w:val="both"/>
              <w:rPr>
                <w:sz w:val="20"/>
              </w:rPr>
            </w:pPr>
          </w:p>
        </w:tc>
        <w:tc>
          <w:tcPr>
            <w:tcW w:w="2330" w:type="pct"/>
          </w:tcPr>
          <w:p w:rsidR="00D774AB" w:rsidRPr="00B84A84" w:rsidRDefault="00D774AB">
            <w:pPr>
              <w:jc w:val="both"/>
              <w:rPr>
                <w:sz w:val="20"/>
                <w:lang w:val="fr-CA"/>
              </w:rPr>
            </w:pPr>
            <w:r w:rsidRPr="00B84A84">
              <w:rPr>
                <w:sz w:val="20"/>
                <w:lang w:val="fr-CA"/>
              </w:rPr>
              <w:t xml:space="preserve">La Cour d’appel rejette l’appel de M. Bouchard de la décision de la juge de procès rejetant son action pour congédiement sans cause. </w:t>
            </w:r>
          </w:p>
          <w:p w:rsidR="00D774AB" w:rsidRPr="00B84A84" w:rsidRDefault="00D774AB">
            <w:pPr>
              <w:jc w:val="both"/>
              <w:rPr>
                <w:sz w:val="20"/>
                <w:lang w:val="fr-CA"/>
              </w:rPr>
            </w:pPr>
          </w:p>
        </w:tc>
      </w:tr>
      <w:tr w:rsidR="00D774AB" w:rsidRPr="00B84A84" w:rsidTr="00D774AB">
        <w:tc>
          <w:tcPr>
            <w:tcW w:w="2427" w:type="pct"/>
            <w:gridSpan w:val="2"/>
            <w:hideMark/>
          </w:tcPr>
          <w:p w:rsidR="00D774AB" w:rsidRPr="00B84A84" w:rsidRDefault="00D774AB">
            <w:pPr>
              <w:jc w:val="both"/>
              <w:rPr>
                <w:sz w:val="20"/>
                <w:lang w:val="fr-CA"/>
              </w:rPr>
            </w:pPr>
            <w:r w:rsidRPr="00B84A84">
              <w:rPr>
                <w:sz w:val="20"/>
                <w:lang w:val="fr-CA"/>
              </w:rPr>
              <w:t>Le 13 janvier 2020</w:t>
            </w:r>
          </w:p>
          <w:p w:rsidR="00D774AB" w:rsidRPr="00B84A84" w:rsidRDefault="00D774AB">
            <w:pPr>
              <w:jc w:val="both"/>
              <w:rPr>
                <w:sz w:val="20"/>
                <w:lang w:val="fr-CA"/>
              </w:rPr>
            </w:pPr>
            <w:r w:rsidRPr="00B84A84">
              <w:rPr>
                <w:sz w:val="20"/>
                <w:lang w:val="fr-CA"/>
              </w:rPr>
              <w:t>Cour suprême du Canada</w:t>
            </w:r>
          </w:p>
        </w:tc>
        <w:tc>
          <w:tcPr>
            <w:tcW w:w="243" w:type="pct"/>
          </w:tcPr>
          <w:p w:rsidR="00D774AB" w:rsidRPr="00B84A84" w:rsidRDefault="00D774AB">
            <w:pPr>
              <w:jc w:val="both"/>
              <w:rPr>
                <w:sz w:val="20"/>
                <w:lang w:val="fr-CA"/>
              </w:rPr>
            </w:pPr>
          </w:p>
        </w:tc>
        <w:tc>
          <w:tcPr>
            <w:tcW w:w="2330" w:type="pct"/>
          </w:tcPr>
          <w:p w:rsidR="00D774AB" w:rsidRPr="00B84A84" w:rsidRDefault="00D774AB">
            <w:pPr>
              <w:jc w:val="both"/>
              <w:rPr>
                <w:sz w:val="20"/>
                <w:lang w:val="en-US"/>
              </w:rPr>
            </w:pPr>
            <w:r w:rsidRPr="00B84A84">
              <w:rPr>
                <w:sz w:val="20"/>
              </w:rPr>
              <w:t>Demande d'autorisation d'appel déposée</w:t>
            </w:r>
          </w:p>
          <w:p w:rsidR="00D774AB" w:rsidRPr="00B84A84" w:rsidRDefault="00D774AB">
            <w:pPr>
              <w:jc w:val="both"/>
              <w:rPr>
                <w:sz w:val="20"/>
              </w:rPr>
            </w:pPr>
          </w:p>
        </w:tc>
      </w:tr>
    </w:tbl>
    <w:p w:rsidR="00D774AB" w:rsidRPr="00B84A84" w:rsidRDefault="00D774AB" w:rsidP="00D774AB">
      <w:pPr>
        <w:jc w:val="both"/>
        <w:rPr>
          <w:rFonts w:eastAsia="Times New Roman"/>
          <w:sz w:val="20"/>
          <w:szCs w:val="20"/>
        </w:rPr>
      </w:pPr>
    </w:p>
    <w:p w:rsidR="00D774AB" w:rsidRPr="00B84A84" w:rsidRDefault="005E1A49" w:rsidP="00D774AB">
      <w:pPr>
        <w:jc w:val="center"/>
        <w:rPr>
          <w:sz w:val="20"/>
        </w:rPr>
      </w:pPr>
      <w:r>
        <w:rPr>
          <w:sz w:val="20"/>
        </w:rPr>
        <w:pict>
          <v:rect id="_x0000_i1048" style="width:2in;height:.75pt" o:hrpct="0" o:hralign="center" o:hrstd="t" o:hrnoshade="t" o:hr="t" fillcolor="black [3213]" stroked="f"/>
        </w:pict>
      </w:r>
    </w:p>
    <w:p w:rsidR="00D774AB" w:rsidRPr="00B84A84" w:rsidRDefault="00D774AB" w:rsidP="00D774AB">
      <w:pPr>
        <w:widowControl w:val="0"/>
        <w:jc w:val="both"/>
        <w:rPr>
          <w:sz w:val="20"/>
          <w:lang w:val="fr-CA"/>
        </w:rPr>
      </w:pPr>
    </w:p>
    <w:tbl>
      <w:tblPr>
        <w:tblW w:w="4950" w:type="pct"/>
        <w:tblCellMar>
          <w:left w:w="0" w:type="dxa"/>
          <w:bottom w:w="99" w:type="dxa"/>
          <w:right w:w="0" w:type="dxa"/>
        </w:tblCellMar>
        <w:tblLook w:val="04A0" w:firstRow="1" w:lastRow="0" w:firstColumn="1" w:lastColumn="0" w:noHBand="0" w:noVBand="1"/>
      </w:tblPr>
      <w:tblGrid>
        <w:gridCol w:w="1034"/>
        <w:gridCol w:w="8489"/>
      </w:tblGrid>
      <w:tr w:rsidR="00D774AB" w:rsidRPr="00B84A84" w:rsidTr="00D774AB">
        <w:tc>
          <w:tcPr>
            <w:tcW w:w="543" w:type="pct"/>
            <w:hideMark/>
          </w:tcPr>
          <w:p w:rsidR="00D774AB" w:rsidRPr="00B84A84" w:rsidRDefault="00D774AB">
            <w:pPr>
              <w:jc w:val="both"/>
              <w:rPr>
                <w:sz w:val="20"/>
                <w:lang w:val="en-US"/>
              </w:rPr>
            </w:pPr>
            <w:r w:rsidRPr="00B84A84">
              <w:rPr>
                <w:rStyle w:val="SCCFileNumberChar"/>
                <w:sz w:val="20"/>
              </w:rPr>
              <w:t>39120</w:t>
            </w:r>
          </w:p>
        </w:tc>
        <w:tc>
          <w:tcPr>
            <w:tcW w:w="4457" w:type="pct"/>
            <w:hideMark/>
          </w:tcPr>
          <w:p w:rsidR="00D774AB" w:rsidRPr="00B84A84" w:rsidRDefault="00D774AB">
            <w:pPr>
              <w:pStyle w:val="SCCLsocParty"/>
              <w:jc w:val="both"/>
              <w:rPr>
                <w:b/>
                <w:sz w:val="20"/>
                <w:szCs w:val="20"/>
              </w:rPr>
            </w:pPr>
            <w:r w:rsidRPr="00B84A84">
              <w:rPr>
                <w:b/>
                <w:sz w:val="20"/>
                <w:szCs w:val="20"/>
              </w:rPr>
              <w:t>Doriane Laura Farsi v. Pedro Rafael Pereira Da Rocha</w:t>
            </w:r>
          </w:p>
          <w:p w:rsidR="00D774AB" w:rsidRPr="00B84A84" w:rsidRDefault="00D774AB">
            <w:pPr>
              <w:jc w:val="both"/>
              <w:rPr>
                <w:sz w:val="20"/>
                <w:szCs w:val="20"/>
              </w:rPr>
            </w:pPr>
            <w:r w:rsidRPr="00B84A84">
              <w:rPr>
                <w:sz w:val="20"/>
              </w:rPr>
              <w:t>(Ont.) (Civil) (By Leave)</w:t>
            </w:r>
          </w:p>
        </w:tc>
      </w:tr>
      <w:tr w:rsidR="00DF7C80" w:rsidRPr="00B84A84" w:rsidTr="00D774AB">
        <w:tc>
          <w:tcPr>
            <w:tcW w:w="5000" w:type="pct"/>
            <w:gridSpan w:val="2"/>
          </w:tcPr>
          <w:p w:rsidR="006907C0" w:rsidRPr="00B84A84" w:rsidRDefault="006907C0" w:rsidP="006907C0">
            <w:pPr>
              <w:jc w:val="both"/>
              <w:rPr>
                <w:sz w:val="20"/>
                <w:szCs w:val="20"/>
              </w:rPr>
            </w:pPr>
            <w:r w:rsidRPr="00B84A84">
              <w:rPr>
                <w:sz w:val="20"/>
                <w:szCs w:val="20"/>
              </w:rPr>
              <w:t>The application for leave to appeal from the judgment of the Court of Appeal for Ontario, Number C67586, 2020 ONCA 92, dated February 6, 2020, is dismissed with costs.</w:t>
            </w:r>
          </w:p>
          <w:p w:rsidR="00DF7C80" w:rsidRPr="00B84A84" w:rsidRDefault="00DF7C80">
            <w:pPr>
              <w:jc w:val="both"/>
              <w:rPr>
                <w:iCs/>
                <w:sz w:val="20"/>
              </w:rPr>
            </w:pPr>
          </w:p>
        </w:tc>
      </w:tr>
      <w:tr w:rsidR="00D774AB" w:rsidRPr="00B84A84" w:rsidTr="00D774AB">
        <w:tc>
          <w:tcPr>
            <w:tcW w:w="5000" w:type="pct"/>
            <w:gridSpan w:val="2"/>
            <w:hideMark/>
          </w:tcPr>
          <w:p w:rsidR="00D774AB" w:rsidRPr="00B84A84" w:rsidRDefault="00D774AB">
            <w:pPr>
              <w:jc w:val="both"/>
              <w:rPr>
                <w:sz w:val="20"/>
              </w:rPr>
            </w:pPr>
            <w:r w:rsidRPr="00B84A84">
              <w:rPr>
                <w:iCs/>
                <w:sz w:val="20"/>
                <w:lang w:val="en"/>
              </w:rPr>
              <w:t xml:space="preserve">Family law — Wrongful removal or retention of child — </w:t>
            </w:r>
            <w:r w:rsidRPr="00B84A84">
              <w:rPr>
                <w:i/>
                <w:iCs/>
                <w:sz w:val="20"/>
                <w:lang w:val="en"/>
              </w:rPr>
              <w:t>Hague Convention</w:t>
            </w:r>
            <w:r w:rsidRPr="00B84A84">
              <w:rPr>
                <w:iCs/>
                <w:sz w:val="20"/>
                <w:lang w:val="en"/>
              </w:rPr>
              <w:t xml:space="preserve"> — Habitual residence of a child — Parents and child living in Canada for first six months of child’s life — Mother taking child to France — Father returning child to Canada four months later — Mother alleging child was habitually resident in France when father returned child to Canada — Superior Court finding child habitually resident in Canada and dismissing mother’s application — Court of Appeal dismissing appeal — Whether procedural jurisdiction of application judge hearing a </w:t>
            </w:r>
            <w:r w:rsidRPr="00B84A84">
              <w:rPr>
                <w:i/>
                <w:iCs/>
                <w:sz w:val="20"/>
                <w:lang w:val="en"/>
              </w:rPr>
              <w:t>Hague Convention</w:t>
            </w:r>
            <w:r w:rsidRPr="00B84A84">
              <w:rPr>
                <w:iCs/>
                <w:sz w:val="20"/>
                <w:lang w:val="en"/>
              </w:rPr>
              <w:t xml:space="preserve"> case includes determining allegations of a child’s earlier wrongful retention in another jurisdiction — What is the proper application of the hybrid model adopted in </w:t>
            </w:r>
            <w:r w:rsidRPr="00B84A84">
              <w:rPr>
                <w:i/>
                <w:iCs/>
                <w:sz w:val="20"/>
                <w:lang w:val="en"/>
              </w:rPr>
              <w:t>Office of the Children’s Lawyer v. Balev</w:t>
            </w:r>
            <w:r w:rsidRPr="00B84A84">
              <w:rPr>
                <w:iCs/>
                <w:sz w:val="20"/>
                <w:lang w:val="en"/>
              </w:rPr>
              <w:t xml:space="preserve">, 2018 SCC 16, [2018] 1 S.C.R. 398, particularly to infant children? — </w:t>
            </w:r>
            <w:r w:rsidRPr="00B84A84">
              <w:rPr>
                <w:i/>
                <w:iCs/>
                <w:sz w:val="20"/>
                <w:lang w:val="en"/>
              </w:rPr>
              <w:t>Convention on the Civil Aspects of International Child Abduction</w:t>
            </w:r>
            <w:r w:rsidRPr="00B84A84">
              <w:rPr>
                <w:iCs/>
                <w:sz w:val="20"/>
                <w:lang w:val="en"/>
              </w:rPr>
              <w:t>, Can. T.S. 1983 No. 35, art. 3.</w:t>
            </w:r>
          </w:p>
        </w:tc>
      </w:tr>
      <w:tr w:rsidR="00D774AB" w:rsidRPr="00B84A84" w:rsidTr="00D774AB">
        <w:tc>
          <w:tcPr>
            <w:tcW w:w="5000" w:type="pct"/>
            <w:gridSpan w:val="2"/>
          </w:tcPr>
          <w:p w:rsidR="00D774AB" w:rsidRPr="00B84A84" w:rsidRDefault="00D774AB">
            <w:pPr>
              <w:jc w:val="both"/>
              <w:rPr>
                <w:sz w:val="20"/>
              </w:rPr>
            </w:pPr>
          </w:p>
        </w:tc>
      </w:tr>
    </w:tbl>
    <w:p w:rsidR="00993141" w:rsidRPr="00B84A84" w:rsidRDefault="00993141">
      <w:r w:rsidRPr="00B84A84">
        <w:br w:type="page"/>
      </w:r>
    </w:p>
    <w:tbl>
      <w:tblPr>
        <w:tblW w:w="4950" w:type="pct"/>
        <w:tblCellMar>
          <w:left w:w="0" w:type="dxa"/>
          <w:bottom w:w="99" w:type="dxa"/>
          <w:right w:w="0" w:type="dxa"/>
        </w:tblCellMar>
        <w:tblLook w:val="04A0" w:firstRow="1" w:lastRow="0" w:firstColumn="1" w:lastColumn="0" w:noHBand="0" w:noVBand="1"/>
      </w:tblPr>
      <w:tblGrid>
        <w:gridCol w:w="4622"/>
        <w:gridCol w:w="463"/>
        <w:gridCol w:w="4438"/>
      </w:tblGrid>
      <w:tr w:rsidR="00D774AB" w:rsidRPr="00B84A84" w:rsidTr="00D774AB">
        <w:tc>
          <w:tcPr>
            <w:tcW w:w="5000" w:type="pct"/>
            <w:gridSpan w:val="3"/>
          </w:tcPr>
          <w:p w:rsidR="00D774AB" w:rsidRPr="00B84A84" w:rsidRDefault="00D774AB">
            <w:pPr>
              <w:jc w:val="both"/>
              <w:rPr>
                <w:sz w:val="20"/>
              </w:rPr>
            </w:pPr>
            <w:r w:rsidRPr="00B84A84">
              <w:rPr>
                <w:sz w:val="20"/>
              </w:rPr>
              <w:t xml:space="preserve">The applicant (“mother”) and respondent (“father”) have a child together. The child was born in Canada in 2018 and raised in Toronto with both parents until she was six months old. At that time, the mother, a French citizen, took the child to France. Four months later, in February 2019, the father travelled to France and brought the child back to Toronto. The mother brought an application pursuant to the </w:t>
            </w:r>
            <w:r w:rsidRPr="00B84A84">
              <w:rPr>
                <w:i/>
                <w:iCs/>
                <w:sz w:val="20"/>
                <w:lang w:val="en"/>
              </w:rPr>
              <w:t>Convention on the Civil Aspects of International Child Abduction</w:t>
            </w:r>
            <w:r w:rsidRPr="00B84A84">
              <w:rPr>
                <w:sz w:val="20"/>
              </w:rPr>
              <w:t xml:space="preserve"> (“</w:t>
            </w:r>
            <w:r w:rsidRPr="00B84A84">
              <w:rPr>
                <w:i/>
                <w:sz w:val="20"/>
              </w:rPr>
              <w:t>Hague Convention</w:t>
            </w:r>
            <w:r w:rsidRPr="00B84A84">
              <w:rPr>
                <w:sz w:val="20"/>
              </w:rPr>
              <w:t>”) in the Ontario Superior Court of Justice, in which she alleged that the child was habitually resident in France in February 2019 and had been wrongfully removed to and retained in Canada. The application judge dismissed the mother’s application. She found that until the mother took the child to France, the child’s habitual residence was in Canada. The mother had the father’s consent for a two</w:t>
            </w:r>
            <w:r w:rsidRPr="00B84A84">
              <w:rPr>
                <w:sz w:val="20"/>
              </w:rPr>
              <w:noBreakHyphen/>
              <w:t xml:space="preserve">week trip to France with the child, not a relocation. The child was then wrongfully retained in France until her return to Canada. When the child returned to Canada, the child’s habitual residence remained in Canada. Because the child was not habitually resident in France in February 2019, the provisions of the </w:t>
            </w:r>
            <w:r w:rsidRPr="00B84A84">
              <w:rPr>
                <w:i/>
                <w:sz w:val="20"/>
              </w:rPr>
              <w:t>Hague Convention</w:t>
            </w:r>
            <w:r w:rsidRPr="00B84A84">
              <w:rPr>
                <w:sz w:val="20"/>
              </w:rPr>
              <w:t xml:space="preserve"> did not apply. The Court of Appeal dismissed the mother’s appeal.</w:t>
            </w:r>
          </w:p>
          <w:p w:rsidR="00D774AB" w:rsidRPr="00B84A84" w:rsidRDefault="00D774AB">
            <w:pPr>
              <w:jc w:val="both"/>
              <w:rPr>
                <w:sz w:val="20"/>
              </w:rPr>
            </w:pPr>
          </w:p>
        </w:tc>
      </w:tr>
      <w:tr w:rsidR="00D774AB" w:rsidRPr="00B84A84" w:rsidTr="00D774AB">
        <w:tc>
          <w:tcPr>
            <w:tcW w:w="2427" w:type="pct"/>
            <w:hideMark/>
          </w:tcPr>
          <w:p w:rsidR="00D774AB" w:rsidRPr="00B84A84" w:rsidRDefault="00D774AB">
            <w:pPr>
              <w:jc w:val="both"/>
              <w:rPr>
                <w:sz w:val="20"/>
              </w:rPr>
            </w:pPr>
            <w:r w:rsidRPr="00B84A84">
              <w:rPr>
                <w:sz w:val="20"/>
              </w:rPr>
              <w:t>September 27, 2019</w:t>
            </w:r>
          </w:p>
          <w:p w:rsidR="00D774AB" w:rsidRPr="00B84A84" w:rsidRDefault="00D774AB">
            <w:pPr>
              <w:jc w:val="both"/>
              <w:rPr>
                <w:sz w:val="20"/>
              </w:rPr>
            </w:pPr>
            <w:r w:rsidRPr="00B84A84">
              <w:rPr>
                <w:sz w:val="20"/>
              </w:rPr>
              <w:t>Ontario Superior Court of Justice</w:t>
            </w:r>
          </w:p>
          <w:p w:rsidR="00D774AB" w:rsidRPr="00B84A84" w:rsidRDefault="00D774AB">
            <w:pPr>
              <w:jc w:val="both"/>
              <w:rPr>
                <w:sz w:val="20"/>
              </w:rPr>
            </w:pPr>
            <w:r w:rsidRPr="00B84A84">
              <w:rPr>
                <w:sz w:val="20"/>
              </w:rPr>
              <w:t>(Kristjanson J.)</w:t>
            </w:r>
          </w:p>
        </w:tc>
        <w:tc>
          <w:tcPr>
            <w:tcW w:w="243" w:type="pct"/>
          </w:tcPr>
          <w:p w:rsidR="00D774AB" w:rsidRPr="00B84A84" w:rsidRDefault="00D774AB">
            <w:pPr>
              <w:jc w:val="both"/>
              <w:rPr>
                <w:sz w:val="20"/>
              </w:rPr>
            </w:pPr>
          </w:p>
        </w:tc>
        <w:tc>
          <w:tcPr>
            <w:tcW w:w="2330" w:type="pct"/>
          </w:tcPr>
          <w:p w:rsidR="00D774AB" w:rsidRPr="00B84A84" w:rsidRDefault="00D774AB">
            <w:pPr>
              <w:jc w:val="both"/>
              <w:rPr>
                <w:sz w:val="20"/>
              </w:rPr>
            </w:pPr>
            <w:r w:rsidRPr="00B84A84">
              <w:rPr>
                <w:sz w:val="20"/>
              </w:rPr>
              <w:t xml:space="preserve">Applicant’s application for return of child to France under terms of </w:t>
            </w:r>
            <w:r w:rsidRPr="00B84A84">
              <w:rPr>
                <w:i/>
                <w:sz w:val="20"/>
              </w:rPr>
              <w:t>Hague Convention</w:t>
            </w:r>
            <w:r w:rsidRPr="00B84A84">
              <w:rPr>
                <w:sz w:val="20"/>
              </w:rPr>
              <w:t xml:space="preserve"> dismissed; child’s habitual residence found to be in Canada. </w:t>
            </w:r>
          </w:p>
          <w:p w:rsidR="00D774AB" w:rsidRPr="00B84A84" w:rsidRDefault="00D774AB">
            <w:pPr>
              <w:jc w:val="both"/>
              <w:rPr>
                <w:sz w:val="20"/>
              </w:rPr>
            </w:pPr>
          </w:p>
        </w:tc>
      </w:tr>
      <w:tr w:rsidR="00D774AB" w:rsidRPr="00B84A84" w:rsidTr="00D774AB">
        <w:tc>
          <w:tcPr>
            <w:tcW w:w="2427" w:type="pct"/>
          </w:tcPr>
          <w:p w:rsidR="00D774AB" w:rsidRPr="00B84A84" w:rsidRDefault="00D774AB">
            <w:pPr>
              <w:jc w:val="both"/>
              <w:rPr>
                <w:sz w:val="20"/>
              </w:rPr>
            </w:pPr>
            <w:r w:rsidRPr="00B84A84">
              <w:rPr>
                <w:sz w:val="20"/>
              </w:rPr>
              <w:t>February 6, 2020</w:t>
            </w:r>
          </w:p>
          <w:p w:rsidR="00D774AB" w:rsidRPr="00B84A84" w:rsidRDefault="00D774AB">
            <w:pPr>
              <w:jc w:val="both"/>
              <w:rPr>
                <w:sz w:val="20"/>
              </w:rPr>
            </w:pPr>
            <w:r w:rsidRPr="00B84A84">
              <w:rPr>
                <w:sz w:val="20"/>
              </w:rPr>
              <w:t>Court of Appeal for Ontario</w:t>
            </w:r>
          </w:p>
          <w:p w:rsidR="00D774AB" w:rsidRPr="00B84A84" w:rsidRDefault="00D774AB">
            <w:pPr>
              <w:jc w:val="both"/>
              <w:rPr>
                <w:sz w:val="20"/>
                <w:lang w:val="fr-CA"/>
              </w:rPr>
            </w:pPr>
            <w:r w:rsidRPr="00B84A84">
              <w:rPr>
                <w:sz w:val="20"/>
                <w:lang w:val="fr-CA"/>
              </w:rPr>
              <w:t>(Gillese, Rouleau, Fairburn JJ.A.)</w:t>
            </w:r>
          </w:p>
          <w:p w:rsidR="00D774AB" w:rsidRPr="00B84A84" w:rsidRDefault="005E1A49">
            <w:pPr>
              <w:jc w:val="both"/>
              <w:rPr>
                <w:sz w:val="20"/>
                <w:lang w:val="en-US"/>
              </w:rPr>
            </w:pPr>
            <w:hyperlink r:id="rId35" w:history="1">
              <w:r w:rsidR="00D774AB" w:rsidRPr="00B84A84">
                <w:rPr>
                  <w:rStyle w:val="Hyperlink"/>
                  <w:sz w:val="20"/>
                </w:rPr>
                <w:t>2020 ONCA 92</w:t>
              </w:r>
            </w:hyperlink>
          </w:p>
          <w:p w:rsidR="00D774AB" w:rsidRPr="00B84A84" w:rsidRDefault="00D774AB">
            <w:pPr>
              <w:jc w:val="both"/>
              <w:rPr>
                <w:sz w:val="20"/>
                <w:lang w:val="fr-CA"/>
              </w:rPr>
            </w:pPr>
          </w:p>
        </w:tc>
        <w:tc>
          <w:tcPr>
            <w:tcW w:w="243" w:type="pct"/>
          </w:tcPr>
          <w:p w:rsidR="00D774AB" w:rsidRPr="00B84A84" w:rsidRDefault="00D774AB">
            <w:pPr>
              <w:jc w:val="both"/>
              <w:rPr>
                <w:sz w:val="20"/>
                <w:lang w:val="fr-CA"/>
              </w:rPr>
            </w:pPr>
          </w:p>
        </w:tc>
        <w:tc>
          <w:tcPr>
            <w:tcW w:w="2330" w:type="pct"/>
          </w:tcPr>
          <w:p w:rsidR="00D774AB" w:rsidRPr="00B84A84" w:rsidRDefault="00D774AB">
            <w:pPr>
              <w:jc w:val="both"/>
              <w:rPr>
                <w:sz w:val="20"/>
                <w:lang w:val="en-US"/>
              </w:rPr>
            </w:pPr>
            <w:r w:rsidRPr="00B84A84">
              <w:rPr>
                <w:sz w:val="20"/>
              </w:rPr>
              <w:t>Appeal dismissed.</w:t>
            </w:r>
          </w:p>
          <w:p w:rsidR="00D774AB" w:rsidRPr="00B84A84" w:rsidRDefault="00D774AB">
            <w:pPr>
              <w:jc w:val="both"/>
              <w:rPr>
                <w:sz w:val="20"/>
              </w:rPr>
            </w:pPr>
          </w:p>
        </w:tc>
      </w:tr>
      <w:tr w:rsidR="00D774AB" w:rsidRPr="00B84A84" w:rsidTr="00D774AB">
        <w:tc>
          <w:tcPr>
            <w:tcW w:w="2427" w:type="pct"/>
            <w:hideMark/>
          </w:tcPr>
          <w:p w:rsidR="00D774AB" w:rsidRPr="00B84A84" w:rsidRDefault="00D774AB">
            <w:pPr>
              <w:jc w:val="both"/>
              <w:rPr>
                <w:sz w:val="20"/>
              </w:rPr>
            </w:pPr>
            <w:r w:rsidRPr="00B84A84">
              <w:rPr>
                <w:sz w:val="20"/>
              </w:rPr>
              <w:t>April 6, 2020</w:t>
            </w:r>
          </w:p>
          <w:p w:rsidR="00D774AB" w:rsidRPr="00B84A84" w:rsidRDefault="00D774AB">
            <w:pPr>
              <w:jc w:val="both"/>
              <w:rPr>
                <w:sz w:val="20"/>
              </w:rPr>
            </w:pPr>
            <w:r w:rsidRPr="00B84A84">
              <w:rPr>
                <w:sz w:val="20"/>
              </w:rPr>
              <w:t>Supreme Court of Canada</w:t>
            </w:r>
          </w:p>
        </w:tc>
        <w:tc>
          <w:tcPr>
            <w:tcW w:w="243" w:type="pct"/>
          </w:tcPr>
          <w:p w:rsidR="00D774AB" w:rsidRPr="00B84A84" w:rsidRDefault="00D774AB">
            <w:pPr>
              <w:jc w:val="both"/>
              <w:rPr>
                <w:sz w:val="20"/>
              </w:rPr>
            </w:pPr>
          </w:p>
        </w:tc>
        <w:tc>
          <w:tcPr>
            <w:tcW w:w="2330" w:type="pct"/>
          </w:tcPr>
          <w:p w:rsidR="00D774AB" w:rsidRPr="00B84A84" w:rsidRDefault="00D774AB">
            <w:pPr>
              <w:jc w:val="both"/>
              <w:rPr>
                <w:sz w:val="20"/>
              </w:rPr>
            </w:pPr>
            <w:r w:rsidRPr="00B84A84">
              <w:rPr>
                <w:sz w:val="20"/>
              </w:rPr>
              <w:t>Application for leave to appeal filed.</w:t>
            </w:r>
          </w:p>
          <w:p w:rsidR="00D774AB" w:rsidRPr="00B84A84" w:rsidRDefault="00D774AB">
            <w:pPr>
              <w:jc w:val="both"/>
              <w:rPr>
                <w:sz w:val="20"/>
              </w:rPr>
            </w:pPr>
          </w:p>
        </w:tc>
      </w:tr>
    </w:tbl>
    <w:p w:rsidR="00D774AB" w:rsidRPr="00B84A84" w:rsidRDefault="00D774AB" w:rsidP="00D774AB">
      <w:pPr>
        <w:jc w:val="both"/>
        <w:rPr>
          <w:rFonts w:eastAsia="Times New Roman"/>
          <w:sz w:val="20"/>
          <w:szCs w:val="20"/>
        </w:rPr>
      </w:pPr>
    </w:p>
    <w:p w:rsidR="00D774AB" w:rsidRPr="00B84A84" w:rsidRDefault="005E1A49" w:rsidP="00D774AB">
      <w:pPr>
        <w:jc w:val="center"/>
        <w:rPr>
          <w:sz w:val="20"/>
        </w:rPr>
      </w:pPr>
      <w:r>
        <w:rPr>
          <w:sz w:val="20"/>
        </w:rPr>
        <w:pict>
          <v:rect id="_x0000_i1049" style="width:2in;height:.75pt" o:hrpct="0" o:hralign="center" o:hrstd="t" o:hrnoshade="t" o:hr="t" fillcolor="black [3213]" stroked="f"/>
        </w:pict>
      </w:r>
    </w:p>
    <w:p w:rsidR="00D774AB" w:rsidRPr="00B84A84" w:rsidRDefault="00D774AB" w:rsidP="00D774AB">
      <w:pPr>
        <w:jc w:val="both"/>
        <w:rPr>
          <w:sz w:val="20"/>
        </w:rPr>
      </w:pPr>
    </w:p>
    <w:tbl>
      <w:tblPr>
        <w:tblW w:w="4950" w:type="pct"/>
        <w:tblCellMar>
          <w:left w:w="0" w:type="dxa"/>
          <w:bottom w:w="99" w:type="dxa"/>
          <w:right w:w="0" w:type="dxa"/>
        </w:tblCellMar>
        <w:tblLook w:val="04A0" w:firstRow="1" w:lastRow="0" w:firstColumn="1" w:lastColumn="0" w:noHBand="0" w:noVBand="1"/>
      </w:tblPr>
      <w:tblGrid>
        <w:gridCol w:w="1034"/>
        <w:gridCol w:w="8489"/>
      </w:tblGrid>
      <w:tr w:rsidR="00D774AB" w:rsidRPr="00B84A84" w:rsidTr="00D774AB">
        <w:tc>
          <w:tcPr>
            <w:tcW w:w="543" w:type="pct"/>
            <w:hideMark/>
          </w:tcPr>
          <w:p w:rsidR="00D774AB" w:rsidRPr="00B84A84" w:rsidRDefault="00D774AB">
            <w:pPr>
              <w:jc w:val="both"/>
              <w:rPr>
                <w:sz w:val="20"/>
                <w:lang w:val="fr-CA"/>
              </w:rPr>
            </w:pPr>
            <w:r w:rsidRPr="00B84A84">
              <w:rPr>
                <w:rStyle w:val="SCCFileNumberChar"/>
                <w:sz w:val="20"/>
                <w:lang w:val="fr-CA"/>
              </w:rPr>
              <w:t>39120</w:t>
            </w:r>
          </w:p>
        </w:tc>
        <w:tc>
          <w:tcPr>
            <w:tcW w:w="4457" w:type="pct"/>
            <w:hideMark/>
          </w:tcPr>
          <w:p w:rsidR="00D774AB" w:rsidRPr="00B84A84" w:rsidRDefault="00D774AB">
            <w:pPr>
              <w:pStyle w:val="SCCLsocParty"/>
              <w:jc w:val="both"/>
              <w:rPr>
                <w:b/>
                <w:sz w:val="20"/>
                <w:szCs w:val="20"/>
              </w:rPr>
            </w:pPr>
            <w:r w:rsidRPr="00B84A84">
              <w:rPr>
                <w:b/>
                <w:sz w:val="20"/>
                <w:szCs w:val="20"/>
              </w:rPr>
              <w:t>Doriane Laura Farsi c. Pedro Rafael Pereira Da Rocha</w:t>
            </w:r>
          </w:p>
          <w:p w:rsidR="00D774AB" w:rsidRPr="00B84A84" w:rsidRDefault="00D774AB">
            <w:pPr>
              <w:jc w:val="both"/>
              <w:rPr>
                <w:sz w:val="20"/>
                <w:szCs w:val="20"/>
                <w:lang w:val="fr-CA"/>
              </w:rPr>
            </w:pPr>
            <w:r w:rsidRPr="00B84A84">
              <w:rPr>
                <w:sz w:val="20"/>
                <w:lang w:val="fr-CA"/>
              </w:rPr>
              <w:t>(Ont.) (Civile) (Autorisation)</w:t>
            </w:r>
          </w:p>
        </w:tc>
      </w:tr>
      <w:tr w:rsidR="00DF7C80" w:rsidRPr="00840E69" w:rsidTr="00D774AB">
        <w:tc>
          <w:tcPr>
            <w:tcW w:w="5000" w:type="pct"/>
            <w:gridSpan w:val="2"/>
          </w:tcPr>
          <w:p w:rsidR="00DF7C80" w:rsidRPr="00B84A84" w:rsidRDefault="006907C0">
            <w:pPr>
              <w:jc w:val="both"/>
              <w:rPr>
                <w:sz w:val="20"/>
                <w:szCs w:val="20"/>
                <w:lang w:val="fr-CA"/>
              </w:rPr>
            </w:pPr>
            <w:r w:rsidRPr="00B84A84">
              <w:rPr>
                <w:sz w:val="20"/>
                <w:szCs w:val="20"/>
                <w:lang w:val="fr-CA"/>
              </w:rPr>
              <w:t>La demande d’autorisation d’appel de l’arrêt de la Cour d’appel de l’Ontario, numéro C67586, 2020 ONCA 92, daté du 6 février 2020, est rejetée avec dépens.</w:t>
            </w:r>
          </w:p>
          <w:p w:rsidR="006907C0" w:rsidRPr="00B84A84" w:rsidRDefault="006907C0">
            <w:pPr>
              <w:jc w:val="both"/>
              <w:rPr>
                <w:iCs/>
                <w:sz w:val="20"/>
                <w:lang w:val="fr-CA"/>
              </w:rPr>
            </w:pPr>
          </w:p>
        </w:tc>
      </w:tr>
      <w:tr w:rsidR="00D774AB" w:rsidRPr="00840E69" w:rsidTr="00D774AB">
        <w:tc>
          <w:tcPr>
            <w:tcW w:w="5000" w:type="pct"/>
            <w:gridSpan w:val="2"/>
            <w:hideMark/>
          </w:tcPr>
          <w:p w:rsidR="00D774AB" w:rsidRPr="00B84A84" w:rsidRDefault="00D774AB">
            <w:pPr>
              <w:jc w:val="both"/>
              <w:rPr>
                <w:sz w:val="20"/>
                <w:lang w:val="fr-CA"/>
              </w:rPr>
            </w:pPr>
            <w:r w:rsidRPr="00B84A84">
              <w:rPr>
                <w:iCs/>
                <w:sz w:val="20"/>
                <w:lang w:val="fr-CA"/>
              </w:rPr>
              <w:t>Droit de la famille — Déplacement ou non</w:t>
            </w:r>
            <w:r w:rsidRPr="00B84A84">
              <w:rPr>
                <w:iCs/>
                <w:sz w:val="20"/>
                <w:lang w:val="fr-CA"/>
              </w:rPr>
              <w:noBreakHyphen/>
              <w:t xml:space="preserve">retour illicite d’enfant — </w:t>
            </w:r>
            <w:r w:rsidRPr="00B84A84">
              <w:rPr>
                <w:i/>
                <w:iCs/>
                <w:sz w:val="20"/>
                <w:lang w:val="fr-CA"/>
              </w:rPr>
              <w:t>Convention de La Haye</w:t>
            </w:r>
            <w:r w:rsidRPr="00B84A84">
              <w:rPr>
                <w:iCs/>
                <w:sz w:val="20"/>
                <w:lang w:val="fr-CA"/>
              </w:rPr>
              <w:t xml:space="preserve"> — Résidence habituelle de l’enfant — Les parents et l’enfant ont vécu au Canada pendant les six premiers mois de la vie de l’enfant — La mère a emmené l’enfant en France — Le père a ramené l’enfant au Canada quatre mois plus tard — La mère allègue que l’enfant avait sa résidence habituelle en France lorsque le père l’a ramenée au Canada — La Cour supérieure a conclu que l’enfant avait sa résidence habituelle au Canada et a rejeté la demande de la mère — La Cour d’appel a rejeté l’appel — La compétence procédurale du juge de première instance saisi d’une instance fondée sur la </w:t>
            </w:r>
            <w:r w:rsidRPr="00B84A84">
              <w:rPr>
                <w:i/>
                <w:iCs/>
                <w:sz w:val="20"/>
                <w:lang w:val="fr-CA"/>
              </w:rPr>
              <w:t>Convention de La Haye</w:t>
            </w:r>
            <w:r w:rsidRPr="00B84A84">
              <w:rPr>
                <w:iCs/>
                <w:sz w:val="20"/>
                <w:lang w:val="fr-CA"/>
              </w:rPr>
              <w:t xml:space="preserve"> comprend</w:t>
            </w:r>
            <w:r w:rsidRPr="00B84A84">
              <w:rPr>
                <w:iCs/>
                <w:sz w:val="20"/>
                <w:lang w:val="fr-CA"/>
              </w:rPr>
              <w:noBreakHyphen/>
              <w:t>elle le pouvoir de statuer sur des allégations comme quoi l’enfant avait précédemment été retenu illicitement dans un autre pays? — Comment convient</w:t>
            </w:r>
            <w:r w:rsidRPr="00B84A84">
              <w:rPr>
                <w:iCs/>
                <w:sz w:val="20"/>
                <w:lang w:val="fr-CA"/>
              </w:rPr>
              <w:noBreakHyphen/>
              <w:t xml:space="preserve">il d’appliquer l’approche hybride adoptée dans </w:t>
            </w:r>
            <w:r w:rsidRPr="00B84A84">
              <w:rPr>
                <w:i/>
                <w:iCs/>
                <w:sz w:val="20"/>
                <w:lang w:val="fr-CA"/>
              </w:rPr>
              <w:t>Bureau de l’avocat des enfants c. Balev</w:t>
            </w:r>
            <w:r w:rsidRPr="00B84A84">
              <w:rPr>
                <w:iCs/>
                <w:sz w:val="20"/>
                <w:lang w:val="fr-CA"/>
              </w:rPr>
              <w:t xml:space="preserve">, 2018 CSC 16, [2018] 1 R.C.S. 398, particulièrement dans le cas d’enfants en bas âge? — </w:t>
            </w:r>
            <w:r w:rsidRPr="00B84A84">
              <w:rPr>
                <w:i/>
                <w:iCs/>
                <w:sz w:val="20"/>
                <w:lang w:val="fr-CA"/>
              </w:rPr>
              <w:t>Convention sur les aspects civils de l’enlèvement international d’enfants</w:t>
            </w:r>
            <w:r w:rsidRPr="00B84A84">
              <w:rPr>
                <w:iCs/>
                <w:sz w:val="20"/>
                <w:lang w:val="fr-CA"/>
              </w:rPr>
              <w:t>, R.T. 1983 n</w:t>
            </w:r>
            <w:r w:rsidRPr="00B84A84">
              <w:rPr>
                <w:iCs/>
                <w:sz w:val="20"/>
                <w:vertAlign w:val="superscript"/>
                <w:lang w:val="fr-CA"/>
              </w:rPr>
              <w:t>o</w:t>
            </w:r>
            <w:r w:rsidRPr="00B84A84">
              <w:rPr>
                <w:iCs/>
                <w:sz w:val="20"/>
                <w:lang w:val="fr-CA"/>
              </w:rPr>
              <w:t> 35, art. 3.</w:t>
            </w:r>
          </w:p>
        </w:tc>
      </w:tr>
      <w:tr w:rsidR="00D774AB" w:rsidRPr="00840E69" w:rsidTr="00D774AB">
        <w:tc>
          <w:tcPr>
            <w:tcW w:w="5000" w:type="pct"/>
            <w:gridSpan w:val="2"/>
          </w:tcPr>
          <w:p w:rsidR="00D774AB" w:rsidRPr="00B84A84" w:rsidRDefault="00D774AB">
            <w:pPr>
              <w:jc w:val="both"/>
              <w:rPr>
                <w:sz w:val="20"/>
                <w:lang w:val="fr-CA"/>
              </w:rPr>
            </w:pPr>
          </w:p>
        </w:tc>
      </w:tr>
    </w:tbl>
    <w:p w:rsidR="00993141" w:rsidRPr="00B84A84" w:rsidRDefault="00993141">
      <w:pPr>
        <w:rPr>
          <w:lang w:val="fr-CA"/>
        </w:rPr>
      </w:pPr>
      <w:r w:rsidRPr="00B84A84">
        <w:rPr>
          <w:lang w:val="fr-CA"/>
        </w:rPr>
        <w:br w:type="page"/>
      </w:r>
    </w:p>
    <w:tbl>
      <w:tblPr>
        <w:tblW w:w="4950" w:type="pct"/>
        <w:tblCellMar>
          <w:left w:w="0" w:type="dxa"/>
          <w:bottom w:w="99" w:type="dxa"/>
          <w:right w:w="0" w:type="dxa"/>
        </w:tblCellMar>
        <w:tblLook w:val="04A0" w:firstRow="1" w:lastRow="0" w:firstColumn="1" w:lastColumn="0" w:noHBand="0" w:noVBand="1"/>
      </w:tblPr>
      <w:tblGrid>
        <w:gridCol w:w="4622"/>
        <w:gridCol w:w="463"/>
        <w:gridCol w:w="4438"/>
      </w:tblGrid>
      <w:tr w:rsidR="00D774AB" w:rsidRPr="00B84A84" w:rsidTr="00D774AB">
        <w:tc>
          <w:tcPr>
            <w:tcW w:w="5000" w:type="pct"/>
            <w:gridSpan w:val="3"/>
          </w:tcPr>
          <w:p w:rsidR="00D774AB" w:rsidRPr="00B84A84" w:rsidRDefault="00D774AB">
            <w:pPr>
              <w:jc w:val="both"/>
              <w:rPr>
                <w:sz w:val="20"/>
                <w:lang w:val="fr-CA"/>
              </w:rPr>
            </w:pPr>
            <w:r w:rsidRPr="00B84A84">
              <w:rPr>
                <w:sz w:val="20"/>
                <w:lang w:val="fr-CA"/>
              </w:rPr>
              <w:t xml:space="preserve">La demanderesse (« la mère ») et l’intimé (« le père ») sont les parents d’une enfant. L’enfant est née au Canada en 2018 et a été élevée à Toronto avec les deux parents jusqu’à l’âge de six mois. C’est alors que la mère, une citoyenne française, a emmené l’enfant en France. Quatre mois plus tard, en février 2019, le père s’est rendu en France et a ramené l’enfant à Toronto. La mère a présenté une demande en application de la </w:t>
            </w:r>
            <w:r w:rsidRPr="00B84A84">
              <w:rPr>
                <w:i/>
                <w:iCs/>
                <w:sz w:val="20"/>
                <w:lang w:val="fr-CA"/>
              </w:rPr>
              <w:t>Convention sur les aspects civils de l’enlèvement international d’enfants</w:t>
            </w:r>
            <w:r w:rsidRPr="00B84A84">
              <w:rPr>
                <w:sz w:val="20"/>
                <w:lang w:val="fr-CA"/>
              </w:rPr>
              <w:t xml:space="preserve"> (la « </w:t>
            </w:r>
            <w:r w:rsidRPr="00B84A84">
              <w:rPr>
                <w:i/>
                <w:sz w:val="20"/>
                <w:lang w:val="fr-CA"/>
              </w:rPr>
              <w:t>Convention de La Haye </w:t>
            </w:r>
            <w:r w:rsidRPr="00B84A84">
              <w:rPr>
                <w:sz w:val="20"/>
                <w:lang w:val="fr-CA"/>
              </w:rPr>
              <w:t xml:space="preserve">») devant la Cour supérieure de justice de l’Ontario, alléguant qu’en février 2019, l’enfant avait sa résidence habituelle en France et qu’elle avait été illicitement déplacée vers le Canada et retenue dans ce pays. La juge de première instance a rejeté la demande de la mère. Elle a conclu que jusqu’à ce que la mère emmène l’enfant en France, l’enfant avait sa résidence habituelle au Canada. La mère avait obtenu le consentement du père pour un voyage de deux semaines en France avec l’enfant, et non un déménagement. L’enfant était alors retenue illicitement en France jusqu’à son retour au Canada. Lorsque l’enfant est rentrée au Canada, sa résidence habituelle demeurait le Canada. Parce que la résidence habituelle de l’enfant n’était pas en France en février 2019, la </w:t>
            </w:r>
            <w:r w:rsidRPr="00B84A84">
              <w:rPr>
                <w:i/>
                <w:sz w:val="20"/>
                <w:lang w:val="fr-CA"/>
              </w:rPr>
              <w:t>Convention de La Haye</w:t>
            </w:r>
            <w:r w:rsidRPr="00B84A84">
              <w:rPr>
                <w:sz w:val="20"/>
                <w:lang w:val="fr-CA"/>
              </w:rPr>
              <w:t xml:space="preserve"> ne s’appliquait pas. La Cour d’appel a rejeté l’appel de la mère.</w:t>
            </w:r>
          </w:p>
          <w:p w:rsidR="00D774AB" w:rsidRPr="00B84A84" w:rsidRDefault="00D774AB">
            <w:pPr>
              <w:jc w:val="both"/>
              <w:rPr>
                <w:sz w:val="20"/>
                <w:lang w:val="fr-CA"/>
              </w:rPr>
            </w:pPr>
          </w:p>
        </w:tc>
      </w:tr>
      <w:tr w:rsidR="00D774AB" w:rsidRPr="00840E69" w:rsidTr="00D774AB">
        <w:tc>
          <w:tcPr>
            <w:tcW w:w="2427" w:type="pct"/>
            <w:hideMark/>
          </w:tcPr>
          <w:p w:rsidR="00D774AB" w:rsidRPr="00B84A84" w:rsidRDefault="00D774AB">
            <w:pPr>
              <w:jc w:val="both"/>
              <w:rPr>
                <w:sz w:val="20"/>
                <w:lang w:val="fr-CA"/>
              </w:rPr>
            </w:pPr>
            <w:r w:rsidRPr="00B84A84">
              <w:rPr>
                <w:sz w:val="20"/>
                <w:lang w:val="fr-CA"/>
              </w:rPr>
              <w:t>27 septembre 2019</w:t>
            </w:r>
          </w:p>
          <w:p w:rsidR="00D774AB" w:rsidRPr="00B84A84" w:rsidRDefault="00D774AB">
            <w:pPr>
              <w:jc w:val="both"/>
              <w:rPr>
                <w:sz w:val="20"/>
                <w:lang w:val="fr-CA"/>
              </w:rPr>
            </w:pPr>
            <w:r w:rsidRPr="00B84A84">
              <w:rPr>
                <w:sz w:val="20"/>
                <w:lang w:val="fr-CA"/>
              </w:rPr>
              <w:t>Cour supérieure de justice de l’Ontario</w:t>
            </w:r>
          </w:p>
          <w:p w:rsidR="00D774AB" w:rsidRPr="00B84A84" w:rsidRDefault="00D774AB">
            <w:pPr>
              <w:jc w:val="both"/>
              <w:rPr>
                <w:sz w:val="20"/>
                <w:lang w:val="fr-CA"/>
              </w:rPr>
            </w:pPr>
            <w:r w:rsidRPr="00B84A84">
              <w:rPr>
                <w:sz w:val="20"/>
                <w:lang w:val="fr-CA"/>
              </w:rPr>
              <w:t>(Juge Kristjanson)</w:t>
            </w:r>
          </w:p>
        </w:tc>
        <w:tc>
          <w:tcPr>
            <w:tcW w:w="243" w:type="pct"/>
          </w:tcPr>
          <w:p w:rsidR="00D774AB" w:rsidRPr="00B84A84" w:rsidRDefault="00D774AB">
            <w:pPr>
              <w:jc w:val="both"/>
              <w:rPr>
                <w:sz w:val="20"/>
                <w:lang w:val="fr-CA"/>
              </w:rPr>
            </w:pPr>
          </w:p>
        </w:tc>
        <w:tc>
          <w:tcPr>
            <w:tcW w:w="2330" w:type="pct"/>
          </w:tcPr>
          <w:p w:rsidR="00D774AB" w:rsidRPr="00B84A84" w:rsidRDefault="00D774AB">
            <w:pPr>
              <w:jc w:val="both"/>
              <w:rPr>
                <w:sz w:val="20"/>
                <w:lang w:val="fr-CA"/>
              </w:rPr>
            </w:pPr>
            <w:r w:rsidRPr="00B84A84">
              <w:rPr>
                <w:sz w:val="20"/>
                <w:lang w:val="fr-CA"/>
              </w:rPr>
              <w:t xml:space="preserve">Jugement rejetant la demande de la demanderesse pour le retour de l’enfant en France en application de la </w:t>
            </w:r>
            <w:r w:rsidRPr="00B84A84">
              <w:rPr>
                <w:i/>
                <w:sz w:val="20"/>
                <w:lang w:val="fr-CA"/>
              </w:rPr>
              <w:t>Convention de la Haye</w:t>
            </w:r>
            <w:r w:rsidRPr="00B84A84">
              <w:rPr>
                <w:sz w:val="20"/>
                <w:lang w:val="fr-CA"/>
              </w:rPr>
              <w:t xml:space="preserve"> et concluant que la résidence habituelle de l’enfant était le Canada. </w:t>
            </w:r>
          </w:p>
          <w:p w:rsidR="00D774AB" w:rsidRPr="00B84A84" w:rsidRDefault="00D774AB">
            <w:pPr>
              <w:jc w:val="both"/>
              <w:rPr>
                <w:sz w:val="20"/>
                <w:lang w:val="fr-CA"/>
              </w:rPr>
            </w:pPr>
          </w:p>
        </w:tc>
      </w:tr>
      <w:tr w:rsidR="00D774AB" w:rsidRPr="00B84A84" w:rsidTr="00D774AB">
        <w:tc>
          <w:tcPr>
            <w:tcW w:w="2427" w:type="pct"/>
          </w:tcPr>
          <w:p w:rsidR="00D774AB" w:rsidRPr="00B84A84" w:rsidRDefault="00D774AB">
            <w:pPr>
              <w:jc w:val="both"/>
              <w:rPr>
                <w:sz w:val="20"/>
                <w:lang w:val="fr-CA"/>
              </w:rPr>
            </w:pPr>
            <w:r w:rsidRPr="00B84A84">
              <w:rPr>
                <w:sz w:val="20"/>
                <w:lang w:val="fr-CA"/>
              </w:rPr>
              <w:t>6 février 2020</w:t>
            </w:r>
          </w:p>
          <w:p w:rsidR="00D774AB" w:rsidRPr="00B84A84" w:rsidRDefault="00D774AB">
            <w:pPr>
              <w:jc w:val="both"/>
              <w:rPr>
                <w:sz w:val="20"/>
                <w:lang w:val="fr-CA"/>
              </w:rPr>
            </w:pPr>
            <w:r w:rsidRPr="00B84A84">
              <w:rPr>
                <w:sz w:val="20"/>
                <w:lang w:val="fr-CA"/>
              </w:rPr>
              <w:t>Cour d’appel de l’Ontario</w:t>
            </w:r>
          </w:p>
          <w:p w:rsidR="00D774AB" w:rsidRPr="00B84A84" w:rsidRDefault="00D774AB">
            <w:pPr>
              <w:jc w:val="both"/>
              <w:rPr>
                <w:sz w:val="20"/>
                <w:lang w:val="fr-CA"/>
              </w:rPr>
            </w:pPr>
            <w:r w:rsidRPr="00B84A84">
              <w:rPr>
                <w:sz w:val="20"/>
                <w:lang w:val="fr-CA"/>
              </w:rPr>
              <w:t>(Juges Gillese, Rouleau et Fairburn)</w:t>
            </w:r>
          </w:p>
          <w:p w:rsidR="00D774AB" w:rsidRPr="00B84A84" w:rsidRDefault="005E1A49">
            <w:pPr>
              <w:jc w:val="both"/>
              <w:rPr>
                <w:sz w:val="20"/>
                <w:lang w:val="fr-CA"/>
              </w:rPr>
            </w:pPr>
            <w:hyperlink r:id="rId36" w:history="1">
              <w:r w:rsidR="00D774AB" w:rsidRPr="00B84A84">
                <w:rPr>
                  <w:rStyle w:val="Hyperlink"/>
                  <w:sz w:val="20"/>
                  <w:lang w:val="fr-CA"/>
                </w:rPr>
                <w:t>2020 ONCA 92</w:t>
              </w:r>
            </w:hyperlink>
          </w:p>
          <w:p w:rsidR="00D774AB" w:rsidRPr="00B84A84" w:rsidRDefault="00D774AB">
            <w:pPr>
              <w:jc w:val="both"/>
              <w:rPr>
                <w:sz w:val="20"/>
                <w:lang w:val="fr-CA"/>
              </w:rPr>
            </w:pPr>
          </w:p>
        </w:tc>
        <w:tc>
          <w:tcPr>
            <w:tcW w:w="243" w:type="pct"/>
          </w:tcPr>
          <w:p w:rsidR="00D774AB" w:rsidRPr="00B84A84" w:rsidRDefault="00D774AB">
            <w:pPr>
              <w:jc w:val="both"/>
              <w:rPr>
                <w:sz w:val="20"/>
                <w:lang w:val="fr-CA"/>
              </w:rPr>
            </w:pPr>
          </w:p>
        </w:tc>
        <w:tc>
          <w:tcPr>
            <w:tcW w:w="2330" w:type="pct"/>
          </w:tcPr>
          <w:p w:rsidR="00D774AB" w:rsidRPr="00B84A84" w:rsidRDefault="00D774AB">
            <w:pPr>
              <w:jc w:val="both"/>
              <w:rPr>
                <w:sz w:val="20"/>
                <w:lang w:val="fr-CA"/>
              </w:rPr>
            </w:pPr>
            <w:r w:rsidRPr="00B84A84">
              <w:rPr>
                <w:sz w:val="20"/>
                <w:lang w:val="fr-CA"/>
              </w:rPr>
              <w:t>Rejet de l’appel.</w:t>
            </w:r>
          </w:p>
          <w:p w:rsidR="00D774AB" w:rsidRPr="00B84A84" w:rsidRDefault="00D774AB">
            <w:pPr>
              <w:jc w:val="both"/>
              <w:rPr>
                <w:sz w:val="20"/>
                <w:lang w:val="fr-CA"/>
              </w:rPr>
            </w:pPr>
          </w:p>
        </w:tc>
      </w:tr>
      <w:tr w:rsidR="00D774AB" w:rsidRPr="00840E69" w:rsidTr="00D774AB">
        <w:tc>
          <w:tcPr>
            <w:tcW w:w="2427" w:type="pct"/>
            <w:hideMark/>
          </w:tcPr>
          <w:p w:rsidR="00D774AB" w:rsidRPr="00B84A84" w:rsidRDefault="00D774AB">
            <w:pPr>
              <w:jc w:val="both"/>
              <w:rPr>
                <w:sz w:val="20"/>
                <w:lang w:val="fr-CA"/>
              </w:rPr>
            </w:pPr>
            <w:r w:rsidRPr="00B84A84">
              <w:rPr>
                <w:sz w:val="20"/>
                <w:lang w:val="fr-CA"/>
              </w:rPr>
              <w:t>6 avril 2020</w:t>
            </w:r>
          </w:p>
          <w:p w:rsidR="00D774AB" w:rsidRPr="00B84A84" w:rsidRDefault="00D774AB">
            <w:pPr>
              <w:jc w:val="both"/>
              <w:rPr>
                <w:sz w:val="20"/>
                <w:lang w:val="fr-CA"/>
              </w:rPr>
            </w:pPr>
            <w:r w:rsidRPr="00B84A84">
              <w:rPr>
                <w:sz w:val="20"/>
                <w:lang w:val="fr-CA"/>
              </w:rPr>
              <w:t>Cour suprême du Canada</w:t>
            </w:r>
          </w:p>
        </w:tc>
        <w:tc>
          <w:tcPr>
            <w:tcW w:w="243" w:type="pct"/>
          </w:tcPr>
          <w:p w:rsidR="00D774AB" w:rsidRPr="00B84A84" w:rsidRDefault="00D774AB">
            <w:pPr>
              <w:jc w:val="both"/>
              <w:rPr>
                <w:sz w:val="20"/>
                <w:lang w:val="fr-CA"/>
              </w:rPr>
            </w:pPr>
          </w:p>
        </w:tc>
        <w:tc>
          <w:tcPr>
            <w:tcW w:w="2330" w:type="pct"/>
          </w:tcPr>
          <w:p w:rsidR="00D774AB" w:rsidRPr="00B84A84" w:rsidRDefault="00D774AB">
            <w:pPr>
              <w:jc w:val="both"/>
              <w:rPr>
                <w:sz w:val="20"/>
                <w:lang w:val="fr-CA"/>
              </w:rPr>
            </w:pPr>
            <w:r w:rsidRPr="00B84A84">
              <w:rPr>
                <w:sz w:val="20"/>
                <w:lang w:val="fr-CA"/>
              </w:rPr>
              <w:t>Dépôt de la demande d’autorisation d’appel.</w:t>
            </w:r>
          </w:p>
          <w:p w:rsidR="00D774AB" w:rsidRPr="00B84A84" w:rsidRDefault="00D774AB">
            <w:pPr>
              <w:jc w:val="both"/>
              <w:rPr>
                <w:sz w:val="20"/>
                <w:lang w:val="fr-CA"/>
              </w:rPr>
            </w:pPr>
          </w:p>
        </w:tc>
      </w:tr>
    </w:tbl>
    <w:p w:rsidR="004B2E86" w:rsidRPr="00B84A84" w:rsidRDefault="004B2E86" w:rsidP="004B2E86">
      <w:pPr>
        <w:jc w:val="both"/>
        <w:rPr>
          <w:sz w:val="20"/>
          <w:szCs w:val="20"/>
          <w:lang w:val="fr-CA"/>
        </w:rPr>
      </w:pPr>
    </w:p>
    <w:p w:rsidR="00102792" w:rsidRPr="00B84A84" w:rsidRDefault="005E1A49" w:rsidP="004B2E86">
      <w:pPr>
        <w:jc w:val="both"/>
        <w:rPr>
          <w:sz w:val="20"/>
          <w:szCs w:val="20"/>
          <w:lang w:val="fr-CA"/>
        </w:rPr>
      </w:pPr>
      <w:r>
        <w:rPr>
          <w:sz w:val="20"/>
          <w:szCs w:val="20"/>
        </w:rPr>
        <w:pict>
          <v:rect id="_x0000_i1050" style="width:2in;height:1pt" o:hrpct="0" o:hralign="center" o:hrstd="t" o:hrnoshade="t" o:hr="t" fillcolor="black" stroked="f"/>
        </w:pict>
      </w:r>
    </w:p>
    <w:p w:rsidR="00E06F20" w:rsidRPr="00B84A84" w:rsidRDefault="00E06F20" w:rsidP="00102792">
      <w:pPr>
        <w:jc w:val="both"/>
        <w:rPr>
          <w:sz w:val="20"/>
          <w:lang w:val="fr-CA"/>
        </w:rPr>
      </w:pPr>
    </w:p>
    <w:p w:rsidR="00D774AB" w:rsidRPr="00B84A84" w:rsidRDefault="00D774AB" w:rsidP="00102792">
      <w:pPr>
        <w:jc w:val="both"/>
        <w:rPr>
          <w:sz w:val="20"/>
          <w:lang w:val="fr-CA"/>
        </w:rPr>
      </w:pPr>
    </w:p>
    <w:p w:rsidR="00890FEB" w:rsidRPr="00B84A84" w:rsidRDefault="00890FEB" w:rsidP="008D292F">
      <w:pPr>
        <w:rPr>
          <w:sz w:val="20"/>
          <w:szCs w:val="20"/>
          <w:lang w:val="fr-CA"/>
        </w:rPr>
      </w:pPr>
    </w:p>
    <w:p w:rsidR="00890FEB" w:rsidRPr="00B84A84" w:rsidRDefault="00890FEB" w:rsidP="008D292F">
      <w:pPr>
        <w:rPr>
          <w:b/>
          <w:sz w:val="20"/>
          <w:szCs w:val="20"/>
          <w:lang w:val="fr-CA"/>
        </w:rPr>
        <w:sectPr w:rsidR="00890FEB" w:rsidRPr="00B84A84" w:rsidSect="008D292F">
          <w:headerReference w:type="even" r:id="rId37"/>
          <w:headerReference w:type="default" r:id="rId38"/>
          <w:footerReference w:type="even" r:id="rId39"/>
          <w:footerReference w:type="default" r:id="rId40"/>
          <w:headerReference w:type="first" r:id="rId41"/>
          <w:footerReference w:type="first" r:id="rId42"/>
          <w:pgSz w:w="12240" w:h="15840"/>
          <w:pgMar w:top="720" w:right="965" w:bottom="1080" w:left="1656" w:header="720" w:footer="965" w:gutter="0"/>
          <w:cols w:space="720"/>
          <w:titlePg/>
          <w:docGrid w:linePitch="326"/>
        </w:sectPr>
      </w:pPr>
    </w:p>
    <w:p w:rsidR="00567602" w:rsidRPr="00B84A84" w:rsidRDefault="001434B9" w:rsidP="00567602">
      <w:pPr>
        <w:pStyle w:val="Header1StyleE"/>
        <w:pBdr>
          <w:bottom w:val="single" w:sz="12" w:space="1" w:color="auto"/>
        </w:pBdr>
        <w:rPr>
          <w:lang w:val="fr-CA"/>
        </w:rPr>
      </w:pPr>
      <w:bookmarkStart w:id="5" w:name="_Toc42854324"/>
      <w:r w:rsidRPr="00B84A84">
        <w:rPr>
          <w:lang w:val="fr-CA"/>
        </w:rPr>
        <w:t xml:space="preserve">Appeals heard </w:t>
      </w:r>
      <w:r w:rsidR="000873E5" w:rsidRPr="00B84A84">
        <w:rPr>
          <w:lang w:val="fr-CA"/>
        </w:rPr>
        <w:t xml:space="preserve">by video-conference </w:t>
      </w:r>
      <w:r w:rsidRPr="00B84A84">
        <w:rPr>
          <w:lang w:val="fr-CA"/>
        </w:rPr>
        <w:t>since the last issue and disposition</w:t>
      </w:r>
      <w:r w:rsidR="00271E1E" w:rsidRPr="00B84A84">
        <w:rPr>
          <w:lang w:val="fr-CA"/>
        </w:rPr>
        <w:t xml:space="preserve"> / </w:t>
      </w:r>
      <w:r w:rsidR="00567602" w:rsidRPr="00B84A84">
        <w:rPr>
          <w:lang w:val="fr-CA"/>
        </w:rPr>
        <w:br/>
      </w:r>
      <w:r w:rsidRPr="00B84A84">
        <w:rPr>
          <w:lang w:val="fr-CA"/>
        </w:rPr>
        <w:t xml:space="preserve">Appels entendus </w:t>
      </w:r>
      <w:r w:rsidR="000873E5" w:rsidRPr="00B84A84">
        <w:rPr>
          <w:lang w:val="fr-CA"/>
        </w:rPr>
        <w:t xml:space="preserve">par vidéoconférence </w:t>
      </w:r>
      <w:r w:rsidRPr="00B84A84">
        <w:rPr>
          <w:lang w:val="fr-CA"/>
        </w:rPr>
        <w:t>depuis la dernière parution et résultat</w:t>
      </w:r>
      <w:bookmarkEnd w:id="5"/>
    </w:p>
    <w:p w:rsidR="00567602" w:rsidRPr="00B84A84" w:rsidRDefault="00567602" w:rsidP="00567602">
      <w:pPr>
        <w:keepNext/>
        <w:keepLines/>
        <w:widowControl w:val="0"/>
        <w:jc w:val="both"/>
        <w:rPr>
          <w:sz w:val="20"/>
          <w:szCs w:val="20"/>
          <w:lang w:val="fr-CA"/>
        </w:rPr>
      </w:pPr>
    </w:p>
    <w:p w:rsidR="00717608" w:rsidRPr="00B84A84" w:rsidRDefault="00D701DF" w:rsidP="00717608">
      <w:pPr>
        <w:rPr>
          <w:b/>
          <w:sz w:val="20"/>
          <w:szCs w:val="20"/>
        </w:rPr>
      </w:pPr>
      <w:r w:rsidRPr="00B84A84">
        <w:rPr>
          <w:b/>
          <w:sz w:val="20"/>
          <w:szCs w:val="20"/>
        </w:rPr>
        <w:t>JUNE</w:t>
      </w:r>
      <w:r w:rsidR="00717608" w:rsidRPr="00B84A84">
        <w:rPr>
          <w:b/>
          <w:sz w:val="20"/>
          <w:szCs w:val="20"/>
        </w:rPr>
        <w:t xml:space="preserve"> </w:t>
      </w:r>
      <w:r w:rsidRPr="00B84A84">
        <w:rPr>
          <w:b/>
          <w:sz w:val="20"/>
          <w:szCs w:val="20"/>
        </w:rPr>
        <w:t>9</w:t>
      </w:r>
      <w:r w:rsidR="00717608" w:rsidRPr="00B84A84">
        <w:rPr>
          <w:b/>
          <w:sz w:val="20"/>
          <w:szCs w:val="20"/>
        </w:rPr>
        <w:t>, 20</w:t>
      </w:r>
      <w:r w:rsidR="00172473" w:rsidRPr="00B84A84">
        <w:rPr>
          <w:b/>
          <w:sz w:val="20"/>
          <w:szCs w:val="20"/>
        </w:rPr>
        <w:t>20</w:t>
      </w:r>
      <w:r w:rsidR="00717608" w:rsidRPr="00B84A84">
        <w:rPr>
          <w:b/>
          <w:sz w:val="20"/>
          <w:szCs w:val="20"/>
        </w:rPr>
        <w:t xml:space="preserve"> / LE </w:t>
      </w:r>
      <w:r w:rsidRPr="00B84A84">
        <w:rPr>
          <w:b/>
          <w:sz w:val="20"/>
          <w:szCs w:val="20"/>
        </w:rPr>
        <w:t>9</w:t>
      </w:r>
      <w:r w:rsidR="00717608" w:rsidRPr="00B84A84">
        <w:rPr>
          <w:b/>
          <w:sz w:val="20"/>
          <w:szCs w:val="20"/>
        </w:rPr>
        <w:t xml:space="preserve"> </w:t>
      </w:r>
      <w:r w:rsidRPr="00B84A84">
        <w:rPr>
          <w:b/>
          <w:sz w:val="20"/>
          <w:szCs w:val="20"/>
        </w:rPr>
        <w:t>JUIN</w:t>
      </w:r>
      <w:r w:rsidR="00717608" w:rsidRPr="00B84A84">
        <w:rPr>
          <w:b/>
          <w:sz w:val="20"/>
          <w:szCs w:val="20"/>
        </w:rPr>
        <w:t xml:space="preserve"> 20</w:t>
      </w:r>
      <w:r w:rsidR="00172473" w:rsidRPr="00B84A84">
        <w:rPr>
          <w:b/>
          <w:sz w:val="20"/>
          <w:szCs w:val="20"/>
        </w:rPr>
        <w:t>20</w:t>
      </w:r>
    </w:p>
    <w:p w:rsidR="00172473" w:rsidRPr="00B84A84" w:rsidRDefault="00172473" w:rsidP="00717608">
      <w:pPr>
        <w:rPr>
          <w:sz w:val="20"/>
          <w:szCs w:val="20"/>
        </w:rPr>
      </w:pPr>
    </w:p>
    <w:p w:rsidR="00102792" w:rsidRPr="00B84A84" w:rsidRDefault="00D701DF" w:rsidP="00102792">
      <w:pPr>
        <w:rPr>
          <w:color w:val="000000"/>
          <w:sz w:val="20"/>
          <w:szCs w:val="27"/>
          <w:lang w:val="en-US"/>
        </w:rPr>
      </w:pPr>
      <w:r w:rsidRPr="00B84A84">
        <w:rPr>
          <w:rStyle w:val="sccssocchar"/>
          <w:b/>
          <w:bCs/>
          <w:color w:val="000000"/>
          <w:sz w:val="20"/>
          <w:szCs w:val="27"/>
        </w:rPr>
        <w:t>Owners, Strata Plan LMS 3905 v. Crystal Square Parking Corporation</w:t>
      </w:r>
      <w:r w:rsidR="00281DA2" w:rsidRPr="00B84A84">
        <w:rPr>
          <w:rStyle w:val="sccssocchar"/>
          <w:b/>
          <w:bCs/>
          <w:color w:val="000000"/>
          <w:sz w:val="20"/>
          <w:szCs w:val="27"/>
        </w:rPr>
        <w:t xml:space="preserve"> </w:t>
      </w:r>
      <w:r w:rsidR="00102792" w:rsidRPr="00B84A84">
        <w:rPr>
          <w:color w:val="000000"/>
          <w:sz w:val="20"/>
          <w:szCs w:val="27"/>
        </w:rPr>
        <w:t>(</w:t>
      </w:r>
      <w:r w:rsidRPr="00B84A84">
        <w:rPr>
          <w:color w:val="000000"/>
          <w:sz w:val="20"/>
          <w:szCs w:val="27"/>
        </w:rPr>
        <w:t>B.C</w:t>
      </w:r>
      <w:r w:rsidR="00102792" w:rsidRPr="00B84A84">
        <w:rPr>
          <w:color w:val="000000"/>
          <w:sz w:val="20"/>
          <w:szCs w:val="27"/>
        </w:rPr>
        <w:t>.) (Civil) (By Leave) (</w:t>
      </w:r>
      <w:hyperlink r:id="rId43" w:tgtFrame="_blank" w:history="1">
        <w:r w:rsidR="00102792" w:rsidRPr="00B84A84">
          <w:rPr>
            <w:rStyle w:val="Hyperlink"/>
            <w:sz w:val="20"/>
            <w:szCs w:val="27"/>
          </w:rPr>
          <w:t>3</w:t>
        </w:r>
        <w:r w:rsidRPr="00B84A84">
          <w:rPr>
            <w:rStyle w:val="Hyperlink"/>
            <w:sz w:val="20"/>
            <w:szCs w:val="27"/>
          </w:rPr>
          <w:t>8</w:t>
        </w:r>
        <w:r w:rsidR="00102792" w:rsidRPr="00B84A84">
          <w:rPr>
            <w:rStyle w:val="Hyperlink"/>
            <w:sz w:val="20"/>
            <w:szCs w:val="27"/>
          </w:rPr>
          <w:t>7</w:t>
        </w:r>
        <w:r w:rsidRPr="00B84A84">
          <w:rPr>
            <w:rStyle w:val="Hyperlink"/>
            <w:sz w:val="20"/>
            <w:szCs w:val="27"/>
          </w:rPr>
          <w:t>41</w:t>
        </w:r>
      </w:hyperlink>
      <w:r w:rsidR="00102792" w:rsidRPr="00B84A84">
        <w:rPr>
          <w:color w:val="000000"/>
          <w:sz w:val="20"/>
          <w:szCs w:val="27"/>
        </w:rPr>
        <w:t>)</w:t>
      </w:r>
    </w:p>
    <w:p w:rsidR="00D701DF" w:rsidRPr="00B84A84" w:rsidRDefault="00D701DF" w:rsidP="00102792">
      <w:pPr>
        <w:ind w:left="1109" w:hanging="1109"/>
        <w:rPr>
          <w:color w:val="000000"/>
          <w:sz w:val="20"/>
          <w:szCs w:val="27"/>
        </w:rPr>
      </w:pPr>
    </w:p>
    <w:p w:rsidR="00102792" w:rsidRPr="00B84A84" w:rsidRDefault="00102792" w:rsidP="00102792">
      <w:pPr>
        <w:ind w:left="1109" w:hanging="1109"/>
        <w:rPr>
          <w:color w:val="000000"/>
          <w:sz w:val="20"/>
          <w:szCs w:val="27"/>
        </w:rPr>
      </w:pPr>
      <w:r w:rsidRPr="00B84A84">
        <w:rPr>
          <w:color w:val="000000"/>
          <w:sz w:val="20"/>
          <w:szCs w:val="27"/>
        </w:rPr>
        <w:t>Coram:</w:t>
      </w:r>
      <w:r w:rsidR="00D82BFF" w:rsidRPr="00B84A84">
        <w:rPr>
          <w:sz w:val="20"/>
        </w:rPr>
        <w:t xml:space="preserve"> </w:t>
      </w:r>
      <w:r w:rsidR="00D82BFF" w:rsidRPr="00B84A84">
        <w:rPr>
          <w:sz w:val="20"/>
        </w:rPr>
        <w:tab/>
      </w:r>
      <w:r w:rsidR="00D701DF" w:rsidRPr="00B84A84">
        <w:rPr>
          <w:color w:val="000000"/>
          <w:sz w:val="20"/>
          <w:szCs w:val="27"/>
        </w:rPr>
        <w:t>Wagner C.J. and Abella, Moldaver, Karakatsanis, Côté, Brown, Rowe, Martin and Kasirer JJ.</w:t>
      </w:r>
    </w:p>
    <w:p w:rsidR="00102792" w:rsidRPr="00B84A84" w:rsidRDefault="00102792" w:rsidP="00102792">
      <w:pPr>
        <w:ind w:left="1109" w:hanging="1109"/>
        <w:rPr>
          <w:color w:val="000000"/>
          <w:sz w:val="20"/>
          <w:szCs w:val="27"/>
        </w:rPr>
      </w:pPr>
    </w:p>
    <w:p w:rsidR="00102792" w:rsidRPr="00B84A84" w:rsidRDefault="00102792" w:rsidP="00102792">
      <w:pPr>
        <w:ind w:left="1109" w:hanging="1109"/>
        <w:rPr>
          <w:b/>
          <w:bCs/>
          <w:color w:val="000000"/>
          <w:sz w:val="20"/>
          <w:szCs w:val="20"/>
        </w:rPr>
      </w:pPr>
      <w:r w:rsidRPr="00B84A84">
        <w:rPr>
          <w:b/>
          <w:bCs/>
          <w:color w:val="000000"/>
          <w:sz w:val="20"/>
          <w:szCs w:val="20"/>
        </w:rPr>
        <w:t>RESERVED / EN DÉLIBÉRÉ</w:t>
      </w:r>
    </w:p>
    <w:p w:rsidR="00D701DF" w:rsidRPr="00B84A84" w:rsidRDefault="00D701DF" w:rsidP="00102792">
      <w:pPr>
        <w:ind w:left="1109" w:hanging="1109"/>
        <w:rPr>
          <w:bCs/>
          <w:color w:val="000000"/>
          <w:sz w:val="20"/>
          <w:szCs w:val="27"/>
          <w:lang w:val="fr-CA"/>
        </w:rPr>
      </w:pPr>
    </w:p>
    <w:p w:rsidR="00E06F20" w:rsidRPr="00B84A84" w:rsidRDefault="005E1A49" w:rsidP="00281DA2">
      <w:pPr>
        <w:jc w:val="center"/>
        <w:rPr>
          <w:color w:val="000000"/>
          <w:sz w:val="20"/>
          <w:szCs w:val="27"/>
        </w:rPr>
      </w:pPr>
      <w:r>
        <w:rPr>
          <w:sz w:val="20"/>
          <w:szCs w:val="20"/>
        </w:rPr>
        <w:pict>
          <v:rect id="_x0000_i1053" style="width:2in;height:1pt" o:hrpct="0" o:hralign="center" o:hrstd="t" o:hrnoshade="t" o:hr="t" fillcolor="black [3213]" stroked="f"/>
        </w:pict>
      </w:r>
    </w:p>
    <w:p w:rsidR="00102792" w:rsidRPr="00B84A84" w:rsidRDefault="00102792" w:rsidP="00102792">
      <w:pPr>
        <w:widowControl w:val="0"/>
        <w:rPr>
          <w:sz w:val="20"/>
          <w:szCs w:val="20"/>
        </w:rPr>
      </w:pPr>
    </w:p>
    <w:p w:rsidR="00172473" w:rsidRPr="00B84A84" w:rsidRDefault="00D701DF" w:rsidP="00172473">
      <w:pPr>
        <w:rPr>
          <w:b/>
          <w:sz w:val="20"/>
          <w:szCs w:val="20"/>
          <w:lang w:val="fr-CA"/>
        </w:rPr>
      </w:pPr>
      <w:r w:rsidRPr="00B84A84">
        <w:rPr>
          <w:b/>
          <w:sz w:val="20"/>
          <w:szCs w:val="20"/>
          <w:lang w:val="fr-CA"/>
        </w:rPr>
        <w:t>JUNE</w:t>
      </w:r>
      <w:r w:rsidR="00172473" w:rsidRPr="00B84A84">
        <w:rPr>
          <w:b/>
          <w:sz w:val="20"/>
          <w:szCs w:val="20"/>
          <w:lang w:val="fr-CA"/>
        </w:rPr>
        <w:t xml:space="preserve"> </w:t>
      </w:r>
      <w:r w:rsidRPr="00B84A84">
        <w:rPr>
          <w:b/>
          <w:sz w:val="20"/>
          <w:szCs w:val="20"/>
          <w:lang w:val="fr-CA"/>
        </w:rPr>
        <w:t>10</w:t>
      </w:r>
      <w:r w:rsidR="00172473" w:rsidRPr="00B84A84">
        <w:rPr>
          <w:b/>
          <w:sz w:val="20"/>
          <w:szCs w:val="20"/>
          <w:lang w:val="fr-CA"/>
        </w:rPr>
        <w:t xml:space="preserve">, 2020 / LE </w:t>
      </w:r>
      <w:r w:rsidRPr="00B84A84">
        <w:rPr>
          <w:b/>
          <w:sz w:val="20"/>
          <w:szCs w:val="20"/>
          <w:lang w:val="fr-CA"/>
        </w:rPr>
        <w:t>10</w:t>
      </w:r>
      <w:r w:rsidR="00172473" w:rsidRPr="00B84A84">
        <w:rPr>
          <w:b/>
          <w:sz w:val="20"/>
          <w:szCs w:val="20"/>
          <w:lang w:val="fr-CA"/>
        </w:rPr>
        <w:t xml:space="preserve"> </w:t>
      </w:r>
      <w:r w:rsidRPr="00B84A84">
        <w:rPr>
          <w:b/>
          <w:sz w:val="20"/>
          <w:szCs w:val="20"/>
          <w:lang w:val="fr-CA"/>
        </w:rPr>
        <w:t>JUIN</w:t>
      </w:r>
      <w:r w:rsidR="00172473" w:rsidRPr="00B84A84">
        <w:rPr>
          <w:b/>
          <w:sz w:val="20"/>
          <w:szCs w:val="20"/>
          <w:lang w:val="fr-CA"/>
        </w:rPr>
        <w:t xml:space="preserve"> 2020</w:t>
      </w:r>
    </w:p>
    <w:p w:rsidR="00A234E1" w:rsidRPr="00B84A84" w:rsidRDefault="00A234E1" w:rsidP="00A234E1">
      <w:pPr>
        <w:widowControl w:val="0"/>
        <w:rPr>
          <w:sz w:val="20"/>
          <w:szCs w:val="24"/>
          <w:lang w:val="fr-CA"/>
        </w:rPr>
      </w:pPr>
    </w:p>
    <w:p w:rsidR="00716DEA" w:rsidRPr="00B84A84" w:rsidRDefault="00716DEA" w:rsidP="00716DEA">
      <w:pPr>
        <w:rPr>
          <w:color w:val="000000"/>
          <w:sz w:val="20"/>
          <w:szCs w:val="27"/>
          <w:lang w:val="fr-CA"/>
        </w:rPr>
      </w:pPr>
      <w:r w:rsidRPr="00B84A84">
        <w:rPr>
          <w:rStyle w:val="sccssocchar"/>
          <w:b/>
          <w:bCs/>
          <w:color w:val="000000"/>
          <w:sz w:val="20"/>
          <w:szCs w:val="27"/>
          <w:lang w:val="fr-CA"/>
        </w:rPr>
        <w:t xml:space="preserve">Sa Majesté la Reine c. Sivaloganathan Thanabalasingham </w:t>
      </w:r>
      <w:r w:rsidRPr="00B84A84">
        <w:rPr>
          <w:color w:val="000000"/>
          <w:sz w:val="20"/>
          <w:szCs w:val="27"/>
          <w:lang w:val="fr-CA"/>
        </w:rPr>
        <w:t>(Qc) (Criminelle) (De plein droit) (</w:t>
      </w:r>
      <w:hyperlink r:id="rId44" w:tgtFrame="_blank" w:history="1">
        <w:r w:rsidRPr="00B84A84">
          <w:rPr>
            <w:rStyle w:val="Hyperlink"/>
            <w:sz w:val="20"/>
            <w:szCs w:val="27"/>
            <w:lang w:val="fr-CA"/>
          </w:rPr>
          <w:t>37984</w:t>
        </w:r>
      </w:hyperlink>
      <w:r w:rsidRPr="00B84A84">
        <w:rPr>
          <w:color w:val="000000"/>
          <w:sz w:val="20"/>
          <w:szCs w:val="27"/>
          <w:lang w:val="fr-CA"/>
        </w:rPr>
        <w:t>)</w:t>
      </w:r>
    </w:p>
    <w:p w:rsidR="00716DEA" w:rsidRPr="00B84A84" w:rsidRDefault="00716DEA" w:rsidP="00716DEA">
      <w:pPr>
        <w:ind w:left="1109" w:hanging="1109"/>
        <w:rPr>
          <w:color w:val="000000"/>
          <w:sz w:val="20"/>
          <w:szCs w:val="27"/>
          <w:lang w:val="fr-CA"/>
        </w:rPr>
      </w:pPr>
    </w:p>
    <w:p w:rsidR="00716DEA" w:rsidRPr="00B84A84" w:rsidRDefault="00716DEA" w:rsidP="00716DEA">
      <w:pPr>
        <w:ind w:left="1109" w:hanging="1109"/>
        <w:rPr>
          <w:color w:val="000000"/>
          <w:sz w:val="20"/>
          <w:szCs w:val="27"/>
          <w:lang w:val="fr-CA"/>
        </w:rPr>
      </w:pPr>
      <w:r w:rsidRPr="00B84A84">
        <w:rPr>
          <w:color w:val="000000"/>
          <w:sz w:val="20"/>
          <w:szCs w:val="27"/>
          <w:lang w:val="fr-CA"/>
        </w:rPr>
        <w:t>Coram:</w:t>
      </w:r>
      <w:r w:rsidRPr="00B84A84">
        <w:rPr>
          <w:sz w:val="20"/>
          <w:lang w:val="fr-CA"/>
        </w:rPr>
        <w:t xml:space="preserve"> </w:t>
      </w:r>
      <w:r w:rsidRPr="00B84A84">
        <w:rPr>
          <w:sz w:val="20"/>
          <w:lang w:val="fr-CA"/>
        </w:rPr>
        <w:tab/>
      </w:r>
      <w:r w:rsidRPr="00B84A84">
        <w:rPr>
          <w:color w:val="000000"/>
          <w:sz w:val="20"/>
          <w:szCs w:val="27"/>
          <w:lang w:val="fr-CA"/>
        </w:rPr>
        <w:t>Le juge en chef Wagner et les juges Abella, Moldaver, Karakatsanis, Côté, Brown, Rowe, Martin et Kasirer</w:t>
      </w:r>
    </w:p>
    <w:p w:rsidR="00716DEA" w:rsidRPr="00B84A84" w:rsidRDefault="00716DEA" w:rsidP="00716DEA">
      <w:pPr>
        <w:ind w:left="1109" w:hanging="1109"/>
        <w:rPr>
          <w:color w:val="000000"/>
          <w:sz w:val="20"/>
          <w:szCs w:val="27"/>
          <w:lang w:val="fr-CA"/>
        </w:rPr>
      </w:pPr>
    </w:p>
    <w:p w:rsidR="00716DEA" w:rsidRPr="00B84A84" w:rsidRDefault="00716DEA" w:rsidP="00716DEA">
      <w:pPr>
        <w:ind w:left="1109" w:hanging="1109"/>
        <w:rPr>
          <w:b/>
          <w:bCs/>
          <w:color w:val="000000"/>
          <w:sz w:val="20"/>
          <w:szCs w:val="20"/>
        </w:rPr>
      </w:pPr>
      <w:r w:rsidRPr="00B84A84">
        <w:rPr>
          <w:b/>
          <w:bCs/>
          <w:color w:val="000000"/>
          <w:sz w:val="20"/>
          <w:szCs w:val="20"/>
        </w:rPr>
        <w:t>RESERVED / EN DÉLIBÉRÉ</w:t>
      </w:r>
    </w:p>
    <w:p w:rsidR="00E06F20" w:rsidRPr="00B84A84" w:rsidRDefault="00E06F20" w:rsidP="00A234E1">
      <w:pPr>
        <w:jc w:val="both"/>
        <w:rPr>
          <w:sz w:val="20"/>
          <w:lang w:val="fr-CA"/>
        </w:rPr>
      </w:pPr>
    </w:p>
    <w:p w:rsidR="00D004FC" w:rsidRPr="00B84A84" w:rsidRDefault="005E1A49" w:rsidP="00102792">
      <w:pPr>
        <w:rPr>
          <w:sz w:val="20"/>
          <w:szCs w:val="20"/>
          <w:lang w:val="fr-CA"/>
        </w:rPr>
      </w:pPr>
      <w:r>
        <w:rPr>
          <w:sz w:val="20"/>
          <w:szCs w:val="20"/>
        </w:rPr>
        <w:pict>
          <v:rect id="_x0000_i1054" style="width:2in;height:1pt" o:hrpct="0" o:hralign="center" o:hrstd="t" o:hrnoshade="t" o:hr="t" fillcolor="black [3213]" stroked="f"/>
        </w:pict>
      </w:r>
    </w:p>
    <w:p w:rsidR="0056248C" w:rsidRPr="00B84A84" w:rsidRDefault="0056248C" w:rsidP="00732DB7">
      <w:pPr>
        <w:widowControl w:val="0"/>
        <w:rPr>
          <w:sz w:val="20"/>
          <w:szCs w:val="20"/>
          <w:lang w:val="fr-CA"/>
        </w:rPr>
      </w:pPr>
    </w:p>
    <w:p w:rsidR="00716DEA" w:rsidRPr="00B84A84" w:rsidRDefault="00716DEA" w:rsidP="00716DEA">
      <w:pPr>
        <w:rPr>
          <w:b/>
          <w:sz w:val="20"/>
          <w:szCs w:val="20"/>
        </w:rPr>
      </w:pPr>
      <w:r w:rsidRPr="00B84A84">
        <w:rPr>
          <w:b/>
          <w:sz w:val="20"/>
          <w:szCs w:val="20"/>
        </w:rPr>
        <w:t>JUNE 11, 2020 / LE 11 JUIN 2020</w:t>
      </w:r>
    </w:p>
    <w:p w:rsidR="00716DEA" w:rsidRPr="00B84A84" w:rsidRDefault="00716DEA" w:rsidP="00716DEA">
      <w:pPr>
        <w:widowControl w:val="0"/>
        <w:rPr>
          <w:sz w:val="20"/>
          <w:szCs w:val="24"/>
        </w:rPr>
      </w:pPr>
    </w:p>
    <w:p w:rsidR="00716DEA" w:rsidRPr="00B84A84" w:rsidRDefault="00716DEA" w:rsidP="00716DEA">
      <w:pPr>
        <w:rPr>
          <w:color w:val="000000"/>
          <w:sz w:val="20"/>
          <w:szCs w:val="27"/>
          <w:lang w:val="en-US"/>
        </w:rPr>
      </w:pPr>
      <w:r w:rsidRPr="00B84A84">
        <w:rPr>
          <w:rStyle w:val="sccssocchar"/>
          <w:b/>
          <w:bCs/>
          <w:color w:val="000000"/>
          <w:sz w:val="20"/>
          <w:szCs w:val="27"/>
        </w:rPr>
        <w:t xml:space="preserve">Cheung Wai Wallace Li v. Her Majesty the Queen </w:t>
      </w:r>
      <w:r w:rsidRPr="00B84A84">
        <w:rPr>
          <w:color w:val="000000"/>
          <w:sz w:val="20"/>
          <w:szCs w:val="27"/>
        </w:rPr>
        <w:t>(B.C.) (Criminal) (As of Right) (</w:t>
      </w:r>
      <w:hyperlink r:id="rId45" w:tgtFrame="_blank" w:history="1">
        <w:r w:rsidRPr="00B84A84">
          <w:rPr>
            <w:rStyle w:val="Hyperlink"/>
            <w:sz w:val="20"/>
            <w:szCs w:val="27"/>
          </w:rPr>
          <w:t>38903</w:t>
        </w:r>
      </w:hyperlink>
      <w:r w:rsidRPr="00B84A84">
        <w:rPr>
          <w:color w:val="000000"/>
          <w:sz w:val="20"/>
          <w:szCs w:val="27"/>
        </w:rPr>
        <w:t>)</w:t>
      </w:r>
    </w:p>
    <w:p w:rsidR="00716DEA" w:rsidRPr="00B84A84" w:rsidRDefault="00716DEA" w:rsidP="00716DEA">
      <w:pPr>
        <w:widowControl w:val="0"/>
        <w:ind w:left="1109" w:hanging="1109"/>
        <w:rPr>
          <w:sz w:val="20"/>
        </w:rPr>
      </w:pPr>
      <w:r w:rsidRPr="00B84A84">
        <w:rPr>
          <w:b/>
          <w:sz w:val="20"/>
        </w:rPr>
        <w:t>2020 SCC 1</w:t>
      </w:r>
      <w:r w:rsidR="00292BB2" w:rsidRPr="00B84A84">
        <w:rPr>
          <w:b/>
          <w:sz w:val="20"/>
        </w:rPr>
        <w:t>2</w:t>
      </w:r>
      <w:r w:rsidRPr="00B84A84">
        <w:rPr>
          <w:b/>
          <w:sz w:val="20"/>
        </w:rPr>
        <w:t xml:space="preserve"> / 2020 CSC 1</w:t>
      </w:r>
      <w:r w:rsidR="00292BB2" w:rsidRPr="00B84A84">
        <w:rPr>
          <w:b/>
          <w:sz w:val="20"/>
        </w:rPr>
        <w:t>2</w:t>
      </w:r>
    </w:p>
    <w:p w:rsidR="00716DEA" w:rsidRPr="00B84A84" w:rsidRDefault="00716DEA" w:rsidP="00716DEA">
      <w:pPr>
        <w:ind w:left="1109" w:hanging="1109"/>
        <w:rPr>
          <w:color w:val="000000"/>
          <w:sz w:val="20"/>
          <w:szCs w:val="27"/>
        </w:rPr>
      </w:pPr>
    </w:p>
    <w:p w:rsidR="00716DEA" w:rsidRPr="00B84A84" w:rsidRDefault="00716DEA" w:rsidP="00716DEA">
      <w:pPr>
        <w:ind w:left="1109" w:hanging="1109"/>
        <w:rPr>
          <w:color w:val="000000"/>
          <w:sz w:val="20"/>
          <w:szCs w:val="27"/>
        </w:rPr>
      </w:pPr>
      <w:r w:rsidRPr="00B84A84">
        <w:rPr>
          <w:color w:val="000000"/>
          <w:sz w:val="20"/>
          <w:szCs w:val="27"/>
        </w:rPr>
        <w:t>Coram:</w:t>
      </w:r>
      <w:r w:rsidRPr="00B84A84">
        <w:rPr>
          <w:sz w:val="20"/>
        </w:rPr>
        <w:t xml:space="preserve"> </w:t>
      </w:r>
      <w:r w:rsidRPr="00B84A84">
        <w:rPr>
          <w:sz w:val="20"/>
        </w:rPr>
        <w:tab/>
      </w:r>
      <w:r w:rsidRPr="00B84A84">
        <w:rPr>
          <w:color w:val="000000"/>
          <w:sz w:val="20"/>
          <w:szCs w:val="27"/>
        </w:rPr>
        <w:t>Wagner C.J. and Abella, Moldaver, Karakatsanis, Côté, Brown, Rowe, Martin and Kasirer JJ.</w:t>
      </w:r>
    </w:p>
    <w:p w:rsidR="00716DEA" w:rsidRPr="00B84A84" w:rsidRDefault="00716DEA" w:rsidP="00716DEA">
      <w:pPr>
        <w:ind w:left="1109" w:hanging="1109"/>
        <w:rPr>
          <w:color w:val="000000"/>
          <w:sz w:val="20"/>
          <w:szCs w:val="27"/>
        </w:rPr>
      </w:pPr>
    </w:p>
    <w:p w:rsidR="00716DEA" w:rsidRPr="00B84A84" w:rsidRDefault="00716DEA" w:rsidP="00716DEA">
      <w:pPr>
        <w:widowControl w:val="0"/>
        <w:tabs>
          <w:tab w:val="left" w:pos="720"/>
          <w:tab w:val="left" w:pos="1440"/>
          <w:tab w:val="left" w:pos="2851"/>
          <w:tab w:val="left" w:pos="4320"/>
          <w:tab w:val="left" w:pos="10224"/>
          <w:tab w:val="left" w:pos="11376"/>
        </w:tabs>
        <w:rPr>
          <w:sz w:val="20"/>
          <w:szCs w:val="20"/>
        </w:rPr>
      </w:pPr>
      <w:r w:rsidRPr="00B84A84">
        <w:rPr>
          <w:b/>
          <w:sz w:val="20"/>
          <w:szCs w:val="20"/>
        </w:rPr>
        <w:t>DISMISSED / REJETÉ</w:t>
      </w:r>
    </w:p>
    <w:p w:rsidR="00716DEA" w:rsidRPr="00840E69" w:rsidRDefault="00716DEA" w:rsidP="00716DEA">
      <w:pPr>
        <w:jc w:val="both"/>
        <w:rPr>
          <w:sz w:val="20"/>
          <w:lang w:val="en-US"/>
        </w:rPr>
      </w:pPr>
    </w:p>
    <w:p w:rsidR="00840E69" w:rsidRPr="00840E69" w:rsidRDefault="00840E69" w:rsidP="00840E69">
      <w:pPr>
        <w:jc w:val="both"/>
        <w:rPr>
          <w:sz w:val="20"/>
          <w:szCs w:val="20"/>
        </w:rPr>
      </w:pPr>
      <w:r w:rsidRPr="00840E69">
        <w:rPr>
          <w:sz w:val="20"/>
          <w:szCs w:val="20"/>
        </w:rPr>
        <w:t xml:space="preserve">The appeal from the judgment of the Court of Appeal for British Columbia (Vancouver), Number CA45530, 2019 BCCA 344, dated October 3, 2019, was heard on June 11, 2020, and the Court on that day delivered the following judgment orally: </w:t>
      </w:r>
    </w:p>
    <w:p w:rsidR="00840E69" w:rsidRPr="00840E69" w:rsidRDefault="00840E69" w:rsidP="00840E69">
      <w:pPr>
        <w:jc w:val="both"/>
        <w:rPr>
          <w:sz w:val="20"/>
          <w:szCs w:val="20"/>
        </w:rPr>
      </w:pPr>
    </w:p>
    <w:p w:rsidR="00840E69" w:rsidRPr="00840E69" w:rsidRDefault="00840E69" w:rsidP="00840E69">
      <w:pPr>
        <w:jc w:val="both"/>
        <w:rPr>
          <w:sz w:val="20"/>
          <w:szCs w:val="20"/>
        </w:rPr>
      </w:pPr>
      <w:r w:rsidRPr="00840E69">
        <w:rPr>
          <w:smallCaps/>
          <w:sz w:val="20"/>
          <w:szCs w:val="20"/>
        </w:rPr>
        <w:t>Martin</w:t>
      </w:r>
      <w:r w:rsidRPr="00840E69">
        <w:rPr>
          <w:sz w:val="20"/>
          <w:szCs w:val="20"/>
        </w:rPr>
        <w:t xml:space="preserve"> J. </w:t>
      </w:r>
      <w:r w:rsidRPr="00840E69">
        <w:rPr>
          <w:rFonts w:cs="Times New Roman"/>
          <w:sz w:val="20"/>
          <w:szCs w:val="20"/>
        </w:rPr>
        <w:t>—</w:t>
      </w:r>
      <w:r w:rsidRPr="00840E69">
        <w:rPr>
          <w:sz w:val="20"/>
          <w:szCs w:val="20"/>
        </w:rPr>
        <w:t xml:space="preserve"> Mr. Li pled guilty at trial, the trial judge entered a stay of proceedings based on entrapment, and the Court of Appeal lifted the stay and remitted the matter for sentencing. In this case, Mr. Li has a right of appeal to this Court under s. 691(2</w:t>
      </w:r>
      <w:proofErr w:type="gramStart"/>
      <w:r w:rsidRPr="00840E69">
        <w:rPr>
          <w:sz w:val="20"/>
          <w:szCs w:val="20"/>
        </w:rPr>
        <w:t>)(</w:t>
      </w:r>
      <w:proofErr w:type="gramEnd"/>
      <w:r w:rsidRPr="00840E69">
        <w:rPr>
          <w:sz w:val="20"/>
          <w:szCs w:val="20"/>
        </w:rPr>
        <w:t xml:space="preserve">b) of the </w:t>
      </w:r>
      <w:r w:rsidRPr="00840E69">
        <w:rPr>
          <w:i/>
          <w:iCs/>
          <w:sz w:val="20"/>
          <w:szCs w:val="20"/>
        </w:rPr>
        <w:t>Criminal Code</w:t>
      </w:r>
      <w:r w:rsidRPr="00840E69">
        <w:rPr>
          <w:sz w:val="20"/>
          <w:szCs w:val="20"/>
        </w:rPr>
        <w:t xml:space="preserve">, R.S.C. 1985, c. C-46. The phrase “enters a verdict of guilty” includes making an order that sets aside a permanent stay where that order is tantamount to entering a verdict of guilty, thus securing the purpose of this provision, which is to ensure that an accused person has one level of appeal to raise a question of law arising from their conviction (see </w:t>
      </w:r>
      <w:r w:rsidRPr="00840E69">
        <w:rPr>
          <w:i/>
          <w:iCs/>
          <w:sz w:val="20"/>
          <w:szCs w:val="20"/>
        </w:rPr>
        <w:t>R. v. Magoon</w:t>
      </w:r>
      <w:r w:rsidRPr="00840E69">
        <w:rPr>
          <w:sz w:val="20"/>
          <w:szCs w:val="20"/>
        </w:rPr>
        <w:t>, 2018 SCC 14, [2018] 1 S.C.R. 309, at para. 38).</w:t>
      </w:r>
    </w:p>
    <w:p w:rsidR="00840E69" w:rsidRPr="00840E69" w:rsidRDefault="00840E69" w:rsidP="00840E69">
      <w:pPr>
        <w:jc w:val="both"/>
        <w:rPr>
          <w:sz w:val="20"/>
          <w:szCs w:val="20"/>
        </w:rPr>
      </w:pPr>
    </w:p>
    <w:p w:rsidR="00840E69" w:rsidRPr="00840E69" w:rsidRDefault="00840E69" w:rsidP="00840E69">
      <w:pPr>
        <w:jc w:val="both"/>
        <w:rPr>
          <w:sz w:val="20"/>
          <w:szCs w:val="20"/>
        </w:rPr>
      </w:pPr>
      <w:r w:rsidRPr="00840E69">
        <w:rPr>
          <w:sz w:val="20"/>
          <w:szCs w:val="20"/>
        </w:rPr>
        <w:t xml:space="preserve">We recognize that neither level of court in this appeal had the benefit of this Court’s reasons in </w:t>
      </w:r>
      <w:r w:rsidRPr="00840E69">
        <w:rPr>
          <w:i/>
          <w:iCs/>
          <w:sz w:val="20"/>
          <w:szCs w:val="20"/>
        </w:rPr>
        <w:t>R. v. Ahmad</w:t>
      </w:r>
      <w:r w:rsidRPr="00840E69">
        <w:rPr>
          <w:sz w:val="20"/>
          <w:szCs w:val="20"/>
        </w:rPr>
        <w:t xml:space="preserve">, 2020 SCC 11. As explained in </w:t>
      </w:r>
      <w:r w:rsidRPr="00840E69">
        <w:rPr>
          <w:i/>
          <w:iCs/>
          <w:sz w:val="20"/>
          <w:szCs w:val="20"/>
        </w:rPr>
        <w:t>Ahmad</w:t>
      </w:r>
      <w:r w:rsidRPr="00840E69">
        <w:rPr>
          <w:sz w:val="20"/>
          <w:szCs w:val="20"/>
        </w:rPr>
        <w:t>, when investigating a suspected dial-a-dope operation, the police must have reasonable suspicion over the individual or over the phone number or over a combination of both, before they can ask to purchase drugs from the person answering the phone. </w:t>
      </w:r>
    </w:p>
    <w:p w:rsidR="00840E69" w:rsidRPr="00840E69" w:rsidRDefault="00840E69" w:rsidP="00840E69">
      <w:pPr>
        <w:jc w:val="both"/>
        <w:rPr>
          <w:sz w:val="20"/>
          <w:szCs w:val="20"/>
        </w:rPr>
      </w:pPr>
    </w:p>
    <w:p w:rsidR="00840E69" w:rsidRPr="00840E69" w:rsidRDefault="00840E69" w:rsidP="00840E69">
      <w:pPr>
        <w:jc w:val="both"/>
        <w:rPr>
          <w:sz w:val="20"/>
          <w:szCs w:val="20"/>
        </w:rPr>
      </w:pPr>
      <w:r w:rsidRPr="00840E69">
        <w:rPr>
          <w:sz w:val="20"/>
          <w:szCs w:val="20"/>
        </w:rPr>
        <w:t xml:space="preserve">Applying this framework and considering the totality of the circumstances, the police had reasonable suspicion, before making the call, that the phone number was being used for drug dealing. The police used a </w:t>
      </w:r>
      <w:r w:rsidRPr="00840E69">
        <w:rPr>
          <w:i/>
          <w:iCs/>
          <w:sz w:val="20"/>
          <w:szCs w:val="20"/>
        </w:rPr>
        <w:t>Swan</w:t>
      </w:r>
      <w:r w:rsidRPr="00840E69">
        <w:rPr>
          <w:sz w:val="20"/>
          <w:szCs w:val="20"/>
        </w:rPr>
        <w:t xml:space="preserve"> sheet to record what actions they took to verify this tip. The tip was that a specific phone number was being used in a dial-a-dope operation to sell cocaine, the sales took place near a particular mall, and involved a tan Honda Odyssey with a specific licence plate. In addition to the phone number, the tip provided details such as which drug was for sale, the area of operation, a vehicle description, and licence plate number. The police confirmed the assertion of illegality by connecting this car and licence plate, and five other vehicles, to a person with an extensive and recent history of suspected dial-a-dope drug dealings.</w:t>
      </w:r>
    </w:p>
    <w:p w:rsidR="00840E69" w:rsidRPr="00840E69" w:rsidRDefault="00840E69" w:rsidP="00840E69">
      <w:pPr>
        <w:jc w:val="both"/>
        <w:rPr>
          <w:sz w:val="20"/>
          <w:szCs w:val="20"/>
        </w:rPr>
      </w:pPr>
    </w:p>
    <w:p w:rsidR="00840E69" w:rsidRPr="00840E69" w:rsidRDefault="00840E69" w:rsidP="00840E69">
      <w:pPr>
        <w:jc w:val="both"/>
        <w:rPr>
          <w:sz w:val="20"/>
          <w:szCs w:val="20"/>
          <w:lang w:val="en-US"/>
        </w:rPr>
      </w:pPr>
      <w:r w:rsidRPr="00840E69">
        <w:rPr>
          <w:sz w:val="20"/>
          <w:szCs w:val="20"/>
        </w:rPr>
        <w:t>Therefore, there was no entrapment. As a result, we dismiss the appeal, enter a verdict of guilty, and remit the matter for sentencing.</w:t>
      </w:r>
    </w:p>
    <w:p w:rsidR="00840E69" w:rsidRPr="00840E69" w:rsidRDefault="00840E69" w:rsidP="00716DEA">
      <w:pPr>
        <w:jc w:val="both"/>
        <w:rPr>
          <w:sz w:val="20"/>
          <w:lang w:val="en-US"/>
        </w:rPr>
      </w:pPr>
    </w:p>
    <w:p w:rsidR="00840E69" w:rsidRPr="00840E69" w:rsidRDefault="00840E69" w:rsidP="00716DEA">
      <w:pPr>
        <w:jc w:val="both"/>
        <w:rPr>
          <w:sz w:val="20"/>
          <w:szCs w:val="20"/>
          <w:lang w:val="en-US"/>
        </w:rPr>
      </w:pPr>
    </w:p>
    <w:p w:rsidR="00840E69" w:rsidRPr="00840E69" w:rsidRDefault="00840E69" w:rsidP="00840E69">
      <w:pPr>
        <w:jc w:val="both"/>
        <w:rPr>
          <w:sz w:val="20"/>
          <w:szCs w:val="20"/>
          <w:lang w:val="fr-CA"/>
        </w:rPr>
      </w:pPr>
      <w:r w:rsidRPr="00840E69">
        <w:rPr>
          <w:sz w:val="20"/>
          <w:szCs w:val="20"/>
          <w:lang w:val="fr-CA"/>
        </w:rPr>
        <w:t>L’appel interjeté contre l’arrêt de la Cour d’appel de la Colombie-Britannique (Vancouver), numéro CA45530, 2019 BCCA 344, daté du 3 octobre 2019, a été entendu le 11 juin 2020 et la Cour a prononcé oralement le même jour le jugement suivant :</w:t>
      </w:r>
    </w:p>
    <w:p w:rsidR="00840E69" w:rsidRPr="00840E69" w:rsidRDefault="00840E69" w:rsidP="00840E69">
      <w:pPr>
        <w:jc w:val="both"/>
        <w:rPr>
          <w:sz w:val="20"/>
          <w:szCs w:val="20"/>
          <w:lang w:val="fr-CA"/>
        </w:rPr>
      </w:pPr>
    </w:p>
    <w:p w:rsidR="00840E69" w:rsidRPr="00840E69" w:rsidRDefault="00840E69" w:rsidP="00840E69">
      <w:pPr>
        <w:jc w:val="both"/>
        <w:rPr>
          <w:sz w:val="20"/>
          <w:szCs w:val="20"/>
          <w:lang w:val="fr-CA"/>
        </w:rPr>
      </w:pPr>
      <w:r w:rsidRPr="00840E69">
        <w:rPr>
          <w:sz w:val="20"/>
          <w:szCs w:val="20"/>
          <w:lang w:val="fr-CA"/>
        </w:rPr>
        <w:t>[</w:t>
      </w:r>
      <w:r w:rsidRPr="00840E69">
        <w:rPr>
          <w:smallCaps/>
          <w:sz w:val="20"/>
          <w:szCs w:val="20"/>
          <w:lang w:val="fr-CA"/>
        </w:rPr>
        <w:t>traduction</w:t>
      </w:r>
      <w:r w:rsidRPr="00840E69">
        <w:rPr>
          <w:sz w:val="20"/>
          <w:szCs w:val="20"/>
          <w:lang w:val="fr-CA"/>
        </w:rPr>
        <w:t>]</w:t>
      </w:r>
    </w:p>
    <w:p w:rsidR="00840E69" w:rsidRPr="00840E69" w:rsidRDefault="00840E69" w:rsidP="00840E69">
      <w:pPr>
        <w:jc w:val="both"/>
        <w:rPr>
          <w:sz w:val="20"/>
          <w:szCs w:val="20"/>
          <w:lang w:val="fr-FR"/>
        </w:rPr>
      </w:pPr>
      <w:r w:rsidRPr="00840E69">
        <w:rPr>
          <w:smallCaps/>
          <w:sz w:val="20"/>
          <w:szCs w:val="20"/>
          <w:lang w:val="fr-CA"/>
        </w:rPr>
        <w:t>La juge Martin</w:t>
      </w:r>
      <w:r w:rsidRPr="00840E69">
        <w:rPr>
          <w:sz w:val="20"/>
          <w:szCs w:val="20"/>
          <w:lang w:val="fr-CA"/>
        </w:rPr>
        <w:t xml:space="preserve"> </w:t>
      </w:r>
      <w:r w:rsidRPr="00840E69">
        <w:rPr>
          <w:rFonts w:cs="Times New Roman"/>
          <w:sz w:val="20"/>
          <w:szCs w:val="20"/>
          <w:lang w:val="fr-CA"/>
        </w:rPr>
        <w:t xml:space="preserve">— </w:t>
      </w:r>
      <w:r w:rsidRPr="00840E69">
        <w:rPr>
          <w:sz w:val="20"/>
          <w:szCs w:val="20"/>
          <w:lang w:val="fr-CA"/>
        </w:rPr>
        <w:t xml:space="preserve">Lors de son procès, M. Li a plaidé coupable et le juge a ordonné l’arrêt des procédures pour cause de provocation policière. La Cour d’appel a levé l’arrêt des procédures et </w:t>
      </w:r>
      <w:r w:rsidRPr="00840E69">
        <w:rPr>
          <w:rFonts w:ascii="New serif" w:eastAsia="Times New Roman" w:hAnsi="New serif" w:cs="Segoe UI"/>
          <w:sz w:val="20"/>
          <w:szCs w:val="20"/>
          <w:lang w:val="fr-FR"/>
        </w:rPr>
        <w:t>renvoyé l</w:t>
      </w:r>
      <w:r w:rsidRPr="00840E69">
        <w:rPr>
          <w:rFonts w:ascii="New serif" w:eastAsia="Times New Roman" w:hAnsi="New serif" w:cs="Segoe UI"/>
          <w:color w:val="000000"/>
          <w:sz w:val="20"/>
          <w:szCs w:val="20"/>
          <w:lang w:val="fr-FR"/>
        </w:rPr>
        <w:t xml:space="preserve">’affaire au tribunal de première instance pour détermination de la peine. En l’espèce, M. Li dispose d’un droit d’appel devant notre Cour en vertu de l’al. </w:t>
      </w:r>
      <w:r w:rsidRPr="00840E69">
        <w:rPr>
          <w:sz w:val="20"/>
          <w:szCs w:val="20"/>
          <w:lang w:val="fr-CA"/>
        </w:rPr>
        <w:t xml:space="preserve">691(2)b) du </w:t>
      </w:r>
      <w:r w:rsidRPr="00840E69">
        <w:rPr>
          <w:i/>
          <w:iCs/>
          <w:sz w:val="20"/>
          <w:szCs w:val="20"/>
          <w:lang w:val="fr-CA"/>
        </w:rPr>
        <w:t>Code criminel</w:t>
      </w:r>
      <w:r w:rsidRPr="00840E69">
        <w:rPr>
          <w:iCs/>
          <w:sz w:val="20"/>
          <w:szCs w:val="20"/>
          <w:lang w:val="fr-CA"/>
        </w:rPr>
        <w:t>,</w:t>
      </w:r>
      <w:r w:rsidRPr="00840E69">
        <w:rPr>
          <w:sz w:val="20"/>
          <w:szCs w:val="20"/>
          <w:lang w:val="fr-FR"/>
        </w:rPr>
        <w:t xml:space="preserve"> L.R.C. 1985, c. C-46. Les mots « a consigné un verdict de culpabilité » visent les cas où est rendue une ordonnance qui annule un arrêt permanent des procédures et qui équivaut à la consignation d’un verdict de culpabilité, satisfaisant ainsi à l’objectif de cette disposition, qui consiste à faire en sorte qu’une personne accusée puisse appeler de la décision au niveau supérieur de juridiction afin de soulever toute question de droit découlant de cette déclaration de culpabilité (voir </w:t>
      </w:r>
      <w:r w:rsidRPr="00840E69">
        <w:rPr>
          <w:i/>
          <w:sz w:val="20"/>
          <w:szCs w:val="20"/>
          <w:lang w:val="fr-FR"/>
        </w:rPr>
        <w:t>R. c.</w:t>
      </w:r>
      <w:r w:rsidRPr="00840E69">
        <w:rPr>
          <w:i/>
          <w:iCs/>
          <w:sz w:val="20"/>
          <w:szCs w:val="20"/>
          <w:lang w:val="fr-CA"/>
        </w:rPr>
        <w:t xml:space="preserve"> Magoon</w:t>
      </w:r>
      <w:r w:rsidRPr="00840E69">
        <w:rPr>
          <w:sz w:val="20"/>
          <w:szCs w:val="20"/>
          <w:lang w:val="fr-CA"/>
        </w:rPr>
        <w:t>, 2018 CSC 14, [2018] 1 R.C.S. 309, par. 38</w:t>
      </w:r>
      <w:r w:rsidRPr="00840E69">
        <w:rPr>
          <w:sz w:val="20"/>
          <w:szCs w:val="20"/>
          <w:lang w:val="fr-FR"/>
        </w:rPr>
        <w:t xml:space="preserve">). </w:t>
      </w:r>
    </w:p>
    <w:p w:rsidR="00840E69" w:rsidRPr="00840E69" w:rsidRDefault="00840E69" w:rsidP="00840E69">
      <w:pPr>
        <w:jc w:val="both"/>
        <w:rPr>
          <w:sz w:val="20"/>
          <w:szCs w:val="20"/>
          <w:lang w:val="fr-FR"/>
        </w:rPr>
      </w:pPr>
    </w:p>
    <w:p w:rsidR="00840E69" w:rsidRPr="00840E69" w:rsidRDefault="00840E69" w:rsidP="00840E69">
      <w:pPr>
        <w:jc w:val="both"/>
        <w:rPr>
          <w:sz w:val="20"/>
          <w:szCs w:val="20"/>
          <w:lang w:val="fr-CA"/>
        </w:rPr>
      </w:pPr>
      <w:r w:rsidRPr="00840E69">
        <w:rPr>
          <w:sz w:val="20"/>
          <w:szCs w:val="20"/>
          <w:lang w:val="fr-CA"/>
        </w:rPr>
        <w:t xml:space="preserve">Nous reconnaissons que ni l’une ni l’autre des juridictions inférieures n’a eu, dans la présente affaire, l’avantage des enseignements exposés par notre Cour dans ses motifs dans l’arrêt </w:t>
      </w:r>
      <w:r w:rsidRPr="00840E69">
        <w:rPr>
          <w:i/>
          <w:iCs/>
          <w:sz w:val="20"/>
          <w:szCs w:val="20"/>
          <w:lang w:val="fr-CA"/>
        </w:rPr>
        <w:t>R. c. Ahmad</w:t>
      </w:r>
      <w:r w:rsidRPr="00840E69">
        <w:rPr>
          <w:sz w:val="20"/>
          <w:szCs w:val="20"/>
          <w:lang w:val="fr-CA"/>
        </w:rPr>
        <w:t xml:space="preserve">, 2020 CSC 11. Comme il est expliqué dans cet arrêt, lors d’une enquête portant sur une </w:t>
      </w:r>
      <w:r w:rsidRPr="00840E69">
        <w:rPr>
          <w:rFonts w:ascii="New serif" w:eastAsia="Times New Roman" w:hAnsi="New serif" w:cs="Segoe UI"/>
          <w:color w:val="000000"/>
          <w:sz w:val="20"/>
          <w:szCs w:val="20"/>
          <w:lang w:val="fr-CA"/>
        </w:rPr>
        <w:t xml:space="preserve">présumée </w:t>
      </w:r>
      <w:r w:rsidRPr="00840E69">
        <w:rPr>
          <w:sz w:val="20"/>
          <w:szCs w:val="20"/>
          <w:lang w:val="fr-CA"/>
        </w:rPr>
        <w:t>o</w:t>
      </w:r>
      <w:r w:rsidRPr="00840E69">
        <w:rPr>
          <w:rFonts w:ascii="New serif" w:eastAsia="Times New Roman" w:hAnsi="New serif" w:cs="Segoe UI"/>
          <w:color w:val="000000"/>
          <w:sz w:val="20"/>
          <w:szCs w:val="20"/>
          <w:lang w:val="fr-CA"/>
        </w:rPr>
        <w:t xml:space="preserve">pération de vente de drogue sur appel, </w:t>
      </w:r>
      <w:r w:rsidRPr="00840E69">
        <w:rPr>
          <w:rFonts w:ascii="New serif" w:eastAsia="Times New Roman" w:hAnsi="New serif" w:cs="Segoe UI"/>
          <w:sz w:val="20"/>
          <w:szCs w:val="20"/>
          <w:lang w:val="fr-CA"/>
        </w:rPr>
        <w:t xml:space="preserve">la police doit posséder </w:t>
      </w:r>
      <w:r w:rsidRPr="00840E69">
        <w:rPr>
          <w:rFonts w:ascii="New serif" w:eastAsia="Times New Roman" w:hAnsi="New serif" w:cs="Segoe UI"/>
          <w:color w:val="000000"/>
          <w:sz w:val="20"/>
          <w:szCs w:val="20"/>
          <w:lang w:val="fr-CA"/>
        </w:rPr>
        <w:t xml:space="preserve">des </w:t>
      </w:r>
      <w:r w:rsidRPr="00840E69">
        <w:rPr>
          <w:iCs/>
          <w:sz w:val="20"/>
          <w:szCs w:val="20"/>
          <w:lang w:val="fr-CA"/>
        </w:rPr>
        <w:t>soupçons raisonnables concernant la personne ou le numéro de téléphone en question, ou encore une combinaison des deux, avant de pouvoir demander à acheter de la drogue de la personne qui répond au téléphone.</w:t>
      </w:r>
      <w:r w:rsidRPr="00840E69">
        <w:rPr>
          <w:sz w:val="20"/>
          <w:szCs w:val="20"/>
          <w:lang w:val="fr-CA"/>
        </w:rPr>
        <w:t xml:space="preserve"> </w:t>
      </w:r>
    </w:p>
    <w:p w:rsidR="00840E69" w:rsidRPr="00840E69" w:rsidRDefault="00840E69" w:rsidP="00840E69">
      <w:pPr>
        <w:jc w:val="both"/>
        <w:rPr>
          <w:sz w:val="20"/>
          <w:szCs w:val="20"/>
          <w:lang w:val="fr-CA"/>
        </w:rPr>
      </w:pPr>
    </w:p>
    <w:p w:rsidR="00840E69" w:rsidRPr="00840E69" w:rsidRDefault="00840E69" w:rsidP="00840E69">
      <w:pPr>
        <w:jc w:val="both"/>
        <w:rPr>
          <w:sz w:val="20"/>
          <w:szCs w:val="20"/>
          <w:lang w:val="fr-FR"/>
        </w:rPr>
      </w:pPr>
      <w:r w:rsidRPr="00840E69">
        <w:rPr>
          <w:sz w:val="20"/>
          <w:szCs w:val="20"/>
          <w:lang w:val="fr-CA"/>
        </w:rPr>
        <w:t xml:space="preserve">Selon ce cadre et compte tenu de l’ensemble des circonstances, les policiers possédaient, avant d’effectuer l’appel téléphonique, des soupçons raisonnables que le numéro en question était associé au trafic de drogue. Les policiers ont consigné dans un relevé du type requis dans l’arrêt </w:t>
      </w:r>
      <w:r w:rsidRPr="00840E69">
        <w:rPr>
          <w:i/>
          <w:iCs/>
          <w:sz w:val="20"/>
          <w:szCs w:val="20"/>
          <w:lang w:val="fr-CA"/>
        </w:rPr>
        <w:t>Swan</w:t>
      </w:r>
      <w:r w:rsidRPr="00840E69">
        <w:rPr>
          <w:sz w:val="20"/>
          <w:szCs w:val="20"/>
          <w:lang w:val="fr-CA"/>
        </w:rPr>
        <w:t xml:space="preserve"> les mesures qu’ils ont prises pour vérifier la fiabilité des informations reçues à cet égard, à savoir qu’un numéro de téléphone précis était associé à une opération de vente de drogue sur appel, soit de la cocaïne, que les ventes avaient lieu près d’un centre commercial particulier et qu’une automobile de marque Honda Odyssey de couleur beige, munie d’une plaque d’immatriculation précise, y était liée. En plus du numéro de téléphone, les informations reçues incluaient des précisions telles la sorte de drogue vendue, le secteur où se déroulait l’opération, la description de l’automobile et le numéro de la plaque d’immatriculation. Les policiers</w:t>
      </w:r>
      <w:r w:rsidRPr="00840E69">
        <w:rPr>
          <w:strike/>
          <w:sz w:val="20"/>
          <w:szCs w:val="20"/>
          <w:lang w:val="fr-CA"/>
        </w:rPr>
        <w:t xml:space="preserve"> </w:t>
      </w:r>
      <w:r w:rsidRPr="00840E69">
        <w:rPr>
          <w:sz w:val="20"/>
          <w:szCs w:val="20"/>
          <w:lang w:val="fr-CA"/>
        </w:rPr>
        <w:t xml:space="preserve">ont confirmé l’allégation d’illégalité en rattachant l’automobile, la plaque d’immatriculation, ainsi que cinq autres automobiles, à une personne possédant de nombreux antécédents récents en matière de présumées </w:t>
      </w:r>
      <w:r w:rsidRPr="00840E69">
        <w:rPr>
          <w:sz w:val="20"/>
          <w:szCs w:val="20"/>
          <w:lang w:val="fr-FR"/>
        </w:rPr>
        <w:t>opérations de vente de drogue sur appel.</w:t>
      </w:r>
    </w:p>
    <w:p w:rsidR="00840E69" w:rsidRPr="00840E69" w:rsidRDefault="00840E69" w:rsidP="00840E69">
      <w:pPr>
        <w:jc w:val="both"/>
        <w:rPr>
          <w:sz w:val="20"/>
          <w:szCs w:val="20"/>
          <w:lang w:val="fr-FR"/>
        </w:rPr>
      </w:pPr>
    </w:p>
    <w:p w:rsidR="00840E69" w:rsidRPr="00840E69" w:rsidRDefault="00840E69" w:rsidP="00840E69">
      <w:pPr>
        <w:jc w:val="both"/>
        <w:rPr>
          <w:sz w:val="20"/>
          <w:szCs w:val="20"/>
          <w:lang w:val="fr-CA"/>
        </w:rPr>
      </w:pPr>
      <w:r w:rsidRPr="00840E69">
        <w:rPr>
          <w:sz w:val="20"/>
          <w:szCs w:val="20"/>
          <w:lang w:val="fr-CA"/>
        </w:rPr>
        <w:t xml:space="preserve">Il n’y a donc pas eu de provocation policière. En conséquence, nous rejetons l’appel, consignons un verdict de culpabilité et </w:t>
      </w:r>
      <w:r w:rsidRPr="00840E69">
        <w:rPr>
          <w:rFonts w:ascii="New serif" w:eastAsia="Times New Roman" w:hAnsi="New serif" w:cs="Segoe UI"/>
          <w:color w:val="000000"/>
          <w:sz w:val="20"/>
          <w:szCs w:val="20"/>
          <w:lang w:val="fr-FR"/>
        </w:rPr>
        <w:t>renvoyons l’affaire au tribunal de première instance pour détermination de la peine</w:t>
      </w:r>
      <w:r w:rsidRPr="00840E69">
        <w:rPr>
          <w:sz w:val="20"/>
          <w:szCs w:val="20"/>
          <w:lang w:val="fr-CA"/>
        </w:rPr>
        <w:t>.</w:t>
      </w:r>
    </w:p>
    <w:p w:rsidR="00840E69" w:rsidRPr="00840E69" w:rsidRDefault="00840E69" w:rsidP="00716DEA">
      <w:pPr>
        <w:jc w:val="both"/>
        <w:rPr>
          <w:sz w:val="20"/>
          <w:lang w:val="fr-CA"/>
        </w:rPr>
      </w:pPr>
    </w:p>
    <w:p w:rsidR="00716DEA" w:rsidRPr="00B84A84" w:rsidRDefault="005E1A49" w:rsidP="00716DEA">
      <w:pPr>
        <w:widowControl w:val="0"/>
        <w:rPr>
          <w:sz w:val="20"/>
          <w:szCs w:val="20"/>
          <w:lang w:val="fr-CA"/>
        </w:rPr>
      </w:pPr>
      <w:r>
        <w:rPr>
          <w:sz w:val="20"/>
          <w:szCs w:val="20"/>
        </w:rPr>
        <w:pict>
          <v:rect id="_x0000_i1055" style="width:2in;height:1pt" o:hrpct="0" o:hralign="center" o:hrstd="t" o:hrnoshade="t" o:hr="t" fillcolor="black [3213]" stroked="f"/>
        </w:pict>
      </w:r>
    </w:p>
    <w:p w:rsidR="00172473" w:rsidRPr="00B84A84" w:rsidRDefault="00172473" w:rsidP="00732DB7">
      <w:pPr>
        <w:widowControl w:val="0"/>
        <w:rPr>
          <w:sz w:val="20"/>
          <w:szCs w:val="20"/>
          <w:lang w:val="fr-CA"/>
        </w:rPr>
      </w:pPr>
    </w:p>
    <w:p w:rsidR="003E5DBD" w:rsidRPr="00B84A84" w:rsidRDefault="003E5DBD" w:rsidP="00732DB7">
      <w:pPr>
        <w:widowControl w:val="0"/>
        <w:rPr>
          <w:sz w:val="20"/>
          <w:szCs w:val="20"/>
          <w:lang w:val="fr-CA"/>
        </w:rPr>
      </w:pPr>
    </w:p>
    <w:p w:rsidR="00732DB7" w:rsidRPr="00B84A84" w:rsidRDefault="00732DB7" w:rsidP="00732DB7">
      <w:pPr>
        <w:widowControl w:val="0"/>
        <w:rPr>
          <w:sz w:val="20"/>
          <w:szCs w:val="20"/>
          <w:lang w:val="fr-CA"/>
        </w:rPr>
      </w:pPr>
    </w:p>
    <w:p w:rsidR="00732DB7" w:rsidRPr="00B84A84" w:rsidRDefault="00732DB7" w:rsidP="00732DB7">
      <w:pPr>
        <w:widowControl w:val="0"/>
        <w:rPr>
          <w:sz w:val="20"/>
          <w:szCs w:val="20"/>
          <w:lang w:val="fr-CA"/>
        </w:rPr>
        <w:sectPr w:rsidR="00732DB7" w:rsidRPr="00B84A84" w:rsidSect="00732DB7">
          <w:headerReference w:type="even" r:id="rId46"/>
          <w:headerReference w:type="default" r:id="rId47"/>
          <w:footerReference w:type="even" r:id="rId48"/>
          <w:footerReference w:type="default" r:id="rId49"/>
          <w:headerReference w:type="first" r:id="rId50"/>
          <w:footerReference w:type="first" r:id="rId51"/>
          <w:pgSz w:w="12240" w:h="15840"/>
          <w:pgMar w:top="720" w:right="965" w:bottom="1080" w:left="1656" w:header="720" w:footer="960" w:gutter="0"/>
          <w:cols w:space="720"/>
          <w:titlePg/>
          <w:docGrid w:linePitch="326"/>
        </w:sectPr>
      </w:pPr>
    </w:p>
    <w:p w:rsidR="00567602" w:rsidRPr="00B84A84" w:rsidRDefault="001434B9" w:rsidP="00567602">
      <w:pPr>
        <w:pStyle w:val="Header1StyleE"/>
        <w:pBdr>
          <w:bottom w:val="single" w:sz="12" w:space="1" w:color="auto"/>
        </w:pBdr>
        <w:rPr>
          <w:lang w:val="fr-CA"/>
        </w:rPr>
      </w:pPr>
      <w:bookmarkStart w:id="6" w:name="_Toc42854325"/>
      <w:r w:rsidRPr="00B84A84">
        <w:rPr>
          <w:lang w:val="fr-CA"/>
        </w:rPr>
        <w:t>Pronouncements of reserved</w:t>
      </w:r>
      <w:r w:rsidR="00271E1E" w:rsidRPr="00B84A84">
        <w:rPr>
          <w:lang w:val="fr-CA"/>
        </w:rPr>
        <w:t xml:space="preserve"> appeals / </w:t>
      </w:r>
      <w:r w:rsidR="00567602" w:rsidRPr="00B84A84">
        <w:rPr>
          <w:lang w:val="fr-CA"/>
        </w:rPr>
        <w:br/>
      </w:r>
      <w:r w:rsidRPr="00B84A84">
        <w:rPr>
          <w:lang w:val="fr-CA"/>
        </w:rPr>
        <w:t>Jugements rendus sur les appels en délibéré</w:t>
      </w:r>
      <w:bookmarkEnd w:id="6"/>
    </w:p>
    <w:p w:rsidR="00FF6EEC" w:rsidRPr="00B84A84" w:rsidRDefault="00FF6EEC" w:rsidP="00FF6EEC">
      <w:pPr>
        <w:rPr>
          <w:sz w:val="20"/>
          <w:szCs w:val="20"/>
          <w:lang w:val="fr-CA"/>
        </w:rPr>
      </w:pPr>
    </w:p>
    <w:p w:rsidR="00102792" w:rsidRPr="00B84A84" w:rsidRDefault="005A7E14" w:rsidP="00102792">
      <w:pPr>
        <w:rPr>
          <w:b/>
          <w:sz w:val="20"/>
          <w:szCs w:val="20"/>
          <w:lang w:val="fr-CA"/>
        </w:rPr>
      </w:pPr>
      <w:r w:rsidRPr="00B84A84">
        <w:rPr>
          <w:b/>
          <w:sz w:val="20"/>
          <w:szCs w:val="20"/>
          <w:lang w:val="fr-CA"/>
        </w:rPr>
        <w:t>JUNE</w:t>
      </w:r>
      <w:r w:rsidR="00102792" w:rsidRPr="00B84A84">
        <w:rPr>
          <w:b/>
          <w:sz w:val="20"/>
          <w:szCs w:val="20"/>
          <w:lang w:val="fr-CA"/>
        </w:rPr>
        <w:t xml:space="preserve"> </w:t>
      </w:r>
      <w:r w:rsidRPr="00B84A84">
        <w:rPr>
          <w:b/>
          <w:sz w:val="20"/>
          <w:szCs w:val="20"/>
          <w:lang w:val="fr-CA"/>
        </w:rPr>
        <w:t>1</w:t>
      </w:r>
      <w:r w:rsidR="00172473" w:rsidRPr="00B84A84">
        <w:rPr>
          <w:b/>
          <w:sz w:val="20"/>
          <w:szCs w:val="20"/>
          <w:lang w:val="fr-CA"/>
        </w:rPr>
        <w:t>2</w:t>
      </w:r>
      <w:r w:rsidR="00102792" w:rsidRPr="00B84A84">
        <w:rPr>
          <w:b/>
          <w:sz w:val="20"/>
          <w:szCs w:val="20"/>
          <w:lang w:val="fr-CA"/>
        </w:rPr>
        <w:t xml:space="preserve">, </w:t>
      </w:r>
      <w:r w:rsidR="0034657E" w:rsidRPr="00B84A84">
        <w:rPr>
          <w:b/>
          <w:sz w:val="20"/>
          <w:szCs w:val="20"/>
          <w:lang w:val="fr-CA"/>
        </w:rPr>
        <w:t>20</w:t>
      </w:r>
      <w:r w:rsidR="00172473" w:rsidRPr="00B84A84">
        <w:rPr>
          <w:b/>
          <w:sz w:val="20"/>
          <w:szCs w:val="20"/>
          <w:lang w:val="fr-CA"/>
        </w:rPr>
        <w:t>20</w:t>
      </w:r>
      <w:r w:rsidR="00102792" w:rsidRPr="00B84A84">
        <w:rPr>
          <w:b/>
          <w:sz w:val="20"/>
          <w:szCs w:val="20"/>
          <w:lang w:val="fr-CA"/>
        </w:rPr>
        <w:t xml:space="preserve"> / LE </w:t>
      </w:r>
      <w:r w:rsidRPr="00B84A84">
        <w:rPr>
          <w:b/>
          <w:sz w:val="20"/>
          <w:szCs w:val="20"/>
          <w:lang w:val="fr-CA"/>
        </w:rPr>
        <w:t>1</w:t>
      </w:r>
      <w:r w:rsidR="00172473" w:rsidRPr="00B84A84">
        <w:rPr>
          <w:b/>
          <w:sz w:val="20"/>
          <w:szCs w:val="20"/>
          <w:lang w:val="fr-CA"/>
        </w:rPr>
        <w:t>2</w:t>
      </w:r>
      <w:r w:rsidRPr="00B84A84">
        <w:rPr>
          <w:b/>
          <w:sz w:val="20"/>
          <w:szCs w:val="20"/>
          <w:lang w:val="fr-CA"/>
        </w:rPr>
        <w:t xml:space="preserve"> JUIN</w:t>
      </w:r>
      <w:r w:rsidR="00102792" w:rsidRPr="00B84A84">
        <w:rPr>
          <w:b/>
          <w:sz w:val="20"/>
          <w:szCs w:val="20"/>
          <w:lang w:val="fr-CA"/>
        </w:rPr>
        <w:t xml:space="preserve"> </w:t>
      </w:r>
      <w:r w:rsidR="0034657E" w:rsidRPr="00B84A84">
        <w:rPr>
          <w:b/>
          <w:sz w:val="20"/>
          <w:szCs w:val="20"/>
          <w:lang w:val="fr-CA"/>
        </w:rPr>
        <w:t>20</w:t>
      </w:r>
      <w:r w:rsidR="00172473" w:rsidRPr="00B84A84">
        <w:rPr>
          <w:b/>
          <w:sz w:val="20"/>
          <w:szCs w:val="20"/>
          <w:lang w:val="fr-CA"/>
        </w:rPr>
        <w:t>20</w:t>
      </w:r>
    </w:p>
    <w:p w:rsidR="00102792" w:rsidRPr="00B84A84" w:rsidRDefault="00102792" w:rsidP="00102792">
      <w:pPr>
        <w:rPr>
          <w:sz w:val="20"/>
          <w:szCs w:val="20"/>
          <w:lang w:val="fr-CA"/>
        </w:rPr>
      </w:pPr>
    </w:p>
    <w:p w:rsidR="00102792" w:rsidRPr="00B84A84" w:rsidRDefault="00102792" w:rsidP="004F6A73">
      <w:pPr>
        <w:ind w:left="1440" w:hanging="1440"/>
        <w:jc w:val="both"/>
        <w:rPr>
          <w:rFonts w:eastAsia="Times New Roman" w:cs="Times New Roman"/>
          <w:color w:val="000000"/>
          <w:sz w:val="20"/>
          <w:szCs w:val="20"/>
          <w:lang w:val="fr-CA"/>
        </w:rPr>
      </w:pPr>
      <w:r w:rsidRPr="00B84A84">
        <w:rPr>
          <w:rFonts w:eastAsia="Times New Roman" w:cs="Times New Roman"/>
          <w:b/>
          <w:bCs/>
          <w:color w:val="000000"/>
          <w:sz w:val="20"/>
          <w:szCs w:val="20"/>
          <w:lang w:val="fr-CA"/>
        </w:rPr>
        <w:t>3</w:t>
      </w:r>
      <w:r w:rsidR="009C0516" w:rsidRPr="00B84A84">
        <w:rPr>
          <w:rFonts w:eastAsia="Times New Roman" w:cs="Times New Roman"/>
          <w:b/>
          <w:bCs/>
          <w:color w:val="000000"/>
          <w:sz w:val="20"/>
          <w:szCs w:val="20"/>
          <w:lang w:val="fr-CA"/>
        </w:rPr>
        <w:t>8332</w:t>
      </w:r>
      <w:r w:rsidR="00172473" w:rsidRPr="00B84A84">
        <w:rPr>
          <w:rFonts w:eastAsia="Times New Roman" w:cs="Times New Roman"/>
          <w:b/>
          <w:bCs/>
          <w:color w:val="000000"/>
          <w:sz w:val="20"/>
          <w:szCs w:val="20"/>
          <w:lang w:val="fr-CA"/>
        </w:rPr>
        <w:tab/>
      </w:r>
      <w:r w:rsidR="004F6A73" w:rsidRPr="00B84A84">
        <w:rPr>
          <w:rFonts w:eastAsia="Times New Roman" w:cs="Times New Roman"/>
          <w:b/>
          <w:bCs/>
          <w:color w:val="000000"/>
          <w:sz w:val="20"/>
          <w:szCs w:val="20"/>
          <w:lang w:val="fr-CA"/>
        </w:rPr>
        <w:t>Conseil scolaire francophone de la Colombie-Britannique, Fédération des parents francophones de Colombie-Britannique, Annette Azar-Diehl, Stéphane Perron et Marie-Nicole Dubois</w:t>
      </w:r>
      <w:r w:rsidRPr="00B84A84">
        <w:rPr>
          <w:rFonts w:eastAsia="Times New Roman" w:cs="Times New Roman"/>
          <w:b/>
          <w:bCs/>
          <w:color w:val="000000"/>
          <w:sz w:val="20"/>
          <w:szCs w:val="20"/>
          <w:lang w:val="fr-CA"/>
        </w:rPr>
        <w:t xml:space="preserve"> </w:t>
      </w:r>
      <w:r w:rsidR="009C0516" w:rsidRPr="00B84A84">
        <w:rPr>
          <w:rFonts w:eastAsia="Times New Roman" w:cs="Times New Roman"/>
          <w:b/>
          <w:bCs/>
          <w:color w:val="000000"/>
          <w:sz w:val="20"/>
          <w:szCs w:val="20"/>
          <w:lang w:val="fr-CA"/>
        </w:rPr>
        <w:t>c</w:t>
      </w:r>
      <w:r w:rsidRPr="00B84A84">
        <w:rPr>
          <w:rFonts w:eastAsia="Times New Roman" w:cs="Times New Roman"/>
          <w:b/>
          <w:bCs/>
          <w:color w:val="000000"/>
          <w:sz w:val="20"/>
          <w:szCs w:val="20"/>
          <w:lang w:val="fr-CA"/>
        </w:rPr>
        <w:t xml:space="preserve">. </w:t>
      </w:r>
      <w:r w:rsidR="004F6A73" w:rsidRPr="00B84A84">
        <w:rPr>
          <w:rFonts w:eastAsia="Times New Roman" w:cs="Times New Roman"/>
          <w:b/>
          <w:bCs/>
          <w:color w:val="000000"/>
          <w:sz w:val="20"/>
          <w:szCs w:val="20"/>
          <w:lang w:val="fr-CA"/>
        </w:rPr>
        <w:t>Sa Majesté la Reine du chef de la Province de la Colombie-Britannique et ministre de l’Éducation de la Colombie-Britannique</w:t>
      </w:r>
      <w:r w:rsidRPr="00B84A84">
        <w:rPr>
          <w:rFonts w:eastAsia="Times New Roman" w:cs="Times New Roman"/>
          <w:b/>
          <w:bCs/>
          <w:color w:val="000000"/>
          <w:sz w:val="20"/>
          <w:szCs w:val="20"/>
          <w:lang w:val="fr-CA"/>
        </w:rPr>
        <w:t xml:space="preserve"> </w:t>
      </w:r>
      <w:r w:rsidR="00281DA2" w:rsidRPr="00B84A84">
        <w:rPr>
          <w:rFonts w:eastAsia="Times New Roman" w:cs="Times New Roman"/>
          <w:b/>
          <w:bCs/>
          <w:color w:val="000000"/>
          <w:sz w:val="20"/>
          <w:szCs w:val="20"/>
          <w:lang w:val="fr-CA"/>
        </w:rPr>
        <w:t>-</w:t>
      </w:r>
      <w:r w:rsidRPr="00B84A84">
        <w:rPr>
          <w:rFonts w:eastAsia="Times New Roman" w:cs="Times New Roman"/>
          <w:b/>
          <w:bCs/>
          <w:color w:val="000000"/>
          <w:sz w:val="20"/>
          <w:szCs w:val="20"/>
          <w:lang w:val="fr-CA"/>
        </w:rPr>
        <w:t xml:space="preserve"> </w:t>
      </w:r>
      <w:r w:rsidR="009C0516" w:rsidRPr="00B84A84">
        <w:rPr>
          <w:rFonts w:eastAsia="Times New Roman" w:cs="Times New Roman"/>
          <w:b/>
          <w:bCs/>
          <w:color w:val="000000"/>
          <w:sz w:val="20"/>
          <w:szCs w:val="20"/>
          <w:lang w:val="fr-CA"/>
        </w:rPr>
        <w:t>et</w:t>
      </w:r>
      <w:r w:rsidRPr="00B84A84">
        <w:rPr>
          <w:rFonts w:eastAsia="Times New Roman" w:cs="Times New Roman"/>
          <w:b/>
          <w:bCs/>
          <w:color w:val="000000"/>
          <w:sz w:val="20"/>
          <w:szCs w:val="20"/>
          <w:lang w:val="fr-CA"/>
        </w:rPr>
        <w:t xml:space="preserve"> - </w:t>
      </w:r>
      <w:r w:rsidR="004F6A73" w:rsidRPr="00B84A84">
        <w:rPr>
          <w:rFonts w:eastAsia="Times New Roman" w:cs="Times New Roman"/>
          <w:b/>
          <w:bCs/>
          <w:color w:val="000000"/>
          <w:sz w:val="20"/>
          <w:szCs w:val="20"/>
          <w:lang w:val="fr-CA"/>
        </w:rPr>
        <w:t>Procureur général de la Nouvelle-Écosse, procureur général de l’Île-du-Prince-Édouard, procureur général de la Saskatchewan, procureur général de l’Alberta, procureur général de Terre-Neuve-et-Labrador, procureur général des Territoires du Nord-Ouest, Commissaire aux langues officielles du Canada, Réseau des groupes communautaires du Québec, David Asper Centre for Constitutional Rights, Association des juristes d’expression française du Nouveau-Brunswick inc., Association des enseignantes et enseignants francophones du Nouveau-Brunswick inc., Fédération nationale des conseils scolaires francophones, Association des parents de l’école Rose-des-Vents, Association des parents de l’école des Colibris, Canadian Association for Progress in Justice, Société de l’Acadie du Nouveau-Brunswick, Fédération des conseils d’éducation du Nouveau-Brunswick, Assembly of Manitoba Chiefs, Commission nationale des parents francophones, Conseil scolaire francophone provincial de Terre-Neuve-et-Labrador et Chaire de recherche sur la francophonie canadienne en droits et enjeux linguistiques</w:t>
      </w:r>
      <w:r w:rsidR="00281DA2" w:rsidRPr="00B84A84">
        <w:rPr>
          <w:rFonts w:eastAsia="Times New Roman" w:cs="Times New Roman"/>
          <w:b/>
          <w:bCs/>
          <w:color w:val="000000"/>
          <w:sz w:val="20"/>
          <w:szCs w:val="20"/>
          <w:lang w:val="fr-CA"/>
        </w:rPr>
        <w:t xml:space="preserve"> </w:t>
      </w:r>
      <w:r w:rsidRPr="00B84A84">
        <w:rPr>
          <w:rFonts w:eastAsia="Times New Roman" w:cs="Times New Roman"/>
          <w:color w:val="000000"/>
          <w:sz w:val="20"/>
          <w:szCs w:val="20"/>
          <w:lang w:val="fr-CA"/>
        </w:rPr>
        <w:t>(</w:t>
      </w:r>
      <w:r w:rsidR="009C0516" w:rsidRPr="00B84A84">
        <w:rPr>
          <w:rFonts w:eastAsia="Times New Roman" w:cs="Times New Roman"/>
          <w:color w:val="000000"/>
          <w:sz w:val="20"/>
          <w:szCs w:val="20"/>
          <w:lang w:val="fr-CA"/>
        </w:rPr>
        <w:t>C</w:t>
      </w:r>
      <w:r w:rsidRPr="00B84A84">
        <w:rPr>
          <w:rFonts w:eastAsia="Times New Roman" w:cs="Times New Roman"/>
          <w:color w:val="000000"/>
          <w:sz w:val="20"/>
          <w:szCs w:val="20"/>
          <w:lang w:val="fr-CA"/>
        </w:rPr>
        <w:t>.</w:t>
      </w:r>
      <w:r w:rsidR="009C0516" w:rsidRPr="00B84A84">
        <w:rPr>
          <w:rFonts w:eastAsia="Times New Roman" w:cs="Times New Roman"/>
          <w:color w:val="000000"/>
          <w:sz w:val="20"/>
          <w:szCs w:val="20"/>
          <w:lang w:val="fr-CA"/>
        </w:rPr>
        <w:t>-B</w:t>
      </w:r>
      <w:r w:rsidRPr="00B84A84">
        <w:rPr>
          <w:rFonts w:eastAsia="Times New Roman" w:cs="Times New Roman"/>
          <w:color w:val="000000"/>
          <w:sz w:val="20"/>
          <w:szCs w:val="20"/>
          <w:lang w:val="fr-CA"/>
        </w:rPr>
        <w:t>.)</w:t>
      </w:r>
    </w:p>
    <w:p w:rsidR="00102792" w:rsidRPr="00B84A84" w:rsidRDefault="00102792" w:rsidP="00102792">
      <w:pPr>
        <w:ind w:left="1440"/>
        <w:jc w:val="both"/>
        <w:rPr>
          <w:rFonts w:eastAsia="Times New Roman" w:cs="Times New Roman"/>
          <w:color w:val="000000"/>
          <w:sz w:val="20"/>
          <w:szCs w:val="20"/>
          <w:lang w:val="fr-CA"/>
        </w:rPr>
      </w:pPr>
      <w:r w:rsidRPr="00B84A84">
        <w:rPr>
          <w:rFonts w:eastAsia="Times New Roman" w:cs="Times New Roman"/>
          <w:b/>
          <w:bCs/>
          <w:color w:val="000000"/>
          <w:sz w:val="20"/>
          <w:szCs w:val="20"/>
          <w:lang w:val="fr-CA"/>
        </w:rPr>
        <w:t>20</w:t>
      </w:r>
      <w:r w:rsidR="00172473" w:rsidRPr="00B84A84">
        <w:rPr>
          <w:rFonts w:eastAsia="Times New Roman" w:cs="Times New Roman"/>
          <w:b/>
          <w:bCs/>
          <w:color w:val="000000"/>
          <w:sz w:val="20"/>
          <w:szCs w:val="20"/>
          <w:lang w:val="fr-CA"/>
        </w:rPr>
        <w:t>20</w:t>
      </w:r>
      <w:r w:rsidRPr="00B84A84">
        <w:rPr>
          <w:rFonts w:eastAsia="Times New Roman" w:cs="Times New Roman"/>
          <w:b/>
          <w:bCs/>
          <w:color w:val="000000"/>
          <w:sz w:val="20"/>
          <w:szCs w:val="20"/>
          <w:lang w:val="fr-CA"/>
        </w:rPr>
        <w:t xml:space="preserve"> SCC </w:t>
      </w:r>
      <w:r w:rsidR="00172473" w:rsidRPr="00B84A84">
        <w:rPr>
          <w:rFonts w:eastAsia="Times New Roman" w:cs="Times New Roman"/>
          <w:b/>
          <w:bCs/>
          <w:color w:val="000000"/>
          <w:sz w:val="20"/>
          <w:szCs w:val="20"/>
          <w:lang w:val="fr-CA"/>
        </w:rPr>
        <w:t>1</w:t>
      </w:r>
      <w:r w:rsidR="004F6A73" w:rsidRPr="00B84A84">
        <w:rPr>
          <w:rFonts w:eastAsia="Times New Roman" w:cs="Times New Roman"/>
          <w:b/>
          <w:bCs/>
          <w:color w:val="000000"/>
          <w:sz w:val="20"/>
          <w:szCs w:val="20"/>
          <w:lang w:val="fr-CA"/>
        </w:rPr>
        <w:t>3</w:t>
      </w:r>
      <w:r w:rsidRPr="00B84A84">
        <w:rPr>
          <w:rFonts w:eastAsia="Times New Roman" w:cs="Times New Roman"/>
          <w:b/>
          <w:bCs/>
          <w:color w:val="000000"/>
          <w:sz w:val="20"/>
          <w:szCs w:val="20"/>
          <w:lang w:val="fr-CA"/>
        </w:rPr>
        <w:t xml:space="preserve"> / 20</w:t>
      </w:r>
      <w:r w:rsidR="00172473" w:rsidRPr="00B84A84">
        <w:rPr>
          <w:rFonts w:eastAsia="Times New Roman" w:cs="Times New Roman"/>
          <w:b/>
          <w:bCs/>
          <w:color w:val="000000"/>
          <w:sz w:val="20"/>
          <w:szCs w:val="20"/>
          <w:lang w:val="fr-CA"/>
        </w:rPr>
        <w:t>20</w:t>
      </w:r>
      <w:r w:rsidRPr="00B84A84">
        <w:rPr>
          <w:rFonts w:eastAsia="Times New Roman" w:cs="Times New Roman"/>
          <w:b/>
          <w:bCs/>
          <w:color w:val="000000"/>
          <w:sz w:val="20"/>
          <w:szCs w:val="20"/>
          <w:lang w:val="fr-CA"/>
        </w:rPr>
        <w:t xml:space="preserve"> CSC </w:t>
      </w:r>
      <w:r w:rsidR="00172473" w:rsidRPr="00B84A84">
        <w:rPr>
          <w:rFonts w:eastAsia="Times New Roman" w:cs="Times New Roman"/>
          <w:b/>
          <w:bCs/>
          <w:color w:val="000000"/>
          <w:sz w:val="20"/>
          <w:szCs w:val="20"/>
          <w:lang w:val="fr-CA"/>
        </w:rPr>
        <w:t>1</w:t>
      </w:r>
      <w:r w:rsidR="004F6A73" w:rsidRPr="00B84A84">
        <w:rPr>
          <w:rFonts w:eastAsia="Times New Roman" w:cs="Times New Roman"/>
          <w:b/>
          <w:bCs/>
          <w:color w:val="000000"/>
          <w:sz w:val="20"/>
          <w:szCs w:val="20"/>
          <w:lang w:val="fr-CA"/>
        </w:rPr>
        <w:t>3</w:t>
      </w:r>
    </w:p>
    <w:p w:rsidR="00102792" w:rsidRPr="00B84A84" w:rsidRDefault="00102792" w:rsidP="00102792">
      <w:pPr>
        <w:jc w:val="both"/>
        <w:rPr>
          <w:rFonts w:eastAsia="Times New Roman" w:cs="Times New Roman"/>
          <w:color w:val="000000"/>
          <w:sz w:val="20"/>
          <w:szCs w:val="20"/>
          <w:lang w:val="fr-CA"/>
        </w:rPr>
      </w:pPr>
    </w:p>
    <w:p w:rsidR="00102792" w:rsidRPr="00B84A84" w:rsidRDefault="00172473" w:rsidP="00102792">
      <w:pPr>
        <w:ind w:left="1440" w:hanging="1440"/>
        <w:rPr>
          <w:rFonts w:eastAsia="Times New Roman" w:cs="Times New Roman"/>
          <w:color w:val="000000"/>
          <w:sz w:val="20"/>
          <w:szCs w:val="20"/>
          <w:lang w:val="fr-CA"/>
        </w:rPr>
      </w:pPr>
      <w:r w:rsidRPr="00B84A84">
        <w:rPr>
          <w:rFonts w:eastAsia="Times New Roman" w:cs="Times New Roman"/>
          <w:color w:val="000000"/>
          <w:sz w:val="20"/>
          <w:szCs w:val="20"/>
          <w:lang w:val="fr-CA"/>
        </w:rPr>
        <w:t>Coram:</w:t>
      </w:r>
      <w:r w:rsidRPr="00B84A84">
        <w:rPr>
          <w:rFonts w:eastAsia="Times New Roman" w:cs="Times New Roman"/>
          <w:color w:val="000000"/>
          <w:sz w:val="20"/>
          <w:szCs w:val="20"/>
          <w:lang w:val="fr-CA"/>
        </w:rPr>
        <w:tab/>
      </w:r>
      <w:r w:rsidR="009C0516" w:rsidRPr="00B84A84">
        <w:rPr>
          <w:rFonts w:eastAsia="Times New Roman" w:cs="Times New Roman"/>
          <w:color w:val="000000"/>
          <w:sz w:val="20"/>
          <w:szCs w:val="20"/>
          <w:lang w:val="fr-CA"/>
        </w:rPr>
        <w:t>Le juge en chef Wagner et les juges Abella, Moldaver, Karakatsanis, Côté, Brown, Rowe, Martin et Kasirer</w:t>
      </w:r>
    </w:p>
    <w:p w:rsidR="00102792" w:rsidRPr="00B84A84" w:rsidRDefault="00102792" w:rsidP="00102792">
      <w:pPr>
        <w:ind w:left="1440" w:hanging="1440"/>
        <w:rPr>
          <w:rFonts w:eastAsia="Times New Roman" w:cs="Times New Roman"/>
          <w:color w:val="000000"/>
          <w:sz w:val="20"/>
          <w:szCs w:val="20"/>
          <w:lang w:val="fr-CA"/>
        </w:rPr>
      </w:pPr>
    </w:p>
    <w:p w:rsidR="004F6A73" w:rsidRPr="00B84A84" w:rsidRDefault="004F6A73" w:rsidP="004F6A73">
      <w:pPr>
        <w:jc w:val="both"/>
        <w:rPr>
          <w:sz w:val="20"/>
          <w:szCs w:val="20"/>
          <w:lang w:val="fr-CA"/>
        </w:rPr>
      </w:pPr>
      <w:r w:rsidRPr="00B84A84">
        <w:rPr>
          <w:sz w:val="20"/>
          <w:szCs w:val="20"/>
          <w:lang w:val="fr-CA"/>
        </w:rPr>
        <w:t xml:space="preserve">L’appel interjeté contre l’arrêt de la Cour d’appel de la Colombie-Britannique (Vancouver), numéro CA44023, 2018 BCCA 305, daté du 25 juillet 2018, entendu le 26 septembre 2019, est accueilli en partie avec dépens en faveur des appelants devant toutes les cours. </w:t>
      </w:r>
    </w:p>
    <w:p w:rsidR="004F6A73" w:rsidRPr="00B84A84" w:rsidRDefault="004F6A73" w:rsidP="004F6A73">
      <w:pPr>
        <w:jc w:val="both"/>
        <w:rPr>
          <w:sz w:val="20"/>
          <w:szCs w:val="20"/>
          <w:lang w:val="fr-CA"/>
        </w:rPr>
      </w:pPr>
    </w:p>
    <w:p w:rsidR="004F6A73" w:rsidRPr="00B84A84" w:rsidRDefault="004F6A73" w:rsidP="004F6A73">
      <w:pPr>
        <w:jc w:val="both"/>
        <w:rPr>
          <w:sz w:val="20"/>
          <w:szCs w:val="20"/>
          <w:lang w:val="fr-CA"/>
        </w:rPr>
      </w:pPr>
      <w:r w:rsidRPr="00B84A84">
        <w:rPr>
          <w:sz w:val="20"/>
          <w:szCs w:val="20"/>
          <w:lang w:val="fr-CA"/>
        </w:rPr>
        <w:t xml:space="preserve">Le jugement de la Cour d’appel est annulé et les jugements déclaratoires suivants sont prononcés en faveur des ayants droit au titre de l’art. 23 de la </w:t>
      </w:r>
      <w:r w:rsidRPr="00B84A84">
        <w:rPr>
          <w:i/>
          <w:sz w:val="20"/>
          <w:szCs w:val="20"/>
          <w:lang w:val="fr-CA"/>
        </w:rPr>
        <w:t xml:space="preserve">Charte canadienne des droits et libertés </w:t>
      </w:r>
      <w:r w:rsidRPr="00B84A84">
        <w:rPr>
          <w:sz w:val="20"/>
          <w:szCs w:val="20"/>
          <w:lang w:val="fr-CA"/>
        </w:rPr>
        <w:t>qui vivent dans les communautés énumérées ci-après; lorsqu’indiqué, ces jugements déclaratoires ont pour effet de remplacer les déclarations correspondantes prononcées par la juge de première instance :</w:t>
      </w:r>
    </w:p>
    <w:p w:rsidR="004F6A73" w:rsidRPr="00B84A84" w:rsidRDefault="004F6A73" w:rsidP="004F6A73">
      <w:pPr>
        <w:jc w:val="both"/>
        <w:rPr>
          <w:sz w:val="20"/>
          <w:szCs w:val="20"/>
          <w:lang w:val="fr-CA"/>
        </w:rPr>
      </w:pPr>
    </w:p>
    <w:p w:rsidR="004F6A73" w:rsidRPr="00B84A84" w:rsidRDefault="004F6A73" w:rsidP="004F6A73">
      <w:pPr>
        <w:jc w:val="both"/>
        <w:rPr>
          <w:sz w:val="20"/>
          <w:szCs w:val="20"/>
          <w:lang w:val="fr-CA"/>
        </w:rPr>
      </w:pPr>
      <w:r w:rsidRPr="00B84A84">
        <w:rPr>
          <w:sz w:val="20"/>
          <w:szCs w:val="20"/>
          <w:lang w:val="fr-CA"/>
        </w:rPr>
        <w:t>a)</w:t>
      </w:r>
      <w:r w:rsidRPr="00B84A84">
        <w:rPr>
          <w:sz w:val="20"/>
          <w:szCs w:val="20"/>
          <w:lang w:val="fr-CA"/>
        </w:rPr>
        <w:tab/>
        <w:t>Les ayants droit de la région d’Abbotsford sont en droit de faire instruire leurs enfants d’âge primaire dans une école homogène de la minorité pouvant accueillir 85 élèves de niveau primaire (ou tout autre nombre convenu entre les parties) et qui offre une expérience éducative réellement équivalente aux écoles avoisinantes de la majorité (cette déclaration remplace la déclaration 13 de la juge de première instance). L’absence à Abbotsford d’installations scolaires destinées aux élèves de la minorité linguistique empêche le Conseil scolaire francophone de la Colombie-Britannique (« CSF ») d’offrir une expérience éducative globale réellement équivalente à celle offerte dans les écoles primaires avoisinantes de la majorité (cette déclaration et la déclaration correspondante pour les enfants d’âge secondaire remplacent la déclaration 14 de la juge de première instance).</w:t>
      </w:r>
    </w:p>
    <w:p w:rsidR="004F6A73" w:rsidRPr="00B84A84" w:rsidRDefault="004F6A73" w:rsidP="004F6A73">
      <w:pPr>
        <w:jc w:val="both"/>
        <w:rPr>
          <w:sz w:val="20"/>
          <w:szCs w:val="20"/>
          <w:lang w:val="fr-CA"/>
        </w:rPr>
      </w:pPr>
    </w:p>
    <w:p w:rsidR="004F6A73" w:rsidRPr="00B84A84" w:rsidRDefault="004F6A73" w:rsidP="004F6A73">
      <w:pPr>
        <w:jc w:val="both"/>
        <w:rPr>
          <w:sz w:val="20"/>
          <w:szCs w:val="20"/>
          <w:lang w:val="fr-CA"/>
        </w:rPr>
      </w:pPr>
      <w:r w:rsidRPr="00B84A84">
        <w:rPr>
          <w:sz w:val="20"/>
          <w:szCs w:val="20"/>
          <w:lang w:val="fr-CA"/>
        </w:rPr>
        <w:t>b)</w:t>
      </w:r>
      <w:r w:rsidRPr="00B84A84">
        <w:rPr>
          <w:sz w:val="20"/>
          <w:szCs w:val="20"/>
          <w:lang w:val="fr-CA"/>
        </w:rPr>
        <w:tab/>
        <w:t>Les ayants droit de la région de la vallée centrale du Fraser (Abbotsford, Mission et Chilliwack) sont en droit de faire instruire leurs enfants d’âge secondaire dans une école homogène de la minorité combinant les cycles d’études primaire et secondaire, pouvant accueillir 120 élèves d’âge secondaire (ou tout autre nombre convenu entre les parties) et qui offre une expérience éducative réellement équivalente aux écoles avoisinantes de la majorité (cette déclaration remplace la déclaration 12 de la juge de première instance). L’absence dans la vallée centrale du Fraser d’installations scolaires destinées aux élèves d’âge secondaire de la minorité linguistique empêche le CSF d’offrir une expérience éducative globale réellement équivalente à celle offerte dans les écoles secondaire avoisinantes de la majorité linguistique (cette déclaration et la déclaration correspondante pour les enfants d’âge primaire remplacent la déclaration 14 de la juge de première instance).</w:t>
      </w:r>
    </w:p>
    <w:p w:rsidR="004F6A73" w:rsidRPr="00B84A84" w:rsidRDefault="004F6A73" w:rsidP="004F6A73">
      <w:pPr>
        <w:jc w:val="both"/>
        <w:rPr>
          <w:sz w:val="20"/>
          <w:szCs w:val="20"/>
          <w:lang w:val="fr-CA"/>
        </w:rPr>
      </w:pPr>
    </w:p>
    <w:p w:rsidR="00304AC4" w:rsidRPr="00B84A84" w:rsidRDefault="00304AC4">
      <w:pPr>
        <w:rPr>
          <w:sz w:val="20"/>
          <w:szCs w:val="20"/>
          <w:lang w:val="fr-CA"/>
        </w:rPr>
      </w:pPr>
      <w:r w:rsidRPr="00B84A84">
        <w:rPr>
          <w:sz w:val="20"/>
          <w:szCs w:val="20"/>
          <w:lang w:val="fr-CA"/>
        </w:rPr>
        <w:br w:type="page"/>
      </w:r>
    </w:p>
    <w:p w:rsidR="004F6A73" w:rsidRPr="00B84A84" w:rsidRDefault="004F6A73" w:rsidP="004F6A73">
      <w:pPr>
        <w:jc w:val="both"/>
        <w:rPr>
          <w:sz w:val="20"/>
          <w:szCs w:val="20"/>
          <w:lang w:val="fr-CA"/>
        </w:rPr>
      </w:pPr>
      <w:r w:rsidRPr="00B84A84">
        <w:rPr>
          <w:sz w:val="20"/>
          <w:szCs w:val="20"/>
          <w:lang w:val="fr-CA"/>
        </w:rPr>
        <w:t>c)</w:t>
      </w:r>
      <w:r w:rsidRPr="00B84A84">
        <w:rPr>
          <w:sz w:val="20"/>
          <w:szCs w:val="20"/>
          <w:lang w:val="fr-CA"/>
        </w:rPr>
        <w:tab/>
        <w:t>Les ayants droit qui habitent dans le secteur de fréquentation proposé de Burnaby sont en droit de faire instruire leurs enfants d’âge primaire dans une école homogène de la minorité pouvant accueillir 175 élèves (ou tout autre nombre convenu entre les parties) qui offre une expérience éducative réellement équivalente aux écoles avoisinantes de la majorité (cette déclaration remplace la déclaration 15 de la juge de première instance).</w:t>
      </w:r>
    </w:p>
    <w:p w:rsidR="004F6A73" w:rsidRPr="00B84A84" w:rsidRDefault="004F6A73" w:rsidP="004F6A73">
      <w:pPr>
        <w:jc w:val="both"/>
        <w:rPr>
          <w:sz w:val="20"/>
          <w:szCs w:val="20"/>
          <w:lang w:val="fr-CA"/>
        </w:rPr>
      </w:pPr>
    </w:p>
    <w:p w:rsidR="004F6A73" w:rsidRPr="00B84A84" w:rsidRDefault="004F6A73" w:rsidP="004F6A73">
      <w:pPr>
        <w:jc w:val="both"/>
        <w:rPr>
          <w:sz w:val="20"/>
          <w:szCs w:val="20"/>
          <w:lang w:val="fr-CA"/>
        </w:rPr>
      </w:pPr>
      <w:r w:rsidRPr="00B84A84">
        <w:rPr>
          <w:sz w:val="20"/>
          <w:szCs w:val="20"/>
          <w:lang w:val="fr-CA"/>
        </w:rPr>
        <w:t>d)</w:t>
      </w:r>
      <w:r w:rsidRPr="00B84A84">
        <w:rPr>
          <w:sz w:val="20"/>
          <w:szCs w:val="20"/>
          <w:lang w:val="fr-CA"/>
        </w:rPr>
        <w:tab/>
        <w:t>Les ayants droit de la région de Chilliwack sont en droit de faire instruire leurs enfants d’âge primaire dans une école homogène de la minorité pouvant accueillir 60 élèves (ou tout autre nombre convenu entre les parties) qui offre une expérience éducative réellement équivalente aux écoles avoisinantes de la majorité. Les installations scolaires présentement mises à la disposition de l’école La Vérendrye ne permettent pas au CSF d’offrir une expérience éducative réellement équivalente.</w:t>
      </w:r>
    </w:p>
    <w:p w:rsidR="004F6A73" w:rsidRPr="00B84A84" w:rsidRDefault="004F6A73" w:rsidP="004F6A73">
      <w:pPr>
        <w:jc w:val="both"/>
        <w:rPr>
          <w:sz w:val="20"/>
          <w:szCs w:val="20"/>
          <w:lang w:val="fr-CA"/>
        </w:rPr>
      </w:pPr>
    </w:p>
    <w:p w:rsidR="004F6A73" w:rsidRPr="00B84A84" w:rsidRDefault="004F6A73" w:rsidP="004F6A73">
      <w:pPr>
        <w:jc w:val="both"/>
        <w:rPr>
          <w:sz w:val="20"/>
          <w:szCs w:val="20"/>
          <w:lang w:val="fr-CA"/>
        </w:rPr>
      </w:pPr>
      <w:r w:rsidRPr="00B84A84">
        <w:rPr>
          <w:sz w:val="20"/>
          <w:szCs w:val="20"/>
          <w:lang w:val="fr-CA"/>
        </w:rPr>
        <w:t>e)</w:t>
      </w:r>
      <w:r w:rsidRPr="00B84A84">
        <w:rPr>
          <w:sz w:val="20"/>
          <w:szCs w:val="20"/>
          <w:lang w:val="fr-CA"/>
        </w:rPr>
        <w:tab/>
        <w:t>Les enfants des ayants droit de la région de Kelowna sont en droit de bénéficier d’une expérience éducative réellement équivalente à celle offerte dans les écoles avoisinantes de la majorité.</w:t>
      </w:r>
    </w:p>
    <w:p w:rsidR="004F6A73" w:rsidRPr="00B84A84" w:rsidRDefault="004F6A73" w:rsidP="004F6A73">
      <w:pPr>
        <w:jc w:val="both"/>
        <w:rPr>
          <w:sz w:val="20"/>
          <w:szCs w:val="20"/>
          <w:lang w:val="fr-CA"/>
        </w:rPr>
      </w:pPr>
    </w:p>
    <w:p w:rsidR="004F6A73" w:rsidRPr="00B84A84" w:rsidRDefault="004F6A73" w:rsidP="004F6A73">
      <w:pPr>
        <w:jc w:val="both"/>
        <w:rPr>
          <w:sz w:val="20"/>
          <w:szCs w:val="20"/>
          <w:lang w:val="fr-CA"/>
        </w:rPr>
      </w:pPr>
      <w:r w:rsidRPr="00B84A84">
        <w:rPr>
          <w:sz w:val="20"/>
          <w:szCs w:val="20"/>
          <w:lang w:val="fr-CA"/>
        </w:rPr>
        <w:t>f)</w:t>
      </w:r>
      <w:r w:rsidRPr="00B84A84">
        <w:rPr>
          <w:sz w:val="20"/>
          <w:szCs w:val="20"/>
          <w:lang w:val="fr-CA"/>
        </w:rPr>
        <w:tab/>
        <w:t xml:space="preserve">Les enfants des ayants droit de la région de Mission sont en droit de bénéficier d’une expérience éducative réellement équivalente à celle offerte dans les écoles avoisinantes de la majorité. </w:t>
      </w:r>
    </w:p>
    <w:p w:rsidR="004F6A73" w:rsidRPr="00B84A84" w:rsidRDefault="004F6A73" w:rsidP="004F6A73">
      <w:pPr>
        <w:jc w:val="both"/>
        <w:rPr>
          <w:sz w:val="20"/>
          <w:szCs w:val="20"/>
          <w:lang w:val="fr-CA"/>
        </w:rPr>
      </w:pPr>
    </w:p>
    <w:p w:rsidR="004F6A73" w:rsidRPr="00B84A84" w:rsidRDefault="004F6A73" w:rsidP="004F6A73">
      <w:pPr>
        <w:jc w:val="both"/>
        <w:rPr>
          <w:sz w:val="20"/>
          <w:szCs w:val="20"/>
          <w:lang w:val="fr-CA"/>
        </w:rPr>
      </w:pPr>
      <w:r w:rsidRPr="00B84A84">
        <w:rPr>
          <w:sz w:val="20"/>
          <w:szCs w:val="20"/>
          <w:lang w:val="fr-CA"/>
        </w:rPr>
        <w:t>g)</w:t>
      </w:r>
      <w:r w:rsidRPr="00B84A84">
        <w:rPr>
          <w:sz w:val="20"/>
          <w:szCs w:val="20"/>
          <w:lang w:val="fr-CA"/>
        </w:rPr>
        <w:tab/>
        <w:t>Les enfants des ayants droit de la région de Nanaimo sont en droit de bénéficier d’une expérience éducative réellement équivalente à celle offerte dans les écoles avoisinantes de la majorité.</w:t>
      </w:r>
    </w:p>
    <w:p w:rsidR="004F6A73" w:rsidRPr="00B84A84" w:rsidRDefault="004F6A73" w:rsidP="004F6A73">
      <w:pPr>
        <w:jc w:val="both"/>
        <w:rPr>
          <w:sz w:val="20"/>
          <w:szCs w:val="20"/>
          <w:lang w:val="fr-CA"/>
        </w:rPr>
      </w:pPr>
    </w:p>
    <w:p w:rsidR="004F6A73" w:rsidRPr="00B84A84" w:rsidRDefault="004F6A73" w:rsidP="004F6A73">
      <w:pPr>
        <w:jc w:val="both"/>
        <w:rPr>
          <w:sz w:val="20"/>
          <w:szCs w:val="20"/>
          <w:lang w:val="fr-CA"/>
        </w:rPr>
      </w:pPr>
      <w:r w:rsidRPr="00B84A84">
        <w:rPr>
          <w:sz w:val="20"/>
          <w:szCs w:val="20"/>
          <w:lang w:val="fr-CA"/>
        </w:rPr>
        <w:t>h)</w:t>
      </w:r>
      <w:r w:rsidRPr="00B84A84">
        <w:rPr>
          <w:sz w:val="20"/>
          <w:szCs w:val="20"/>
          <w:lang w:val="fr-CA"/>
        </w:rPr>
        <w:tab/>
        <w:t xml:space="preserve">Les enfants des ayants droit de la région de Pemberton sont en droit de bénéficier d’une expérience éducative réellement équivalente à celle offerte dans les écoles avoisinantes de la majorité. Les installations scolaires présentement mises à la disposition de l’école La Vallée située à Pemberton ne permettent pas au CSF d’offrir une expérience éducative réellement équivalente. </w:t>
      </w:r>
    </w:p>
    <w:p w:rsidR="004F6A73" w:rsidRPr="00B84A84" w:rsidRDefault="004F6A73" w:rsidP="004F6A73">
      <w:pPr>
        <w:jc w:val="both"/>
        <w:rPr>
          <w:sz w:val="20"/>
          <w:szCs w:val="20"/>
          <w:lang w:val="fr-CA"/>
        </w:rPr>
      </w:pPr>
    </w:p>
    <w:p w:rsidR="004F6A73" w:rsidRPr="00B84A84" w:rsidRDefault="004F6A73" w:rsidP="004F6A73">
      <w:pPr>
        <w:jc w:val="both"/>
        <w:rPr>
          <w:sz w:val="20"/>
          <w:szCs w:val="20"/>
          <w:lang w:val="fr-CA"/>
        </w:rPr>
      </w:pPr>
      <w:r w:rsidRPr="00B84A84">
        <w:rPr>
          <w:sz w:val="20"/>
          <w:szCs w:val="20"/>
          <w:lang w:val="fr-CA"/>
        </w:rPr>
        <w:t>i)</w:t>
      </w:r>
      <w:r w:rsidRPr="00B84A84">
        <w:rPr>
          <w:sz w:val="20"/>
          <w:szCs w:val="20"/>
          <w:lang w:val="fr-CA"/>
        </w:rPr>
        <w:tab/>
        <w:t>Les ayants droit qui habitent dans le secteur de fréquentation de l’école Entre-lacs située à Penticton sont en droit de faire instruire leurs enfants d’âge primaire et intermédiaire dans une école homogène de la minorité pouvant accueillir 175 élèves (ou tout autre nombre convenu entre les parties) qui offre une expérience éducative réellement équivalente aux écoles avoisinantes de la majorité. Les installations scolaires présentement mises à la disposition de l’école Entre-lacs ne permettent pas au CSF d’offrir une expérience éducative réellement équivalente (cette déclaration remplace les déclarations 7 et 8 de la juge de première instance).</w:t>
      </w:r>
    </w:p>
    <w:p w:rsidR="004F6A73" w:rsidRPr="00B84A84" w:rsidRDefault="004F6A73" w:rsidP="004F6A73">
      <w:pPr>
        <w:jc w:val="both"/>
        <w:rPr>
          <w:sz w:val="20"/>
          <w:szCs w:val="20"/>
          <w:lang w:val="fr-CA"/>
        </w:rPr>
      </w:pPr>
    </w:p>
    <w:p w:rsidR="004F6A73" w:rsidRPr="00B84A84" w:rsidRDefault="004F6A73" w:rsidP="004F6A73">
      <w:pPr>
        <w:jc w:val="both"/>
        <w:rPr>
          <w:sz w:val="20"/>
          <w:szCs w:val="20"/>
          <w:lang w:val="fr-CA"/>
        </w:rPr>
      </w:pPr>
      <w:r w:rsidRPr="00B84A84">
        <w:rPr>
          <w:sz w:val="20"/>
          <w:szCs w:val="20"/>
          <w:lang w:val="fr-CA"/>
        </w:rPr>
        <w:t>j)</w:t>
      </w:r>
      <w:r w:rsidRPr="00B84A84">
        <w:rPr>
          <w:sz w:val="20"/>
          <w:szCs w:val="20"/>
          <w:lang w:val="fr-CA"/>
        </w:rPr>
        <w:tab/>
        <w:t>Les ayants droit qui habitent dans le secteur de fréquentation de l’école du Pacifique située à Sechelt sont en droit de faire instruire leurs enfants d’âge primaire dans une école homogène de la minorité pouvant accueillir 90 élèves (ou tout autre nombre convenu entre les parties) qui offre une expérience éducative réellement équivalente aux écoles avoisinantes de la majorité. Les installations scolaires présentement mises à la disposition de l’école du Pacifique ne permettent pas au CSF d’offrir une expérience éducative réellement équivalente (cette déclaration remplace les déclarations 5 et 6 de la juge de première instance)</w:t>
      </w:r>
    </w:p>
    <w:p w:rsidR="004F6A73" w:rsidRPr="00B84A84" w:rsidRDefault="004F6A73" w:rsidP="004F6A73">
      <w:pPr>
        <w:jc w:val="both"/>
        <w:rPr>
          <w:sz w:val="20"/>
          <w:szCs w:val="20"/>
          <w:lang w:val="fr-CA"/>
        </w:rPr>
      </w:pPr>
    </w:p>
    <w:p w:rsidR="004F6A73" w:rsidRPr="00B84A84" w:rsidRDefault="004F6A73" w:rsidP="004F6A73">
      <w:pPr>
        <w:jc w:val="both"/>
        <w:rPr>
          <w:sz w:val="20"/>
          <w:szCs w:val="20"/>
          <w:lang w:val="fr-CA"/>
        </w:rPr>
      </w:pPr>
      <w:r w:rsidRPr="00B84A84">
        <w:rPr>
          <w:sz w:val="20"/>
          <w:szCs w:val="20"/>
          <w:lang w:val="fr-CA"/>
        </w:rPr>
        <w:t>k)</w:t>
      </w:r>
      <w:r w:rsidRPr="00B84A84">
        <w:rPr>
          <w:sz w:val="20"/>
          <w:szCs w:val="20"/>
          <w:lang w:val="fr-CA"/>
        </w:rPr>
        <w:tab/>
        <w:t>Les ayants droit de la région de Squamish sont en droit de faire instruire leurs enfants d’âge primaire dans une école homogène de la minorité pouvant accueillir 135 élèves (ou tout autre nombre convenu entre les parties) qui offre une expérience éducative réellement équivalente aux écoles avoisinantes de la majorité (cette déclaration remplace les déclarations 2 et 3 de la juge de première instance).</w:t>
      </w:r>
    </w:p>
    <w:p w:rsidR="004F6A73" w:rsidRPr="00B84A84" w:rsidRDefault="004F6A73" w:rsidP="004F6A73">
      <w:pPr>
        <w:jc w:val="both"/>
        <w:rPr>
          <w:sz w:val="20"/>
          <w:szCs w:val="20"/>
          <w:lang w:val="fr-CA"/>
        </w:rPr>
      </w:pPr>
    </w:p>
    <w:p w:rsidR="004F6A73" w:rsidRPr="00B84A84" w:rsidRDefault="004F6A73" w:rsidP="004F6A73">
      <w:pPr>
        <w:jc w:val="both"/>
        <w:rPr>
          <w:sz w:val="20"/>
          <w:szCs w:val="20"/>
          <w:lang w:val="fr-CA"/>
        </w:rPr>
      </w:pPr>
      <w:r w:rsidRPr="00B84A84">
        <w:rPr>
          <w:sz w:val="20"/>
          <w:szCs w:val="20"/>
          <w:lang w:val="fr-CA"/>
        </w:rPr>
        <w:t>l)</w:t>
      </w:r>
      <w:r w:rsidRPr="00B84A84">
        <w:rPr>
          <w:sz w:val="20"/>
          <w:szCs w:val="20"/>
          <w:lang w:val="fr-CA"/>
        </w:rPr>
        <w:tab/>
        <w:t>Les ayants droit qui habitent dans le secteur de fréquentation proposé du projet d’école primaire de Vancouver Nord-Est sont en droit de faire instruire leurs enfants d’âge primaire dans une école homogène de la minorité pouvant accueillir 270 élèves (ou tout autre nombre convenu entre les parties) qui offre une expérience éducative réellement équivalente aux écoles avoisinantes de la majorité (cette déclaration remplace la déclaration 11 de la juge de première instance).</w:t>
      </w:r>
    </w:p>
    <w:p w:rsidR="004F6A73" w:rsidRPr="00B84A84" w:rsidRDefault="004F6A73" w:rsidP="004F6A73">
      <w:pPr>
        <w:jc w:val="both"/>
        <w:rPr>
          <w:sz w:val="20"/>
          <w:szCs w:val="20"/>
          <w:lang w:val="fr-CA"/>
        </w:rPr>
      </w:pPr>
    </w:p>
    <w:p w:rsidR="004F6A73" w:rsidRPr="00B84A84" w:rsidRDefault="004F6A73" w:rsidP="004F6A73">
      <w:pPr>
        <w:jc w:val="both"/>
        <w:rPr>
          <w:sz w:val="20"/>
          <w:szCs w:val="20"/>
          <w:lang w:val="fr-CA"/>
        </w:rPr>
      </w:pPr>
      <w:r w:rsidRPr="00B84A84">
        <w:rPr>
          <w:sz w:val="20"/>
          <w:szCs w:val="20"/>
          <w:lang w:val="fr-CA"/>
        </w:rPr>
        <w:t>m)</w:t>
      </w:r>
      <w:r w:rsidRPr="00B84A84">
        <w:rPr>
          <w:sz w:val="20"/>
          <w:szCs w:val="20"/>
          <w:lang w:val="fr-CA"/>
        </w:rPr>
        <w:tab/>
        <w:t>Les ayants droit qui habitent dans le secteur de fréquentation proposé de Victoria Est sont en droit de faire instruire leurs enfants d’âge primaire dans une école homogène de la minorité pouvant accueillir 275 élèves (ou tout autre nombre convenu entre les parties) qui offre une expérience éducative réellement équivalente aux écoles avoisinantes de la majorité.</w:t>
      </w:r>
    </w:p>
    <w:p w:rsidR="004F6A73" w:rsidRPr="00B84A84" w:rsidRDefault="004F6A73" w:rsidP="004F6A73">
      <w:pPr>
        <w:jc w:val="both"/>
        <w:rPr>
          <w:sz w:val="20"/>
          <w:szCs w:val="20"/>
          <w:lang w:val="fr-CA"/>
        </w:rPr>
      </w:pPr>
    </w:p>
    <w:p w:rsidR="004F6A73" w:rsidRPr="00B84A84" w:rsidRDefault="004F6A73" w:rsidP="004F6A73">
      <w:pPr>
        <w:jc w:val="both"/>
        <w:rPr>
          <w:sz w:val="20"/>
          <w:szCs w:val="20"/>
          <w:lang w:val="fr-CA"/>
        </w:rPr>
      </w:pPr>
      <w:r w:rsidRPr="00B84A84">
        <w:rPr>
          <w:sz w:val="20"/>
          <w:szCs w:val="20"/>
          <w:lang w:val="fr-CA"/>
        </w:rPr>
        <w:t>n)</w:t>
      </w:r>
      <w:r w:rsidRPr="00B84A84">
        <w:rPr>
          <w:sz w:val="20"/>
          <w:szCs w:val="20"/>
          <w:lang w:val="fr-CA"/>
        </w:rPr>
        <w:tab/>
        <w:t>Les ayants droit qui habitent dans le secteur de fréquentation proposé de Victoria Nord sont en droit de faire instruire leurs enfants d’âge primaire dans une école homogène de la minorité pouvant accueillir 98 élèves (ou tout autre nombre convenu entre les parties) qui offre une expérience éducative réellement équivalente aux écoles avoisinantes de la majorité.</w:t>
      </w:r>
    </w:p>
    <w:p w:rsidR="004F6A73" w:rsidRPr="00B84A84" w:rsidRDefault="004F6A73" w:rsidP="004F6A73">
      <w:pPr>
        <w:jc w:val="both"/>
        <w:rPr>
          <w:sz w:val="20"/>
          <w:szCs w:val="20"/>
          <w:lang w:val="fr-CA"/>
        </w:rPr>
      </w:pPr>
    </w:p>
    <w:p w:rsidR="004F6A73" w:rsidRPr="00B84A84" w:rsidRDefault="004F6A73" w:rsidP="004F6A73">
      <w:pPr>
        <w:jc w:val="both"/>
        <w:rPr>
          <w:sz w:val="20"/>
          <w:szCs w:val="20"/>
          <w:lang w:val="fr-CA"/>
        </w:rPr>
      </w:pPr>
      <w:r w:rsidRPr="00B84A84">
        <w:rPr>
          <w:sz w:val="20"/>
          <w:szCs w:val="20"/>
          <w:lang w:val="fr-CA"/>
        </w:rPr>
        <w:t>o)</w:t>
      </w:r>
      <w:r w:rsidRPr="00B84A84">
        <w:rPr>
          <w:sz w:val="20"/>
          <w:szCs w:val="20"/>
          <w:lang w:val="fr-CA"/>
        </w:rPr>
        <w:tab/>
        <w:t>Les ayants droit qui habitent dans le secteur de fréquentation proposé de Victoria Ouest sont en droit de faire instruire leurs enfants d’âge primaire dans une école homogène de la minorité pouvant accueillir 299 élèves (ou tout autre nombre convenu entre les parties) qui offre une expérience éducative réellement équivalente aux écoles avoisinantes de la majorité.</w:t>
      </w:r>
    </w:p>
    <w:p w:rsidR="004F6A73" w:rsidRPr="00B84A84" w:rsidRDefault="004F6A73" w:rsidP="004F6A73">
      <w:pPr>
        <w:jc w:val="both"/>
        <w:rPr>
          <w:sz w:val="20"/>
          <w:szCs w:val="20"/>
          <w:lang w:val="fr-CA"/>
        </w:rPr>
      </w:pPr>
    </w:p>
    <w:p w:rsidR="004F6A73" w:rsidRPr="00B84A84" w:rsidRDefault="004F6A73" w:rsidP="004F6A73">
      <w:pPr>
        <w:jc w:val="both"/>
        <w:rPr>
          <w:sz w:val="20"/>
          <w:szCs w:val="20"/>
          <w:lang w:val="fr-CA"/>
        </w:rPr>
      </w:pPr>
      <w:r w:rsidRPr="00B84A84">
        <w:rPr>
          <w:sz w:val="20"/>
          <w:szCs w:val="20"/>
          <w:lang w:val="fr-CA"/>
        </w:rPr>
        <w:t>p)</w:t>
      </w:r>
      <w:r w:rsidRPr="00B84A84">
        <w:rPr>
          <w:sz w:val="20"/>
          <w:szCs w:val="20"/>
          <w:lang w:val="fr-CA"/>
        </w:rPr>
        <w:tab/>
        <w:t>Les ayants droit de la région de Whistler sont en droit de faire instruire leurs enfants d’âge primaire dans une école homogène de la minorité pouvant accueillir 85 élèves (ou tout autre nombre convenu entre les parties) qui offre une expérience éducative réellement équivalente aux écoles avoisinantes de la majorité.</w:t>
      </w:r>
    </w:p>
    <w:p w:rsidR="004F6A73" w:rsidRPr="00B84A84" w:rsidRDefault="004F6A73" w:rsidP="004F6A73">
      <w:pPr>
        <w:jc w:val="both"/>
        <w:rPr>
          <w:sz w:val="20"/>
          <w:szCs w:val="20"/>
          <w:lang w:val="fr-CA"/>
        </w:rPr>
      </w:pPr>
    </w:p>
    <w:p w:rsidR="004F6A73" w:rsidRPr="00B84A84" w:rsidRDefault="004F6A73" w:rsidP="004F6A73">
      <w:pPr>
        <w:jc w:val="both"/>
        <w:rPr>
          <w:sz w:val="20"/>
          <w:szCs w:val="20"/>
          <w:lang w:val="fr-CA"/>
        </w:rPr>
      </w:pPr>
      <w:r w:rsidRPr="00B84A84">
        <w:rPr>
          <w:sz w:val="20"/>
          <w:szCs w:val="20"/>
          <w:lang w:val="fr-CA"/>
        </w:rPr>
        <w:t xml:space="preserve">Les questions suivantes sont renvoyées au tribunal de première instance pour réexamen : </w:t>
      </w:r>
    </w:p>
    <w:p w:rsidR="004F6A73" w:rsidRPr="00B84A84" w:rsidRDefault="004F6A73" w:rsidP="004F6A73">
      <w:pPr>
        <w:jc w:val="both"/>
        <w:rPr>
          <w:sz w:val="20"/>
          <w:szCs w:val="20"/>
          <w:lang w:val="fr-CA"/>
        </w:rPr>
      </w:pPr>
    </w:p>
    <w:p w:rsidR="004F6A73" w:rsidRPr="00B84A84" w:rsidRDefault="004F6A73" w:rsidP="004F6A73">
      <w:pPr>
        <w:jc w:val="both"/>
        <w:rPr>
          <w:sz w:val="20"/>
          <w:szCs w:val="20"/>
          <w:lang w:val="fr-CA"/>
        </w:rPr>
      </w:pPr>
      <w:r w:rsidRPr="00B84A84">
        <w:rPr>
          <w:sz w:val="20"/>
          <w:szCs w:val="20"/>
          <w:lang w:val="fr-CA"/>
        </w:rPr>
        <w:t>a)</w:t>
      </w:r>
      <w:r w:rsidRPr="00B84A84">
        <w:rPr>
          <w:sz w:val="20"/>
          <w:szCs w:val="20"/>
          <w:lang w:val="fr-CA"/>
        </w:rPr>
        <w:tab/>
        <w:t xml:space="preserve">La question de l’expérience éducative à l’école des Deux-rives située à Mission et de l’impact de l’indice d’état des installations sur la capacité du CSF à offrir une éducation réellement équivalente. </w:t>
      </w:r>
    </w:p>
    <w:p w:rsidR="004F6A73" w:rsidRPr="00B84A84" w:rsidRDefault="004F6A73" w:rsidP="004F6A73">
      <w:pPr>
        <w:jc w:val="both"/>
        <w:rPr>
          <w:sz w:val="20"/>
          <w:szCs w:val="20"/>
          <w:lang w:val="fr-CA"/>
        </w:rPr>
      </w:pPr>
    </w:p>
    <w:p w:rsidR="004F6A73" w:rsidRPr="00B84A84" w:rsidRDefault="004F6A73" w:rsidP="004F6A73">
      <w:pPr>
        <w:jc w:val="both"/>
        <w:rPr>
          <w:sz w:val="20"/>
          <w:szCs w:val="20"/>
          <w:lang w:val="fr-CA"/>
        </w:rPr>
      </w:pPr>
      <w:r w:rsidRPr="00B84A84">
        <w:rPr>
          <w:sz w:val="20"/>
          <w:szCs w:val="20"/>
          <w:lang w:val="fr-CA"/>
        </w:rPr>
        <w:t>b)</w:t>
      </w:r>
      <w:r w:rsidRPr="00B84A84">
        <w:rPr>
          <w:sz w:val="20"/>
          <w:szCs w:val="20"/>
          <w:lang w:val="fr-CA"/>
        </w:rPr>
        <w:tab/>
        <w:t>La question du niveau de services auquel a droit le nombre d’élèves de la région de Pemberton.</w:t>
      </w:r>
    </w:p>
    <w:p w:rsidR="004F6A73" w:rsidRPr="00B84A84" w:rsidRDefault="004F6A73" w:rsidP="004F6A73">
      <w:pPr>
        <w:jc w:val="both"/>
        <w:rPr>
          <w:sz w:val="20"/>
          <w:szCs w:val="20"/>
          <w:lang w:val="fr-CA"/>
        </w:rPr>
      </w:pPr>
    </w:p>
    <w:p w:rsidR="004F6A73" w:rsidRPr="00B84A84" w:rsidRDefault="004F6A73" w:rsidP="004F6A73">
      <w:pPr>
        <w:jc w:val="both"/>
        <w:rPr>
          <w:sz w:val="20"/>
          <w:szCs w:val="20"/>
          <w:lang w:val="fr-CA"/>
        </w:rPr>
      </w:pPr>
      <w:r w:rsidRPr="00B84A84">
        <w:rPr>
          <w:sz w:val="20"/>
          <w:szCs w:val="20"/>
          <w:lang w:val="fr-CA"/>
        </w:rPr>
        <w:t xml:space="preserve">L’ordonnance de la juge de première instance concernant le transport scolaire est rétablie : les intimés doivent payer au CSF six millions de dollars en dommages-intérêts en vertu de la </w:t>
      </w:r>
      <w:r w:rsidRPr="00B84A84">
        <w:rPr>
          <w:i/>
          <w:sz w:val="20"/>
          <w:szCs w:val="20"/>
          <w:lang w:val="fr-CA"/>
        </w:rPr>
        <w:t>Charte</w:t>
      </w:r>
      <w:r w:rsidRPr="00B84A84">
        <w:rPr>
          <w:sz w:val="20"/>
          <w:szCs w:val="20"/>
          <w:lang w:val="fr-CA"/>
        </w:rPr>
        <w:t xml:space="preserve"> sur une période de 10 ans à l’égard du financement inadéquat du transport scolaire de 2002-2003 à 2011-2012. </w:t>
      </w:r>
    </w:p>
    <w:p w:rsidR="004F6A73" w:rsidRPr="00B84A84" w:rsidRDefault="004F6A73" w:rsidP="004F6A73">
      <w:pPr>
        <w:jc w:val="both"/>
        <w:rPr>
          <w:sz w:val="20"/>
          <w:szCs w:val="20"/>
          <w:lang w:val="fr-CA"/>
        </w:rPr>
      </w:pPr>
    </w:p>
    <w:p w:rsidR="004F6A73" w:rsidRPr="00B84A84" w:rsidRDefault="004F6A73" w:rsidP="004F6A73">
      <w:pPr>
        <w:jc w:val="both"/>
        <w:rPr>
          <w:sz w:val="20"/>
          <w:szCs w:val="20"/>
          <w:lang w:val="fr-CA"/>
        </w:rPr>
      </w:pPr>
      <w:r w:rsidRPr="00B84A84">
        <w:rPr>
          <w:sz w:val="20"/>
          <w:szCs w:val="20"/>
          <w:lang w:val="fr-CA"/>
        </w:rPr>
        <w:t>Les intimés doivent aussi payer 1,1 million de dollars en dommages-intérêts au CSF pour l’indemniser de la somme dont il a été privé au titre du facteur rural de la subvention annuelle aux installations.</w:t>
      </w:r>
    </w:p>
    <w:p w:rsidR="004F6A73" w:rsidRPr="00B84A84" w:rsidRDefault="004F6A73" w:rsidP="004F6A73">
      <w:pPr>
        <w:jc w:val="both"/>
        <w:rPr>
          <w:sz w:val="20"/>
          <w:szCs w:val="20"/>
          <w:lang w:val="fr-CA"/>
        </w:rPr>
      </w:pPr>
    </w:p>
    <w:p w:rsidR="009C0516" w:rsidRPr="00B84A84" w:rsidRDefault="004F6A73" w:rsidP="004F6A73">
      <w:pPr>
        <w:jc w:val="both"/>
        <w:rPr>
          <w:rFonts w:eastAsia="Times New Roman" w:cs="Times New Roman"/>
          <w:color w:val="000000"/>
          <w:sz w:val="20"/>
          <w:szCs w:val="20"/>
          <w:lang w:val="fr-CA"/>
        </w:rPr>
      </w:pPr>
      <w:r w:rsidRPr="00B84A84">
        <w:rPr>
          <w:sz w:val="20"/>
          <w:szCs w:val="20"/>
          <w:lang w:val="fr-CA"/>
        </w:rPr>
        <w:t>Les juges Brown et Rowe sont dissidents en partie.</w:t>
      </w:r>
    </w:p>
    <w:p w:rsidR="009C0516" w:rsidRPr="00B84A84" w:rsidRDefault="009C0516" w:rsidP="00102792">
      <w:pPr>
        <w:ind w:left="1440" w:hanging="1440"/>
        <w:rPr>
          <w:rFonts w:eastAsia="Times New Roman" w:cs="Times New Roman"/>
          <w:color w:val="000000"/>
          <w:sz w:val="20"/>
          <w:szCs w:val="20"/>
          <w:lang w:val="fr-CA"/>
        </w:rPr>
      </w:pPr>
    </w:p>
    <w:p w:rsidR="004F6A73" w:rsidRPr="00B84A84" w:rsidRDefault="004F6A73" w:rsidP="00102792">
      <w:pPr>
        <w:ind w:left="1440" w:hanging="1440"/>
        <w:rPr>
          <w:rFonts w:eastAsia="Times New Roman" w:cs="Times New Roman"/>
          <w:color w:val="000000"/>
          <w:sz w:val="20"/>
          <w:szCs w:val="20"/>
          <w:lang w:val="fr-CA"/>
        </w:rPr>
      </w:pPr>
    </w:p>
    <w:p w:rsidR="004F6A73" w:rsidRPr="00B84A84" w:rsidRDefault="004F6A73" w:rsidP="004F6A73">
      <w:pPr>
        <w:jc w:val="both"/>
        <w:rPr>
          <w:sz w:val="20"/>
          <w:szCs w:val="20"/>
        </w:rPr>
      </w:pPr>
      <w:r w:rsidRPr="00B84A84">
        <w:rPr>
          <w:sz w:val="20"/>
          <w:szCs w:val="20"/>
        </w:rPr>
        <w:t xml:space="preserve">The appeal from the judgment </w:t>
      </w:r>
      <w:bookmarkStart w:id="7" w:name="BM_1_"/>
      <w:bookmarkEnd w:id="7"/>
      <w:r w:rsidRPr="00B84A84">
        <w:rPr>
          <w:sz w:val="20"/>
          <w:szCs w:val="20"/>
        </w:rPr>
        <w:t xml:space="preserve">of the Court of Appeal for British Columbia (Vancouver), Number CA44023, 2018 BCCA 305, dated July 25, 2018, heard on September 26, 2019, is allowed in part with costs to the appellants throughout. </w:t>
      </w:r>
    </w:p>
    <w:p w:rsidR="004F6A73" w:rsidRPr="00B84A84" w:rsidRDefault="004F6A73" w:rsidP="004F6A73">
      <w:pPr>
        <w:jc w:val="both"/>
        <w:rPr>
          <w:sz w:val="20"/>
          <w:szCs w:val="20"/>
        </w:rPr>
      </w:pPr>
    </w:p>
    <w:p w:rsidR="004F6A73" w:rsidRPr="00B84A84" w:rsidRDefault="004F6A73" w:rsidP="004F6A73">
      <w:pPr>
        <w:jc w:val="both"/>
        <w:rPr>
          <w:sz w:val="20"/>
          <w:szCs w:val="20"/>
        </w:rPr>
      </w:pPr>
      <w:r w:rsidRPr="00B84A84">
        <w:rPr>
          <w:sz w:val="20"/>
          <w:szCs w:val="20"/>
        </w:rPr>
        <w:t xml:space="preserve">The Court of Appeal judgment is set aside and the following declarations are issued in favour of rights holders under s. 23 of the </w:t>
      </w:r>
      <w:r w:rsidRPr="00B84A84">
        <w:rPr>
          <w:i/>
          <w:sz w:val="20"/>
          <w:szCs w:val="20"/>
        </w:rPr>
        <w:t>Canadian Charter of Rights and Freedoms</w:t>
      </w:r>
      <w:r w:rsidRPr="00B84A84">
        <w:rPr>
          <w:sz w:val="20"/>
          <w:szCs w:val="20"/>
        </w:rPr>
        <w:t xml:space="preserve"> who live in the communities listed below; where indicated, these declarations replace the corresponding declarations issued by the trial judge:</w:t>
      </w:r>
    </w:p>
    <w:p w:rsidR="004F6A73" w:rsidRPr="00B84A84" w:rsidRDefault="004F6A73" w:rsidP="004F6A73">
      <w:pPr>
        <w:jc w:val="both"/>
        <w:rPr>
          <w:sz w:val="20"/>
          <w:szCs w:val="20"/>
        </w:rPr>
      </w:pPr>
    </w:p>
    <w:p w:rsidR="004F6A73" w:rsidRPr="00B84A84" w:rsidRDefault="004F6A73" w:rsidP="004F6A73">
      <w:pPr>
        <w:jc w:val="both"/>
        <w:rPr>
          <w:sz w:val="20"/>
          <w:szCs w:val="20"/>
        </w:rPr>
      </w:pPr>
      <w:r w:rsidRPr="00B84A84">
        <w:rPr>
          <w:sz w:val="20"/>
          <w:szCs w:val="20"/>
        </w:rPr>
        <w:t xml:space="preserve">(a) </w:t>
      </w:r>
      <w:r w:rsidRPr="00B84A84">
        <w:rPr>
          <w:sz w:val="20"/>
          <w:szCs w:val="20"/>
        </w:rPr>
        <w:tab/>
        <w:t>Rights holders in the Abbotsford area are entitled to have their elementary school age children receive instruction at a homogeneous minority language school with space for 85 elementary school students (or such other number as the parties agree to) that provides an educational experience that is substantively equivalent to the experience at nearby majority language schools (this declaration replaces the trial judge’s declaration 13). The lack of minority language educational facilities in Abbotsford prevents the Conseil scolaire francophone de la Colombie-Britannique (“CSF”) from providing a global educational experience that is substantively equivalent to the experience at nearby majority language elementary schools (this declaration and the corresponding declaration for secondary school age children replace the trial judge’s declaration 14).</w:t>
      </w:r>
    </w:p>
    <w:p w:rsidR="004F6A73" w:rsidRPr="00B84A84" w:rsidRDefault="004F6A73" w:rsidP="004F6A73">
      <w:pPr>
        <w:jc w:val="both"/>
        <w:rPr>
          <w:sz w:val="20"/>
          <w:szCs w:val="20"/>
        </w:rPr>
      </w:pPr>
    </w:p>
    <w:p w:rsidR="004F6A73" w:rsidRPr="00B84A84" w:rsidRDefault="004F6A73" w:rsidP="004F6A73">
      <w:pPr>
        <w:jc w:val="both"/>
        <w:rPr>
          <w:sz w:val="20"/>
          <w:szCs w:val="20"/>
        </w:rPr>
      </w:pPr>
      <w:r w:rsidRPr="00B84A84">
        <w:rPr>
          <w:sz w:val="20"/>
          <w:szCs w:val="20"/>
        </w:rPr>
        <w:t>(b)</w:t>
      </w:r>
      <w:r w:rsidRPr="00B84A84">
        <w:rPr>
          <w:sz w:val="20"/>
          <w:szCs w:val="20"/>
        </w:rPr>
        <w:tab/>
        <w:t>Rights holders in the Central Fraser Valley area (Abbotsford, Mission and Chilliwack) are entitled to have their secondary school age children receive instruction at a homogeneous minority language school that is a combined elementary and secondary school, that has space for 120 secondary school age students (or such other number as the parties agree to) and that provides an educational experience that is substantively equivalent to the experience at nearby majority language schools (this declaration replaces the trial judge’s declaration 12). The lack of minority language educational facilities for secondary school age students in the Central Fraser Valley prevents the CSF from providing a global educational experience that is substantively equivalent to the experience at nearby majority language secondary schools (this declaration and the corresponding declaration for elementary school age children replace the trial judge’s declaration 14).</w:t>
      </w:r>
    </w:p>
    <w:p w:rsidR="004F6A73" w:rsidRPr="00B84A84" w:rsidRDefault="004F6A73" w:rsidP="004F6A73">
      <w:pPr>
        <w:jc w:val="both"/>
        <w:rPr>
          <w:sz w:val="20"/>
          <w:szCs w:val="20"/>
        </w:rPr>
      </w:pPr>
    </w:p>
    <w:p w:rsidR="004F6A73" w:rsidRPr="00B84A84" w:rsidRDefault="004F6A73" w:rsidP="004F6A73">
      <w:pPr>
        <w:jc w:val="both"/>
        <w:rPr>
          <w:sz w:val="20"/>
          <w:szCs w:val="20"/>
        </w:rPr>
      </w:pPr>
      <w:r w:rsidRPr="00B84A84">
        <w:rPr>
          <w:sz w:val="20"/>
          <w:szCs w:val="20"/>
        </w:rPr>
        <w:t>(c)</w:t>
      </w:r>
      <w:r w:rsidRPr="00B84A84">
        <w:rPr>
          <w:sz w:val="20"/>
          <w:szCs w:val="20"/>
        </w:rPr>
        <w:tab/>
        <w:t>Rights holders living in the proposed Burnaby catchment area are entitled to have their elementary school age children receive instruction at a homogeneous minority language school with space for 175 students (or such other number as the parties agree to) that provides an educational experience that is substantively equivalent to the experience at nearby majority language schools (this declaration replaces the trial judge’s declaration 15).</w:t>
      </w:r>
    </w:p>
    <w:p w:rsidR="004F6A73" w:rsidRPr="00B84A84" w:rsidRDefault="004F6A73" w:rsidP="004F6A73">
      <w:pPr>
        <w:jc w:val="both"/>
        <w:rPr>
          <w:sz w:val="20"/>
          <w:szCs w:val="20"/>
        </w:rPr>
      </w:pPr>
    </w:p>
    <w:p w:rsidR="004F6A73" w:rsidRPr="00B84A84" w:rsidRDefault="004F6A73" w:rsidP="004F6A73">
      <w:pPr>
        <w:jc w:val="both"/>
        <w:rPr>
          <w:sz w:val="20"/>
          <w:szCs w:val="20"/>
        </w:rPr>
      </w:pPr>
      <w:r w:rsidRPr="00B84A84">
        <w:rPr>
          <w:sz w:val="20"/>
          <w:szCs w:val="20"/>
        </w:rPr>
        <w:t>(d)</w:t>
      </w:r>
      <w:r w:rsidRPr="00B84A84">
        <w:rPr>
          <w:sz w:val="20"/>
          <w:szCs w:val="20"/>
        </w:rPr>
        <w:tab/>
        <w:t>Rights holders in the Chilliwack area are entitled to have their elementary school age children receive instruction at a homogeneous minority language school with space for 60 students (or such other number as the parties agree to) that provides an educational experience that is substantively equivalent to the experience at nearby majority language schools. The educational facilities presently available to École La Vérendrye do not allow the CSF to provide a substantively equivalent educational experience.</w:t>
      </w:r>
    </w:p>
    <w:p w:rsidR="004F6A73" w:rsidRPr="00B84A84" w:rsidRDefault="004F6A73" w:rsidP="004F6A73">
      <w:pPr>
        <w:jc w:val="both"/>
        <w:rPr>
          <w:sz w:val="20"/>
          <w:szCs w:val="20"/>
        </w:rPr>
      </w:pPr>
    </w:p>
    <w:p w:rsidR="004F6A73" w:rsidRPr="00B84A84" w:rsidRDefault="004F6A73" w:rsidP="004F6A73">
      <w:pPr>
        <w:jc w:val="both"/>
        <w:rPr>
          <w:sz w:val="20"/>
          <w:szCs w:val="20"/>
        </w:rPr>
      </w:pPr>
      <w:r w:rsidRPr="00B84A84">
        <w:rPr>
          <w:sz w:val="20"/>
          <w:szCs w:val="20"/>
        </w:rPr>
        <w:t>(e)</w:t>
      </w:r>
      <w:r w:rsidRPr="00B84A84">
        <w:rPr>
          <w:sz w:val="20"/>
          <w:szCs w:val="20"/>
        </w:rPr>
        <w:tab/>
        <w:t>Children of rights holders in the Kelowna area are entitled to an educational experience that is substantively equivalent to the experience at nearby majority language schools.</w:t>
      </w:r>
    </w:p>
    <w:p w:rsidR="004F6A73" w:rsidRPr="00B84A84" w:rsidRDefault="004F6A73" w:rsidP="004F6A73">
      <w:pPr>
        <w:jc w:val="both"/>
        <w:rPr>
          <w:sz w:val="20"/>
          <w:szCs w:val="20"/>
        </w:rPr>
      </w:pPr>
    </w:p>
    <w:p w:rsidR="004F6A73" w:rsidRPr="00B84A84" w:rsidRDefault="004F6A73" w:rsidP="004F6A73">
      <w:pPr>
        <w:jc w:val="both"/>
        <w:rPr>
          <w:sz w:val="20"/>
          <w:szCs w:val="20"/>
        </w:rPr>
      </w:pPr>
      <w:r w:rsidRPr="00B84A84">
        <w:rPr>
          <w:sz w:val="20"/>
          <w:szCs w:val="20"/>
        </w:rPr>
        <w:t>(f)</w:t>
      </w:r>
      <w:r w:rsidRPr="00B84A84">
        <w:rPr>
          <w:sz w:val="20"/>
          <w:szCs w:val="20"/>
        </w:rPr>
        <w:tab/>
        <w:t>Children of rights holders in the Mission area are entitled to an educational experience that is substantively equivalent to the experience at nearby majority language schools.</w:t>
      </w:r>
    </w:p>
    <w:p w:rsidR="004F6A73" w:rsidRPr="00B84A84" w:rsidRDefault="004F6A73" w:rsidP="004F6A73">
      <w:pPr>
        <w:jc w:val="both"/>
        <w:rPr>
          <w:sz w:val="20"/>
          <w:szCs w:val="20"/>
        </w:rPr>
      </w:pPr>
    </w:p>
    <w:p w:rsidR="004F6A73" w:rsidRPr="00B84A84" w:rsidRDefault="004F6A73" w:rsidP="004F6A73">
      <w:pPr>
        <w:jc w:val="both"/>
        <w:rPr>
          <w:sz w:val="20"/>
          <w:szCs w:val="20"/>
        </w:rPr>
      </w:pPr>
      <w:r w:rsidRPr="00B84A84">
        <w:rPr>
          <w:sz w:val="20"/>
          <w:szCs w:val="20"/>
        </w:rPr>
        <w:t>(g)</w:t>
      </w:r>
      <w:r w:rsidRPr="00B84A84">
        <w:rPr>
          <w:sz w:val="20"/>
          <w:szCs w:val="20"/>
        </w:rPr>
        <w:tab/>
        <w:t>Children of rights holders in the Nanaimo area are entitled to an educational experience that is substantively equivalent to the experience at nearby majority language schools.</w:t>
      </w:r>
    </w:p>
    <w:p w:rsidR="004F6A73" w:rsidRPr="00B84A84" w:rsidRDefault="004F6A73" w:rsidP="004F6A73">
      <w:pPr>
        <w:jc w:val="both"/>
        <w:rPr>
          <w:sz w:val="20"/>
          <w:szCs w:val="20"/>
        </w:rPr>
      </w:pPr>
    </w:p>
    <w:p w:rsidR="004F6A73" w:rsidRPr="00B84A84" w:rsidRDefault="004F6A73" w:rsidP="004F6A73">
      <w:pPr>
        <w:jc w:val="both"/>
        <w:rPr>
          <w:sz w:val="20"/>
          <w:szCs w:val="20"/>
        </w:rPr>
      </w:pPr>
      <w:r w:rsidRPr="00B84A84">
        <w:rPr>
          <w:sz w:val="20"/>
          <w:szCs w:val="20"/>
        </w:rPr>
        <w:t>(h)</w:t>
      </w:r>
      <w:r w:rsidRPr="00B84A84">
        <w:rPr>
          <w:sz w:val="20"/>
          <w:szCs w:val="20"/>
        </w:rPr>
        <w:tab/>
        <w:t>Children of rights holders in the Pemberton area are entitled to an educational experience that is substantively equivalent to the experience at nearby majority language schools. The educational facilities presently available to École La Vallée in Pemberton do not allow the CSF to provide a substantively equivalent educational experience.</w:t>
      </w:r>
    </w:p>
    <w:p w:rsidR="004F6A73" w:rsidRPr="00B84A84" w:rsidRDefault="004F6A73" w:rsidP="004F6A73">
      <w:pPr>
        <w:jc w:val="both"/>
        <w:rPr>
          <w:sz w:val="20"/>
          <w:szCs w:val="20"/>
        </w:rPr>
      </w:pPr>
    </w:p>
    <w:p w:rsidR="004F6A73" w:rsidRPr="00B84A84" w:rsidRDefault="004F6A73" w:rsidP="004F6A73">
      <w:pPr>
        <w:jc w:val="both"/>
        <w:rPr>
          <w:sz w:val="20"/>
          <w:szCs w:val="20"/>
        </w:rPr>
      </w:pPr>
      <w:r w:rsidRPr="00B84A84">
        <w:rPr>
          <w:sz w:val="20"/>
          <w:szCs w:val="20"/>
        </w:rPr>
        <w:t>(i)</w:t>
      </w:r>
      <w:r w:rsidRPr="00B84A84">
        <w:rPr>
          <w:sz w:val="20"/>
          <w:szCs w:val="20"/>
        </w:rPr>
        <w:tab/>
        <w:t>Rights holders living in the catchment area of École Entre-lacs in Penticton are entitled to have their elementary and middle school age children receive instruction at a homogeneous minority language school with space for 175 students (or such other number as the parties agree to) that provides an educational experience that is substantively equivalent to the experience at nearby majority language schools. The educational facilities presently available to École Entre-lacs do not allow the CSF to provide a substantively equivalent educational experience (this declaration replaces the trial judge’s declarations 7 and 8).</w:t>
      </w:r>
    </w:p>
    <w:p w:rsidR="004F6A73" w:rsidRPr="00B84A84" w:rsidRDefault="004F6A73" w:rsidP="004F6A73">
      <w:pPr>
        <w:jc w:val="both"/>
        <w:rPr>
          <w:sz w:val="20"/>
          <w:szCs w:val="20"/>
        </w:rPr>
      </w:pPr>
    </w:p>
    <w:p w:rsidR="004F6A73" w:rsidRPr="00B84A84" w:rsidRDefault="004F6A73" w:rsidP="004F6A73">
      <w:pPr>
        <w:jc w:val="both"/>
        <w:rPr>
          <w:sz w:val="20"/>
          <w:szCs w:val="20"/>
        </w:rPr>
      </w:pPr>
      <w:r w:rsidRPr="00B84A84">
        <w:rPr>
          <w:sz w:val="20"/>
          <w:szCs w:val="20"/>
        </w:rPr>
        <w:t>(j)</w:t>
      </w:r>
      <w:r w:rsidRPr="00B84A84">
        <w:rPr>
          <w:sz w:val="20"/>
          <w:szCs w:val="20"/>
        </w:rPr>
        <w:tab/>
        <w:t>Rights holders living in the catchment area of École du Pacifique in Sechelt are entitled to have their elementary school age children receive instruction at a homogeneous minority language school with space for 90 students (or such other number as the parties agree to) that provides an educational experience that is substantively equivalent to the experience at nearby majority language schools. The educational facilities presently available to École du Pacifique do not allow the CSF to provide a substantively equivalent educational experience (this declaration replaces the trial judge’s declarations 5 and 6).</w:t>
      </w:r>
    </w:p>
    <w:p w:rsidR="004F6A73" w:rsidRPr="00B84A84" w:rsidRDefault="004F6A73" w:rsidP="004F6A73">
      <w:pPr>
        <w:jc w:val="both"/>
        <w:rPr>
          <w:sz w:val="20"/>
          <w:szCs w:val="20"/>
        </w:rPr>
      </w:pPr>
    </w:p>
    <w:p w:rsidR="004F6A73" w:rsidRPr="00B84A84" w:rsidRDefault="004F6A73" w:rsidP="004F6A73">
      <w:pPr>
        <w:jc w:val="both"/>
        <w:rPr>
          <w:sz w:val="20"/>
          <w:szCs w:val="20"/>
        </w:rPr>
      </w:pPr>
      <w:r w:rsidRPr="00B84A84">
        <w:rPr>
          <w:sz w:val="20"/>
          <w:szCs w:val="20"/>
        </w:rPr>
        <w:t>(k)</w:t>
      </w:r>
      <w:r w:rsidRPr="00B84A84">
        <w:rPr>
          <w:sz w:val="20"/>
          <w:szCs w:val="20"/>
        </w:rPr>
        <w:tab/>
        <w:t>Rights holders in the Squamish area are entitled to have their elementary school age children receive instruction at a homogeneous minority language school with space for 135 students (or such other number as the parties agree to) that provides an educational experience that is substantively equivalent to the experience at nearby majority language schools (this declaration replaces the trial judge’s declarations 2 and 3).</w:t>
      </w:r>
    </w:p>
    <w:p w:rsidR="004F6A73" w:rsidRPr="00B84A84" w:rsidRDefault="004F6A73" w:rsidP="004F6A73">
      <w:pPr>
        <w:jc w:val="both"/>
        <w:rPr>
          <w:sz w:val="20"/>
          <w:szCs w:val="20"/>
        </w:rPr>
      </w:pPr>
    </w:p>
    <w:p w:rsidR="004F6A73" w:rsidRPr="00B84A84" w:rsidRDefault="004F6A73" w:rsidP="004F6A73">
      <w:pPr>
        <w:jc w:val="both"/>
        <w:rPr>
          <w:sz w:val="20"/>
          <w:szCs w:val="20"/>
        </w:rPr>
      </w:pPr>
      <w:r w:rsidRPr="00B84A84">
        <w:rPr>
          <w:sz w:val="20"/>
          <w:szCs w:val="20"/>
        </w:rPr>
        <w:t>(l)</w:t>
      </w:r>
      <w:r w:rsidRPr="00B84A84">
        <w:rPr>
          <w:sz w:val="20"/>
          <w:szCs w:val="20"/>
        </w:rPr>
        <w:tab/>
        <w:t>Rights holders living in the proposed catchment area for the Northeast Vancouver elementary school project are entitled to have their elementary school age children receive instruction at a homogeneous minority language school with space for 270 students (or such other number as the parties agree to) that provides an educational experience that is substantively equivalent to the experience at nearby majority language schools (this declaration replaces the trial judge’s declaration 11).</w:t>
      </w:r>
    </w:p>
    <w:p w:rsidR="004F6A73" w:rsidRPr="00B84A84" w:rsidRDefault="004F6A73" w:rsidP="004F6A73">
      <w:pPr>
        <w:jc w:val="both"/>
        <w:rPr>
          <w:sz w:val="20"/>
          <w:szCs w:val="20"/>
        </w:rPr>
      </w:pPr>
    </w:p>
    <w:p w:rsidR="004F6A73" w:rsidRPr="00B84A84" w:rsidRDefault="004F6A73" w:rsidP="004F6A73">
      <w:pPr>
        <w:jc w:val="both"/>
        <w:rPr>
          <w:sz w:val="20"/>
          <w:szCs w:val="20"/>
        </w:rPr>
      </w:pPr>
      <w:r w:rsidRPr="00B84A84">
        <w:rPr>
          <w:sz w:val="20"/>
          <w:szCs w:val="20"/>
        </w:rPr>
        <w:t>(m)</w:t>
      </w:r>
      <w:r w:rsidRPr="00B84A84">
        <w:rPr>
          <w:sz w:val="20"/>
          <w:szCs w:val="20"/>
        </w:rPr>
        <w:tab/>
        <w:t>Rights holders living in the proposed East Victoria catchment area are entitled to have their elementary school age children receive instruction at a homogeneous minority language school with space for 275 students (or such other number as the parties agree to) that provides an educational experience that is substantively equivalent to the experience at nearby majority language schools.</w:t>
      </w:r>
    </w:p>
    <w:p w:rsidR="004F6A73" w:rsidRPr="00B84A84" w:rsidRDefault="004F6A73" w:rsidP="004F6A73">
      <w:pPr>
        <w:jc w:val="both"/>
        <w:rPr>
          <w:sz w:val="20"/>
          <w:szCs w:val="20"/>
        </w:rPr>
      </w:pPr>
    </w:p>
    <w:p w:rsidR="004F6A73" w:rsidRPr="00B84A84" w:rsidRDefault="004F6A73" w:rsidP="004F6A73">
      <w:pPr>
        <w:jc w:val="both"/>
        <w:rPr>
          <w:sz w:val="20"/>
          <w:szCs w:val="20"/>
        </w:rPr>
      </w:pPr>
      <w:r w:rsidRPr="00B84A84">
        <w:rPr>
          <w:sz w:val="20"/>
          <w:szCs w:val="20"/>
        </w:rPr>
        <w:t>(n)</w:t>
      </w:r>
      <w:r w:rsidRPr="00B84A84">
        <w:rPr>
          <w:sz w:val="20"/>
          <w:szCs w:val="20"/>
        </w:rPr>
        <w:tab/>
        <w:t>Rights holders living in the proposed North Victoria catchment area are entitled to have their elementary school age children receive instruction at a homogeneous minority language school with space for 98 students (or such other number as the parties agree to) that provides an educational experience that is substantively equivalent to the experience at nearby majority language schools.</w:t>
      </w:r>
    </w:p>
    <w:p w:rsidR="004F6A73" w:rsidRPr="00B84A84" w:rsidRDefault="004F6A73" w:rsidP="004F6A73">
      <w:pPr>
        <w:jc w:val="both"/>
        <w:rPr>
          <w:sz w:val="20"/>
          <w:szCs w:val="20"/>
        </w:rPr>
      </w:pPr>
    </w:p>
    <w:p w:rsidR="004F6A73" w:rsidRPr="00B84A84" w:rsidRDefault="004F6A73" w:rsidP="004F6A73">
      <w:pPr>
        <w:jc w:val="both"/>
        <w:rPr>
          <w:sz w:val="20"/>
          <w:szCs w:val="20"/>
        </w:rPr>
      </w:pPr>
      <w:r w:rsidRPr="00B84A84">
        <w:rPr>
          <w:sz w:val="20"/>
          <w:szCs w:val="20"/>
        </w:rPr>
        <w:t>(o)</w:t>
      </w:r>
      <w:r w:rsidRPr="00B84A84">
        <w:rPr>
          <w:sz w:val="20"/>
          <w:szCs w:val="20"/>
        </w:rPr>
        <w:tab/>
        <w:t>Rights holders living in the proposed West Victoria catchment area are entitled to have their elementary school age children receive instruction at a homogeneous minority language school with space for 299 students (or such other number as the parties agree to) that provides an educational experience that is substantively equivalent to the experience at nearby majority language schools.</w:t>
      </w:r>
    </w:p>
    <w:p w:rsidR="004F6A73" w:rsidRPr="00B84A84" w:rsidRDefault="004F6A73" w:rsidP="004F6A73">
      <w:pPr>
        <w:jc w:val="both"/>
        <w:rPr>
          <w:sz w:val="20"/>
          <w:szCs w:val="20"/>
        </w:rPr>
      </w:pPr>
    </w:p>
    <w:p w:rsidR="004F6A73" w:rsidRPr="00B84A84" w:rsidRDefault="004F6A73" w:rsidP="004F6A73">
      <w:pPr>
        <w:jc w:val="both"/>
        <w:rPr>
          <w:sz w:val="20"/>
          <w:szCs w:val="20"/>
        </w:rPr>
      </w:pPr>
      <w:r w:rsidRPr="00B84A84">
        <w:rPr>
          <w:sz w:val="20"/>
          <w:szCs w:val="20"/>
        </w:rPr>
        <w:t>(p)</w:t>
      </w:r>
      <w:r w:rsidRPr="00B84A84">
        <w:rPr>
          <w:sz w:val="20"/>
          <w:szCs w:val="20"/>
        </w:rPr>
        <w:tab/>
        <w:t>Rights holders in the Whistler area are entitled to have their elementary school age children receive instruction at a homogeneous minority language school with space for 85 students (or such other number as the parties agree to) that provides an educational experience that is substantively equivalent to the experience at nearby majority language schools.</w:t>
      </w:r>
    </w:p>
    <w:p w:rsidR="004F6A73" w:rsidRPr="00B84A84" w:rsidRDefault="004F6A73" w:rsidP="004F6A73">
      <w:pPr>
        <w:jc w:val="both"/>
        <w:rPr>
          <w:sz w:val="20"/>
          <w:szCs w:val="20"/>
        </w:rPr>
      </w:pPr>
    </w:p>
    <w:p w:rsidR="004F6A73" w:rsidRPr="00B84A84" w:rsidRDefault="004F6A73" w:rsidP="004F6A73">
      <w:pPr>
        <w:jc w:val="both"/>
        <w:rPr>
          <w:sz w:val="20"/>
          <w:szCs w:val="20"/>
        </w:rPr>
      </w:pPr>
      <w:r w:rsidRPr="00B84A84">
        <w:rPr>
          <w:sz w:val="20"/>
          <w:szCs w:val="20"/>
        </w:rPr>
        <w:t>The following questions are remanded to the court of original jurisdiction for reconsideration:</w:t>
      </w:r>
    </w:p>
    <w:p w:rsidR="004F6A73" w:rsidRPr="00B84A84" w:rsidRDefault="004F6A73" w:rsidP="004F6A73">
      <w:pPr>
        <w:jc w:val="both"/>
        <w:rPr>
          <w:sz w:val="20"/>
          <w:szCs w:val="20"/>
        </w:rPr>
      </w:pPr>
    </w:p>
    <w:p w:rsidR="004F6A73" w:rsidRPr="00B84A84" w:rsidRDefault="004F6A73" w:rsidP="004F6A73">
      <w:pPr>
        <w:jc w:val="both"/>
        <w:rPr>
          <w:sz w:val="20"/>
          <w:szCs w:val="20"/>
        </w:rPr>
      </w:pPr>
      <w:r w:rsidRPr="00B84A84">
        <w:rPr>
          <w:sz w:val="20"/>
          <w:szCs w:val="20"/>
        </w:rPr>
        <w:t>(a)</w:t>
      </w:r>
      <w:r w:rsidRPr="00B84A84">
        <w:rPr>
          <w:sz w:val="20"/>
          <w:szCs w:val="20"/>
        </w:rPr>
        <w:tab/>
        <w:t>the question of the educational experience at École des Deux-rives in Mission and the impact of the Facility Condition Driver on the CSF’s ability to provide a substantively equivalent education; and</w:t>
      </w:r>
    </w:p>
    <w:p w:rsidR="004F6A73" w:rsidRPr="00B84A84" w:rsidRDefault="004F6A73" w:rsidP="004F6A73">
      <w:pPr>
        <w:jc w:val="both"/>
        <w:rPr>
          <w:sz w:val="20"/>
          <w:szCs w:val="20"/>
        </w:rPr>
      </w:pPr>
    </w:p>
    <w:p w:rsidR="004F6A73" w:rsidRPr="00B84A84" w:rsidRDefault="004F6A73" w:rsidP="004F6A73">
      <w:pPr>
        <w:jc w:val="both"/>
        <w:rPr>
          <w:sz w:val="20"/>
          <w:szCs w:val="20"/>
        </w:rPr>
      </w:pPr>
      <w:r w:rsidRPr="00B84A84">
        <w:rPr>
          <w:sz w:val="20"/>
          <w:szCs w:val="20"/>
        </w:rPr>
        <w:t xml:space="preserve">(b) </w:t>
      </w:r>
      <w:r w:rsidRPr="00B84A84">
        <w:rPr>
          <w:sz w:val="20"/>
          <w:szCs w:val="20"/>
        </w:rPr>
        <w:tab/>
        <w:t>the question of the level of services warranted by the number of students in the Pemberton area.</w:t>
      </w:r>
    </w:p>
    <w:p w:rsidR="004F6A73" w:rsidRPr="00B84A84" w:rsidRDefault="004F6A73" w:rsidP="004F6A73">
      <w:pPr>
        <w:jc w:val="both"/>
        <w:rPr>
          <w:sz w:val="20"/>
          <w:szCs w:val="20"/>
        </w:rPr>
      </w:pPr>
    </w:p>
    <w:p w:rsidR="004F6A73" w:rsidRPr="00B84A84" w:rsidRDefault="004F6A73" w:rsidP="004F6A73">
      <w:pPr>
        <w:jc w:val="both"/>
        <w:rPr>
          <w:sz w:val="20"/>
          <w:szCs w:val="20"/>
        </w:rPr>
      </w:pPr>
      <w:r w:rsidRPr="00B84A84">
        <w:rPr>
          <w:sz w:val="20"/>
          <w:szCs w:val="20"/>
        </w:rPr>
        <w:t xml:space="preserve">The trial judge’s order concerning school transportation is restored: the respondents are required to pay $6 million in </w:t>
      </w:r>
      <w:r w:rsidRPr="00B84A84">
        <w:rPr>
          <w:i/>
          <w:sz w:val="20"/>
          <w:szCs w:val="20"/>
        </w:rPr>
        <w:t>Charter</w:t>
      </w:r>
      <w:r w:rsidRPr="00B84A84">
        <w:rPr>
          <w:sz w:val="20"/>
          <w:szCs w:val="20"/>
        </w:rPr>
        <w:t xml:space="preserve"> damages to the CSF over a period of 10 years in respect of the inadequate funding of school transportation from 2002-3 to 2011-12.</w:t>
      </w:r>
    </w:p>
    <w:p w:rsidR="004F6A73" w:rsidRPr="00B84A84" w:rsidRDefault="004F6A73" w:rsidP="004F6A73">
      <w:pPr>
        <w:jc w:val="both"/>
        <w:rPr>
          <w:sz w:val="20"/>
          <w:szCs w:val="20"/>
        </w:rPr>
      </w:pPr>
    </w:p>
    <w:p w:rsidR="004F6A73" w:rsidRPr="00B84A84" w:rsidRDefault="004F6A73" w:rsidP="004F6A73">
      <w:pPr>
        <w:jc w:val="both"/>
        <w:rPr>
          <w:sz w:val="20"/>
          <w:szCs w:val="20"/>
        </w:rPr>
      </w:pPr>
      <w:r w:rsidRPr="00B84A84">
        <w:rPr>
          <w:sz w:val="20"/>
          <w:szCs w:val="20"/>
        </w:rPr>
        <w:t>The respondents are also required to pay $1.1 million in damages to the CSF to compensate it for the amount it was denied in respect of the Annual Facilities Grant Rural Factor.</w:t>
      </w:r>
    </w:p>
    <w:p w:rsidR="004F6A73" w:rsidRPr="00B84A84" w:rsidRDefault="004F6A73" w:rsidP="004F6A73">
      <w:pPr>
        <w:jc w:val="both"/>
        <w:rPr>
          <w:sz w:val="20"/>
          <w:szCs w:val="20"/>
        </w:rPr>
      </w:pPr>
    </w:p>
    <w:p w:rsidR="00102792" w:rsidRPr="00B84A84" w:rsidRDefault="004F6A73" w:rsidP="004F6A73">
      <w:pPr>
        <w:jc w:val="both"/>
        <w:rPr>
          <w:rFonts w:eastAsia="Times New Roman" w:cs="Times New Roman"/>
          <w:color w:val="000000"/>
          <w:sz w:val="20"/>
          <w:szCs w:val="20"/>
          <w:lang w:val="en-US"/>
        </w:rPr>
      </w:pPr>
      <w:r w:rsidRPr="00B84A84">
        <w:rPr>
          <w:sz w:val="20"/>
          <w:szCs w:val="20"/>
        </w:rPr>
        <w:t>Brown and Rowe JJ. dissent in part.</w:t>
      </w:r>
    </w:p>
    <w:p w:rsidR="00102792" w:rsidRPr="00B84A84" w:rsidRDefault="00102792" w:rsidP="00102792">
      <w:pPr>
        <w:rPr>
          <w:sz w:val="20"/>
          <w:szCs w:val="20"/>
          <w:lang w:val="en-US"/>
        </w:rPr>
      </w:pPr>
    </w:p>
    <w:p w:rsidR="00102792" w:rsidRPr="00B84A84" w:rsidRDefault="005E1A49" w:rsidP="00102792">
      <w:pPr>
        <w:rPr>
          <w:sz w:val="20"/>
          <w:szCs w:val="20"/>
          <w:lang w:val="fr-CA"/>
        </w:rPr>
      </w:pPr>
      <w:hyperlink r:id="rId52" w:history="1">
        <w:r w:rsidR="00506BE1" w:rsidRPr="00B84A84">
          <w:rPr>
            <w:rStyle w:val="Hyperlink"/>
            <w:sz w:val="20"/>
            <w:szCs w:val="20"/>
            <w:lang w:val="fr-CA"/>
          </w:rPr>
          <w:t xml:space="preserve">LINK TO </w:t>
        </w:r>
        <w:r w:rsidR="00D82BFF" w:rsidRPr="00B84A84">
          <w:rPr>
            <w:rStyle w:val="Hyperlink"/>
            <w:sz w:val="20"/>
            <w:szCs w:val="20"/>
            <w:lang w:val="fr-CA"/>
          </w:rPr>
          <w:t>REASONS</w:t>
        </w:r>
      </w:hyperlink>
      <w:r w:rsidR="00102792" w:rsidRPr="00B84A84">
        <w:rPr>
          <w:sz w:val="20"/>
          <w:szCs w:val="20"/>
          <w:lang w:val="fr-CA"/>
        </w:rPr>
        <w:t xml:space="preserve"> / </w:t>
      </w:r>
      <w:hyperlink r:id="rId53" w:history="1">
        <w:r w:rsidR="00D82BFF" w:rsidRPr="00B84A84">
          <w:rPr>
            <w:rStyle w:val="Hyperlink"/>
            <w:sz w:val="20"/>
            <w:szCs w:val="20"/>
            <w:lang w:val="fr-CA"/>
          </w:rPr>
          <w:t>LIEN VERS LES MOTIFS</w:t>
        </w:r>
      </w:hyperlink>
    </w:p>
    <w:p w:rsidR="00102792" w:rsidRPr="00B84A84" w:rsidRDefault="00102792" w:rsidP="00102792">
      <w:pPr>
        <w:rPr>
          <w:sz w:val="20"/>
          <w:szCs w:val="20"/>
          <w:lang w:val="fr-CA"/>
        </w:rPr>
      </w:pPr>
    </w:p>
    <w:p w:rsidR="00D004FC" w:rsidRPr="00B84A84" w:rsidRDefault="005E1A49" w:rsidP="00102792">
      <w:pPr>
        <w:jc w:val="both"/>
        <w:rPr>
          <w:rFonts w:cs="Times New Roman"/>
          <w:b/>
          <w:sz w:val="20"/>
          <w:szCs w:val="20"/>
        </w:rPr>
      </w:pPr>
      <w:r>
        <w:rPr>
          <w:b/>
          <w:sz w:val="20"/>
          <w:szCs w:val="20"/>
        </w:rPr>
        <w:pict>
          <v:rect id="_x0000_i1058" style="width:144.3pt;height:1pt" o:hrpct="300" o:hralign="center" o:hrstd="t" o:hrnoshade="t" o:hr="t" fillcolor="black [3213]" stroked="f"/>
        </w:pict>
      </w:r>
    </w:p>
    <w:p w:rsidR="00D004FC" w:rsidRPr="00B84A84" w:rsidRDefault="00D004FC" w:rsidP="00D004FC">
      <w:pPr>
        <w:jc w:val="both"/>
        <w:rPr>
          <w:rFonts w:cs="Times New Roman"/>
          <w:sz w:val="20"/>
          <w:szCs w:val="20"/>
        </w:rPr>
      </w:pPr>
    </w:p>
    <w:p w:rsidR="00281DA2" w:rsidRPr="00B84A84" w:rsidRDefault="00281DA2" w:rsidP="00D004FC">
      <w:pPr>
        <w:jc w:val="both"/>
        <w:rPr>
          <w:rFonts w:cs="Times New Roman"/>
          <w:sz w:val="20"/>
          <w:szCs w:val="20"/>
        </w:rPr>
      </w:pPr>
    </w:p>
    <w:p w:rsidR="0056248C" w:rsidRPr="00B84A84" w:rsidRDefault="0056248C" w:rsidP="00091BA6">
      <w:pPr>
        <w:rPr>
          <w:sz w:val="20"/>
          <w:szCs w:val="20"/>
          <w:lang w:val="fr-CA"/>
        </w:rPr>
      </w:pPr>
    </w:p>
    <w:p w:rsidR="00102926" w:rsidRPr="00B84A84" w:rsidRDefault="00102926" w:rsidP="00782AE4">
      <w:pPr>
        <w:jc w:val="both"/>
        <w:rPr>
          <w:sz w:val="20"/>
          <w:szCs w:val="20"/>
        </w:rPr>
        <w:sectPr w:rsidR="00102926" w:rsidRPr="00B84A84" w:rsidSect="00782AE4">
          <w:headerReference w:type="even" r:id="rId54"/>
          <w:headerReference w:type="default" r:id="rId55"/>
          <w:footerReference w:type="even" r:id="rId56"/>
          <w:footerReference w:type="default" r:id="rId57"/>
          <w:headerReference w:type="first" r:id="rId58"/>
          <w:footerReference w:type="first" r:id="rId59"/>
          <w:pgSz w:w="12240" w:h="15840"/>
          <w:pgMar w:top="720" w:right="965" w:bottom="1080" w:left="1656" w:header="576" w:footer="960" w:gutter="0"/>
          <w:cols w:space="720"/>
          <w:titlePg/>
          <w:docGrid w:linePitch="272"/>
        </w:sectPr>
      </w:pPr>
    </w:p>
    <w:p w:rsidR="004B2E86" w:rsidRPr="00B84A84" w:rsidRDefault="004B2E86" w:rsidP="004B2E86">
      <w:pPr>
        <w:tabs>
          <w:tab w:val="center" w:pos="5220"/>
          <w:tab w:val="right" w:pos="10800"/>
        </w:tabs>
        <w:jc w:val="center"/>
        <w:rPr>
          <w:rFonts w:ascii="Arial" w:hAnsi="Arial" w:cs="Arial"/>
          <w:sz w:val="16"/>
          <w:szCs w:val="18"/>
          <w:lang w:val="fr-CA"/>
        </w:rPr>
      </w:pPr>
      <w:bookmarkStart w:id="8" w:name="1"/>
      <w:bookmarkStart w:id="9" w:name="QuickMark"/>
      <w:bookmarkEnd w:id="8"/>
      <w:bookmarkEnd w:id="9"/>
      <w:r w:rsidRPr="00B84A84">
        <w:rPr>
          <w:rFonts w:ascii="Arial" w:hAnsi="Arial" w:cs="Arial"/>
          <w:b/>
          <w:szCs w:val="28"/>
          <w:lang w:val="fr-FR"/>
        </w:rPr>
        <w:t>- 2019 -</w:t>
      </w:r>
    </w:p>
    <w:tbl>
      <w:tblPr>
        <w:tblStyle w:val="TableGrid"/>
        <w:tblW w:w="5000" w:type="pct"/>
        <w:tblInd w:w="-307" w:type="dxa"/>
        <w:shd w:val="clear" w:color="auto" w:fill="FFFFFF" w:themeFill="background1"/>
        <w:tblCellMar>
          <w:top w:w="29" w:type="dxa"/>
          <w:left w:w="29" w:type="dxa"/>
          <w:bottom w:w="29" w:type="dxa"/>
          <w:right w:w="29" w:type="dxa"/>
        </w:tblCellMar>
        <w:tblLook w:val="04A0" w:firstRow="1" w:lastRow="0" w:firstColumn="1" w:lastColumn="0" w:noHBand="0" w:noVBand="1"/>
      </w:tblPr>
      <w:tblGrid>
        <w:gridCol w:w="465"/>
        <w:gridCol w:w="465"/>
        <w:gridCol w:w="467"/>
        <w:gridCol w:w="467"/>
        <w:gridCol w:w="469"/>
        <w:gridCol w:w="470"/>
        <w:gridCol w:w="484"/>
        <w:gridCol w:w="291"/>
        <w:gridCol w:w="468"/>
        <w:gridCol w:w="468"/>
        <w:gridCol w:w="468"/>
        <w:gridCol w:w="468"/>
        <w:gridCol w:w="468"/>
        <w:gridCol w:w="468"/>
        <w:gridCol w:w="468"/>
        <w:gridCol w:w="293"/>
        <w:gridCol w:w="468"/>
        <w:gridCol w:w="468"/>
        <w:gridCol w:w="468"/>
        <w:gridCol w:w="468"/>
        <w:gridCol w:w="468"/>
        <w:gridCol w:w="468"/>
        <w:gridCol w:w="439"/>
      </w:tblGrid>
      <w:tr w:rsidR="004B2E86" w:rsidRPr="00B84A84" w:rsidTr="00691D1D">
        <w:trPr>
          <w:trHeight w:val="176"/>
        </w:trPr>
        <w:tc>
          <w:tcPr>
            <w:tcW w:w="1583" w:type="pct"/>
            <w:gridSpan w:val="7"/>
            <w:tcBorders>
              <w:top w:val="double" w:sz="6" w:space="0" w:color="auto"/>
              <w:left w:val="double" w:sz="6" w:space="0" w:color="auto"/>
              <w:bottom w:val="single" w:sz="4" w:space="0" w:color="000000" w:themeColor="text1"/>
              <w:right w:val="double" w:sz="6" w:space="0" w:color="auto"/>
            </w:tcBorders>
            <w:shd w:val="clear" w:color="auto" w:fill="D9D9D9" w:themeFill="background1" w:themeFillShade="D9"/>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OCTOBER – OCTOBRE</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4B2E86" w:rsidRPr="00B84A84" w:rsidRDefault="004B2E86" w:rsidP="00691D1D">
            <w:pPr>
              <w:tabs>
                <w:tab w:val="center" w:pos="5220"/>
                <w:tab w:val="right" w:pos="10440"/>
              </w:tabs>
              <w:jc w:val="center"/>
              <w:rPr>
                <w:rFonts w:ascii="Arial" w:hAnsi="Arial" w:cs="Arial"/>
                <w:b/>
                <w:sz w:val="13"/>
                <w:szCs w:val="13"/>
                <w:lang w:val="fr-FR"/>
              </w:rPr>
            </w:pPr>
          </w:p>
        </w:tc>
        <w:tc>
          <w:tcPr>
            <w:tcW w:w="1575" w:type="pct"/>
            <w:gridSpan w:val="7"/>
            <w:tcBorders>
              <w:top w:val="double" w:sz="6" w:space="0" w:color="auto"/>
              <w:left w:val="double" w:sz="6" w:space="0" w:color="auto"/>
              <w:bottom w:val="single" w:sz="4" w:space="0" w:color="000000" w:themeColor="text1"/>
              <w:right w:val="double" w:sz="6" w:space="0" w:color="auto"/>
            </w:tcBorders>
            <w:shd w:val="clear" w:color="auto" w:fill="D9D9D9" w:themeFill="background1" w:themeFillShade="D9"/>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NOVEMBER – NOVEMBRE</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4B2E86" w:rsidRPr="00B84A84" w:rsidRDefault="004B2E86" w:rsidP="00691D1D">
            <w:pPr>
              <w:tabs>
                <w:tab w:val="center" w:pos="5220"/>
                <w:tab w:val="right" w:pos="10440"/>
              </w:tabs>
              <w:jc w:val="center"/>
              <w:rPr>
                <w:rFonts w:ascii="Arial" w:hAnsi="Arial" w:cs="Arial"/>
                <w:b/>
                <w:sz w:val="13"/>
                <w:szCs w:val="13"/>
                <w:lang w:val="fr-FR"/>
              </w:rPr>
            </w:pPr>
          </w:p>
        </w:tc>
        <w:tc>
          <w:tcPr>
            <w:tcW w:w="1561" w:type="pct"/>
            <w:gridSpan w:val="7"/>
            <w:tcBorders>
              <w:top w:val="double" w:sz="6" w:space="0" w:color="auto"/>
              <w:left w:val="double" w:sz="6" w:space="0" w:color="auto"/>
              <w:bottom w:val="single" w:sz="4" w:space="0" w:color="000000" w:themeColor="text1"/>
              <w:right w:val="double" w:sz="6" w:space="0" w:color="auto"/>
            </w:tcBorders>
            <w:shd w:val="clear" w:color="auto" w:fill="D9D9D9" w:themeFill="background1" w:themeFillShade="D9"/>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DECEMBER – DÉCEMBRE</w:t>
            </w:r>
          </w:p>
        </w:tc>
      </w:tr>
      <w:tr w:rsidR="004B2E86" w:rsidRPr="00B84A84" w:rsidTr="00691D1D">
        <w:trPr>
          <w:trHeight w:val="331"/>
        </w:trPr>
        <w:tc>
          <w:tcPr>
            <w:tcW w:w="224" w:type="pct"/>
            <w:tcBorders>
              <w:top w:val="double" w:sz="6" w:space="0" w:color="auto"/>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4"/>
                <w:szCs w:val="14"/>
                <w:lang w:val="fr-FR"/>
              </w:rPr>
            </w:pPr>
            <w:r w:rsidRPr="00B84A84">
              <w:rPr>
                <w:rFonts w:ascii="Arial" w:hAnsi="Arial" w:cs="Arial"/>
                <w:b/>
                <w:sz w:val="14"/>
                <w:szCs w:val="14"/>
                <w:lang w:val="fr-FR"/>
              </w:rPr>
              <w:t>S</w:t>
            </w:r>
          </w:p>
          <w:p w:rsidR="004B2E86" w:rsidRPr="00B84A84" w:rsidRDefault="004B2E86" w:rsidP="00691D1D">
            <w:pPr>
              <w:tabs>
                <w:tab w:val="center" w:pos="5220"/>
                <w:tab w:val="right" w:pos="10440"/>
              </w:tabs>
              <w:jc w:val="center"/>
              <w:rPr>
                <w:rFonts w:ascii="Arial" w:hAnsi="Arial" w:cs="Arial"/>
                <w:b/>
                <w:sz w:val="14"/>
                <w:szCs w:val="14"/>
                <w:lang w:val="fr-FR"/>
              </w:rPr>
            </w:pPr>
            <w:r w:rsidRPr="00B84A84">
              <w:rPr>
                <w:rFonts w:ascii="Arial" w:hAnsi="Arial" w:cs="Arial"/>
                <w:b/>
                <w:sz w:val="14"/>
                <w:szCs w:val="14"/>
                <w:lang w:val="fr-FR"/>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M</w:t>
            </w:r>
          </w:p>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L</w:t>
            </w:r>
          </w:p>
        </w:tc>
        <w:tc>
          <w:tcPr>
            <w:tcW w:w="225" w:type="pct"/>
            <w:tcBorders>
              <w:top w:val="double" w:sz="6" w:space="0" w:color="auto"/>
              <w:left w:val="single" w:sz="4" w:space="0" w:color="000000" w:themeColor="text1"/>
              <w:bottom w:val="doub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T</w:t>
            </w:r>
          </w:p>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W</w:t>
            </w:r>
          </w:p>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M</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T</w:t>
            </w:r>
          </w:p>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J</w:t>
            </w:r>
          </w:p>
        </w:tc>
        <w:tc>
          <w:tcPr>
            <w:tcW w:w="226"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F</w:t>
            </w:r>
          </w:p>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V</w:t>
            </w:r>
          </w:p>
        </w:tc>
        <w:tc>
          <w:tcPr>
            <w:tcW w:w="233" w:type="pct"/>
            <w:tcBorders>
              <w:top w:val="double" w:sz="6" w:space="0" w:color="auto"/>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S</w:t>
            </w:r>
          </w:p>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S</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4B2E86" w:rsidRPr="00B84A84" w:rsidRDefault="004B2E86" w:rsidP="00691D1D">
            <w:pPr>
              <w:tabs>
                <w:tab w:val="center" w:pos="5220"/>
                <w:tab w:val="right" w:pos="10440"/>
              </w:tabs>
              <w:jc w:val="center"/>
              <w:rPr>
                <w:rFonts w:ascii="Arial" w:hAnsi="Arial" w:cs="Arial"/>
                <w:sz w:val="13"/>
                <w:szCs w:val="13"/>
                <w:lang w:val="fr-FR"/>
              </w:rPr>
            </w:pPr>
          </w:p>
        </w:tc>
        <w:tc>
          <w:tcPr>
            <w:tcW w:w="225" w:type="pct"/>
            <w:tcBorders>
              <w:top w:val="double" w:sz="6" w:space="0" w:color="auto"/>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S</w:t>
            </w:r>
          </w:p>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D</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M</w:t>
            </w:r>
          </w:p>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T</w:t>
            </w:r>
          </w:p>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W</w:t>
            </w:r>
          </w:p>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T</w:t>
            </w:r>
          </w:p>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F</w:t>
            </w:r>
          </w:p>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V</w:t>
            </w:r>
          </w:p>
        </w:tc>
        <w:tc>
          <w:tcPr>
            <w:tcW w:w="225" w:type="pct"/>
            <w:tcBorders>
              <w:top w:val="double" w:sz="6" w:space="0" w:color="auto"/>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S</w:t>
            </w:r>
          </w:p>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S</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center"/>
          </w:tcPr>
          <w:p w:rsidR="004B2E86" w:rsidRPr="00B84A84" w:rsidRDefault="004B2E86" w:rsidP="00691D1D">
            <w:pPr>
              <w:tabs>
                <w:tab w:val="center" w:pos="5220"/>
                <w:tab w:val="right" w:pos="10440"/>
              </w:tabs>
              <w:jc w:val="center"/>
              <w:rPr>
                <w:rFonts w:ascii="Arial" w:hAnsi="Arial" w:cs="Arial"/>
                <w:b/>
                <w:sz w:val="13"/>
                <w:szCs w:val="13"/>
                <w:lang w:val="fr-FR"/>
              </w:rPr>
            </w:pPr>
          </w:p>
        </w:tc>
        <w:tc>
          <w:tcPr>
            <w:tcW w:w="225" w:type="pct"/>
            <w:tcBorders>
              <w:top w:val="double" w:sz="6" w:space="0" w:color="auto"/>
              <w:left w:val="double" w:sz="6" w:space="0" w:color="auto"/>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S</w:t>
            </w:r>
          </w:p>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D</w:t>
            </w:r>
          </w:p>
        </w:tc>
        <w:tc>
          <w:tcPr>
            <w:tcW w:w="225" w:type="pct"/>
            <w:tcBorders>
              <w:top w:val="double" w:sz="6" w:space="0" w:color="auto"/>
              <w:left w:val="single" w:sz="4" w:space="0" w:color="000000" w:themeColor="text1"/>
              <w:bottom w:val="single" w:sz="4" w:space="0" w:color="auto"/>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M</w:t>
            </w:r>
          </w:p>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L</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lang w:val="fr-FR"/>
              </w:rPr>
            </w:pPr>
            <w:r w:rsidRPr="00B84A84">
              <w:rPr>
                <w:rFonts w:ascii="Arial" w:hAnsi="Arial" w:cs="Arial"/>
                <w:b/>
                <w:sz w:val="13"/>
                <w:szCs w:val="13"/>
                <w:lang w:val="fr-FR"/>
              </w:rPr>
              <w:t>T</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W</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T</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J</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F</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V</w:t>
            </w:r>
          </w:p>
        </w:tc>
        <w:tc>
          <w:tcPr>
            <w:tcW w:w="211" w:type="pct"/>
            <w:tcBorders>
              <w:top w:val="double" w:sz="6" w:space="0" w:color="auto"/>
              <w:left w:val="single" w:sz="4" w:space="0" w:color="000000" w:themeColor="text1"/>
              <w:bottom w:val="single" w:sz="4" w:space="0" w:color="000000" w:themeColor="text1"/>
              <w:right w:val="double" w:sz="6" w:space="0" w:color="auto"/>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tc>
      </w:tr>
      <w:tr w:rsidR="004B2E86" w:rsidRPr="00B84A84" w:rsidTr="00691D1D">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single" w:sz="4" w:space="0" w:color="auto"/>
              <w:right w:val="double" w:sz="4" w:space="0" w:color="000000" w:themeColor="text1"/>
            </w:tcBorders>
            <w:shd w:val="clear" w:color="auto" w:fill="auto"/>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RH</w:t>
            </w:r>
          </w:p>
          <w:p w:rsidR="004B2E86" w:rsidRPr="00B84A84" w:rsidRDefault="004B2E86" w:rsidP="00691D1D">
            <w:pPr>
              <w:jc w:val="center"/>
              <w:rPr>
                <w:rFonts w:ascii="Arial" w:hAnsi="Arial" w:cs="Arial"/>
                <w:sz w:val="13"/>
                <w:szCs w:val="13"/>
              </w:rPr>
            </w:pPr>
            <w:r w:rsidRPr="00B84A84">
              <w:rPr>
                <w:rFonts w:ascii="Arial" w:hAnsi="Arial" w:cs="Arial"/>
                <w:sz w:val="13"/>
                <w:szCs w:val="13"/>
              </w:rPr>
              <w:t>1</w:t>
            </w:r>
          </w:p>
        </w:tc>
        <w:tc>
          <w:tcPr>
            <w:tcW w:w="225" w:type="pct"/>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4</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5</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CC</w:t>
            </w:r>
          </w:p>
          <w:p w:rsidR="004B2E86" w:rsidRPr="00B84A84" w:rsidRDefault="004B2E86" w:rsidP="00691D1D">
            <w:pPr>
              <w:jc w:val="center"/>
              <w:rPr>
                <w:rFonts w:ascii="Arial" w:hAnsi="Arial" w:cs="Arial"/>
                <w:sz w:val="13"/>
                <w:szCs w:val="13"/>
              </w:rPr>
            </w:pPr>
            <w:r w:rsidRPr="00B84A84">
              <w:rPr>
                <w:rFonts w:ascii="Arial" w:hAnsi="Arial" w:cs="Arial"/>
                <w:sz w:val="13"/>
                <w:szCs w:val="13"/>
              </w:rPr>
              <w:t>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6</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7</w:t>
            </w:r>
          </w:p>
        </w:tc>
      </w:tr>
      <w:tr w:rsidR="004B2E86" w:rsidRPr="00B84A84" w:rsidTr="00691D1D">
        <w:trPr>
          <w:trHeight w:val="331"/>
        </w:trPr>
        <w:tc>
          <w:tcPr>
            <w:tcW w:w="224"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6</w:t>
            </w:r>
          </w:p>
        </w:tc>
        <w:tc>
          <w:tcPr>
            <w:tcW w:w="224" w:type="pct"/>
            <w:tcBorders>
              <w:top w:val="single" w:sz="4" w:space="0" w:color="auto"/>
              <w:left w:val="single" w:sz="4" w:space="0" w:color="auto"/>
              <w:bottom w:val="double" w:sz="6" w:space="0" w:color="auto"/>
              <w:right w:val="single" w:sz="4" w:space="0" w:color="auto"/>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CC</w:t>
            </w:r>
          </w:p>
          <w:p w:rsidR="004B2E86" w:rsidRPr="00B84A84" w:rsidRDefault="004B2E86" w:rsidP="00691D1D">
            <w:pPr>
              <w:jc w:val="center"/>
              <w:rPr>
                <w:rFonts w:ascii="Arial" w:hAnsi="Arial" w:cs="Arial"/>
                <w:sz w:val="13"/>
                <w:szCs w:val="13"/>
              </w:rPr>
            </w:pPr>
            <w:r w:rsidRPr="00B84A84">
              <w:rPr>
                <w:rFonts w:ascii="Arial" w:hAnsi="Arial" w:cs="Arial"/>
                <w:sz w:val="13"/>
                <w:szCs w:val="13"/>
              </w:rPr>
              <w:t>7</w:t>
            </w:r>
          </w:p>
        </w:tc>
        <w:tc>
          <w:tcPr>
            <w:tcW w:w="225" w:type="pct"/>
            <w:tcBorders>
              <w:top w:val="double" w:sz="4" w:space="0" w:color="000000" w:themeColor="text1"/>
              <w:left w:val="single" w:sz="4" w:space="0" w:color="auto"/>
              <w:bottom w:val="single" w:sz="4" w:space="0" w:color="000000" w:themeColor="text1"/>
              <w:right w:val="doub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8</w:t>
            </w:r>
          </w:p>
        </w:tc>
        <w:tc>
          <w:tcPr>
            <w:tcW w:w="22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YK</w:t>
            </w:r>
          </w:p>
          <w:p w:rsidR="004B2E86" w:rsidRPr="00B84A84" w:rsidRDefault="004B2E86" w:rsidP="00691D1D">
            <w:pPr>
              <w:jc w:val="center"/>
              <w:rPr>
                <w:rFonts w:ascii="Arial" w:hAnsi="Arial" w:cs="Arial"/>
                <w:sz w:val="13"/>
                <w:szCs w:val="13"/>
              </w:rPr>
            </w:pPr>
            <w:r w:rsidRPr="00B84A84">
              <w:rPr>
                <w:rFonts w:ascii="Arial" w:hAnsi="Arial" w:cs="Arial"/>
                <w:sz w:val="13"/>
                <w:szCs w:val="13"/>
              </w:rPr>
              <w:t>9</w:t>
            </w:r>
          </w:p>
        </w:tc>
        <w:tc>
          <w:tcPr>
            <w:tcW w:w="226"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10</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11</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12</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CC</w:t>
            </w:r>
          </w:p>
          <w:p w:rsidR="004B2E86" w:rsidRPr="00B84A84" w:rsidRDefault="004B2E86" w:rsidP="00691D1D">
            <w:pPr>
              <w:jc w:val="center"/>
              <w:rPr>
                <w:rFonts w:ascii="Arial" w:hAnsi="Arial" w:cs="Arial"/>
                <w:sz w:val="13"/>
                <w:szCs w:val="13"/>
              </w:rPr>
            </w:pPr>
            <w:r w:rsidRPr="00B84A84">
              <w:rPr>
                <w:rFonts w:ascii="Arial" w:hAnsi="Arial" w:cs="Arial"/>
                <w:sz w:val="13"/>
                <w:szCs w:val="13"/>
              </w:rPr>
              <w:t>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7</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8</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9</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000000" w:themeColor="text1"/>
              <w:right w:val="single" w:sz="4" w:space="0" w:color="auto"/>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8</w:t>
            </w:r>
          </w:p>
        </w:tc>
        <w:tc>
          <w:tcPr>
            <w:tcW w:w="225" w:type="pct"/>
            <w:tcBorders>
              <w:top w:val="single" w:sz="4" w:space="0" w:color="auto"/>
              <w:left w:val="single" w:sz="4" w:space="0" w:color="auto"/>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13</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14</w:t>
            </w:r>
          </w:p>
        </w:tc>
      </w:tr>
      <w:tr w:rsidR="004B2E86" w:rsidRPr="00B84A84" w:rsidTr="00691D1D">
        <w:trPr>
          <w:trHeight w:val="331"/>
        </w:trPr>
        <w:tc>
          <w:tcPr>
            <w:tcW w:w="224" w:type="pct"/>
            <w:tcBorders>
              <w:top w:val="single" w:sz="4" w:space="0" w:color="000000" w:themeColor="text1"/>
              <w:left w:val="double" w:sz="6" w:space="0" w:color="auto"/>
              <w:bottom w:val="single" w:sz="4" w:space="0" w:color="000000" w:themeColor="text1"/>
              <w:right w:val="double" w:sz="6" w:space="0" w:color="auto"/>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13</w:t>
            </w:r>
          </w:p>
        </w:tc>
        <w:tc>
          <w:tcPr>
            <w:tcW w:w="224" w:type="pct"/>
            <w:tcBorders>
              <w:top w:val="double" w:sz="6" w:space="0" w:color="auto"/>
              <w:left w:val="double" w:sz="6" w:space="0" w:color="auto"/>
              <w:bottom w:val="double" w:sz="6" w:space="0" w:color="auto"/>
              <w:right w:val="double" w:sz="6" w:space="0" w:color="auto"/>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H</w:t>
            </w:r>
          </w:p>
          <w:p w:rsidR="004B2E86" w:rsidRPr="00B84A84" w:rsidRDefault="004B2E86" w:rsidP="00691D1D">
            <w:pPr>
              <w:jc w:val="center"/>
              <w:rPr>
                <w:rFonts w:ascii="Arial" w:hAnsi="Arial" w:cs="Arial"/>
                <w:sz w:val="13"/>
                <w:szCs w:val="13"/>
              </w:rPr>
            </w:pPr>
            <w:r w:rsidRPr="00B84A84">
              <w:rPr>
                <w:rFonts w:ascii="Arial" w:hAnsi="Arial" w:cs="Arial"/>
                <w:sz w:val="13"/>
                <w:szCs w:val="13"/>
              </w:rPr>
              <w:t>14</w:t>
            </w: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15</w:t>
            </w:r>
          </w:p>
        </w:tc>
        <w:tc>
          <w:tcPr>
            <w:tcW w:w="225"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16</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17</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18</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19</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auto"/>
              <w:right w:val="double" w:sz="6" w:space="0" w:color="auto"/>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10</w:t>
            </w:r>
          </w:p>
        </w:tc>
        <w:tc>
          <w:tcPr>
            <w:tcW w:w="225" w:type="pct"/>
            <w:tcBorders>
              <w:top w:val="double" w:sz="6" w:space="0" w:color="auto"/>
              <w:left w:val="double" w:sz="6" w:space="0" w:color="auto"/>
              <w:bottom w:val="double" w:sz="6" w:space="0" w:color="auto"/>
              <w:right w:val="double" w:sz="6" w:space="0" w:color="auto"/>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H</w:t>
            </w:r>
          </w:p>
          <w:p w:rsidR="004B2E86" w:rsidRPr="00B84A84" w:rsidRDefault="004B2E86" w:rsidP="00691D1D">
            <w:pPr>
              <w:jc w:val="center"/>
              <w:rPr>
                <w:rFonts w:ascii="Arial" w:hAnsi="Arial" w:cs="Arial"/>
                <w:sz w:val="13"/>
                <w:szCs w:val="13"/>
              </w:rPr>
            </w:pPr>
            <w:r w:rsidRPr="00B84A84">
              <w:rPr>
                <w:rFonts w:ascii="Arial" w:hAnsi="Arial" w:cs="Arial"/>
                <w:sz w:val="13"/>
                <w:szCs w:val="13"/>
              </w:rPr>
              <w:t>11</w:t>
            </w:r>
          </w:p>
        </w:tc>
        <w:tc>
          <w:tcPr>
            <w:tcW w:w="225" w:type="pct"/>
            <w:tcBorders>
              <w:top w:val="single" w:sz="4" w:space="0" w:color="000000" w:themeColor="text1"/>
              <w:left w:val="double" w:sz="6" w:space="0" w:color="auto"/>
              <w:bottom w:val="single" w:sz="4" w:space="0" w:color="auto"/>
              <w:right w:val="single" w:sz="4" w:space="0" w:color="auto"/>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13</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14</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15</w:t>
            </w:r>
          </w:p>
        </w:tc>
        <w:tc>
          <w:tcPr>
            <w:tcW w:w="225" w:type="pct"/>
            <w:tcBorders>
              <w:top w:val="single" w:sz="4" w:space="0" w:color="auto"/>
              <w:left w:val="single" w:sz="4" w:space="0" w:color="000000" w:themeColor="text1"/>
              <w:bottom w:val="single" w:sz="4" w:space="0" w:color="000000" w:themeColor="text1"/>
              <w:right w:val="double" w:sz="6" w:space="0" w:color="auto"/>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16</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15</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16</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17</w:t>
            </w: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18</w:t>
            </w: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20</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21</w:t>
            </w:r>
          </w:p>
        </w:tc>
      </w:tr>
      <w:tr w:rsidR="004B2E86" w:rsidRPr="00B84A84" w:rsidTr="00691D1D">
        <w:trPr>
          <w:trHeight w:val="331"/>
        </w:trPr>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20</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23</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24</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25</w:t>
            </w:r>
          </w:p>
        </w:tc>
        <w:tc>
          <w:tcPr>
            <w:tcW w:w="233"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26</w:t>
            </w: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17</w:t>
            </w:r>
          </w:p>
        </w:tc>
        <w:tc>
          <w:tcPr>
            <w:tcW w:w="225"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18</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19</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20</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21</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23</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single" w:sz="4" w:space="0" w:color="auto"/>
              <w:right w:val="single" w:sz="4"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22</w:t>
            </w:r>
          </w:p>
        </w:tc>
        <w:tc>
          <w:tcPr>
            <w:tcW w:w="2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23</w:t>
            </w:r>
          </w:p>
        </w:tc>
        <w:tc>
          <w:tcPr>
            <w:tcW w:w="225" w:type="pct"/>
            <w:tcBorders>
              <w:top w:val="single" w:sz="4" w:space="0" w:color="000000" w:themeColor="text1"/>
              <w:left w:val="single" w:sz="4" w:space="0" w:color="000000" w:themeColor="text1"/>
              <w:bottom w:val="single" w:sz="4" w:space="0" w:color="auto"/>
              <w:right w:val="double" w:sz="6" w:space="0" w:color="auto"/>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24</w:t>
            </w:r>
          </w:p>
        </w:tc>
        <w:tc>
          <w:tcPr>
            <w:tcW w:w="225" w:type="pct"/>
            <w:tcBorders>
              <w:top w:val="double" w:sz="6" w:space="0" w:color="auto"/>
              <w:left w:val="double" w:sz="6" w:space="0" w:color="auto"/>
              <w:bottom w:val="double" w:sz="6" w:space="0" w:color="auto"/>
              <w:right w:val="double" w:sz="6" w:space="0" w:color="auto"/>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H</w:t>
            </w:r>
          </w:p>
          <w:p w:rsidR="004B2E86" w:rsidRPr="00B84A84" w:rsidRDefault="004B2E86" w:rsidP="00691D1D">
            <w:pPr>
              <w:jc w:val="center"/>
              <w:rPr>
                <w:rFonts w:ascii="Arial" w:hAnsi="Arial" w:cs="Arial"/>
                <w:sz w:val="13"/>
                <w:szCs w:val="13"/>
              </w:rPr>
            </w:pPr>
            <w:r w:rsidRPr="00B84A84">
              <w:rPr>
                <w:rFonts w:ascii="Arial" w:hAnsi="Arial" w:cs="Arial"/>
                <w:sz w:val="13"/>
                <w:szCs w:val="13"/>
              </w:rPr>
              <w:t>25</w:t>
            </w:r>
          </w:p>
        </w:tc>
        <w:tc>
          <w:tcPr>
            <w:tcW w:w="225" w:type="pct"/>
            <w:tcBorders>
              <w:top w:val="double" w:sz="6" w:space="0" w:color="auto"/>
              <w:left w:val="double" w:sz="6" w:space="0" w:color="auto"/>
              <w:bottom w:val="double" w:sz="6" w:space="0" w:color="auto"/>
              <w:right w:val="double" w:sz="6" w:space="0" w:color="auto"/>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H</w:t>
            </w:r>
          </w:p>
          <w:p w:rsidR="004B2E86" w:rsidRPr="00B84A84" w:rsidRDefault="004B2E86" w:rsidP="00691D1D">
            <w:pPr>
              <w:jc w:val="center"/>
              <w:rPr>
                <w:rFonts w:ascii="Arial" w:hAnsi="Arial" w:cs="Arial"/>
                <w:sz w:val="13"/>
                <w:szCs w:val="13"/>
              </w:rPr>
            </w:pPr>
            <w:r w:rsidRPr="00B84A84">
              <w:rPr>
                <w:rFonts w:ascii="Arial" w:hAnsi="Arial" w:cs="Arial"/>
                <w:sz w:val="13"/>
                <w:szCs w:val="13"/>
              </w:rPr>
              <w:t>26</w:t>
            </w:r>
          </w:p>
        </w:tc>
        <w:tc>
          <w:tcPr>
            <w:tcW w:w="225" w:type="pct"/>
            <w:tcBorders>
              <w:top w:val="single" w:sz="4" w:space="0" w:color="000000" w:themeColor="text1"/>
              <w:left w:val="double" w:sz="6"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27</w:t>
            </w:r>
          </w:p>
        </w:tc>
        <w:tc>
          <w:tcPr>
            <w:tcW w:w="211"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28</w:t>
            </w:r>
          </w:p>
        </w:tc>
      </w:tr>
      <w:tr w:rsidR="004B2E86" w:rsidRPr="00B84A84" w:rsidTr="00691D1D">
        <w:trPr>
          <w:trHeight w:val="331"/>
        </w:trPr>
        <w:tc>
          <w:tcPr>
            <w:tcW w:w="224" w:type="pct"/>
            <w:tcBorders>
              <w:top w:val="single" w:sz="4" w:space="0" w:color="000000" w:themeColor="text1"/>
              <w:left w:val="double" w:sz="6" w:space="0" w:color="auto"/>
              <w:bottom w:val="double" w:sz="6" w:space="0" w:color="auto"/>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27</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28</w:t>
            </w: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29</w:t>
            </w:r>
          </w:p>
        </w:tc>
        <w:tc>
          <w:tcPr>
            <w:tcW w:w="225" w:type="pct"/>
            <w:tcBorders>
              <w:top w:val="single" w:sz="4" w:space="0" w:color="000000" w:themeColor="text1"/>
              <w:left w:val="single" w:sz="4" w:space="0" w:color="000000" w:themeColor="text1"/>
              <w:bottom w:val="double" w:sz="6" w:space="0" w:color="auto"/>
              <w:right w:val="single" w:sz="4" w:space="0" w:color="auto"/>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30</w:t>
            </w:r>
          </w:p>
        </w:tc>
        <w:tc>
          <w:tcPr>
            <w:tcW w:w="226" w:type="pct"/>
            <w:tcBorders>
              <w:top w:val="single" w:sz="4" w:space="0" w:color="auto"/>
              <w:left w:val="single" w:sz="4" w:space="0" w:color="auto"/>
              <w:bottom w:val="double" w:sz="6" w:space="0" w:color="auto"/>
              <w:right w:val="single" w:sz="4" w:space="0" w:color="auto"/>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31</w:t>
            </w:r>
          </w:p>
        </w:tc>
        <w:tc>
          <w:tcPr>
            <w:tcW w:w="226" w:type="pct"/>
            <w:tcBorders>
              <w:top w:val="single" w:sz="4" w:space="0" w:color="000000" w:themeColor="text1"/>
              <w:left w:val="single" w:sz="4" w:space="0" w:color="auto"/>
              <w:bottom w:val="double" w:sz="6" w:space="0" w:color="auto"/>
              <w:right w:val="single" w:sz="4" w:space="0" w:color="000000" w:themeColor="text1"/>
            </w:tcBorders>
            <w:shd w:val="clear" w:color="auto" w:fill="auto"/>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33" w:type="pct"/>
            <w:tcBorders>
              <w:top w:val="single" w:sz="4" w:space="0" w:color="000000" w:themeColor="text1"/>
              <w:left w:val="single" w:sz="4" w:space="0" w:color="000000" w:themeColor="text1"/>
              <w:bottom w:val="double" w:sz="6" w:space="0" w:color="auto"/>
              <w:right w:val="double" w:sz="6" w:space="0" w:color="auto"/>
            </w:tcBorders>
            <w:shd w:val="clear" w:color="auto" w:fill="FFFFFF" w:themeFill="background1"/>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140"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5" w:type="pct"/>
            <w:tcBorders>
              <w:top w:val="single" w:sz="4" w:space="0" w:color="000000" w:themeColor="text1"/>
              <w:left w:val="double" w:sz="6" w:space="0" w:color="auto"/>
              <w:bottom w:val="double" w:sz="6" w:space="0" w:color="auto"/>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24</w:t>
            </w: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25</w:t>
            </w: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26</w:t>
            </w: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27</w:t>
            </w: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28</w:t>
            </w: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29</w:t>
            </w:r>
          </w:p>
        </w:tc>
        <w:tc>
          <w:tcPr>
            <w:tcW w:w="225" w:type="pct"/>
            <w:tcBorders>
              <w:top w:val="single" w:sz="4" w:space="0" w:color="000000" w:themeColor="text1"/>
              <w:left w:val="single" w:sz="4" w:space="0" w:color="000000" w:themeColor="text1"/>
              <w:bottom w:val="double" w:sz="6" w:space="0" w:color="auto"/>
              <w:right w:val="double" w:sz="6" w:space="0" w:color="auto"/>
            </w:tcBorders>
            <w:shd w:val="clear" w:color="auto" w:fill="auto"/>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30</w:t>
            </w:r>
          </w:p>
        </w:tc>
        <w:tc>
          <w:tcPr>
            <w:tcW w:w="141"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5" w:type="pct"/>
            <w:tcBorders>
              <w:top w:val="single" w:sz="4" w:space="0" w:color="auto"/>
              <w:left w:val="double" w:sz="6" w:space="0" w:color="auto"/>
              <w:bottom w:val="double" w:sz="6" w:space="0" w:color="auto"/>
              <w:right w:val="single" w:sz="4" w:space="0" w:color="auto"/>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29</w:t>
            </w:r>
          </w:p>
        </w:tc>
        <w:tc>
          <w:tcPr>
            <w:tcW w:w="225" w:type="pct"/>
            <w:tcBorders>
              <w:top w:val="single" w:sz="4" w:space="0" w:color="auto"/>
              <w:left w:val="single" w:sz="4" w:space="0" w:color="auto"/>
              <w:bottom w:val="double" w:sz="6" w:space="0" w:color="auto"/>
              <w:right w:val="single" w:sz="4" w:space="0" w:color="auto"/>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30</w:t>
            </w:r>
          </w:p>
        </w:tc>
        <w:tc>
          <w:tcPr>
            <w:tcW w:w="225" w:type="pct"/>
            <w:tcBorders>
              <w:top w:val="single" w:sz="4" w:space="0" w:color="auto"/>
              <w:left w:val="single" w:sz="4" w:space="0" w:color="auto"/>
              <w:bottom w:val="double" w:sz="6" w:space="0" w:color="auto"/>
              <w:right w:val="single" w:sz="4" w:space="0" w:color="auto"/>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31</w:t>
            </w:r>
          </w:p>
        </w:tc>
        <w:tc>
          <w:tcPr>
            <w:tcW w:w="225" w:type="pct"/>
            <w:tcBorders>
              <w:top w:val="double" w:sz="6" w:space="0" w:color="auto"/>
              <w:left w:val="single" w:sz="4" w:space="0" w:color="auto"/>
              <w:bottom w:val="double" w:sz="6" w:space="0" w:color="auto"/>
              <w:right w:val="single" w:sz="4" w:space="0" w:color="auto"/>
            </w:tcBorders>
            <w:shd w:val="clear" w:color="auto" w:fill="FFFFFF" w:themeFill="background1"/>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5" w:type="pct"/>
            <w:tcBorders>
              <w:top w:val="double" w:sz="6" w:space="0" w:color="auto"/>
              <w:left w:val="single" w:sz="4" w:space="0" w:color="auto"/>
              <w:bottom w:val="double" w:sz="6" w:space="0" w:color="auto"/>
              <w:right w:val="single" w:sz="4" w:space="0" w:color="000000" w:themeColor="text1"/>
            </w:tcBorders>
            <w:shd w:val="clear" w:color="auto" w:fill="FFFFFF" w:themeFill="background1"/>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5" w:type="pct"/>
            <w:tcBorders>
              <w:top w:val="single" w:sz="4" w:space="0" w:color="000000" w:themeColor="text1"/>
              <w:left w:val="single" w:sz="4" w:space="0" w:color="000000" w:themeColor="text1"/>
              <w:bottom w:val="double" w:sz="6"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11" w:type="pct"/>
            <w:tcBorders>
              <w:top w:val="single" w:sz="4" w:space="0" w:color="000000" w:themeColor="text1"/>
              <w:left w:val="single" w:sz="4" w:space="0" w:color="000000" w:themeColor="text1"/>
              <w:bottom w:val="double" w:sz="6" w:space="0" w:color="auto"/>
              <w:right w:val="double" w:sz="6" w:space="0" w:color="auto"/>
            </w:tcBorders>
            <w:shd w:val="clear" w:color="auto" w:fill="FFFFFF" w:themeFill="background1"/>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r>
    </w:tbl>
    <w:p w:rsidR="004B2E86" w:rsidRPr="00B84A84" w:rsidRDefault="004B2E86" w:rsidP="004B2E86">
      <w:pPr>
        <w:tabs>
          <w:tab w:val="center" w:pos="5220"/>
          <w:tab w:val="right" w:pos="10440"/>
        </w:tabs>
        <w:jc w:val="center"/>
        <w:rPr>
          <w:rFonts w:ascii="Arial" w:hAnsi="Arial" w:cs="Arial"/>
          <w:szCs w:val="28"/>
        </w:rPr>
      </w:pPr>
      <w:r w:rsidRPr="00B84A84">
        <w:rPr>
          <w:rFonts w:ascii="Arial" w:hAnsi="Arial" w:cs="Arial"/>
          <w:b/>
          <w:szCs w:val="28"/>
        </w:rPr>
        <w:t>- 2020 -</w:t>
      </w:r>
    </w:p>
    <w:tbl>
      <w:tblPr>
        <w:tblStyle w:val="TableGrid"/>
        <w:tblW w:w="5000" w:type="pct"/>
        <w:tblInd w:w="-307" w:type="dxa"/>
        <w:tblLayout w:type="fixed"/>
        <w:tblCellMar>
          <w:top w:w="29" w:type="dxa"/>
          <w:left w:w="29" w:type="dxa"/>
          <w:bottom w:w="29" w:type="dxa"/>
          <w:right w:w="29" w:type="dxa"/>
        </w:tblCellMar>
        <w:tblLook w:val="04A0" w:firstRow="1" w:lastRow="0" w:firstColumn="1" w:lastColumn="0" w:noHBand="0" w:noVBand="1"/>
      </w:tblPr>
      <w:tblGrid>
        <w:gridCol w:w="461"/>
        <w:gridCol w:w="461"/>
        <w:gridCol w:w="461"/>
        <w:gridCol w:w="461"/>
        <w:gridCol w:w="461"/>
        <w:gridCol w:w="461"/>
        <w:gridCol w:w="474"/>
        <w:gridCol w:w="283"/>
        <w:gridCol w:w="474"/>
        <w:gridCol w:w="474"/>
        <w:gridCol w:w="474"/>
        <w:gridCol w:w="474"/>
        <w:gridCol w:w="474"/>
        <w:gridCol w:w="474"/>
        <w:gridCol w:w="489"/>
        <w:gridCol w:w="293"/>
        <w:gridCol w:w="466"/>
        <w:gridCol w:w="466"/>
        <w:gridCol w:w="466"/>
        <w:gridCol w:w="466"/>
        <w:gridCol w:w="466"/>
        <w:gridCol w:w="466"/>
        <w:gridCol w:w="449"/>
      </w:tblGrid>
      <w:tr w:rsidR="004B2E86" w:rsidRPr="00B84A84" w:rsidTr="00691D1D">
        <w:trPr>
          <w:trHeight w:val="176"/>
        </w:trPr>
        <w:tc>
          <w:tcPr>
            <w:tcW w:w="1559"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JANUARY – JANVIER</w:t>
            </w:r>
          </w:p>
        </w:tc>
        <w:tc>
          <w:tcPr>
            <w:tcW w:w="136" w:type="pct"/>
            <w:tcBorders>
              <w:top w:val="nil"/>
              <w:left w:val="double" w:sz="6" w:space="0" w:color="auto"/>
              <w:bottom w:val="nil"/>
              <w:right w:val="double" w:sz="6" w:space="0" w:color="auto"/>
            </w:tcBorders>
            <w:tcMar>
              <w:top w:w="43" w:type="dxa"/>
              <w:left w:w="29" w:type="dxa"/>
              <w:bottom w:w="43" w:type="dxa"/>
              <w:right w:w="29" w:type="dxa"/>
            </w:tcMar>
            <w:vAlign w:val="center"/>
          </w:tcPr>
          <w:p w:rsidR="004B2E86" w:rsidRPr="00B84A84" w:rsidRDefault="004B2E86" w:rsidP="00691D1D">
            <w:pPr>
              <w:tabs>
                <w:tab w:val="center" w:pos="5220"/>
                <w:tab w:val="right" w:pos="10440"/>
              </w:tabs>
              <w:jc w:val="center"/>
              <w:rPr>
                <w:rFonts w:ascii="Arial" w:hAnsi="Arial" w:cs="Arial"/>
                <w:b/>
                <w:sz w:val="13"/>
                <w:szCs w:val="13"/>
              </w:rPr>
            </w:pPr>
          </w:p>
        </w:tc>
        <w:tc>
          <w:tcPr>
            <w:tcW w:w="160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FEBRUARY – FÉVRIER</w:t>
            </w:r>
          </w:p>
        </w:tc>
        <w:tc>
          <w:tcPr>
            <w:tcW w:w="141" w:type="pct"/>
            <w:tcBorders>
              <w:top w:val="nil"/>
              <w:left w:val="double" w:sz="6" w:space="0" w:color="auto"/>
              <w:bottom w:val="nil"/>
              <w:right w:val="double" w:sz="6" w:space="0" w:color="auto"/>
            </w:tcBorders>
            <w:tcMar>
              <w:top w:w="43" w:type="dxa"/>
              <w:left w:w="29" w:type="dxa"/>
              <w:bottom w:w="43" w:type="dxa"/>
              <w:right w:w="29" w:type="dxa"/>
            </w:tcMar>
            <w:vAlign w:val="center"/>
          </w:tcPr>
          <w:p w:rsidR="004B2E86" w:rsidRPr="00B84A84" w:rsidRDefault="004B2E86" w:rsidP="00691D1D">
            <w:pPr>
              <w:tabs>
                <w:tab w:val="center" w:pos="5220"/>
                <w:tab w:val="right" w:pos="10440"/>
              </w:tabs>
              <w:jc w:val="center"/>
              <w:rPr>
                <w:rFonts w:ascii="Arial" w:hAnsi="Arial" w:cs="Arial"/>
                <w:b/>
                <w:sz w:val="13"/>
                <w:szCs w:val="13"/>
              </w:rPr>
            </w:pPr>
          </w:p>
        </w:tc>
        <w:tc>
          <w:tcPr>
            <w:tcW w:w="156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MARCH – MARS</w:t>
            </w:r>
          </w:p>
        </w:tc>
      </w:tr>
      <w:tr w:rsidR="004B2E86" w:rsidRPr="00B84A84" w:rsidTr="00691D1D">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T</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tc>
        <w:tc>
          <w:tcPr>
            <w:tcW w:w="222" w:type="pct"/>
            <w:tcBorders>
              <w:top w:val="double" w:sz="6" w:space="0" w:color="auto"/>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W</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T</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J</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F</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V</w:t>
            </w:r>
          </w:p>
        </w:tc>
        <w:tc>
          <w:tcPr>
            <w:tcW w:w="22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4B2E86" w:rsidRPr="00B84A84" w:rsidRDefault="004B2E86" w:rsidP="00691D1D">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T</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W</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T</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F</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4B2E86" w:rsidRPr="00B84A84" w:rsidRDefault="004B2E86" w:rsidP="00691D1D">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L</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T</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W</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T</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F</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V</w:t>
            </w:r>
          </w:p>
        </w:tc>
        <w:tc>
          <w:tcPr>
            <w:tcW w:w="21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tc>
      </w:tr>
      <w:tr w:rsidR="004B2E86" w:rsidRPr="00B84A84" w:rsidTr="00691D1D">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2" w:type="pct"/>
            <w:tcBorders>
              <w:top w:val="single" w:sz="4" w:space="0" w:color="auto"/>
              <w:left w:val="single" w:sz="4" w:space="0" w:color="auto"/>
              <w:bottom w:val="single" w:sz="4" w:space="0" w:color="auto"/>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2" w:type="pct"/>
            <w:tcBorders>
              <w:top w:val="single" w:sz="4" w:space="0" w:color="000000" w:themeColor="text1"/>
              <w:left w:val="single" w:sz="4"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H</w:t>
            </w:r>
          </w:p>
          <w:p w:rsidR="004B2E86" w:rsidRPr="00B84A84" w:rsidRDefault="004B2E86" w:rsidP="00691D1D">
            <w:pPr>
              <w:jc w:val="center"/>
              <w:rPr>
                <w:rFonts w:ascii="Arial" w:hAnsi="Arial" w:cs="Arial"/>
                <w:sz w:val="13"/>
                <w:szCs w:val="13"/>
              </w:rPr>
            </w:pPr>
            <w:r w:rsidRPr="00B84A84">
              <w:rPr>
                <w:rFonts w:ascii="Arial" w:hAnsi="Arial" w:cs="Arial"/>
                <w:sz w:val="13"/>
                <w:szCs w:val="13"/>
              </w:rPr>
              <w:t>1</w:t>
            </w:r>
          </w:p>
        </w:tc>
        <w:tc>
          <w:tcPr>
            <w:tcW w:w="222" w:type="pct"/>
            <w:tcBorders>
              <w:top w:val="single" w:sz="4" w:space="0" w:color="auto"/>
              <w:left w:val="double" w:sz="4" w:space="0" w:color="auto"/>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6</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7</w:t>
            </w:r>
          </w:p>
        </w:tc>
      </w:tr>
      <w:tr w:rsidR="004B2E86" w:rsidRPr="00B84A84" w:rsidTr="00691D1D">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11</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w:t>
            </w:r>
          </w:p>
        </w:tc>
        <w:tc>
          <w:tcPr>
            <w:tcW w:w="228" w:type="pct"/>
            <w:tcBorders>
              <w:top w:val="single" w:sz="4" w:space="0" w:color="auto"/>
              <w:left w:val="single" w:sz="4" w:space="0" w:color="auto"/>
              <w:bottom w:val="single" w:sz="4" w:space="0" w:color="000000" w:themeColor="text1"/>
              <w:right w:val="single" w:sz="4" w:space="0" w:color="auto"/>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13</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14</w:t>
            </w:r>
          </w:p>
        </w:tc>
      </w:tr>
      <w:tr w:rsidR="004B2E86" w:rsidRPr="00B84A84" w:rsidTr="00691D1D">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CC</w:t>
            </w:r>
          </w:p>
          <w:p w:rsidR="004B2E86" w:rsidRPr="00B84A84" w:rsidRDefault="004B2E86" w:rsidP="00691D1D">
            <w:pPr>
              <w:jc w:val="center"/>
              <w:rPr>
                <w:rFonts w:ascii="Arial" w:hAnsi="Arial" w:cs="Arial"/>
                <w:sz w:val="13"/>
                <w:szCs w:val="13"/>
              </w:rPr>
            </w:pPr>
            <w:r w:rsidRPr="00B84A84">
              <w:rPr>
                <w:rFonts w:ascii="Arial" w:hAnsi="Arial" w:cs="Arial"/>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18</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CC</w:t>
            </w:r>
          </w:p>
          <w:p w:rsidR="004B2E86" w:rsidRPr="00B84A84" w:rsidRDefault="004B2E86" w:rsidP="00691D1D">
            <w:pPr>
              <w:jc w:val="center"/>
              <w:rPr>
                <w:rFonts w:ascii="Arial" w:hAnsi="Arial" w:cs="Arial"/>
                <w:sz w:val="13"/>
                <w:szCs w:val="13"/>
              </w:rPr>
            </w:pPr>
            <w:r w:rsidRPr="00B84A84">
              <w:rPr>
                <w:rFonts w:ascii="Arial" w:hAnsi="Arial" w:cs="Arial"/>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15</w:t>
            </w:r>
          </w:p>
        </w:tc>
        <w:tc>
          <w:tcPr>
            <w:tcW w:w="224"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CC</w:t>
            </w:r>
          </w:p>
          <w:p w:rsidR="004B2E86" w:rsidRPr="00B84A84" w:rsidRDefault="004B2E86" w:rsidP="00691D1D">
            <w:pPr>
              <w:jc w:val="center"/>
              <w:rPr>
                <w:rFonts w:ascii="Arial" w:hAnsi="Arial" w:cs="Arial"/>
                <w:sz w:val="13"/>
                <w:szCs w:val="13"/>
              </w:rPr>
            </w:pPr>
            <w:r w:rsidRPr="00B84A84">
              <w:rPr>
                <w:rFonts w:ascii="Arial" w:hAnsi="Arial" w:cs="Arial"/>
                <w:sz w:val="13"/>
                <w:szCs w:val="13"/>
              </w:rPr>
              <w:t>16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20</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21</w:t>
            </w:r>
          </w:p>
        </w:tc>
      </w:tr>
      <w:tr w:rsidR="004B2E86" w:rsidRPr="00B84A84" w:rsidTr="00691D1D">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24</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25</w:t>
            </w:r>
          </w:p>
        </w:tc>
        <w:tc>
          <w:tcPr>
            <w:tcW w:w="136" w:type="pct"/>
            <w:tcBorders>
              <w:top w:val="nil"/>
              <w:left w:val="double" w:sz="6" w:space="0" w:color="auto"/>
              <w:bottom w:val="nil"/>
              <w:right w:val="double" w:sz="6" w:space="0" w:color="auto"/>
            </w:tcBorders>
            <w:shd w:val="clear" w:color="auto" w:fill="FFFFFF" w:themeFill="background1"/>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27</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28</w:t>
            </w:r>
          </w:p>
        </w:tc>
      </w:tr>
      <w:tr w:rsidR="004B2E86" w:rsidRPr="00B84A84" w:rsidTr="00691D1D">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26</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27</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29</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30</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31</w:t>
            </w: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23</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24</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25</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28</w:t>
            </w:r>
          </w:p>
        </w:tc>
        <w:tc>
          <w:tcPr>
            <w:tcW w:w="235"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29</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29</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30</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31</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double" w:sz="6" w:space="0" w:color="auto"/>
              <w:right w:val="single" w:sz="4" w:space="0" w:color="auto"/>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4" w:type="pct"/>
            <w:tcBorders>
              <w:top w:val="single" w:sz="4" w:space="0" w:color="auto"/>
              <w:left w:val="single" w:sz="4" w:space="0" w:color="auto"/>
              <w:bottom w:val="nil"/>
              <w:right w:val="single" w:sz="4" w:space="0" w:color="auto"/>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18" w:type="pct"/>
            <w:tcBorders>
              <w:top w:val="single" w:sz="4" w:space="0" w:color="000000" w:themeColor="text1"/>
              <w:left w:val="single" w:sz="4" w:space="0" w:color="auto"/>
              <w:bottom w:val="double" w:sz="6" w:space="0" w:color="auto"/>
              <w:right w:val="double" w:sz="6" w:space="0" w:color="auto"/>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r>
      <w:tr w:rsidR="004B2E86" w:rsidRPr="00B84A84" w:rsidTr="00691D1D">
        <w:trPr>
          <w:trHeight w:val="176"/>
        </w:trPr>
        <w:tc>
          <w:tcPr>
            <w:tcW w:w="1559"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APRIL – AVRIL</w:t>
            </w:r>
          </w:p>
        </w:tc>
        <w:tc>
          <w:tcPr>
            <w:tcW w:w="136" w:type="pct"/>
            <w:tcBorders>
              <w:top w:val="nil"/>
              <w:left w:val="double" w:sz="6" w:space="0" w:color="auto"/>
              <w:bottom w:val="nil"/>
              <w:right w:val="double" w:sz="6" w:space="0" w:color="auto"/>
            </w:tcBorders>
            <w:tcMar>
              <w:top w:w="43" w:type="dxa"/>
              <w:left w:w="29" w:type="dxa"/>
              <w:bottom w:w="43" w:type="dxa"/>
              <w:right w:w="29" w:type="dxa"/>
            </w:tcMar>
            <w:vAlign w:val="center"/>
          </w:tcPr>
          <w:p w:rsidR="004B2E86" w:rsidRPr="00B84A84" w:rsidRDefault="004B2E86" w:rsidP="00691D1D">
            <w:pPr>
              <w:tabs>
                <w:tab w:val="center" w:pos="5220"/>
                <w:tab w:val="right" w:pos="10440"/>
              </w:tabs>
              <w:jc w:val="center"/>
              <w:rPr>
                <w:rFonts w:ascii="Arial" w:hAnsi="Arial" w:cs="Arial"/>
                <w:b/>
                <w:sz w:val="13"/>
                <w:szCs w:val="13"/>
              </w:rPr>
            </w:pPr>
          </w:p>
        </w:tc>
        <w:tc>
          <w:tcPr>
            <w:tcW w:w="160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MAY – MAI</w:t>
            </w:r>
          </w:p>
        </w:tc>
        <w:tc>
          <w:tcPr>
            <w:tcW w:w="141" w:type="pct"/>
            <w:tcBorders>
              <w:top w:val="nil"/>
              <w:left w:val="double" w:sz="6" w:space="0" w:color="auto"/>
              <w:bottom w:val="nil"/>
              <w:right w:val="double" w:sz="6" w:space="0" w:color="auto"/>
            </w:tcBorders>
            <w:tcMar>
              <w:top w:w="43" w:type="dxa"/>
              <w:left w:w="29" w:type="dxa"/>
              <w:bottom w:w="43" w:type="dxa"/>
              <w:right w:w="29" w:type="dxa"/>
            </w:tcMar>
            <w:vAlign w:val="center"/>
          </w:tcPr>
          <w:p w:rsidR="004B2E86" w:rsidRPr="00B84A84" w:rsidRDefault="004B2E86" w:rsidP="00691D1D">
            <w:pPr>
              <w:tabs>
                <w:tab w:val="center" w:pos="5220"/>
                <w:tab w:val="right" w:pos="10440"/>
              </w:tabs>
              <w:jc w:val="center"/>
              <w:rPr>
                <w:rFonts w:ascii="Arial" w:hAnsi="Arial" w:cs="Arial"/>
                <w:b/>
                <w:sz w:val="13"/>
                <w:szCs w:val="13"/>
              </w:rPr>
            </w:pPr>
          </w:p>
        </w:tc>
        <w:tc>
          <w:tcPr>
            <w:tcW w:w="156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JUNE – JUIN</w:t>
            </w:r>
          </w:p>
        </w:tc>
      </w:tr>
      <w:tr w:rsidR="004B2E86" w:rsidRPr="00B84A84" w:rsidTr="00691D1D">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T</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W</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T</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J</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F</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V</w:t>
            </w:r>
          </w:p>
        </w:tc>
        <w:tc>
          <w:tcPr>
            <w:tcW w:w="22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4B2E86" w:rsidRPr="00B84A84" w:rsidRDefault="004B2E86" w:rsidP="00691D1D">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T</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W</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T</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F</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4B2E86" w:rsidRPr="00B84A84" w:rsidRDefault="004B2E86" w:rsidP="00691D1D">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L</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T</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W</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T</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F</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V</w:t>
            </w:r>
          </w:p>
        </w:tc>
        <w:tc>
          <w:tcPr>
            <w:tcW w:w="21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tc>
      </w:tr>
      <w:tr w:rsidR="004B2E86" w:rsidRPr="00B84A84" w:rsidTr="00691D1D">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w:t>
            </w:r>
          </w:p>
        </w:tc>
        <w:tc>
          <w:tcPr>
            <w:tcW w:w="222" w:type="pct"/>
            <w:tcBorders>
              <w:top w:val="single" w:sz="4" w:space="0" w:color="auto"/>
              <w:left w:val="single" w:sz="4" w:space="0" w:color="auto"/>
              <w:bottom w:val="double" w:sz="4" w:space="0" w:color="auto"/>
              <w:right w:val="single" w:sz="4" w:space="0" w:color="auto"/>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w:t>
            </w:r>
          </w:p>
        </w:tc>
        <w:tc>
          <w:tcPr>
            <w:tcW w:w="228" w:type="pct"/>
            <w:tcBorders>
              <w:top w:val="single" w:sz="4" w:space="0" w:color="000000" w:themeColor="text1"/>
              <w:left w:val="single" w:sz="4" w:space="0" w:color="auto"/>
              <w:bottom w:val="single" w:sz="4" w:space="0" w:color="000000" w:themeColor="text1"/>
              <w:right w:val="double" w:sz="6"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5</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6</w:t>
            </w:r>
          </w:p>
        </w:tc>
      </w:tr>
      <w:tr w:rsidR="004B2E86" w:rsidRPr="00B84A84" w:rsidTr="00691D1D">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5</w:t>
            </w:r>
          </w:p>
        </w:tc>
        <w:tc>
          <w:tcPr>
            <w:tcW w:w="222" w:type="pct"/>
            <w:tcBorders>
              <w:top w:val="single" w:sz="4" w:space="0" w:color="auto"/>
              <w:left w:val="single" w:sz="4" w:space="0" w:color="auto"/>
              <w:bottom w:val="double" w:sz="4" w:space="0" w:color="auto"/>
              <w:right w:val="single" w:sz="4" w:space="0" w:color="auto"/>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7</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8</w:t>
            </w:r>
          </w:p>
        </w:tc>
        <w:tc>
          <w:tcPr>
            <w:tcW w:w="222" w:type="pct"/>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9</w:t>
            </w:r>
          </w:p>
        </w:tc>
        <w:tc>
          <w:tcPr>
            <w:tcW w:w="222" w:type="pct"/>
            <w:tcBorders>
              <w:top w:val="double" w:sz="4" w:space="0" w:color="auto"/>
              <w:left w:val="double" w:sz="4" w:space="0" w:color="auto"/>
              <w:bottom w:val="double" w:sz="4" w:space="0" w:color="auto"/>
              <w:right w:val="double" w:sz="4" w:space="0" w:color="auto"/>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H</w:t>
            </w:r>
          </w:p>
          <w:p w:rsidR="004B2E86" w:rsidRPr="00B84A84" w:rsidRDefault="004B2E86" w:rsidP="00691D1D">
            <w:pPr>
              <w:jc w:val="center"/>
              <w:rPr>
                <w:rFonts w:ascii="Arial" w:hAnsi="Arial" w:cs="Arial"/>
                <w:sz w:val="13"/>
                <w:szCs w:val="13"/>
              </w:rPr>
            </w:pPr>
            <w:r w:rsidRPr="00B84A84">
              <w:rPr>
                <w:rFonts w:ascii="Arial" w:hAnsi="Arial" w:cs="Arial"/>
                <w:sz w:val="13"/>
                <w:szCs w:val="13"/>
              </w:rPr>
              <w:t>10</w:t>
            </w:r>
          </w:p>
        </w:tc>
        <w:tc>
          <w:tcPr>
            <w:tcW w:w="228" w:type="pct"/>
            <w:tcBorders>
              <w:top w:val="single" w:sz="4" w:space="0" w:color="000000" w:themeColor="text1"/>
              <w:left w:val="double" w:sz="4" w:space="0" w:color="auto"/>
              <w:bottom w:val="single" w:sz="4" w:space="0" w:color="000000" w:themeColor="text1"/>
              <w:right w:val="double" w:sz="6"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11</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8</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9</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7</w:t>
            </w:r>
          </w:p>
        </w:tc>
        <w:tc>
          <w:tcPr>
            <w:tcW w:w="224" w:type="pct"/>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CC</w:t>
            </w:r>
          </w:p>
          <w:p w:rsidR="004B2E86" w:rsidRPr="00B84A84" w:rsidRDefault="004B2E86" w:rsidP="00691D1D">
            <w:pPr>
              <w:jc w:val="center"/>
              <w:rPr>
                <w:rFonts w:ascii="Arial" w:hAnsi="Arial" w:cs="Arial"/>
                <w:sz w:val="13"/>
                <w:szCs w:val="13"/>
              </w:rPr>
            </w:pPr>
            <w:r w:rsidRPr="00B84A84">
              <w:rPr>
                <w:rFonts w:ascii="Arial" w:hAnsi="Arial" w:cs="Arial"/>
                <w:sz w:val="13"/>
                <w:szCs w:val="13"/>
              </w:rPr>
              <w:t>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12</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13</w:t>
            </w:r>
          </w:p>
        </w:tc>
      </w:tr>
      <w:tr w:rsidR="004B2E86" w:rsidRPr="00B84A84" w:rsidTr="00691D1D">
        <w:trPr>
          <w:trHeight w:val="319"/>
        </w:trPr>
        <w:tc>
          <w:tcPr>
            <w:tcW w:w="222"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12</w:t>
            </w: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H</w:t>
            </w:r>
          </w:p>
          <w:p w:rsidR="004B2E86" w:rsidRPr="00B84A84" w:rsidRDefault="004B2E86" w:rsidP="00691D1D">
            <w:pPr>
              <w:jc w:val="center"/>
              <w:rPr>
                <w:rFonts w:ascii="Arial" w:hAnsi="Arial" w:cs="Arial"/>
                <w:sz w:val="13"/>
                <w:szCs w:val="13"/>
              </w:rPr>
            </w:pPr>
            <w:r w:rsidRPr="00B84A84">
              <w:rPr>
                <w:rFonts w:ascii="Arial" w:hAnsi="Arial" w:cs="Arial"/>
                <w:sz w:val="13"/>
                <w:szCs w:val="13"/>
              </w:rPr>
              <w:t>13</w:t>
            </w:r>
          </w:p>
        </w:tc>
        <w:tc>
          <w:tcPr>
            <w:tcW w:w="222"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CC</w:t>
            </w:r>
          </w:p>
          <w:p w:rsidR="004B2E86" w:rsidRPr="00B84A84" w:rsidRDefault="004B2E86" w:rsidP="00691D1D">
            <w:pPr>
              <w:jc w:val="center"/>
              <w:rPr>
                <w:rFonts w:ascii="Arial" w:hAnsi="Arial" w:cs="Arial"/>
                <w:sz w:val="13"/>
                <w:szCs w:val="13"/>
              </w:rPr>
            </w:pPr>
            <w:r w:rsidRPr="00B84A84">
              <w:rPr>
                <w:rFonts w:ascii="Arial" w:hAnsi="Arial" w:cs="Arial"/>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16</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GO</w:t>
            </w:r>
          </w:p>
          <w:p w:rsidR="004B2E86" w:rsidRPr="00B84A84" w:rsidRDefault="004B2E86" w:rsidP="00691D1D">
            <w:pPr>
              <w:jc w:val="center"/>
              <w:rPr>
                <w:rFonts w:ascii="Arial" w:hAnsi="Arial" w:cs="Arial"/>
                <w:sz w:val="13"/>
                <w:szCs w:val="13"/>
              </w:rPr>
            </w:pPr>
            <w:r w:rsidRPr="00B84A84">
              <w:rPr>
                <w:rFonts w:ascii="Arial" w:hAnsi="Arial" w:cs="Arial"/>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GO</w:t>
            </w:r>
          </w:p>
          <w:p w:rsidR="004B2E86" w:rsidRPr="00B84A84" w:rsidRDefault="004B2E86" w:rsidP="00691D1D">
            <w:pPr>
              <w:jc w:val="center"/>
              <w:rPr>
                <w:rFonts w:ascii="Arial" w:hAnsi="Arial" w:cs="Arial"/>
                <w:sz w:val="13"/>
                <w:szCs w:val="13"/>
              </w:rPr>
            </w:pPr>
            <w:r w:rsidRPr="00B84A84">
              <w:rPr>
                <w:rFonts w:ascii="Arial" w:hAnsi="Arial" w:cs="Arial"/>
                <w:sz w:val="13"/>
                <w:szCs w:val="13"/>
              </w:rPr>
              <w:t>18</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10</w:t>
            </w: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CC</w:t>
            </w:r>
          </w:p>
          <w:p w:rsidR="004B2E86" w:rsidRPr="00B84A84" w:rsidRDefault="004B2E86" w:rsidP="00691D1D">
            <w:pPr>
              <w:jc w:val="center"/>
              <w:rPr>
                <w:rFonts w:ascii="Arial" w:hAnsi="Arial" w:cs="Arial"/>
                <w:sz w:val="13"/>
                <w:szCs w:val="13"/>
              </w:rPr>
            </w:pPr>
            <w:r w:rsidRPr="00B84A84">
              <w:rPr>
                <w:rFonts w:ascii="Arial" w:hAnsi="Arial" w:cs="Arial"/>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15</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16</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19</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20</w:t>
            </w:r>
          </w:p>
        </w:tc>
      </w:tr>
      <w:tr w:rsidR="004B2E86" w:rsidRPr="00B84A84" w:rsidTr="00691D1D">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GO</w:t>
            </w:r>
          </w:p>
          <w:p w:rsidR="004B2E86" w:rsidRPr="00B84A84" w:rsidRDefault="004B2E86" w:rsidP="00691D1D">
            <w:pPr>
              <w:jc w:val="center"/>
              <w:rPr>
                <w:rFonts w:ascii="Arial" w:hAnsi="Arial" w:cs="Arial"/>
                <w:sz w:val="13"/>
                <w:szCs w:val="13"/>
              </w:rPr>
            </w:pPr>
            <w:r w:rsidRPr="00B84A84">
              <w:rPr>
                <w:rFonts w:ascii="Arial" w:hAnsi="Arial" w:cs="Arial"/>
                <w:sz w:val="13"/>
                <w:szCs w:val="13"/>
              </w:rPr>
              <w:t>19</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GO</w:t>
            </w:r>
          </w:p>
          <w:p w:rsidR="004B2E86" w:rsidRPr="00B84A84" w:rsidRDefault="004B2E86" w:rsidP="00691D1D">
            <w:pPr>
              <w:jc w:val="center"/>
              <w:rPr>
                <w:rFonts w:ascii="Arial" w:hAnsi="Arial" w:cs="Arial"/>
                <w:sz w:val="13"/>
                <w:szCs w:val="13"/>
              </w:rPr>
            </w:pPr>
            <w:r w:rsidRPr="00B84A84">
              <w:rPr>
                <w:rFonts w:ascii="Arial" w:hAnsi="Arial" w:cs="Arial"/>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24</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17</w:t>
            </w:r>
          </w:p>
        </w:tc>
        <w:tc>
          <w:tcPr>
            <w:tcW w:w="228"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H</w:t>
            </w:r>
          </w:p>
          <w:p w:rsidR="004B2E86" w:rsidRPr="00B84A84" w:rsidRDefault="004B2E86" w:rsidP="00691D1D">
            <w:pPr>
              <w:jc w:val="center"/>
              <w:rPr>
                <w:rFonts w:ascii="Arial" w:hAnsi="Arial" w:cs="Arial"/>
                <w:sz w:val="13"/>
                <w:szCs w:val="13"/>
              </w:rPr>
            </w:pPr>
            <w:r w:rsidRPr="00B84A84">
              <w:rPr>
                <w:rFonts w:ascii="Arial" w:hAnsi="Arial" w:cs="Arial"/>
                <w:sz w:val="13"/>
                <w:szCs w:val="13"/>
              </w:rPr>
              <w:t>18</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22</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23</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26</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27</w:t>
            </w:r>
          </w:p>
        </w:tc>
      </w:tr>
      <w:tr w:rsidR="004B2E86" w:rsidRPr="00B84A84" w:rsidTr="00691D1D">
        <w:trPr>
          <w:trHeight w:val="319"/>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26</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27</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29</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30</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rPr>
                <w:rFonts w:ascii="Arial" w:hAnsi="Arial" w:cs="Arial"/>
                <w:sz w:val="13"/>
                <w:szCs w:val="13"/>
              </w:rPr>
            </w:pPr>
            <w:r w:rsidRPr="00B84A84">
              <w:rPr>
                <w:rFonts w:ascii="Arial" w:hAnsi="Arial" w:cs="Arial"/>
                <w:sz w:val="13"/>
                <w:szCs w:val="13"/>
              </w:rPr>
              <w:t xml:space="preserve"> 24 </w:t>
            </w:r>
            <w:r w:rsidRPr="00B84A84">
              <w:rPr>
                <w:rFonts w:ascii="Arial" w:hAnsi="Arial" w:cs="Arial"/>
                <w:sz w:val="13"/>
                <w:szCs w:val="13"/>
                <w:lang w:val="en-US"/>
              </w:rPr>
              <w:t>/</w:t>
            </w:r>
          </w:p>
          <w:p w:rsidR="004B2E86" w:rsidRPr="00B84A84" w:rsidRDefault="004B2E86" w:rsidP="00691D1D">
            <w:pPr>
              <w:jc w:val="right"/>
              <w:rPr>
                <w:rFonts w:ascii="Arial" w:hAnsi="Arial" w:cs="Arial"/>
                <w:sz w:val="13"/>
                <w:szCs w:val="13"/>
              </w:rPr>
            </w:pPr>
            <w:r w:rsidRPr="00B84A84">
              <w:rPr>
                <w:rFonts w:ascii="Arial" w:hAnsi="Arial" w:cs="Arial"/>
                <w:sz w:val="13"/>
                <w:szCs w:val="13"/>
              </w:rPr>
              <w:t>31 </w:t>
            </w:r>
          </w:p>
        </w:tc>
        <w:tc>
          <w:tcPr>
            <w:tcW w:w="228" w:type="pct"/>
            <w:tcBorders>
              <w:top w:val="double" w:sz="4" w:space="0" w:color="auto"/>
              <w:left w:val="single" w:sz="4" w:space="0" w:color="000000" w:themeColor="text1"/>
              <w:bottom w:val="double" w:sz="6" w:space="0" w:color="auto"/>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25</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28</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29</w:t>
            </w:r>
          </w:p>
        </w:tc>
        <w:tc>
          <w:tcPr>
            <w:tcW w:w="235"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30</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28</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29</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30</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1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r>
      <w:tr w:rsidR="004B2E86" w:rsidRPr="00B84A84" w:rsidTr="00691D1D">
        <w:trPr>
          <w:trHeight w:val="176"/>
        </w:trPr>
        <w:tc>
          <w:tcPr>
            <w:tcW w:w="1559"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JULY – JUILLET</w:t>
            </w:r>
          </w:p>
        </w:tc>
        <w:tc>
          <w:tcPr>
            <w:tcW w:w="136" w:type="pct"/>
            <w:tcBorders>
              <w:top w:val="nil"/>
              <w:left w:val="double" w:sz="6" w:space="0" w:color="auto"/>
              <w:bottom w:val="nil"/>
              <w:right w:val="double" w:sz="6" w:space="0" w:color="auto"/>
            </w:tcBorders>
            <w:tcMar>
              <w:top w:w="43" w:type="dxa"/>
              <w:left w:w="29" w:type="dxa"/>
              <w:bottom w:w="43" w:type="dxa"/>
              <w:right w:w="29" w:type="dxa"/>
            </w:tcMar>
            <w:vAlign w:val="center"/>
          </w:tcPr>
          <w:p w:rsidR="004B2E86" w:rsidRPr="00B84A84" w:rsidRDefault="004B2E86" w:rsidP="00691D1D">
            <w:pPr>
              <w:tabs>
                <w:tab w:val="center" w:pos="5220"/>
                <w:tab w:val="right" w:pos="10440"/>
              </w:tabs>
              <w:jc w:val="center"/>
              <w:rPr>
                <w:rFonts w:ascii="Arial" w:hAnsi="Arial" w:cs="Arial"/>
                <w:b/>
                <w:sz w:val="13"/>
                <w:szCs w:val="13"/>
              </w:rPr>
            </w:pPr>
          </w:p>
        </w:tc>
        <w:tc>
          <w:tcPr>
            <w:tcW w:w="160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AUGUST – AOÛT</w:t>
            </w:r>
          </w:p>
        </w:tc>
        <w:tc>
          <w:tcPr>
            <w:tcW w:w="141" w:type="pct"/>
            <w:tcBorders>
              <w:top w:val="nil"/>
              <w:left w:val="double" w:sz="6" w:space="0" w:color="auto"/>
              <w:bottom w:val="nil"/>
              <w:right w:val="double" w:sz="6" w:space="0" w:color="auto"/>
            </w:tcBorders>
            <w:tcMar>
              <w:top w:w="43" w:type="dxa"/>
              <w:left w:w="29" w:type="dxa"/>
              <w:bottom w:w="43" w:type="dxa"/>
              <w:right w:w="29" w:type="dxa"/>
            </w:tcMar>
            <w:vAlign w:val="center"/>
          </w:tcPr>
          <w:p w:rsidR="004B2E86" w:rsidRPr="00B84A84" w:rsidRDefault="004B2E86" w:rsidP="00691D1D">
            <w:pPr>
              <w:tabs>
                <w:tab w:val="center" w:pos="5220"/>
                <w:tab w:val="right" w:pos="10440"/>
              </w:tabs>
              <w:jc w:val="center"/>
              <w:rPr>
                <w:rFonts w:ascii="Arial" w:hAnsi="Arial" w:cs="Arial"/>
                <w:b/>
                <w:sz w:val="13"/>
                <w:szCs w:val="13"/>
              </w:rPr>
            </w:pPr>
          </w:p>
        </w:tc>
        <w:tc>
          <w:tcPr>
            <w:tcW w:w="1562" w:type="pct"/>
            <w:gridSpan w:val="7"/>
            <w:tcBorders>
              <w:top w:val="double" w:sz="6" w:space="0" w:color="auto"/>
              <w:left w:val="double" w:sz="6" w:space="0" w:color="auto"/>
              <w:bottom w:val="double" w:sz="6" w:space="0" w:color="auto"/>
              <w:right w:val="double" w:sz="6" w:space="0" w:color="auto"/>
            </w:tcBorders>
            <w:shd w:val="clear" w:color="auto" w:fill="D9D9D9" w:themeFill="background1" w:themeFillShade="D9"/>
            <w:tcMar>
              <w:top w:w="43"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SEPTEMBER – SEPTEMBRE</w:t>
            </w:r>
          </w:p>
        </w:tc>
      </w:tr>
      <w:tr w:rsidR="004B2E86" w:rsidRPr="00B84A84" w:rsidTr="00691D1D">
        <w:trPr>
          <w:trHeight w:val="319"/>
        </w:trPr>
        <w:tc>
          <w:tcPr>
            <w:tcW w:w="222"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p w:rsidR="004B2E86" w:rsidRPr="00B84A84" w:rsidRDefault="004B2E86" w:rsidP="00691D1D">
            <w:pPr>
              <w:tabs>
                <w:tab w:val="center" w:pos="5220"/>
                <w:tab w:val="right" w:pos="10440"/>
              </w:tabs>
              <w:jc w:val="center"/>
              <w:rPr>
                <w:rFonts w:ascii="Arial" w:hAnsi="Arial" w:cs="Arial"/>
                <w:b/>
                <w:sz w:val="16"/>
                <w:szCs w:val="16"/>
              </w:rPr>
            </w:pPr>
            <w:r w:rsidRPr="00B84A84">
              <w:rPr>
                <w:rFonts w:ascii="Arial" w:hAnsi="Arial" w:cs="Arial"/>
                <w:b/>
                <w:sz w:val="13"/>
                <w:szCs w:val="13"/>
              </w:rPr>
              <w:t>D</w:t>
            </w:r>
          </w:p>
        </w:tc>
        <w:tc>
          <w:tcPr>
            <w:tcW w:w="222" w:type="pct"/>
            <w:tcBorders>
              <w:top w:val="double" w:sz="6"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L</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T</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tc>
        <w:tc>
          <w:tcPr>
            <w:tcW w:w="222" w:type="pct"/>
            <w:tcBorders>
              <w:top w:val="double" w:sz="6" w:space="0" w:color="auto"/>
              <w:left w:val="single" w:sz="4" w:space="0" w:color="000000" w:themeColor="text1"/>
              <w:bottom w:val="double" w:sz="4" w:space="0" w:color="auto"/>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W</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T</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J</w:t>
            </w:r>
          </w:p>
        </w:tc>
        <w:tc>
          <w:tcPr>
            <w:tcW w:w="222"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F</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V</w:t>
            </w:r>
          </w:p>
        </w:tc>
        <w:tc>
          <w:tcPr>
            <w:tcW w:w="228" w:type="pct"/>
            <w:tcBorders>
              <w:top w:val="double" w:sz="6" w:space="0" w:color="auto"/>
              <w:left w:val="single" w:sz="4" w:space="0" w:color="000000" w:themeColor="text1"/>
              <w:bottom w:val="single" w:sz="4" w:space="0" w:color="auto"/>
              <w:right w:val="double" w:sz="6" w:space="0" w:color="auto"/>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center"/>
          </w:tcPr>
          <w:p w:rsidR="004B2E86" w:rsidRPr="00B84A84" w:rsidRDefault="004B2E86" w:rsidP="00691D1D">
            <w:pPr>
              <w:tabs>
                <w:tab w:val="center" w:pos="5220"/>
                <w:tab w:val="right" w:pos="10440"/>
              </w:tabs>
              <w:jc w:val="center"/>
              <w:rPr>
                <w:rFonts w:ascii="Arial" w:hAnsi="Arial" w:cs="Arial"/>
                <w:b/>
                <w:sz w:val="13"/>
                <w:szCs w:val="13"/>
              </w:rPr>
            </w:pPr>
          </w:p>
        </w:tc>
        <w:tc>
          <w:tcPr>
            <w:tcW w:w="228"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D</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L</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T</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W</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T</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J</w:t>
            </w:r>
          </w:p>
        </w:tc>
        <w:tc>
          <w:tcPr>
            <w:tcW w:w="228"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F</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V</w:t>
            </w:r>
          </w:p>
        </w:tc>
        <w:tc>
          <w:tcPr>
            <w:tcW w:w="235"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center"/>
          </w:tcPr>
          <w:p w:rsidR="004B2E86" w:rsidRPr="00B84A84" w:rsidRDefault="004B2E86" w:rsidP="00691D1D">
            <w:pPr>
              <w:tabs>
                <w:tab w:val="center" w:pos="5220"/>
                <w:tab w:val="right" w:pos="10440"/>
              </w:tabs>
              <w:jc w:val="center"/>
              <w:rPr>
                <w:rFonts w:ascii="Arial" w:hAnsi="Arial" w:cs="Arial"/>
                <w:b/>
                <w:sz w:val="13"/>
                <w:szCs w:val="13"/>
              </w:rPr>
            </w:pPr>
          </w:p>
        </w:tc>
        <w:tc>
          <w:tcPr>
            <w:tcW w:w="224" w:type="pct"/>
            <w:tcBorders>
              <w:top w:val="double" w:sz="6" w:space="0" w:color="auto"/>
              <w:left w:val="double" w:sz="6" w:space="0" w:color="auto"/>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D</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L</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T</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W</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M</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T</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J</w:t>
            </w:r>
          </w:p>
        </w:tc>
        <w:tc>
          <w:tcPr>
            <w:tcW w:w="224" w:type="pct"/>
            <w:tcBorders>
              <w:top w:val="double" w:sz="6"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F</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V</w:t>
            </w:r>
          </w:p>
        </w:tc>
        <w:tc>
          <w:tcPr>
            <w:tcW w:w="218" w:type="pct"/>
            <w:tcBorders>
              <w:top w:val="double" w:sz="6"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center"/>
            <w:hideMark/>
          </w:tcPr>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p w:rsidR="004B2E86" w:rsidRPr="00B84A84" w:rsidRDefault="004B2E86" w:rsidP="00691D1D">
            <w:pPr>
              <w:tabs>
                <w:tab w:val="center" w:pos="5220"/>
                <w:tab w:val="right" w:pos="10440"/>
              </w:tabs>
              <w:jc w:val="center"/>
              <w:rPr>
                <w:rFonts w:ascii="Arial" w:hAnsi="Arial" w:cs="Arial"/>
                <w:b/>
                <w:sz w:val="13"/>
                <w:szCs w:val="13"/>
              </w:rPr>
            </w:pPr>
            <w:r w:rsidRPr="00B84A84">
              <w:rPr>
                <w:rFonts w:ascii="Arial" w:hAnsi="Arial" w:cs="Arial"/>
                <w:b/>
                <w:sz w:val="13"/>
                <w:szCs w:val="13"/>
              </w:rPr>
              <w:t>S</w:t>
            </w:r>
          </w:p>
        </w:tc>
      </w:tr>
      <w:tr w:rsidR="004B2E86" w:rsidRPr="00B84A84" w:rsidTr="00691D1D">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2" w:type="pct"/>
            <w:tcBorders>
              <w:top w:val="single" w:sz="4" w:space="0" w:color="000000" w:themeColor="text1"/>
              <w:left w:val="single" w:sz="4" w:space="0" w:color="auto"/>
              <w:bottom w:val="single" w:sz="4" w:space="0" w:color="000000" w:themeColor="text1"/>
              <w:right w:val="double" w:sz="4" w:space="0" w:color="auto"/>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2"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H</w:t>
            </w:r>
          </w:p>
          <w:p w:rsidR="004B2E86" w:rsidRPr="00B84A84" w:rsidRDefault="004B2E86" w:rsidP="00691D1D">
            <w:pPr>
              <w:jc w:val="center"/>
              <w:rPr>
                <w:rFonts w:ascii="Arial" w:hAnsi="Arial" w:cs="Arial"/>
                <w:sz w:val="13"/>
                <w:szCs w:val="13"/>
              </w:rPr>
            </w:pPr>
            <w:r w:rsidRPr="00B84A84">
              <w:rPr>
                <w:rFonts w:ascii="Arial" w:hAnsi="Arial" w:cs="Arial"/>
                <w:sz w:val="13"/>
                <w:szCs w:val="13"/>
              </w:rPr>
              <w:t>1</w:t>
            </w:r>
          </w:p>
        </w:tc>
        <w:tc>
          <w:tcPr>
            <w:tcW w:w="222"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w:t>
            </w:r>
          </w:p>
        </w:tc>
        <w:tc>
          <w:tcPr>
            <w:tcW w:w="228" w:type="pct"/>
            <w:tcBorders>
              <w:top w:val="single" w:sz="4" w:space="0" w:color="auto"/>
              <w:left w:val="single" w:sz="4" w:space="0" w:color="auto"/>
              <w:bottom w:val="single" w:sz="4" w:space="0" w:color="auto"/>
              <w:right w:val="double" w:sz="6"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4</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double" w:sz="4"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b/>
                <w:sz w:val="13"/>
                <w:szCs w:val="13"/>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4</w:t>
            </w:r>
          </w:p>
        </w:tc>
        <w:tc>
          <w:tcPr>
            <w:tcW w:w="21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5</w:t>
            </w:r>
          </w:p>
        </w:tc>
      </w:tr>
      <w:tr w:rsidR="004B2E86" w:rsidRPr="00B84A84" w:rsidTr="00691D1D">
        <w:trPr>
          <w:trHeight w:val="319"/>
        </w:trPr>
        <w:tc>
          <w:tcPr>
            <w:tcW w:w="222" w:type="pct"/>
            <w:tcBorders>
              <w:top w:val="single" w:sz="4" w:space="0" w:color="000000" w:themeColor="text1"/>
              <w:left w:val="double" w:sz="6" w:space="0" w:color="auto"/>
              <w:bottom w:val="single" w:sz="4" w:space="0" w:color="000000" w:themeColor="text1"/>
              <w:right w:val="single" w:sz="4"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5</w:t>
            </w:r>
          </w:p>
        </w:tc>
        <w:tc>
          <w:tcPr>
            <w:tcW w:w="222" w:type="pct"/>
            <w:tcBorders>
              <w:top w:val="single" w:sz="4" w:space="0" w:color="auto"/>
              <w:left w:val="single" w:sz="4" w:space="0" w:color="auto"/>
              <w:bottom w:val="single" w:sz="4" w:space="0" w:color="auto"/>
              <w:right w:val="single" w:sz="4"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7</w:t>
            </w:r>
          </w:p>
        </w:tc>
        <w:tc>
          <w:tcPr>
            <w:tcW w:w="222"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8</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10</w:t>
            </w:r>
          </w:p>
        </w:tc>
        <w:tc>
          <w:tcPr>
            <w:tcW w:w="228" w:type="pct"/>
            <w:tcBorders>
              <w:top w:val="single" w:sz="4" w:space="0" w:color="auto"/>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11</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w:t>
            </w:r>
          </w:p>
        </w:tc>
        <w:tc>
          <w:tcPr>
            <w:tcW w:w="228"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H</w:t>
            </w:r>
          </w:p>
          <w:p w:rsidR="004B2E86" w:rsidRPr="00B84A84" w:rsidRDefault="004B2E86" w:rsidP="00691D1D">
            <w:pPr>
              <w:jc w:val="center"/>
              <w:rPr>
                <w:rFonts w:ascii="Arial" w:hAnsi="Arial" w:cs="Arial"/>
                <w:sz w:val="13"/>
                <w:szCs w:val="13"/>
              </w:rPr>
            </w:pPr>
            <w:r w:rsidRPr="00B84A84">
              <w:rPr>
                <w:rFonts w:ascii="Arial" w:hAnsi="Arial" w:cs="Arial"/>
                <w:sz w:val="13"/>
                <w:szCs w:val="13"/>
              </w:rPr>
              <w:t>3</w:t>
            </w:r>
          </w:p>
        </w:tc>
        <w:tc>
          <w:tcPr>
            <w:tcW w:w="228"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4</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5</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7</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8</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single" w:sz="4" w:space="0" w:color="000000" w:themeColor="text1"/>
              <w:right w:val="double" w:sz="4"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6</w:t>
            </w:r>
          </w:p>
        </w:tc>
        <w:tc>
          <w:tcPr>
            <w:tcW w:w="224" w:type="pct"/>
            <w:tcBorders>
              <w:top w:val="double" w:sz="4" w:space="0" w:color="auto"/>
              <w:left w:val="double" w:sz="4" w:space="0" w:color="auto"/>
              <w:bottom w:val="double" w:sz="4" w:space="0" w:color="auto"/>
              <w:right w:val="double" w:sz="4"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H</w:t>
            </w:r>
          </w:p>
          <w:p w:rsidR="004B2E86" w:rsidRPr="00B84A84" w:rsidRDefault="004B2E86" w:rsidP="00691D1D">
            <w:pPr>
              <w:jc w:val="center"/>
              <w:rPr>
                <w:rFonts w:ascii="Arial" w:hAnsi="Arial" w:cs="Arial"/>
                <w:sz w:val="13"/>
                <w:szCs w:val="13"/>
              </w:rPr>
            </w:pPr>
            <w:r w:rsidRPr="00B84A84">
              <w:rPr>
                <w:rFonts w:ascii="Arial" w:hAnsi="Arial" w:cs="Arial"/>
                <w:sz w:val="13"/>
                <w:szCs w:val="13"/>
              </w:rPr>
              <w:t>7</w:t>
            </w:r>
          </w:p>
        </w:tc>
        <w:tc>
          <w:tcPr>
            <w:tcW w:w="224" w:type="pct"/>
            <w:tcBorders>
              <w:top w:val="single" w:sz="4" w:space="0" w:color="000000" w:themeColor="text1"/>
              <w:left w:val="doub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8</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9</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10</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11</w:t>
            </w:r>
          </w:p>
        </w:tc>
        <w:tc>
          <w:tcPr>
            <w:tcW w:w="218" w:type="pct"/>
            <w:tcBorders>
              <w:top w:val="single" w:sz="4" w:space="0" w:color="000000" w:themeColor="text1"/>
              <w:left w:val="single" w:sz="4" w:space="0" w:color="000000" w:themeColor="text1"/>
              <w:bottom w:val="double" w:sz="4" w:space="0" w:color="000000" w:themeColor="text1"/>
              <w:right w:val="double" w:sz="6"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12</w:t>
            </w:r>
          </w:p>
        </w:tc>
      </w:tr>
      <w:tr w:rsidR="004B2E86" w:rsidRPr="00B84A84" w:rsidTr="00691D1D">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14</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15</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16</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18</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9</w:t>
            </w:r>
          </w:p>
        </w:tc>
        <w:tc>
          <w:tcPr>
            <w:tcW w:w="228" w:type="pct"/>
            <w:tcBorders>
              <w:top w:val="doub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11</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12</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13</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14</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15</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4" w:type="pct"/>
            <w:tcBorders>
              <w:top w:val="single" w:sz="4" w:space="0" w:color="000000" w:themeColor="text1"/>
              <w:left w:val="double" w:sz="6" w:space="0" w:color="auto"/>
              <w:bottom w:val="doub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13</w:t>
            </w:r>
          </w:p>
        </w:tc>
        <w:tc>
          <w:tcPr>
            <w:tcW w:w="224" w:type="pct"/>
            <w:tcBorders>
              <w:top w:val="double" w:sz="4" w:space="0" w:color="auto"/>
              <w:left w:val="single" w:sz="4" w:space="0" w:color="000000" w:themeColor="text1"/>
              <w:bottom w:val="single" w:sz="4" w:space="0" w:color="auto"/>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15</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16</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17</w:t>
            </w:r>
          </w:p>
        </w:tc>
        <w:tc>
          <w:tcPr>
            <w:tcW w:w="224" w:type="pct"/>
            <w:tcBorders>
              <w:top w:val="single" w:sz="4" w:space="0" w:color="000000" w:themeColor="text1"/>
              <w:left w:val="single" w:sz="4" w:space="0" w:color="000000" w:themeColor="text1"/>
              <w:bottom w:val="single" w:sz="4" w:space="0" w:color="000000" w:themeColor="text1"/>
              <w:right w:val="doub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18</w:t>
            </w:r>
          </w:p>
        </w:tc>
        <w:tc>
          <w:tcPr>
            <w:tcW w:w="218" w:type="pct"/>
            <w:tcBorders>
              <w:top w:val="double" w:sz="4" w:space="0" w:color="000000" w:themeColor="text1"/>
              <w:left w:val="double" w:sz="4" w:space="0" w:color="000000" w:themeColor="text1"/>
              <w:bottom w:val="double" w:sz="4" w:space="0" w:color="000000" w:themeColor="text1"/>
              <w:right w:val="double" w:sz="6"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RH</w:t>
            </w:r>
          </w:p>
          <w:p w:rsidR="004B2E86" w:rsidRPr="00B84A84" w:rsidRDefault="004B2E86" w:rsidP="00691D1D">
            <w:pPr>
              <w:jc w:val="center"/>
              <w:rPr>
                <w:rFonts w:ascii="Arial" w:hAnsi="Arial" w:cs="Arial"/>
                <w:sz w:val="13"/>
                <w:szCs w:val="13"/>
              </w:rPr>
            </w:pPr>
            <w:r w:rsidRPr="00B84A84">
              <w:rPr>
                <w:rFonts w:ascii="Arial" w:hAnsi="Arial" w:cs="Arial"/>
                <w:sz w:val="13"/>
                <w:szCs w:val="13"/>
              </w:rPr>
              <w:t>19</w:t>
            </w:r>
          </w:p>
        </w:tc>
      </w:tr>
      <w:tr w:rsidR="004B2E86" w:rsidRPr="00B84A84" w:rsidTr="00691D1D">
        <w:trPr>
          <w:trHeight w:val="319"/>
        </w:trPr>
        <w:tc>
          <w:tcPr>
            <w:tcW w:w="222"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19</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20</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21</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22</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23</w:t>
            </w:r>
          </w:p>
        </w:tc>
        <w:tc>
          <w:tcPr>
            <w:tcW w:w="22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24</w:t>
            </w:r>
          </w:p>
        </w:tc>
        <w:tc>
          <w:tcPr>
            <w:tcW w:w="228"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25</w:t>
            </w: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16</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17</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18</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19</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20</w:t>
            </w:r>
          </w:p>
        </w:tc>
        <w:tc>
          <w:tcPr>
            <w:tcW w:w="228"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21</w:t>
            </w:r>
          </w:p>
        </w:tc>
        <w:tc>
          <w:tcPr>
            <w:tcW w:w="235" w:type="pct"/>
            <w:tcBorders>
              <w:top w:val="single" w:sz="4" w:space="0" w:color="000000" w:themeColor="text1"/>
              <w:left w:val="single" w:sz="4" w:space="0" w:color="000000" w:themeColor="text1"/>
              <w:bottom w:val="single" w:sz="4" w:space="0" w:color="000000" w:themeColor="text1"/>
              <w:right w:val="double" w:sz="6"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22</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4" w:type="pct"/>
            <w:tcBorders>
              <w:top w:val="double" w:sz="4" w:space="0" w:color="000000" w:themeColor="text1"/>
              <w:left w:val="double" w:sz="6" w:space="0" w:color="auto"/>
              <w:bottom w:val="double" w:sz="4" w:space="0" w:color="000000" w:themeColor="text1"/>
              <w:right w:val="double" w:sz="4"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RH</w:t>
            </w:r>
          </w:p>
          <w:p w:rsidR="004B2E86" w:rsidRPr="00B84A84" w:rsidRDefault="004B2E86" w:rsidP="00691D1D">
            <w:pPr>
              <w:jc w:val="center"/>
              <w:rPr>
                <w:rFonts w:ascii="Arial" w:hAnsi="Arial" w:cs="Arial"/>
                <w:sz w:val="13"/>
                <w:szCs w:val="13"/>
              </w:rPr>
            </w:pPr>
            <w:r w:rsidRPr="00B84A84">
              <w:rPr>
                <w:rFonts w:ascii="Arial" w:hAnsi="Arial" w:cs="Arial"/>
                <w:sz w:val="13"/>
                <w:szCs w:val="13"/>
              </w:rPr>
              <w:t>20</w:t>
            </w:r>
          </w:p>
        </w:tc>
        <w:tc>
          <w:tcPr>
            <w:tcW w:w="224" w:type="pct"/>
            <w:tcBorders>
              <w:top w:val="single" w:sz="4" w:space="0" w:color="auto"/>
              <w:left w:val="double" w:sz="4" w:space="0" w:color="auto"/>
              <w:bottom w:val="double" w:sz="4" w:space="0" w:color="auto"/>
              <w:right w:val="single" w:sz="4"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22</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23</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24</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25</w:t>
            </w:r>
          </w:p>
        </w:tc>
        <w:tc>
          <w:tcPr>
            <w:tcW w:w="218" w:type="pct"/>
            <w:tcBorders>
              <w:top w:val="double" w:sz="4" w:space="0" w:color="000000" w:themeColor="text1"/>
              <w:left w:val="single" w:sz="4" w:space="0" w:color="000000" w:themeColor="text1"/>
              <w:bottom w:val="single" w:sz="4" w:space="0" w:color="000000" w:themeColor="text1"/>
              <w:right w:val="double" w:sz="6"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26</w:t>
            </w:r>
          </w:p>
        </w:tc>
      </w:tr>
      <w:tr w:rsidR="004B2E86" w:rsidRPr="00B84A84" w:rsidTr="00691D1D">
        <w:trPr>
          <w:trHeight w:val="375"/>
        </w:trPr>
        <w:tc>
          <w:tcPr>
            <w:tcW w:w="222"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26</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27</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28</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29</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30</w:t>
            </w:r>
          </w:p>
        </w:tc>
        <w:tc>
          <w:tcPr>
            <w:tcW w:w="222"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31</w:t>
            </w:r>
          </w:p>
        </w:tc>
        <w:tc>
          <w:tcPr>
            <w:tcW w:w="22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136"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8"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rPr>
                <w:rFonts w:ascii="Arial" w:hAnsi="Arial" w:cs="Arial"/>
                <w:sz w:val="13"/>
                <w:szCs w:val="13"/>
              </w:rPr>
            </w:pPr>
            <w:r w:rsidRPr="00B84A84">
              <w:rPr>
                <w:rFonts w:ascii="Arial" w:hAnsi="Arial" w:cs="Arial"/>
                <w:sz w:val="13"/>
                <w:szCs w:val="13"/>
              </w:rPr>
              <w:t> 23 /</w:t>
            </w:r>
          </w:p>
          <w:p w:rsidR="004B2E86" w:rsidRPr="00B84A84" w:rsidRDefault="004B2E86" w:rsidP="00691D1D">
            <w:pPr>
              <w:jc w:val="right"/>
              <w:rPr>
                <w:rFonts w:ascii="Arial" w:hAnsi="Arial" w:cs="Arial"/>
                <w:sz w:val="13"/>
                <w:szCs w:val="13"/>
              </w:rPr>
            </w:pPr>
            <w:r w:rsidRPr="00B84A84">
              <w:rPr>
                <w:rFonts w:ascii="Arial" w:hAnsi="Arial" w:cs="Arial"/>
                <w:sz w:val="13"/>
                <w:szCs w:val="13"/>
              </w:rPr>
              <w:t>30 </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rPr>
                <w:rFonts w:ascii="Arial" w:hAnsi="Arial" w:cs="Arial"/>
                <w:sz w:val="13"/>
                <w:szCs w:val="13"/>
              </w:rPr>
            </w:pPr>
            <w:r w:rsidRPr="00B84A84">
              <w:rPr>
                <w:rFonts w:ascii="Arial" w:hAnsi="Arial" w:cs="Arial"/>
                <w:sz w:val="13"/>
                <w:szCs w:val="13"/>
              </w:rPr>
              <w:t> 24 /</w:t>
            </w:r>
          </w:p>
          <w:p w:rsidR="004B2E86" w:rsidRPr="00B84A84" w:rsidRDefault="004B2E86" w:rsidP="00691D1D">
            <w:pPr>
              <w:jc w:val="right"/>
              <w:rPr>
                <w:rFonts w:ascii="Arial" w:hAnsi="Arial" w:cs="Arial"/>
                <w:sz w:val="13"/>
                <w:szCs w:val="13"/>
              </w:rPr>
            </w:pPr>
            <w:r w:rsidRPr="00B84A84">
              <w:rPr>
                <w:rFonts w:ascii="Arial" w:hAnsi="Arial" w:cs="Arial"/>
                <w:sz w:val="13"/>
                <w:szCs w:val="13"/>
              </w:rPr>
              <w:t>31 </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25</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26</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27</w:t>
            </w:r>
          </w:p>
        </w:tc>
        <w:tc>
          <w:tcPr>
            <w:tcW w:w="228"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28</w:t>
            </w:r>
          </w:p>
        </w:tc>
        <w:tc>
          <w:tcPr>
            <w:tcW w:w="235"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29</w:t>
            </w:r>
          </w:p>
        </w:tc>
        <w:tc>
          <w:tcPr>
            <w:tcW w:w="141" w:type="pct"/>
            <w:tcBorders>
              <w:top w:val="nil"/>
              <w:left w:val="double" w:sz="6" w:space="0" w:color="auto"/>
              <w:bottom w:val="nil"/>
              <w:right w:val="double" w:sz="6" w:space="0" w:color="auto"/>
            </w:tcBorders>
            <w:tcMar>
              <w:top w:w="29" w:type="dxa"/>
              <w:left w:w="29" w:type="dxa"/>
              <w:bottom w:w="43" w:type="dxa"/>
              <w:right w:w="29" w:type="dxa"/>
            </w:tcMar>
            <w:vAlign w:val="bottom"/>
          </w:tcPr>
          <w:p w:rsidR="004B2E86" w:rsidRPr="00B84A84" w:rsidRDefault="004B2E86" w:rsidP="00691D1D">
            <w:pPr>
              <w:tabs>
                <w:tab w:val="center" w:pos="5220"/>
                <w:tab w:val="right" w:pos="10440"/>
              </w:tabs>
              <w:jc w:val="center"/>
              <w:rPr>
                <w:rFonts w:ascii="Arial" w:hAnsi="Arial" w:cs="Arial"/>
                <w:sz w:val="13"/>
                <w:szCs w:val="13"/>
              </w:rPr>
            </w:pPr>
          </w:p>
        </w:tc>
        <w:tc>
          <w:tcPr>
            <w:tcW w:w="224" w:type="pct"/>
            <w:tcBorders>
              <w:top w:val="double" w:sz="4" w:space="0" w:color="000000" w:themeColor="text1"/>
              <w:left w:val="double" w:sz="6" w:space="0" w:color="auto"/>
              <w:bottom w:val="double" w:sz="6" w:space="0" w:color="auto"/>
              <w:right w:val="double" w:sz="6"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27</w:t>
            </w:r>
          </w:p>
        </w:tc>
        <w:tc>
          <w:tcPr>
            <w:tcW w:w="224" w:type="pct"/>
            <w:tcBorders>
              <w:top w:val="double" w:sz="4" w:space="0" w:color="auto"/>
              <w:left w:val="double" w:sz="6" w:space="0" w:color="auto"/>
              <w:bottom w:val="double" w:sz="6" w:space="0" w:color="auto"/>
              <w:right w:val="double" w:sz="6" w:space="0" w:color="auto"/>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b/>
                <w:sz w:val="13"/>
                <w:szCs w:val="13"/>
              </w:rPr>
            </w:pPr>
            <w:r w:rsidRPr="00B84A84">
              <w:rPr>
                <w:rFonts w:ascii="Arial" w:hAnsi="Arial" w:cs="Arial"/>
                <w:b/>
                <w:sz w:val="13"/>
                <w:szCs w:val="13"/>
              </w:rPr>
              <w:t>YK</w:t>
            </w:r>
          </w:p>
          <w:p w:rsidR="004B2E86" w:rsidRPr="00B84A84" w:rsidRDefault="004B2E86" w:rsidP="00691D1D">
            <w:pPr>
              <w:jc w:val="center"/>
              <w:rPr>
                <w:rFonts w:ascii="Arial" w:hAnsi="Arial" w:cs="Arial"/>
                <w:sz w:val="13"/>
                <w:szCs w:val="13"/>
              </w:rPr>
            </w:pPr>
            <w:r w:rsidRPr="00B84A84">
              <w:rPr>
                <w:rFonts w:ascii="Arial" w:hAnsi="Arial" w:cs="Arial"/>
                <w:sz w:val="13"/>
                <w:szCs w:val="13"/>
              </w:rPr>
              <w:t>28</w:t>
            </w:r>
          </w:p>
        </w:tc>
        <w:tc>
          <w:tcPr>
            <w:tcW w:w="224" w:type="pct"/>
            <w:tcBorders>
              <w:top w:val="single" w:sz="4" w:space="0" w:color="000000" w:themeColor="text1"/>
              <w:left w:val="double" w:sz="6" w:space="0" w:color="auto"/>
              <w:bottom w:val="double" w:sz="6" w:space="0" w:color="auto"/>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29</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hideMark/>
          </w:tcPr>
          <w:p w:rsidR="004B2E86" w:rsidRPr="00B84A84" w:rsidRDefault="004B2E86" w:rsidP="00691D1D">
            <w:pPr>
              <w:jc w:val="center"/>
              <w:rPr>
                <w:rFonts w:ascii="Arial" w:hAnsi="Arial" w:cs="Arial"/>
                <w:sz w:val="13"/>
                <w:szCs w:val="13"/>
              </w:rPr>
            </w:pPr>
            <w:r w:rsidRPr="00B84A84">
              <w:rPr>
                <w:rFonts w:ascii="Arial" w:hAnsi="Arial" w:cs="Arial"/>
                <w:sz w:val="13"/>
                <w:szCs w:val="13"/>
              </w:rPr>
              <w:t>30</w:t>
            </w: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24" w:type="pct"/>
            <w:tcBorders>
              <w:top w:val="single" w:sz="4" w:space="0" w:color="000000" w:themeColor="text1"/>
              <w:left w:val="single" w:sz="4" w:space="0" w:color="000000" w:themeColor="text1"/>
              <w:bottom w:val="double" w:sz="6" w:space="0" w:color="000000" w:themeColor="text1"/>
              <w:right w:val="single" w:sz="4" w:space="0" w:color="000000" w:themeColor="text1"/>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c>
          <w:tcPr>
            <w:tcW w:w="218" w:type="pct"/>
            <w:tcBorders>
              <w:top w:val="single" w:sz="4" w:space="0" w:color="000000" w:themeColor="text1"/>
              <w:left w:val="single" w:sz="4" w:space="0" w:color="000000" w:themeColor="text1"/>
              <w:bottom w:val="double" w:sz="6" w:space="0" w:color="auto"/>
              <w:right w:val="double" w:sz="6" w:space="0" w:color="auto"/>
            </w:tcBorders>
            <w:tcMar>
              <w:top w:w="29" w:type="dxa"/>
              <w:left w:w="29" w:type="dxa"/>
              <w:bottom w:w="43" w:type="dxa"/>
              <w:right w:w="29" w:type="dxa"/>
            </w:tcMar>
            <w:vAlign w:val="bottom"/>
          </w:tcPr>
          <w:p w:rsidR="004B2E86" w:rsidRPr="00B84A84" w:rsidRDefault="004B2E86" w:rsidP="00691D1D">
            <w:pPr>
              <w:jc w:val="center"/>
              <w:rPr>
                <w:rFonts w:ascii="Arial" w:hAnsi="Arial" w:cs="Arial"/>
                <w:sz w:val="13"/>
                <w:szCs w:val="13"/>
              </w:rPr>
            </w:pPr>
          </w:p>
        </w:tc>
      </w:tr>
    </w:tbl>
    <w:p w:rsidR="004B2E86" w:rsidRPr="00B84A84" w:rsidRDefault="004B2E86" w:rsidP="004B2E86">
      <w:pPr>
        <w:tabs>
          <w:tab w:val="center" w:pos="5220"/>
          <w:tab w:val="right" w:pos="10440"/>
        </w:tabs>
        <w:rPr>
          <w:rFonts w:ascii="Arial" w:hAnsi="Arial" w:cs="Arial"/>
          <w:sz w:val="14"/>
          <w:szCs w:val="14"/>
          <w:lang w:val="fr-CA"/>
        </w:rPr>
      </w:pPr>
    </w:p>
    <w:tbl>
      <w:tblPr>
        <w:tblStyle w:val="TableGrid"/>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540"/>
        <w:gridCol w:w="3524"/>
        <w:gridCol w:w="3828"/>
        <w:gridCol w:w="567"/>
      </w:tblGrid>
      <w:tr w:rsidR="004B2E86" w:rsidRPr="00B84A84" w:rsidTr="00691D1D">
        <w:tc>
          <w:tcPr>
            <w:tcW w:w="1890" w:type="dxa"/>
            <w:tcBorders>
              <w:top w:val="nil"/>
              <w:left w:val="nil"/>
              <w:bottom w:val="nil"/>
              <w:right w:val="single" w:sz="4" w:space="0" w:color="000000" w:themeColor="text1"/>
            </w:tcBorders>
            <w:vAlign w:val="center"/>
            <w:hideMark/>
          </w:tcPr>
          <w:p w:rsidR="004B2E86" w:rsidRPr="00B84A84" w:rsidRDefault="004B2E86" w:rsidP="00691D1D">
            <w:pPr>
              <w:rPr>
                <w:rFonts w:ascii="Arial" w:hAnsi="Arial" w:cs="Arial"/>
                <w:b/>
                <w:sz w:val="14"/>
                <w:szCs w:val="14"/>
              </w:rPr>
            </w:pPr>
            <w:r w:rsidRPr="00B84A84">
              <w:rPr>
                <w:rFonts w:ascii="Arial" w:hAnsi="Arial" w:cs="Arial"/>
                <w:b/>
                <w:sz w:val="14"/>
                <w:szCs w:val="14"/>
              </w:rPr>
              <w:t>Sitting of the Court /</w:t>
            </w:r>
          </w:p>
          <w:p w:rsidR="004B2E86" w:rsidRPr="00B84A84" w:rsidRDefault="004B2E86" w:rsidP="00691D1D">
            <w:pPr>
              <w:rPr>
                <w:rFonts w:ascii="Arial" w:hAnsi="Arial" w:cs="Arial"/>
                <w:b/>
                <w:sz w:val="14"/>
                <w:szCs w:val="14"/>
              </w:rPr>
            </w:pPr>
            <w:r w:rsidRPr="00B84A84">
              <w:rPr>
                <w:rFonts w:ascii="Arial" w:hAnsi="Arial" w:cs="Arial"/>
                <w:b/>
                <w:sz w:val="14"/>
                <w:szCs w:val="14"/>
              </w:rPr>
              <w:t>Séance de la Cour</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4B2E86" w:rsidRPr="00B84A84" w:rsidRDefault="004B2E86" w:rsidP="00691D1D">
            <w:pPr>
              <w:jc w:val="center"/>
              <w:rPr>
                <w:rFonts w:ascii="Arial" w:hAnsi="Arial" w:cs="Arial"/>
                <w:b/>
                <w:sz w:val="14"/>
                <w:szCs w:val="14"/>
              </w:rPr>
            </w:pPr>
          </w:p>
        </w:tc>
        <w:tc>
          <w:tcPr>
            <w:tcW w:w="3524" w:type="dxa"/>
            <w:tcBorders>
              <w:top w:val="nil"/>
              <w:left w:val="single" w:sz="4" w:space="0" w:color="000000" w:themeColor="text1"/>
              <w:bottom w:val="nil"/>
              <w:right w:val="nil"/>
            </w:tcBorders>
            <w:hideMark/>
          </w:tcPr>
          <w:p w:rsidR="004B2E86" w:rsidRPr="00B84A84" w:rsidRDefault="004B2E86" w:rsidP="00691D1D">
            <w:pPr>
              <w:tabs>
                <w:tab w:val="left" w:pos="203"/>
              </w:tabs>
              <w:spacing w:after="120"/>
              <w:rPr>
                <w:rFonts w:ascii="Arial" w:hAnsi="Arial" w:cs="Arial"/>
                <w:b/>
                <w:sz w:val="14"/>
                <w:szCs w:val="14"/>
                <w:lang w:val="fr-CA"/>
              </w:rPr>
            </w:pPr>
            <w:r w:rsidRPr="00B84A84">
              <w:rPr>
                <w:rFonts w:ascii="Arial" w:hAnsi="Arial" w:cs="Arial"/>
                <w:b/>
                <w:sz w:val="14"/>
                <w:szCs w:val="14"/>
                <w:lang w:val="fr-CA"/>
              </w:rPr>
              <w:t>18</w:t>
            </w:r>
            <w:r w:rsidRPr="00B84A84">
              <w:rPr>
                <w:rFonts w:ascii="Arial" w:hAnsi="Arial" w:cs="Arial"/>
                <w:b/>
                <w:sz w:val="14"/>
                <w:szCs w:val="14"/>
                <w:lang w:val="fr-CA"/>
              </w:rPr>
              <w:tab/>
              <w:t xml:space="preserve"> sitting weeks / semaines séances de la Cour</w:t>
            </w:r>
          </w:p>
          <w:p w:rsidR="004B2E86" w:rsidRPr="00B84A84" w:rsidRDefault="004B2E86" w:rsidP="00691D1D">
            <w:pPr>
              <w:tabs>
                <w:tab w:val="left" w:pos="203"/>
              </w:tabs>
              <w:rPr>
                <w:rFonts w:ascii="Arial" w:hAnsi="Arial" w:cs="Arial"/>
                <w:b/>
                <w:sz w:val="14"/>
                <w:szCs w:val="14"/>
                <w:lang w:val="fr-CA"/>
              </w:rPr>
            </w:pPr>
            <w:r w:rsidRPr="00B84A84">
              <w:rPr>
                <w:rFonts w:ascii="Arial" w:hAnsi="Arial" w:cs="Arial"/>
                <w:b/>
                <w:sz w:val="14"/>
                <w:szCs w:val="14"/>
                <w:lang w:val="fr-CA"/>
              </w:rPr>
              <w:t>86</w:t>
            </w:r>
            <w:r w:rsidRPr="00B84A84">
              <w:rPr>
                <w:rFonts w:ascii="Arial" w:hAnsi="Arial" w:cs="Arial"/>
                <w:b/>
                <w:sz w:val="14"/>
                <w:szCs w:val="14"/>
                <w:lang w:val="fr-CA"/>
              </w:rPr>
              <w:tab/>
              <w:t xml:space="preserve"> sitting days / journées séances de la Cour</w:t>
            </w:r>
          </w:p>
        </w:tc>
        <w:tc>
          <w:tcPr>
            <w:tcW w:w="3828" w:type="dxa"/>
            <w:tcMar>
              <w:top w:w="0" w:type="dxa"/>
              <w:left w:w="58" w:type="dxa"/>
              <w:bottom w:w="0" w:type="dxa"/>
              <w:right w:w="58" w:type="dxa"/>
            </w:tcMar>
            <w:hideMark/>
          </w:tcPr>
          <w:p w:rsidR="004B2E86" w:rsidRPr="00B84A84" w:rsidRDefault="004B2E86" w:rsidP="00691D1D">
            <w:pPr>
              <w:spacing w:after="120"/>
              <w:rPr>
                <w:rFonts w:ascii="Arial" w:hAnsi="Arial" w:cs="Arial"/>
                <w:b/>
                <w:sz w:val="14"/>
                <w:szCs w:val="14"/>
                <w:lang w:val="fr-FR"/>
              </w:rPr>
            </w:pPr>
            <w:r w:rsidRPr="00B84A84">
              <w:rPr>
                <w:rFonts w:ascii="Arial" w:hAnsi="Arial" w:cs="Arial"/>
                <w:b/>
                <w:sz w:val="14"/>
                <w:szCs w:val="14"/>
                <w:lang w:val="fr-FR"/>
              </w:rPr>
              <w:t>Rosh Hashanah / Nouvel An juif</w:t>
            </w:r>
          </w:p>
          <w:p w:rsidR="004B2E86" w:rsidRPr="00B84A84" w:rsidRDefault="004B2E86" w:rsidP="00691D1D">
            <w:pPr>
              <w:spacing w:after="120"/>
              <w:rPr>
                <w:rFonts w:ascii="Arial" w:hAnsi="Arial" w:cs="Arial"/>
                <w:b/>
                <w:sz w:val="14"/>
                <w:szCs w:val="14"/>
                <w:lang w:val="fr-CA"/>
              </w:rPr>
            </w:pPr>
            <w:r w:rsidRPr="00B84A84">
              <w:rPr>
                <w:rFonts w:ascii="Arial" w:hAnsi="Arial" w:cs="Arial"/>
                <w:b/>
                <w:sz w:val="14"/>
                <w:szCs w:val="14"/>
                <w:lang w:val="fr-FR"/>
              </w:rPr>
              <w:t>Yom Kippur / Yom Kippour</w:t>
            </w:r>
          </w:p>
        </w:tc>
        <w:tc>
          <w:tcPr>
            <w:tcW w:w="567" w:type="dxa"/>
            <w:hideMark/>
          </w:tcPr>
          <w:p w:rsidR="004B2E86" w:rsidRPr="00B84A84" w:rsidRDefault="004B2E86" w:rsidP="00691D1D">
            <w:pPr>
              <w:spacing w:after="120"/>
              <w:jc w:val="center"/>
              <w:rPr>
                <w:rFonts w:ascii="Arial" w:hAnsi="Arial" w:cs="Arial"/>
                <w:b/>
                <w:sz w:val="14"/>
                <w:szCs w:val="14"/>
                <w:lang w:val="fr-CA"/>
              </w:rPr>
            </w:pPr>
            <w:r w:rsidRPr="00B84A84">
              <w:rPr>
                <w:rFonts w:ascii="Arial" w:hAnsi="Arial" w:cs="Arial"/>
                <w:b/>
                <w:sz w:val="14"/>
                <w:szCs w:val="14"/>
                <w:lang w:val="fr-CA"/>
              </w:rPr>
              <w:t>RH</w:t>
            </w:r>
          </w:p>
          <w:p w:rsidR="004B2E86" w:rsidRPr="00B84A84" w:rsidRDefault="004B2E86" w:rsidP="00691D1D">
            <w:pPr>
              <w:jc w:val="center"/>
              <w:rPr>
                <w:rFonts w:ascii="Arial" w:hAnsi="Arial" w:cs="Arial"/>
                <w:b/>
                <w:sz w:val="14"/>
                <w:szCs w:val="14"/>
                <w:lang w:val="fr-CA"/>
              </w:rPr>
            </w:pPr>
            <w:r w:rsidRPr="00B84A84">
              <w:rPr>
                <w:rFonts w:ascii="Arial" w:hAnsi="Arial" w:cs="Arial"/>
                <w:b/>
                <w:sz w:val="14"/>
                <w:szCs w:val="14"/>
                <w:lang w:val="fr-CA"/>
              </w:rPr>
              <w:t>YK</w:t>
            </w:r>
          </w:p>
        </w:tc>
      </w:tr>
      <w:tr w:rsidR="004B2E86" w:rsidRPr="00B84A84" w:rsidTr="00691D1D">
        <w:tc>
          <w:tcPr>
            <w:tcW w:w="1890" w:type="dxa"/>
            <w:tcBorders>
              <w:top w:val="nil"/>
              <w:left w:val="nil"/>
              <w:bottom w:val="nil"/>
              <w:right w:val="double" w:sz="4" w:space="0" w:color="auto"/>
            </w:tcBorders>
            <w:vAlign w:val="center"/>
            <w:hideMark/>
          </w:tcPr>
          <w:p w:rsidR="004B2E86" w:rsidRPr="00B84A84" w:rsidRDefault="004B2E86" w:rsidP="00691D1D">
            <w:pPr>
              <w:spacing w:before="60"/>
              <w:rPr>
                <w:rFonts w:ascii="Arial" w:hAnsi="Arial" w:cs="Arial"/>
                <w:b/>
                <w:sz w:val="14"/>
                <w:szCs w:val="14"/>
                <w:lang w:val="fr-CA"/>
              </w:rPr>
            </w:pPr>
            <w:r w:rsidRPr="00B84A84">
              <w:rPr>
                <w:rFonts w:ascii="Arial" w:hAnsi="Arial" w:cs="Arial"/>
                <w:b/>
                <w:sz w:val="14"/>
                <w:szCs w:val="14"/>
                <w:lang w:val="fr-CA"/>
              </w:rPr>
              <w:t>Court conference /</w:t>
            </w:r>
          </w:p>
          <w:p w:rsidR="004B2E86" w:rsidRPr="00B84A84" w:rsidRDefault="004B2E86" w:rsidP="00691D1D">
            <w:pPr>
              <w:rPr>
                <w:rFonts w:ascii="Arial" w:hAnsi="Arial" w:cs="Arial"/>
                <w:b/>
                <w:sz w:val="14"/>
                <w:szCs w:val="14"/>
                <w:lang w:val="fr-CA"/>
              </w:rPr>
            </w:pPr>
            <w:r w:rsidRPr="00B84A84">
              <w:rPr>
                <w:rFonts w:ascii="Arial" w:hAnsi="Arial" w:cs="Arial"/>
                <w:b/>
                <w:sz w:val="14"/>
                <w:szCs w:val="14"/>
                <w:lang w:val="fr-CA"/>
              </w:rPr>
              <w:t>Conférence de la Cour</w:t>
            </w:r>
          </w:p>
        </w:tc>
        <w:tc>
          <w:tcPr>
            <w:tcW w:w="54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rsidR="004B2E86" w:rsidRPr="00B84A84" w:rsidRDefault="004B2E86" w:rsidP="00691D1D">
            <w:pPr>
              <w:jc w:val="center"/>
              <w:rPr>
                <w:rFonts w:ascii="Arial" w:hAnsi="Arial" w:cs="Arial"/>
                <w:b/>
                <w:sz w:val="14"/>
                <w:szCs w:val="14"/>
                <w:lang w:val="fr-FR"/>
              </w:rPr>
            </w:pPr>
            <w:r w:rsidRPr="00B84A84">
              <w:rPr>
                <w:rFonts w:ascii="Arial" w:hAnsi="Arial" w:cs="Arial"/>
                <w:b/>
                <w:sz w:val="14"/>
                <w:szCs w:val="14"/>
                <w:lang w:val="fr-FR"/>
              </w:rPr>
              <w:t>CC</w:t>
            </w:r>
          </w:p>
        </w:tc>
        <w:tc>
          <w:tcPr>
            <w:tcW w:w="3524" w:type="dxa"/>
            <w:tcBorders>
              <w:top w:val="nil"/>
              <w:left w:val="double" w:sz="4" w:space="0" w:color="auto"/>
              <w:bottom w:val="nil"/>
              <w:right w:val="nil"/>
            </w:tcBorders>
            <w:hideMark/>
          </w:tcPr>
          <w:p w:rsidR="004B2E86" w:rsidRPr="00B84A84" w:rsidRDefault="004B2E86" w:rsidP="00691D1D">
            <w:pPr>
              <w:tabs>
                <w:tab w:val="left" w:pos="203"/>
              </w:tabs>
              <w:spacing w:before="120"/>
              <w:rPr>
                <w:rFonts w:ascii="Arial" w:hAnsi="Arial" w:cs="Arial"/>
                <w:b/>
                <w:sz w:val="14"/>
                <w:szCs w:val="14"/>
                <w:lang w:val="fr-CA"/>
              </w:rPr>
            </w:pPr>
            <w:r w:rsidRPr="00B84A84">
              <w:rPr>
                <w:rFonts w:ascii="Arial" w:hAnsi="Arial" w:cs="Arial"/>
                <w:b/>
                <w:sz w:val="14"/>
                <w:szCs w:val="14"/>
                <w:lang w:val="fr-CA"/>
              </w:rPr>
              <w:t>9</w:t>
            </w:r>
            <w:r w:rsidRPr="00B84A84">
              <w:rPr>
                <w:rFonts w:ascii="Arial" w:hAnsi="Arial" w:cs="Arial"/>
                <w:b/>
                <w:sz w:val="14"/>
                <w:szCs w:val="14"/>
                <w:lang w:val="fr-CA"/>
              </w:rPr>
              <w:tab/>
              <w:t>Court conference days /</w:t>
            </w:r>
          </w:p>
          <w:p w:rsidR="004B2E86" w:rsidRPr="00B84A84" w:rsidRDefault="004B2E86" w:rsidP="00691D1D">
            <w:pPr>
              <w:tabs>
                <w:tab w:val="left" w:pos="203"/>
              </w:tabs>
              <w:rPr>
                <w:rFonts w:ascii="Arial" w:hAnsi="Arial" w:cs="Arial"/>
                <w:b/>
                <w:sz w:val="14"/>
                <w:szCs w:val="14"/>
                <w:lang w:val="fr-CA"/>
              </w:rPr>
            </w:pPr>
            <w:r w:rsidRPr="00B84A84">
              <w:rPr>
                <w:rFonts w:ascii="Arial" w:hAnsi="Arial" w:cs="Arial"/>
                <w:b/>
                <w:sz w:val="14"/>
                <w:szCs w:val="14"/>
                <w:lang w:val="fr-CA"/>
              </w:rPr>
              <w:tab/>
              <w:t>jours de conférence de la Cour</w:t>
            </w:r>
          </w:p>
        </w:tc>
        <w:tc>
          <w:tcPr>
            <w:tcW w:w="3828" w:type="dxa"/>
            <w:tcMar>
              <w:top w:w="0" w:type="dxa"/>
              <w:left w:w="58" w:type="dxa"/>
              <w:bottom w:w="0" w:type="dxa"/>
              <w:right w:w="58" w:type="dxa"/>
            </w:tcMar>
            <w:hideMark/>
          </w:tcPr>
          <w:p w:rsidR="004B2E86" w:rsidRPr="00B84A84" w:rsidRDefault="004B2E86" w:rsidP="00691D1D">
            <w:pPr>
              <w:rPr>
                <w:rFonts w:ascii="Arial" w:hAnsi="Arial" w:cs="Arial"/>
                <w:b/>
                <w:sz w:val="14"/>
                <w:szCs w:val="14"/>
                <w:lang w:val="en-US"/>
              </w:rPr>
            </w:pPr>
            <w:r w:rsidRPr="00B84A84">
              <w:rPr>
                <w:rFonts w:ascii="Arial" w:hAnsi="Arial" w:cs="Arial"/>
                <w:b/>
                <w:sz w:val="14"/>
                <w:szCs w:val="14"/>
                <w:lang w:val="en-US"/>
              </w:rPr>
              <w:t>Greek Orthodox Easter / Pâques orthodoxe grecque</w:t>
            </w:r>
          </w:p>
        </w:tc>
        <w:tc>
          <w:tcPr>
            <w:tcW w:w="567" w:type="dxa"/>
            <w:hideMark/>
          </w:tcPr>
          <w:p w:rsidR="004B2E86" w:rsidRPr="00B84A84" w:rsidRDefault="004B2E86" w:rsidP="00691D1D">
            <w:pPr>
              <w:jc w:val="center"/>
              <w:rPr>
                <w:rFonts w:ascii="Arial" w:hAnsi="Arial" w:cs="Arial"/>
                <w:b/>
                <w:sz w:val="14"/>
                <w:szCs w:val="14"/>
                <w:lang w:val="en-US"/>
              </w:rPr>
            </w:pPr>
            <w:r w:rsidRPr="00B84A84">
              <w:rPr>
                <w:rFonts w:ascii="Arial" w:hAnsi="Arial" w:cs="Arial"/>
                <w:b/>
                <w:sz w:val="14"/>
                <w:szCs w:val="14"/>
                <w:lang w:val="en-US"/>
              </w:rPr>
              <w:t>GO</w:t>
            </w:r>
          </w:p>
        </w:tc>
      </w:tr>
      <w:tr w:rsidR="004B2E86" w:rsidRPr="00B84A84" w:rsidTr="00691D1D">
        <w:trPr>
          <w:trHeight w:val="420"/>
        </w:trPr>
        <w:tc>
          <w:tcPr>
            <w:tcW w:w="1890" w:type="dxa"/>
            <w:tcBorders>
              <w:top w:val="nil"/>
              <w:left w:val="nil"/>
              <w:bottom w:val="nil"/>
              <w:right w:val="double" w:sz="4" w:space="0" w:color="auto"/>
            </w:tcBorders>
            <w:vAlign w:val="center"/>
            <w:hideMark/>
          </w:tcPr>
          <w:p w:rsidR="004B2E86" w:rsidRPr="00B84A84" w:rsidRDefault="004B2E86" w:rsidP="00691D1D">
            <w:pPr>
              <w:rPr>
                <w:rFonts w:ascii="Arial" w:hAnsi="Arial" w:cs="Arial"/>
                <w:b/>
                <w:sz w:val="14"/>
                <w:szCs w:val="14"/>
              </w:rPr>
            </w:pPr>
            <w:r w:rsidRPr="00B84A84">
              <w:rPr>
                <w:rFonts w:ascii="Arial" w:hAnsi="Arial" w:cs="Arial"/>
                <w:b/>
                <w:sz w:val="14"/>
                <w:szCs w:val="14"/>
              </w:rPr>
              <w:t xml:space="preserve">Holiday / </w:t>
            </w:r>
            <w:r w:rsidRPr="00B84A84">
              <w:rPr>
                <w:rFonts w:ascii="Arial" w:hAnsi="Arial" w:cs="Arial"/>
                <w:b/>
                <w:sz w:val="14"/>
                <w:szCs w:val="14"/>
                <w:lang w:val="fr-CA"/>
              </w:rPr>
              <w:t>Jour férié</w:t>
            </w:r>
          </w:p>
        </w:tc>
        <w:tc>
          <w:tcPr>
            <w:tcW w:w="540" w:type="dxa"/>
            <w:tcBorders>
              <w:top w:val="double" w:sz="4" w:space="0" w:color="auto"/>
              <w:left w:val="double" w:sz="4" w:space="0" w:color="auto"/>
              <w:bottom w:val="double" w:sz="4" w:space="0" w:color="auto"/>
              <w:right w:val="double" w:sz="4" w:space="0" w:color="auto"/>
            </w:tcBorders>
            <w:vAlign w:val="center"/>
            <w:hideMark/>
          </w:tcPr>
          <w:p w:rsidR="004B2E86" w:rsidRPr="00B84A84" w:rsidRDefault="004B2E86" w:rsidP="00691D1D">
            <w:pPr>
              <w:jc w:val="center"/>
              <w:rPr>
                <w:rFonts w:ascii="Arial" w:hAnsi="Arial" w:cs="Arial"/>
                <w:b/>
                <w:sz w:val="14"/>
                <w:szCs w:val="14"/>
              </w:rPr>
            </w:pPr>
            <w:r w:rsidRPr="00B84A84">
              <w:rPr>
                <w:rFonts w:ascii="Arial" w:hAnsi="Arial" w:cs="Arial"/>
                <w:b/>
                <w:sz w:val="14"/>
                <w:szCs w:val="14"/>
              </w:rPr>
              <w:t>H</w:t>
            </w:r>
          </w:p>
        </w:tc>
        <w:tc>
          <w:tcPr>
            <w:tcW w:w="3524" w:type="dxa"/>
            <w:tcBorders>
              <w:top w:val="nil"/>
              <w:left w:val="double" w:sz="4" w:space="0" w:color="auto"/>
              <w:bottom w:val="nil"/>
              <w:right w:val="nil"/>
            </w:tcBorders>
            <w:hideMark/>
          </w:tcPr>
          <w:p w:rsidR="004B2E86" w:rsidRPr="00B84A84" w:rsidRDefault="004B2E86" w:rsidP="00691D1D">
            <w:pPr>
              <w:tabs>
                <w:tab w:val="left" w:pos="203"/>
              </w:tabs>
              <w:spacing w:before="120"/>
              <w:rPr>
                <w:rFonts w:ascii="Arial" w:hAnsi="Arial" w:cs="Arial"/>
                <w:b/>
                <w:sz w:val="14"/>
                <w:szCs w:val="14"/>
              </w:rPr>
            </w:pPr>
            <w:r w:rsidRPr="00B84A84">
              <w:rPr>
                <w:rFonts w:ascii="Arial" w:hAnsi="Arial" w:cs="Arial"/>
                <w:b/>
                <w:sz w:val="14"/>
                <w:szCs w:val="14"/>
              </w:rPr>
              <w:t>4</w:t>
            </w:r>
            <w:r w:rsidRPr="00B84A84">
              <w:rPr>
                <w:rFonts w:ascii="Arial" w:hAnsi="Arial" w:cs="Arial"/>
                <w:b/>
                <w:sz w:val="14"/>
                <w:szCs w:val="14"/>
              </w:rPr>
              <w:tab/>
              <w:t xml:space="preserve">holidays during sitting days / </w:t>
            </w:r>
          </w:p>
          <w:p w:rsidR="004B2E86" w:rsidRDefault="004B2E86" w:rsidP="00691D1D">
            <w:pPr>
              <w:tabs>
                <w:tab w:val="left" w:pos="203"/>
              </w:tabs>
              <w:rPr>
                <w:rFonts w:ascii="Arial" w:hAnsi="Arial" w:cs="Arial"/>
                <w:b/>
                <w:sz w:val="14"/>
                <w:szCs w:val="14"/>
                <w:lang w:val="fr-CA"/>
              </w:rPr>
            </w:pPr>
            <w:r w:rsidRPr="00B84A84">
              <w:rPr>
                <w:rFonts w:ascii="Arial" w:hAnsi="Arial" w:cs="Arial"/>
                <w:b/>
                <w:sz w:val="14"/>
                <w:szCs w:val="14"/>
              </w:rPr>
              <w:tab/>
            </w:r>
            <w:r w:rsidRPr="00B84A84">
              <w:rPr>
                <w:rFonts w:ascii="Arial" w:hAnsi="Arial" w:cs="Arial"/>
                <w:b/>
                <w:sz w:val="14"/>
                <w:szCs w:val="14"/>
                <w:lang w:val="fr-CA"/>
              </w:rPr>
              <w:t>jours fériés durant les séances</w:t>
            </w:r>
          </w:p>
        </w:tc>
        <w:tc>
          <w:tcPr>
            <w:tcW w:w="3828" w:type="dxa"/>
            <w:tcMar>
              <w:top w:w="0" w:type="dxa"/>
              <w:left w:w="58" w:type="dxa"/>
              <w:bottom w:w="0" w:type="dxa"/>
              <w:right w:w="58" w:type="dxa"/>
            </w:tcMar>
          </w:tcPr>
          <w:p w:rsidR="004B2E86" w:rsidRDefault="004B2E86" w:rsidP="00691D1D">
            <w:pPr>
              <w:rPr>
                <w:rFonts w:ascii="Arial" w:hAnsi="Arial" w:cs="Arial"/>
                <w:b/>
                <w:sz w:val="14"/>
                <w:szCs w:val="14"/>
                <w:lang w:val="fr-FR"/>
              </w:rPr>
            </w:pPr>
          </w:p>
        </w:tc>
        <w:tc>
          <w:tcPr>
            <w:tcW w:w="567" w:type="dxa"/>
          </w:tcPr>
          <w:p w:rsidR="004B2E86" w:rsidRDefault="004B2E86" w:rsidP="00691D1D">
            <w:pPr>
              <w:jc w:val="center"/>
              <w:rPr>
                <w:rFonts w:ascii="Arial" w:hAnsi="Arial" w:cs="Arial"/>
                <w:b/>
                <w:sz w:val="14"/>
                <w:szCs w:val="14"/>
                <w:lang w:val="fr-FR"/>
              </w:rPr>
            </w:pPr>
          </w:p>
        </w:tc>
      </w:tr>
    </w:tbl>
    <w:p w:rsidR="002410B8" w:rsidRPr="0022323B" w:rsidRDefault="002410B8" w:rsidP="004B2E86">
      <w:pPr>
        <w:tabs>
          <w:tab w:val="center" w:pos="5220"/>
          <w:tab w:val="right" w:pos="10800"/>
        </w:tabs>
        <w:jc w:val="center"/>
        <w:rPr>
          <w:lang w:val="fr-CA"/>
        </w:rPr>
      </w:pPr>
    </w:p>
    <w:sectPr w:rsidR="002410B8" w:rsidRPr="0022323B" w:rsidSect="003008F5">
      <w:headerReference w:type="default" r:id="rId60"/>
      <w:footerReference w:type="default" r:id="rId61"/>
      <w:pgSz w:w="12240" w:h="15840" w:code="1"/>
      <w:pgMar w:top="720" w:right="720" w:bottom="990" w:left="1080" w:header="144" w:footer="14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D3B" w:rsidRDefault="00691D3B" w:rsidP="00A87207">
      <w:r>
        <w:separator/>
      </w:r>
    </w:p>
  </w:endnote>
  <w:endnote w:type="continuationSeparator" w:id="0">
    <w:p w:rsidR="00691D3B" w:rsidRDefault="00691D3B" w:rsidP="00A8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imes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auOT">
    <w:altName w:val="Times New Roman"/>
    <w:panose1 w:val="00000000000000000000"/>
    <w:charset w:val="00"/>
    <w:family w:val="roman"/>
    <w:notTrueType/>
    <w:pitch w:val="default"/>
  </w:font>
  <w:font w:name="New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A49" w:rsidRDefault="005E1A4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3B" w:rsidRDefault="005E1A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fr-CA"/>
      </w:rPr>
      <w:pict>
        <v:rect id="_x0000_i1051" style="width:480.95pt;height:1pt" o:hralign="center" o:hrstd="t" o:hrnoshade="t" o:hr="t" fillcolor="black [3213]" stroked="f"/>
      </w:pict>
    </w:r>
  </w:p>
  <w:p w:rsidR="00691D3B" w:rsidRPr="0009648D" w:rsidRDefault="00691D3B" w:rsidP="00ED7E83">
    <w:pPr>
      <w:tabs>
        <w:tab w:val="center" w:pos="4680"/>
      </w:tabs>
    </w:pPr>
    <w:r>
      <w:tab/>
    </w:r>
    <w:r w:rsidRPr="0009648D">
      <w:t xml:space="preserve">- </w:t>
    </w:r>
    <w:r>
      <w:fldChar w:fldCharType="begin"/>
    </w:r>
    <w:r>
      <w:instrText xml:space="preserve"> PAGE   \* MERGEFORMAT </w:instrText>
    </w:r>
    <w:r>
      <w:fldChar w:fldCharType="separate"/>
    </w:r>
    <w:r w:rsidR="005E1A49">
      <w:rPr>
        <w:noProof/>
      </w:rPr>
      <w:t>10</w:t>
    </w:r>
    <w:r>
      <w:rPr>
        <w:noProof/>
      </w:rPr>
      <w:fldChar w:fldCharType="end"/>
    </w:r>
    <w:r w:rsidRPr="0009648D">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3B" w:rsidRDefault="005E1A49">
    <w:pPr>
      <w:pStyle w:val="Footer"/>
      <w:rPr>
        <w:lang w:val="fr-CA"/>
      </w:rPr>
    </w:pPr>
    <w:r>
      <w:rPr>
        <w:lang w:val="fr-CA"/>
      </w:rPr>
      <w:pict>
        <v:rect id="_x0000_i1052" style="width:480.95pt;height:1pt" o:hralign="center" o:hrstd="t" o:hrnoshade="t" o:hr="t" fillcolor="black [3213]" stroked="f"/>
      </w:pict>
    </w:r>
  </w:p>
  <w:p w:rsidR="00691D3B" w:rsidRDefault="00691D3B" w:rsidP="00245129">
    <w:pPr>
      <w:tabs>
        <w:tab w:val="center" w:pos="4680"/>
      </w:tabs>
    </w:pPr>
    <w:r>
      <w:tab/>
    </w:r>
    <w:r w:rsidRPr="0009648D">
      <w:t xml:space="preserve">- </w:t>
    </w:r>
    <w:r>
      <w:fldChar w:fldCharType="begin"/>
    </w:r>
    <w:r>
      <w:instrText xml:space="preserve"> PAGE   \* MERGEFORMAT </w:instrText>
    </w:r>
    <w:r>
      <w:fldChar w:fldCharType="separate"/>
    </w:r>
    <w:r w:rsidR="005E1A49">
      <w:rPr>
        <w:noProof/>
      </w:rPr>
      <w:t>5</w:t>
    </w:r>
    <w:r>
      <w:rPr>
        <w:noProof/>
      </w:rPr>
      <w:fldChar w:fldCharType="end"/>
    </w:r>
    <w:r w:rsidRPr="0009648D">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3B" w:rsidRDefault="00691D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691D3B" w:rsidRDefault="00691D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691D3B" w:rsidRDefault="00691D3B">
    <w:pPr>
      <w:tabs>
        <w:tab w:val="center" w:pos="4740"/>
      </w:tabs>
    </w:pPr>
    <w:r>
      <w:tab/>
      <w:t xml:space="preserve">- </w:t>
    </w:r>
    <w:r>
      <w:pgNum/>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3B" w:rsidRDefault="005E1A49" w:rsidP="00732DB7">
    <w:r>
      <w:pict>
        <v:rect id="_x0000_i1056" style="width:480.95pt;height:1pt" o:hralign="center" o:hrstd="t" o:hrnoshade="t" o:hr="t" fillcolor="black" stroked="f"/>
      </w:pict>
    </w:r>
  </w:p>
  <w:p w:rsidR="00691D3B" w:rsidRDefault="00691D3B">
    <w:pPr>
      <w:tabs>
        <w:tab w:val="center" w:pos="4740"/>
      </w:tabs>
      <w:spacing w:line="0" w:lineRule="atLeast"/>
    </w:pPr>
    <w:r>
      <w:tab/>
      <w:t xml:space="preserve">- </w:t>
    </w:r>
    <w:r>
      <w:pgNum/>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3B" w:rsidRDefault="005E1A49">
    <w:pPr>
      <w:pStyle w:val="Footer"/>
    </w:pPr>
    <w:r>
      <w:pict>
        <v:rect id="_x0000_i1057" style="width:480.95pt;height:1pt" o:hralign="center" o:hrstd="t" o:hrnoshade="t" o:hr="t" fillcolor="black" stroked="f"/>
      </w:pict>
    </w:r>
  </w:p>
  <w:p w:rsidR="00691D3B" w:rsidRPr="00283C52" w:rsidRDefault="00691D3B">
    <w:pPr>
      <w:pStyle w:val="Footer"/>
    </w:pPr>
    <w:r>
      <w:tab/>
    </w:r>
    <w:r w:rsidRPr="00283C52">
      <w:t xml:space="preserve">- </w:t>
    </w:r>
    <w:r w:rsidRPr="00283C52">
      <w:pgNum/>
    </w:r>
    <w:r w:rsidRPr="00283C52">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3B" w:rsidRDefault="00691D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691D3B" w:rsidRDefault="00691D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691D3B" w:rsidRDefault="00691D3B">
    <w:pPr>
      <w:tabs>
        <w:tab w:val="center" w:pos="4740"/>
      </w:tabs>
    </w:pPr>
    <w:r>
      <w:tab/>
      <w:t xml:space="preserve">- </w:t>
    </w:r>
    <w:r>
      <w:pgNum/>
    </w:r>
    <w: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3B" w:rsidRDefault="00691D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691D3B" w:rsidRDefault="005E1A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59" style="width:480.95pt;height:1pt" o:hralign="center" o:hrstd="t" o:hrnoshade="t" o:hr="t" fillcolor="black [3213]" stroked="f"/>
      </w:pict>
    </w:r>
  </w:p>
  <w:p w:rsidR="00691D3B" w:rsidRDefault="00691D3B"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5E1A49">
      <w:rPr>
        <w:noProof/>
        <w:szCs w:val="24"/>
      </w:rPr>
      <w:t>17</w:t>
    </w:r>
    <w:r w:rsidRPr="001775C1">
      <w:rPr>
        <w:szCs w:val="24"/>
      </w:rPr>
      <w:fldChar w:fldCharType="end"/>
    </w:r>
    <w: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3B" w:rsidRDefault="005E1A49" w:rsidP="00782AE4">
    <w:pPr>
      <w:tabs>
        <w:tab w:val="center" w:pos="4680"/>
      </w:tabs>
    </w:pPr>
    <w:r>
      <w:pict>
        <v:rect id="_x0000_i1060" style="width:480.95pt;height:1pt" o:hralign="center" o:hrstd="t" o:hrnoshade="t" o:hr="t" fillcolor="black [3213]" stroked="f"/>
      </w:pict>
    </w:r>
  </w:p>
  <w:p w:rsidR="00691D3B" w:rsidRDefault="00691D3B" w:rsidP="00782AE4">
    <w:pPr>
      <w:tabs>
        <w:tab w:val="center" w:pos="4680"/>
      </w:tabs>
    </w:pPr>
    <w:r>
      <w:tab/>
      <w:t xml:space="preserve">- </w:t>
    </w:r>
    <w:r w:rsidRPr="001775C1">
      <w:rPr>
        <w:szCs w:val="24"/>
      </w:rPr>
      <w:fldChar w:fldCharType="begin"/>
    </w:r>
    <w:r w:rsidRPr="001775C1">
      <w:rPr>
        <w:szCs w:val="24"/>
      </w:rPr>
      <w:instrText xml:space="preserve"> PAGE   \* MERGEFORMAT </w:instrText>
    </w:r>
    <w:r w:rsidRPr="001775C1">
      <w:rPr>
        <w:szCs w:val="24"/>
      </w:rPr>
      <w:fldChar w:fldCharType="separate"/>
    </w:r>
    <w:r w:rsidR="005E1A49">
      <w:rPr>
        <w:noProof/>
        <w:szCs w:val="24"/>
      </w:rPr>
      <w:t>13</w:t>
    </w:r>
    <w:r w:rsidRPr="001775C1">
      <w:rPr>
        <w:szCs w:val="24"/>
      </w:rPr>
      <w:fldChar w:fldCharType="end"/>
    </w:r>
    <w: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3B" w:rsidRPr="00924065" w:rsidRDefault="00691D3B" w:rsidP="0092406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A49" w:rsidRDefault="005E1A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A49" w:rsidRDefault="005E1A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3B" w:rsidRDefault="005E1A49" w:rsidP="00A87207">
    <w:pPr>
      <w:pStyle w:val="Footer"/>
    </w:pPr>
    <w:r>
      <w:pict>
        <v:rect id="_x0000_i1040" style="width:480.95pt;height:1pt" o:hralign="center" o:hrstd="t" o:hrnoshade="t" o:hr="t" fillcolor="black [3213]" stroked="f"/>
      </w:pict>
    </w:r>
  </w:p>
  <w:p w:rsidR="00691D3B" w:rsidRPr="00B7374B" w:rsidRDefault="00691D3B" w:rsidP="00B7374B">
    <w:pPr>
      <w:tabs>
        <w:tab w:val="center" w:pos="4680"/>
      </w:tabs>
      <w:rPr>
        <w:szCs w:val="24"/>
      </w:rPr>
    </w:pPr>
    <w:r w:rsidRPr="00954D22">
      <w:rPr>
        <w:szCs w:val="24"/>
      </w:rPr>
      <w:tab/>
      <w:t xml:space="preserve">- </w:t>
    </w:r>
    <w:r w:rsidRPr="00954D22">
      <w:rPr>
        <w:szCs w:val="24"/>
      </w:rPr>
      <w:fldChar w:fldCharType="begin"/>
    </w:r>
    <w:r w:rsidRPr="00954D22">
      <w:rPr>
        <w:szCs w:val="24"/>
      </w:rPr>
      <w:instrText xml:space="preserve"> PAGE   \* MERGEFORMAT </w:instrText>
    </w:r>
    <w:r w:rsidRPr="00954D22">
      <w:rPr>
        <w:szCs w:val="24"/>
      </w:rPr>
      <w:fldChar w:fldCharType="separate"/>
    </w:r>
    <w:r w:rsidR="005E1A49">
      <w:rPr>
        <w:noProof/>
        <w:szCs w:val="24"/>
      </w:rPr>
      <w:t>3</w:t>
    </w:r>
    <w:r w:rsidRPr="00954D22">
      <w:rPr>
        <w:szCs w:val="24"/>
      </w:rPr>
      <w:fldChar w:fldCharType="end"/>
    </w:r>
    <w:r w:rsidRPr="00954D22">
      <w:rPr>
        <w:szCs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3B" w:rsidRDefault="005E1A49" w:rsidP="00755F22">
    <w:pPr>
      <w:tabs>
        <w:tab w:val="left" w:pos="-1440"/>
        <w:tab w:val="left" w:pos="-720"/>
      </w:tabs>
    </w:pPr>
    <w:r>
      <w:pict>
        <v:rect id="_x0000_i1041" style="width:480.95pt;height:1pt" o:hralign="center" o:hrstd="t" o:hrnoshade="t" o:hr="t" fillcolor="black [3213]" stroked="f"/>
      </w:pict>
    </w:r>
  </w:p>
  <w:p w:rsidR="00691D3B" w:rsidRPr="00954D22" w:rsidRDefault="00691D3B" w:rsidP="00B7374B">
    <w:pPr>
      <w:tabs>
        <w:tab w:val="center" w:pos="4680"/>
      </w:tabs>
      <w:rPr>
        <w:szCs w:val="24"/>
      </w:rPr>
    </w:pPr>
    <w:r w:rsidRPr="00954D22">
      <w:rPr>
        <w:szCs w:val="24"/>
      </w:rPr>
      <w:tab/>
      <w:t xml:space="preserve">- </w:t>
    </w:r>
    <w:r>
      <w:rPr>
        <w:szCs w:val="24"/>
      </w:rPr>
      <w:fldChar w:fldCharType="begin"/>
    </w:r>
    <w:r>
      <w:rPr>
        <w:szCs w:val="24"/>
      </w:rPr>
      <w:instrText xml:space="preserve"> PAGE   \* MERGEFORMAT </w:instrText>
    </w:r>
    <w:r>
      <w:rPr>
        <w:szCs w:val="24"/>
      </w:rPr>
      <w:fldChar w:fldCharType="separate"/>
    </w:r>
    <w:r w:rsidR="005E1A49">
      <w:rPr>
        <w:noProof/>
        <w:szCs w:val="24"/>
      </w:rPr>
      <w:t>1</w:t>
    </w:r>
    <w:r>
      <w:rPr>
        <w:szCs w:val="24"/>
      </w:rPr>
      <w:fldChar w:fldCharType="end"/>
    </w:r>
    <w:r w:rsidRPr="00954D22">
      <w:rPr>
        <w:szCs w:val="24"/>
      </w:rPr>
      <w:t xml:space="preserve"> -</w:t>
    </w:r>
  </w:p>
  <w:p w:rsidR="00691D3B" w:rsidRDefault="00691D3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3B" w:rsidRDefault="00691D3B">
    <w:pPr>
      <w:tabs>
        <w:tab w:val="left" w:pos="-307"/>
        <w:tab w:val="left" w:pos="4609"/>
        <w:tab w:val="left" w:pos="0"/>
        <w:tab w:val="left" w:pos="-288"/>
        <w:tab w:val="left" w:pos="-293"/>
        <w:tab w:val="left" w:pos="-307"/>
        <w:tab w:val="decimal" w:pos="-307"/>
        <w:tab w:val="left" w:pos="-306"/>
        <w:tab w:val="right" w:pos="-307"/>
        <w:tab w:val="left" w:pos="9523"/>
        <w:tab w:val="left" w:pos="29"/>
        <w:tab w:val="center" w:pos="-288"/>
        <w:tab w:val="center" w:pos="331"/>
        <w:tab w:val="left" w:pos="-307"/>
        <w:tab w:val="left" w:pos="-154"/>
        <w:tab w:val="left" w:pos="-306"/>
        <w:tab w:val="right" w:pos="-307"/>
        <w:tab w:val="left" w:pos="9523"/>
        <w:tab w:val="center" w:pos="10"/>
        <w:tab w:val="left" w:pos="-288"/>
        <w:tab w:val="left" w:pos="317"/>
        <w:tab w:val="left" w:pos="-307"/>
        <w:tab w:val="left" w:pos="-307"/>
        <w:tab w:val="left" w:pos="-306"/>
        <w:tab w:val="left" w:pos="-307"/>
        <w:tab w:val="left" w:pos="-306"/>
        <w:tab w:val="left" w:pos="0"/>
        <w:tab w:val="left" w:pos="-288"/>
        <w:tab w:val="left" w:pos="-298"/>
        <w:tab w:val="center" w:pos="-307"/>
        <w:tab w:val="left" w:pos="0"/>
        <w:tab w:val="left" w:pos="-288"/>
        <w:tab w:val="left" w:pos="-307"/>
        <w:tab w:val="left" w:pos="-96"/>
        <w:tab w:val="left" w:pos="0"/>
        <w:tab w:val="left" w:pos="-307"/>
        <w:tab w:val="left" w:pos="-307"/>
        <w:tab w:val="center" w:pos="-307"/>
        <w:tab w:val="right" w:pos="0"/>
        <w:tab w:val="left" w:pos="-306"/>
      </w:tabs>
      <w:spacing w:line="-19" w:lineRule="auto"/>
    </w:pPr>
  </w:p>
  <w:p w:rsidR="00691D3B" w:rsidRDefault="00691D3B">
    <w:pPr>
      <w:tabs>
        <w:tab w:val="left" w:pos="-307"/>
        <w:tab w:val="left" w:pos="4609"/>
        <w:tab w:val="left" w:pos="0"/>
        <w:tab w:val="left" w:pos="-288"/>
        <w:tab w:val="left" w:pos="-293"/>
        <w:tab w:val="left" w:pos="-307"/>
        <w:tab w:val="decimal" w:pos="-307"/>
        <w:tab w:val="left" w:pos="-306"/>
        <w:tab w:val="right" w:pos="-307"/>
        <w:tab w:val="left" w:pos="9523"/>
        <w:tab w:val="left" w:pos="29"/>
        <w:tab w:val="center" w:pos="-288"/>
        <w:tab w:val="center" w:pos="331"/>
        <w:tab w:val="left" w:pos="-307"/>
        <w:tab w:val="left" w:pos="-154"/>
        <w:tab w:val="left" w:pos="-306"/>
        <w:tab w:val="right" w:pos="-307"/>
        <w:tab w:val="left" w:pos="9523"/>
        <w:tab w:val="center" w:pos="10"/>
        <w:tab w:val="left" w:pos="-288"/>
        <w:tab w:val="left" w:pos="317"/>
        <w:tab w:val="left" w:pos="-307"/>
        <w:tab w:val="left" w:pos="-307"/>
        <w:tab w:val="left" w:pos="-306"/>
        <w:tab w:val="left" w:pos="-307"/>
        <w:tab w:val="left" w:pos="-306"/>
        <w:tab w:val="left" w:pos="0"/>
        <w:tab w:val="left" w:pos="-288"/>
        <w:tab w:val="left" w:pos="-298"/>
        <w:tab w:val="center" w:pos="-307"/>
        <w:tab w:val="left" w:pos="0"/>
        <w:tab w:val="left" w:pos="-288"/>
        <w:tab w:val="left" w:pos="-307"/>
        <w:tab w:val="left" w:pos="-96"/>
        <w:tab w:val="left" w:pos="0"/>
        <w:tab w:val="left" w:pos="-307"/>
        <w:tab w:val="left" w:pos="-307"/>
        <w:tab w:val="center" w:pos="-307"/>
        <w:tab w:val="right" w:pos="0"/>
        <w:tab w:val="left" w:pos="-306"/>
      </w:tabs>
      <w:spacing w:line="0" w:lineRule="atLeast"/>
    </w:pPr>
  </w:p>
  <w:p w:rsidR="00691D3B" w:rsidRDefault="00691D3B">
    <w:pPr>
      <w:tabs>
        <w:tab w:val="center" w:pos="4740"/>
      </w:tabs>
      <w:rPr>
        <w:rFonts w:ascii="Times New" w:hAnsi="Times New"/>
      </w:rPr>
    </w:pPr>
    <w:r>
      <w:rPr>
        <w:rFonts w:ascii="Times New" w:hAnsi="Times New"/>
      </w:rPr>
      <w:tab/>
      <w:t xml:space="preserve">- </w:t>
    </w:r>
    <w:r>
      <w:rPr>
        <w:rFonts w:ascii="Times New" w:hAnsi="Times New"/>
      </w:rPr>
      <w:pgNum/>
    </w:r>
    <w:r>
      <w:rPr>
        <w:rFonts w:ascii="Times New" w:hAnsi="Times New"/>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3B" w:rsidRDefault="00691D3B">
    <w:pPr>
      <w:tabs>
        <w:tab w:val="left" w:pos="-307"/>
        <w:tab w:val="left" w:pos="4609"/>
        <w:tab w:val="left" w:pos="0"/>
        <w:tab w:val="left" w:pos="-288"/>
        <w:tab w:val="left" w:pos="-293"/>
        <w:tab w:val="left" w:pos="-307"/>
        <w:tab w:val="decimal" w:pos="-307"/>
        <w:tab w:val="left" w:pos="-306"/>
        <w:tab w:val="right" w:pos="-307"/>
        <w:tab w:val="left" w:pos="9523"/>
        <w:tab w:val="left" w:pos="29"/>
        <w:tab w:val="center" w:pos="-288"/>
        <w:tab w:val="center" w:pos="331"/>
        <w:tab w:val="left" w:pos="-307"/>
        <w:tab w:val="left" w:pos="-154"/>
        <w:tab w:val="left" w:pos="-306"/>
        <w:tab w:val="right" w:pos="-307"/>
        <w:tab w:val="left" w:pos="9523"/>
        <w:tab w:val="center" w:pos="10"/>
        <w:tab w:val="left" w:pos="-288"/>
        <w:tab w:val="left" w:pos="317"/>
        <w:tab w:val="left" w:pos="-307"/>
        <w:tab w:val="left" w:pos="-307"/>
        <w:tab w:val="left" w:pos="-306"/>
        <w:tab w:val="left" w:pos="-307"/>
        <w:tab w:val="left" w:pos="-306"/>
        <w:tab w:val="left" w:pos="0"/>
        <w:tab w:val="left" w:pos="-288"/>
        <w:tab w:val="left" w:pos="-298"/>
        <w:tab w:val="center" w:pos="-307"/>
        <w:tab w:val="left" w:pos="0"/>
        <w:tab w:val="left" w:pos="-288"/>
        <w:tab w:val="left" w:pos="-307"/>
        <w:tab w:val="left" w:pos="-96"/>
        <w:tab w:val="left" w:pos="0"/>
        <w:tab w:val="left" w:pos="-307"/>
        <w:tab w:val="left" w:pos="-307"/>
        <w:tab w:val="center" w:pos="-307"/>
        <w:tab w:val="right" w:pos="0"/>
        <w:tab w:val="left" w:pos="-306"/>
      </w:tabs>
      <w:spacing w:line="-19" w:lineRule="auto"/>
    </w:pPr>
  </w:p>
  <w:p w:rsidR="00691D3B" w:rsidRDefault="005E1A49">
    <w:pPr>
      <w:tabs>
        <w:tab w:val="left" w:pos="-307"/>
        <w:tab w:val="left" w:pos="4609"/>
        <w:tab w:val="left" w:pos="0"/>
        <w:tab w:val="left" w:pos="-288"/>
        <w:tab w:val="left" w:pos="-293"/>
        <w:tab w:val="left" w:pos="-307"/>
        <w:tab w:val="decimal" w:pos="-307"/>
        <w:tab w:val="left" w:pos="-306"/>
        <w:tab w:val="right" w:pos="-307"/>
        <w:tab w:val="left" w:pos="9523"/>
        <w:tab w:val="left" w:pos="29"/>
        <w:tab w:val="center" w:pos="-288"/>
        <w:tab w:val="center" w:pos="331"/>
        <w:tab w:val="left" w:pos="-307"/>
        <w:tab w:val="left" w:pos="-154"/>
        <w:tab w:val="left" w:pos="-306"/>
        <w:tab w:val="right" w:pos="-307"/>
        <w:tab w:val="left" w:pos="9523"/>
        <w:tab w:val="center" w:pos="10"/>
        <w:tab w:val="left" w:pos="-288"/>
        <w:tab w:val="left" w:pos="317"/>
        <w:tab w:val="left" w:pos="-307"/>
        <w:tab w:val="left" w:pos="-307"/>
        <w:tab w:val="left" w:pos="-306"/>
        <w:tab w:val="left" w:pos="-307"/>
        <w:tab w:val="left" w:pos="-306"/>
        <w:tab w:val="left" w:pos="0"/>
        <w:tab w:val="left" w:pos="-288"/>
        <w:tab w:val="left" w:pos="-298"/>
        <w:tab w:val="center" w:pos="-307"/>
        <w:tab w:val="left" w:pos="0"/>
        <w:tab w:val="left" w:pos="-288"/>
        <w:tab w:val="left" w:pos="-307"/>
        <w:tab w:val="left" w:pos="-96"/>
        <w:tab w:val="left" w:pos="0"/>
        <w:tab w:val="left" w:pos="-307"/>
        <w:tab w:val="left" w:pos="-307"/>
        <w:tab w:val="center" w:pos="-307"/>
        <w:tab w:val="right" w:pos="0"/>
        <w:tab w:val="left" w:pos="-306"/>
      </w:tabs>
    </w:pPr>
    <w:r>
      <w:pict>
        <v:rect id="_x0000_i1043" style="width:480.95pt;height:1pt" o:hralign="center" o:hrstd="t" o:hrnoshade="t" o:hr="t" fillcolor="black [3213]" stroked="f"/>
      </w:pict>
    </w:r>
  </w:p>
  <w:p w:rsidR="00691D3B" w:rsidRDefault="00691D3B" w:rsidP="00432989">
    <w:pPr>
      <w:tabs>
        <w:tab w:val="center" w:pos="4680"/>
      </w:tabs>
    </w:pPr>
    <w:r>
      <w:tab/>
      <w:t xml:space="preserve">- </w:t>
    </w:r>
    <w:r>
      <w:fldChar w:fldCharType="begin"/>
    </w:r>
    <w:r>
      <w:instrText xml:space="preserve"> PAGE   \* MERGEFORMAT </w:instrText>
    </w:r>
    <w:r>
      <w:fldChar w:fldCharType="separate"/>
    </w:r>
    <w:r>
      <w:rPr>
        <w:noProof/>
      </w:rPr>
      <w:t>505</w:t>
    </w:r>
    <w:r>
      <w:rPr>
        <w:noProof/>
      </w:rP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3B" w:rsidRDefault="005E1A49">
    <w:pPr>
      <w:pStyle w:val="Footer"/>
    </w:pPr>
    <w:r>
      <w:pict>
        <v:rect id="_x0000_i1044" style="width:480.95pt;height:1pt" o:hralign="center" o:hrstd="t" o:hrnoshade="t" o:hr="t" fillcolor="black [3213]" stroked="f"/>
      </w:pict>
    </w:r>
  </w:p>
  <w:p w:rsidR="00691D3B" w:rsidRPr="00D7601D" w:rsidRDefault="00691D3B" w:rsidP="00432989">
    <w:pPr>
      <w:tabs>
        <w:tab w:val="center" w:pos="4680"/>
      </w:tabs>
    </w:pPr>
    <w:r>
      <w:tab/>
      <w:t xml:space="preserve">- </w:t>
    </w:r>
    <w:r>
      <w:fldChar w:fldCharType="begin"/>
    </w:r>
    <w:r>
      <w:instrText xml:space="preserve"> PAGE   \* MERGEFORMAT </w:instrText>
    </w:r>
    <w:r>
      <w:fldChar w:fldCharType="separate"/>
    </w:r>
    <w:r w:rsidR="005E1A49">
      <w:rPr>
        <w:noProof/>
      </w:rPr>
      <w:t>4</w:t>
    </w:r>
    <w:r>
      <w:rPr>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3B" w:rsidRDefault="00691D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691D3B" w:rsidRDefault="00691D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691D3B" w:rsidRDefault="00691D3B">
    <w:pPr>
      <w:tabs>
        <w:tab w:val="center" w:pos="4740"/>
      </w:tabs>
    </w:pPr>
    <w:r>
      <w:tab/>
      <w:t xml:space="preserve">- </w:t>
    </w:r>
    <w:r>
      <w:pgNum/>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D3B" w:rsidRDefault="00691D3B" w:rsidP="00A87207">
      <w:r>
        <w:separator/>
      </w:r>
    </w:p>
  </w:footnote>
  <w:footnote w:type="continuationSeparator" w:id="0">
    <w:p w:rsidR="00691D3B" w:rsidRDefault="00691D3B" w:rsidP="00A8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A49" w:rsidRDefault="005E1A4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691D3B" w:rsidRPr="00840E69" w:rsidTr="00245129">
      <w:tc>
        <w:tcPr>
          <w:tcW w:w="4200" w:type="dxa"/>
          <w:tcMar>
            <w:left w:w="0" w:type="dxa"/>
            <w:right w:w="0" w:type="dxa"/>
          </w:tcMar>
        </w:tcPr>
        <w:p w:rsidR="00691D3B" w:rsidRPr="00634F42" w:rsidRDefault="00691D3B" w:rsidP="00634F42">
          <w:pPr>
            <w:keepNext/>
            <w:keepLines/>
            <w:tabs>
              <w:tab w:val="left" w:pos="-1440"/>
              <w:tab w:val="left" w:pos="-720"/>
              <w:tab w:val="left" w:pos="0"/>
              <w:tab w:val="left" w:pos="720"/>
              <w:tab w:val="center" w:pos="2100"/>
            </w:tabs>
            <w:rPr>
              <w:sz w:val="20"/>
              <w:szCs w:val="20"/>
              <w:lang w:val="en-US"/>
            </w:rPr>
          </w:pPr>
          <w:r w:rsidRPr="00634F42">
            <w:rPr>
              <w:sz w:val="20"/>
              <w:szCs w:val="20"/>
              <w:lang w:val="en-US"/>
            </w:rPr>
            <w:t>Judgments on applications for leave</w:t>
          </w:r>
        </w:p>
      </w:tc>
      <w:tc>
        <w:tcPr>
          <w:tcW w:w="1200" w:type="dxa"/>
          <w:tcMar>
            <w:left w:w="0" w:type="dxa"/>
            <w:right w:w="0" w:type="dxa"/>
          </w:tcMar>
        </w:tcPr>
        <w:p w:rsidR="00691D3B" w:rsidRPr="00755F22" w:rsidRDefault="00691D3B"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691D3B" w:rsidRPr="00755F22" w:rsidRDefault="00691D3B"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691D3B" w:rsidRPr="00755F22" w:rsidRDefault="00691D3B">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634F42">
            <w:rPr>
              <w:sz w:val="20"/>
              <w:szCs w:val="20"/>
              <w:lang w:val="fr-CA"/>
            </w:rPr>
            <w:t>Jugements rendus sur les demandes d’autorisation</w:t>
          </w:r>
        </w:p>
      </w:tc>
    </w:tr>
  </w:tbl>
  <w:p w:rsidR="00691D3B" w:rsidRPr="00FF6BA5" w:rsidRDefault="00691D3B" w:rsidP="00755F22">
    <w:pPr>
      <w:tabs>
        <w:tab w:val="left" w:pos="-1440"/>
        <w:tab w:val="left" w:pos="-720"/>
      </w:tabs>
      <w:rPr>
        <w:lang w:val="fr-C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3B" w:rsidRDefault="00691D3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691D3B" w:rsidRPr="00840E69">
      <w:tc>
        <w:tcPr>
          <w:tcW w:w="4200" w:type="dxa"/>
          <w:tcMar>
            <w:left w:w="0" w:type="dxa"/>
            <w:right w:w="0" w:type="dxa"/>
          </w:tcMar>
        </w:tcPr>
        <w:p w:rsidR="00691D3B" w:rsidRDefault="00691D3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APPEALS HEARD SINCE LAST ISSUE AND DISPOSITION</w:t>
          </w:r>
        </w:p>
      </w:tc>
      <w:tc>
        <w:tcPr>
          <w:tcW w:w="1200" w:type="dxa"/>
          <w:tcMar>
            <w:left w:w="0" w:type="dxa"/>
            <w:right w:w="0" w:type="dxa"/>
          </w:tcMar>
        </w:tcPr>
        <w:p w:rsidR="00691D3B" w:rsidRDefault="00691D3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691D3B" w:rsidRPr="00283C52" w:rsidRDefault="00691D3B">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283C52">
            <w:rPr>
              <w:lang w:val="fr-CA"/>
            </w:rPr>
            <w:t>APPELS ENTENDUS DEPUIS LA DERNIÈRE PARUTION ET RÉSULTAT</w:t>
          </w:r>
        </w:p>
        <w:p w:rsidR="00691D3B" w:rsidRPr="00283C52" w:rsidRDefault="00691D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691D3B" w:rsidRPr="00283C52" w:rsidRDefault="00691D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00"/>
      <w:gridCol w:w="1200"/>
      <w:gridCol w:w="4080"/>
    </w:tblGrid>
    <w:tr w:rsidR="00691D3B" w:rsidRPr="00840E69" w:rsidTr="00245129">
      <w:tc>
        <w:tcPr>
          <w:tcW w:w="4200" w:type="dxa"/>
          <w:tcMar>
            <w:left w:w="0" w:type="dxa"/>
            <w:right w:w="0" w:type="dxa"/>
          </w:tcMar>
        </w:tcPr>
        <w:p w:rsidR="00691D3B" w:rsidRPr="00732DB7" w:rsidRDefault="00691D3B" w:rsidP="00732DB7">
          <w:pPr>
            <w:keepNext/>
            <w:keepLines/>
            <w:tabs>
              <w:tab w:val="left" w:pos="-1440"/>
              <w:tab w:val="left" w:pos="-720"/>
            </w:tabs>
            <w:rPr>
              <w:sz w:val="20"/>
              <w:szCs w:val="20"/>
            </w:rPr>
          </w:pPr>
          <w:r w:rsidRPr="00732DB7">
            <w:rPr>
              <w:sz w:val="20"/>
              <w:szCs w:val="20"/>
            </w:rPr>
            <w:t>APPEALS HEARD SINCE</w:t>
          </w:r>
          <w:r>
            <w:rPr>
              <w:sz w:val="20"/>
              <w:szCs w:val="20"/>
            </w:rPr>
            <w:t xml:space="preserve"> THE</w:t>
          </w:r>
          <w:r w:rsidRPr="00732DB7">
            <w:rPr>
              <w:sz w:val="20"/>
              <w:szCs w:val="20"/>
            </w:rPr>
            <w:t xml:space="preserve"> LAST ISSUE AND DISPOSITION</w:t>
          </w:r>
        </w:p>
      </w:tc>
      <w:tc>
        <w:tcPr>
          <w:tcW w:w="1200" w:type="dxa"/>
          <w:tcMar>
            <w:left w:w="0" w:type="dxa"/>
            <w:right w:w="0" w:type="dxa"/>
          </w:tcMar>
        </w:tcPr>
        <w:p w:rsidR="00691D3B" w:rsidRPr="00732DB7" w:rsidRDefault="00691D3B" w:rsidP="00732DB7">
          <w:pPr>
            <w:keepNext/>
            <w:keepLines/>
            <w:tabs>
              <w:tab w:val="left" w:pos="-1440"/>
              <w:tab w:val="left" w:pos="-720"/>
            </w:tabs>
            <w:jc w:val="center"/>
            <w:rPr>
              <w:sz w:val="20"/>
              <w:szCs w:val="20"/>
            </w:rPr>
          </w:pPr>
        </w:p>
        <w:p w:rsidR="00691D3B" w:rsidRPr="00732DB7" w:rsidRDefault="00691D3B" w:rsidP="00732DB7">
          <w:pPr>
            <w:keepNext/>
            <w:keepLines/>
            <w:tabs>
              <w:tab w:val="left" w:pos="-1440"/>
              <w:tab w:val="left" w:pos="-720"/>
            </w:tabs>
            <w:jc w:val="center"/>
            <w:rPr>
              <w:sz w:val="20"/>
              <w:szCs w:val="20"/>
            </w:rPr>
          </w:pPr>
        </w:p>
        <w:p w:rsidR="00691D3B" w:rsidRPr="00732DB7" w:rsidRDefault="00691D3B" w:rsidP="00732DB7">
          <w:pPr>
            <w:keepNext/>
            <w:keepLines/>
            <w:tabs>
              <w:tab w:val="left" w:pos="-1440"/>
              <w:tab w:val="left" w:pos="-720"/>
            </w:tabs>
            <w:jc w:val="center"/>
            <w:rPr>
              <w:sz w:val="20"/>
              <w:szCs w:val="20"/>
            </w:rPr>
          </w:pPr>
        </w:p>
      </w:tc>
      <w:tc>
        <w:tcPr>
          <w:tcW w:w="4080" w:type="dxa"/>
          <w:tcMar>
            <w:left w:w="0" w:type="dxa"/>
            <w:right w:w="0" w:type="dxa"/>
          </w:tcMar>
        </w:tcPr>
        <w:p w:rsidR="00691D3B" w:rsidRPr="00732DB7" w:rsidRDefault="00691D3B" w:rsidP="00732DB7">
          <w:pPr>
            <w:keepLines/>
            <w:tabs>
              <w:tab w:val="left" w:pos="-1440"/>
              <w:tab w:val="left" w:pos="-720"/>
            </w:tabs>
            <w:rPr>
              <w:sz w:val="20"/>
              <w:szCs w:val="20"/>
              <w:lang w:val="fr-CA"/>
            </w:rPr>
          </w:pPr>
          <w:r w:rsidRPr="00732DB7">
            <w:rPr>
              <w:sz w:val="20"/>
              <w:szCs w:val="20"/>
              <w:lang w:val="fr-CA"/>
            </w:rPr>
            <w:t>APPELS ENTENDUS DEPUIS LA DERNIÈRE PARUTION ET RÉSULTAT</w:t>
          </w:r>
        </w:p>
      </w:tc>
    </w:tr>
  </w:tbl>
  <w:p w:rsidR="00691D3B" w:rsidRPr="00283C52" w:rsidRDefault="00691D3B" w:rsidP="00732D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3B" w:rsidRDefault="00691D3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30"/>
      <w:gridCol w:w="1170"/>
      <w:gridCol w:w="4080"/>
    </w:tblGrid>
    <w:tr w:rsidR="00691D3B">
      <w:tc>
        <w:tcPr>
          <w:tcW w:w="4230" w:type="dxa"/>
          <w:tcMar>
            <w:left w:w="0" w:type="dxa"/>
            <w:right w:w="0" w:type="dxa"/>
          </w:tcMar>
        </w:tcPr>
        <w:p w:rsidR="00691D3B" w:rsidRDefault="00691D3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691D3B" w:rsidRDefault="00691D3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691D3B" w:rsidRDefault="00691D3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691D3B" w:rsidRDefault="00691D3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691D3B" w:rsidRDefault="00691D3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691D3B" w:rsidRDefault="00691D3B">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691D3B" w:rsidRDefault="00691D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691D3B" w:rsidRDefault="00691D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230"/>
      <w:gridCol w:w="1170"/>
      <w:gridCol w:w="4080"/>
    </w:tblGrid>
    <w:tr w:rsidR="00691D3B" w:rsidRPr="00840E69" w:rsidTr="00245129">
      <w:tc>
        <w:tcPr>
          <w:tcW w:w="4230" w:type="dxa"/>
          <w:tcMar>
            <w:left w:w="0" w:type="dxa"/>
            <w:right w:w="0" w:type="dxa"/>
          </w:tcMar>
        </w:tcPr>
        <w:p w:rsidR="00691D3B" w:rsidRPr="004F6A73" w:rsidRDefault="004F6A73" w:rsidP="00304AC4">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en-US"/>
            </w:rPr>
          </w:pPr>
          <w:r>
            <w:rPr>
              <w:sz w:val="20"/>
              <w:szCs w:val="20"/>
              <w:lang w:val="en-US"/>
            </w:rPr>
            <w:t>P</w:t>
          </w:r>
          <w:r w:rsidRPr="004F6A73">
            <w:rPr>
              <w:sz w:val="20"/>
              <w:szCs w:val="20"/>
              <w:lang w:val="en-US"/>
            </w:rPr>
            <w:t xml:space="preserve">ronouncements of </w:t>
          </w:r>
          <w:r w:rsidR="00304AC4">
            <w:rPr>
              <w:sz w:val="20"/>
              <w:szCs w:val="20"/>
              <w:lang w:val="en-US"/>
            </w:rPr>
            <w:t>r</w:t>
          </w:r>
          <w:r w:rsidRPr="004F6A73">
            <w:rPr>
              <w:sz w:val="20"/>
              <w:szCs w:val="20"/>
              <w:lang w:val="en-US"/>
            </w:rPr>
            <w:t xml:space="preserve">eserved </w:t>
          </w:r>
          <w:r w:rsidR="00304AC4">
            <w:rPr>
              <w:sz w:val="20"/>
              <w:szCs w:val="20"/>
              <w:lang w:val="en-US"/>
            </w:rPr>
            <w:t>a</w:t>
          </w:r>
          <w:r w:rsidRPr="004F6A73">
            <w:rPr>
              <w:sz w:val="20"/>
              <w:szCs w:val="20"/>
              <w:lang w:val="en-US"/>
            </w:rPr>
            <w:t>ppeals</w:t>
          </w:r>
        </w:p>
      </w:tc>
      <w:tc>
        <w:tcPr>
          <w:tcW w:w="1170" w:type="dxa"/>
          <w:tcMar>
            <w:left w:w="0" w:type="dxa"/>
            <w:right w:w="0" w:type="dxa"/>
          </w:tcMar>
        </w:tcPr>
        <w:p w:rsidR="00691D3B" w:rsidRDefault="00691D3B" w:rsidP="00102926">
          <w:pPr>
            <w:keepNext/>
            <w:keepLines/>
            <w:tabs>
              <w:tab w:val="left" w:pos="-1440"/>
              <w:tab w:val="left" w:pos="-720"/>
            </w:tabs>
            <w:jc w:val="center"/>
            <w:rPr>
              <w:sz w:val="20"/>
              <w:szCs w:val="20"/>
            </w:rPr>
          </w:pPr>
        </w:p>
        <w:p w:rsidR="00691D3B" w:rsidRPr="00782AE4" w:rsidRDefault="00691D3B" w:rsidP="00102926">
          <w:pPr>
            <w:keepNext/>
            <w:keepLines/>
            <w:tabs>
              <w:tab w:val="left" w:pos="-1440"/>
              <w:tab w:val="left" w:pos="-720"/>
            </w:tabs>
            <w:jc w:val="center"/>
            <w:rPr>
              <w:sz w:val="20"/>
              <w:szCs w:val="20"/>
            </w:rPr>
          </w:pPr>
        </w:p>
      </w:tc>
      <w:tc>
        <w:tcPr>
          <w:tcW w:w="4080" w:type="dxa"/>
          <w:tcMar>
            <w:left w:w="0" w:type="dxa"/>
            <w:right w:w="0" w:type="dxa"/>
          </w:tcMar>
        </w:tcPr>
        <w:p w:rsidR="00691D3B" w:rsidRPr="004F6A73" w:rsidRDefault="004F6A73" w:rsidP="00102926">
          <w:pPr>
            <w:keepLines/>
            <w:tabs>
              <w:tab w:val="left" w:pos="-1440"/>
              <w:tab w:val="left" w:pos="-720"/>
            </w:tabs>
            <w:rPr>
              <w:sz w:val="20"/>
              <w:szCs w:val="20"/>
              <w:lang w:val="fr-CA"/>
            </w:rPr>
          </w:pPr>
          <w:r w:rsidRPr="004F6A73">
            <w:rPr>
              <w:sz w:val="20"/>
              <w:szCs w:val="20"/>
              <w:lang w:val="fr-CA"/>
            </w:rPr>
            <w:t>Jugements rendus sur les appels en délibéré</w:t>
          </w:r>
        </w:p>
      </w:tc>
    </w:tr>
  </w:tbl>
  <w:p w:rsidR="00691D3B" w:rsidRPr="004F6A73" w:rsidRDefault="00691D3B"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3B" w:rsidRDefault="00691D3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3B" w:rsidRDefault="00691D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A49" w:rsidRDefault="005E1A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A49" w:rsidRDefault="005E1A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10" w:type="dxa"/>
      <w:tblInd w:w="-90" w:type="dxa"/>
      <w:tblBorders>
        <w:bottom w:val="single" w:sz="8" w:space="0" w:color="auto"/>
      </w:tblBorders>
      <w:tblLayout w:type="fixed"/>
      <w:tblCellMar>
        <w:left w:w="0" w:type="dxa"/>
        <w:right w:w="0" w:type="dxa"/>
      </w:tblCellMar>
      <w:tblLook w:val="0000" w:firstRow="0" w:lastRow="0" w:firstColumn="0" w:lastColumn="0" w:noHBand="0" w:noVBand="0"/>
    </w:tblPr>
    <w:tblGrid>
      <w:gridCol w:w="4290"/>
      <w:gridCol w:w="1200"/>
      <w:gridCol w:w="4320"/>
    </w:tblGrid>
    <w:tr w:rsidR="00691D3B" w:rsidRPr="0044776A" w:rsidTr="00245129">
      <w:tc>
        <w:tcPr>
          <w:tcW w:w="4290" w:type="dxa"/>
          <w:tcMar>
            <w:left w:w="0" w:type="dxa"/>
            <w:right w:w="0" w:type="dxa"/>
          </w:tcMar>
        </w:tcPr>
        <w:p w:rsidR="00691D3B" w:rsidRPr="00D31809" w:rsidRDefault="00691D3B" w:rsidP="00D31809">
          <w:pPr>
            <w:keepNext/>
            <w:keepLines/>
            <w:rPr>
              <w:sz w:val="20"/>
              <w:szCs w:val="20"/>
              <w:lang w:val="en-US"/>
            </w:rPr>
          </w:pPr>
          <w:r w:rsidRPr="00D31809">
            <w:rPr>
              <w:sz w:val="20"/>
              <w:szCs w:val="20"/>
              <w:lang w:val="en-US"/>
            </w:rPr>
            <w:t>Applications for leave to appeal filed</w:t>
          </w:r>
        </w:p>
        <w:p w:rsidR="00691D3B" w:rsidRPr="00D31809" w:rsidRDefault="00691D3B" w:rsidP="00D31809">
          <w:pPr>
            <w:keepNext/>
            <w:keepLines/>
            <w:rPr>
              <w:sz w:val="20"/>
              <w:szCs w:val="20"/>
            </w:rPr>
          </w:pPr>
        </w:p>
      </w:tc>
      <w:tc>
        <w:tcPr>
          <w:tcW w:w="1200" w:type="dxa"/>
          <w:tcMar>
            <w:left w:w="0" w:type="dxa"/>
            <w:right w:w="0" w:type="dxa"/>
          </w:tcMar>
        </w:tcPr>
        <w:p w:rsidR="00691D3B" w:rsidRPr="00D31809" w:rsidRDefault="00691D3B" w:rsidP="002E2327">
          <w:pPr>
            <w:keepNext/>
            <w:keepLines/>
            <w:tabs>
              <w:tab w:val="left" w:pos="-1440"/>
              <w:tab w:val="left" w:pos="-720"/>
            </w:tabs>
            <w:jc w:val="center"/>
            <w:rPr>
              <w:sz w:val="20"/>
              <w:szCs w:val="20"/>
            </w:rPr>
          </w:pPr>
        </w:p>
      </w:tc>
      <w:tc>
        <w:tcPr>
          <w:tcW w:w="4320" w:type="dxa"/>
          <w:tcMar>
            <w:left w:w="0" w:type="dxa"/>
            <w:right w:w="0" w:type="dxa"/>
          </w:tcMar>
        </w:tcPr>
        <w:p w:rsidR="00691D3B" w:rsidRPr="00D31809" w:rsidRDefault="00691D3B" w:rsidP="002E2327">
          <w:pPr>
            <w:keepLines/>
            <w:rPr>
              <w:sz w:val="20"/>
              <w:szCs w:val="20"/>
              <w:lang w:val="fr-CA"/>
            </w:rPr>
          </w:pPr>
          <w:r w:rsidRPr="00D31809">
            <w:rPr>
              <w:sz w:val="20"/>
              <w:szCs w:val="20"/>
              <w:lang w:val="fr-CA"/>
            </w:rPr>
            <w:t>Demandes d’autorisation d’appel déposées</w:t>
          </w:r>
        </w:p>
      </w:tc>
    </w:tr>
  </w:tbl>
  <w:p w:rsidR="00691D3B" w:rsidRDefault="00691D3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3B" w:rsidRDefault="00691D3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691D3B" w:rsidRPr="00840E69">
      <w:tc>
        <w:tcPr>
          <w:tcW w:w="4200" w:type="dxa"/>
          <w:tcMar>
            <w:left w:w="0" w:type="dxa"/>
            <w:right w:w="0" w:type="dxa"/>
          </w:tcMar>
        </w:tcPr>
        <w:p w:rsidR="00691D3B" w:rsidRDefault="00691D3B">
          <w:pPr>
            <w:keepNext/>
            <w:keepLines/>
            <w:tabs>
              <w:tab w:val="left" w:pos="-307"/>
              <w:tab w:val="left" w:pos="4609"/>
              <w:tab w:val="left" w:pos="0"/>
              <w:tab w:val="left" w:pos="-288"/>
              <w:tab w:val="left" w:pos="-293"/>
              <w:tab w:val="left" w:pos="-307"/>
              <w:tab w:val="decimal" w:pos="-307"/>
              <w:tab w:val="left" w:pos="-306"/>
              <w:tab w:val="right" w:pos="-307"/>
              <w:tab w:val="left" w:pos="9523"/>
              <w:tab w:val="left" w:pos="29"/>
              <w:tab w:val="center" w:pos="-288"/>
              <w:tab w:val="center" w:pos="331"/>
              <w:tab w:val="left" w:pos="-307"/>
              <w:tab w:val="left" w:pos="-154"/>
              <w:tab w:val="left" w:pos="-306"/>
              <w:tab w:val="right" w:pos="-307"/>
              <w:tab w:val="left" w:pos="9523"/>
              <w:tab w:val="center" w:pos="10"/>
              <w:tab w:val="left" w:pos="-288"/>
              <w:tab w:val="left" w:pos="317"/>
              <w:tab w:val="left" w:pos="-307"/>
              <w:tab w:val="left" w:pos="-307"/>
              <w:tab w:val="left" w:pos="-306"/>
              <w:tab w:val="left" w:pos="-307"/>
              <w:tab w:val="left" w:pos="-306"/>
              <w:tab w:val="left" w:pos="0"/>
              <w:tab w:val="left" w:pos="-288"/>
              <w:tab w:val="left" w:pos="-298"/>
              <w:tab w:val="center" w:pos="-307"/>
              <w:tab w:val="left" w:pos="0"/>
              <w:tab w:val="left" w:pos="-288"/>
              <w:tab w:val="left" w:pos="-307"/>
              <w:tab w:val="left" w:pos="-96"/>
              <w:tab w:val="left" w:pos="0"/>
              <w:tab w:val="left" w:pos="-307"/>
              <w:tab w:val="left" w:pos="-307"/>
              <w:tab w:val="center" w:pos="-307"/>
              <w:tab w:val="right" w:pos="0"/>
              <w:tab w:val="left" w:pos="-306"/>
            </w:tabs>
            <w:rPr>
              <w:rFonts w:ascii="Times New" w:hAnsi="Times New"/>
            </w:rPr>
          </w:pPr>
          <w:r>
            <w:rPr>
              <w:rFonts w:ascii="Times New" w:hAnsi="Times New"/>
            </w:rPr>
            <w:t>ORAL HEARING ON APPLICATIONS FOR LEAVE</w:t>
          </w:r>
        </w:p>
      </w:tc>
      <w:tc>
        <w:tcPr>
          <w:tcW w:w="1200" w:type="dxa"/>
          <w:tcMar>
            <w:left w:w="0" w:type="dxa"/>
            <w:right w:w="0" w:type="dxa"/>
          </w:tcMar>
        </w:tcPr>
        <w:p w:rsidR="00691D3B" w:rsidRDefault="00691D3B">
          <w:pPr>
            <w:keepLines/>
            <w:tabs>
              <w:tab w:val="left" w:pos="-307"/>
              <w:tab w:val="left" w:pos="4609"/>
              <w:tab w:val="left" w:pos="0"/>
              <w:tab w:val="left" w:pos="-288"/>
              <w:tab w:val="left" w:pos="-293"/>
              <w:tab w:val="left" w:pos="-307"/>
              <w:tab w:val="decimal" w:pos="-307"/>
              <w:tab w:val="left" w:pos="-306"/>
              <w:tab w:val="right" w:pos="-307"/>
              <w:tab w:val="left" w:pos="9523"/>
              <w:tab w:val="left" w:pos="29"/>
              <w:tab w:val="center" w:pos="-288"/>
              <w:tab w:val="center" w:pos="331"/>
              <w:tab w:val="left" w:pos="-307"/>
              <w:tab w:val="left" w:pos="-154"/>
              <w:tab w:val="left" w:pos="-306"/>
              <w:tab w:val="right" w:pos="-307"/>
              <w:tab w:val="left" w:pos="9523"/>
              <w:tab w:val="center" w:pos="10"/>
              <w:tab w:val="left" w:pos="-288"/>
              <w:tab w:val="left" w:pos="317"/>
              <w:tab w:val="left" w:pos="-307"/>
              <w:tab w:val="left" w:pos="-307"/>
              <w:tab w:val="left" w:pos="-306"/>
              <w:tab w:val="left" w:pos="-307"/>
              <w:tab w:val="left" w:pos="-306"/>
              <w:tab w:val="left" w:pos="0"/>
              <w:tab w:val="left" w:pos="-288"/>
              <w:tab w:val="left" w:pos="-298"/>
              <w:tab w:val="center" w:pos="-307"/>
              <w:tab w:val="left" w:pos="0"/>
              <w:tab w:val="left" w:pos="-288"/>
              <w:tab w:val="left" w:pos="-307"/>
              <w:tab w:val="left" w:pos="-96"/>
              <w:tab w:val="left" w:pos="0"/>
              <w:tab w:val="left" w:pos="-307"/>
              <w:tab w:val="left" w:pos="-307"/>
              <w:tab w:val="center" w:pos="-307"/>
              <w:tab w:val="right" w:pos="0"/>
              <w:tab w:val="left" w:pos="-306"/>
            </w:tabs>
            <w:rPr>
              <w:rFonts w:ascii="Times New" w:hAnsi="Times New"/>
            </w:rPr>
          </w:pPr>
        </w:p>
      </w:tc>
      <w:tc>
        <w:tcPr>
          <w:tcW w:w="4080" w:type="dxa"/>
          <w:tcMar>
            <w:left w:w="0" w:type="dxa"/>
            <w:right w:w="0" w:type="dxa"/>
          </w:tcMar>
        </w:tcPr>
        <w:p w:rsidR="00691D3B" w:rsidRPr="008D6812" w:rsidRDefault="00691D3B">
          <w:pPr>
            <w:keepLines/>
            <w:tabs>
              <w:tab w:val="left" w:pos="-307"/>
              <w:tab w:val="left" w:pos="4609"/>
              <w:tab w:val="left" w:pos="0"/>
              <w:tab w:val="left" w:pos="-288"/>
              <w:tab w:val="left" w:pos="-293"/>
              <w:tab w:val="left" w:pos="-307"/>
              <w:tab w:val="decimal" w:pos="-307"/>
              <w:tab w:val="left" w:pos="-306"/>
              <w:tab w:val="right" w:pos="-307"/>
              <w:tab w:val="left" w:pos="9523"/>
              <w:tab w:val="left" w:pos="29"/>
              <w:tab w:val="center" w:pos="-288"/>
              <w:tab w:val="center" w:pos="331"/>
              <w:tab w:val="left" w:pos="-307"/>
              <w:tab w:val="left" w:pos="-154"/>
              <w:tab w:val="left" w:pos="-306"/>
              <w:tab w:val="right" w:pos="-307"/>
              <w:tab w:val="left" w:pos="9523"/>
              <w:tab w:val="center" w:pos="10"/>
              <w:tab w:val="left" w:pos="-288"/>
              <w:tab w:val="left" w:pos="317"/>
              <w:tab w:val="left" w:pos="-307"/>
              <w:tab w:val="left" w:pos="-307"/>
              <w:tab w:val="left" w:pos="-306"/>
              <w:tab w:val="left" w:pos="-307"/>
              <w:tab w:val="left" w:pos="-306"/>
              <w:tab w:val="left" w:pos="0"/>
              <w:tab w:val="left" w:pos="-288"/>
              <w:tab w:val="left" w:pos="-298"/>
              <w:tab w:val="center" w:pos="-307"/>
              <w:tab w:val="left" w:pos="0"/>
              <w:tab w:val="left" w:pos="-288"/>
              <w:tab w:val="left" w:pos="-307"/>
              <w:tab w:val="left" w:pos="-96"/>
              <w:tab w:val="left" w:pos="0"/>
              <w:tab w:val="left" w:pos="-307"/>
              <w:tab w:val="left" w:pos="-307"/>
              <w:tab w:val="center" w:pos="-307"/>
              <w:tab w:val="right" w:pos="0"/>
              <w:tab w:val="left" w:pos="-306"/>
            </w:tabs>
            <w:rPr>
              <w:rFonts w:ascii="Times New" w:hAnsi="Times New"/>
              <w:lang w:val="fr-CA"/>
            </w:rPr>
          </w:pPr>
          <w:r w:rsidRPr="008D6812">
            <w:rPr>
              <w:rFonts w:ascii="Times New" w:hAnsi="Times New"/>
              <w:lang w:val="fr-CA"/>
            </w:rPr>
            <w:t xml:space="preserve">AUDIENCE SUR LES DEMANDES D’AUTORISATION </w:t>
          </w:r>
        </w:p>
      </w:tc>
    </w:tr>
  </w:tbl>
  <w:p w:rsidR="00691D3B" w:rsidRPr="008D6812" w:rsidRDefault="00691D3B">
    <w:pPr>
      <w:tabs>
        <w:tab w:val="left" w:pos="-307"/>
        <w:tab w:val="left" w:pos="4609"/>
        <w:tab w:val="left" w:pos="0"/>
        <w:tab w:val="left" w:pos="-288"/>
        <w:tab w:val="left" w:pos="-293"/>
        <w:tab w:val="left" w:pos="-307"/>
        <w:tab w:val="decimal" w:pos="-307"/>
        <w:tab w:val="left" w:pos="-306"/>
        <w:tab w:val="right" w:pos="-307"/>
        <w:tab w:val="left" w:pos="9523"/>
        <w:tab w:val="left" w:pos="29"/>
        <w:tab w:val="center" w:pos="-288"/>
        <w:tab w:val="center" w:pos="331"/>
        <w:tab w:val="left" w:pos="-307"/>
        <w:tab w:val="left" w:pos="-154"/>
        <w:tab w:val="left" w:pos="-306"/>
        <w:tab w:val="right" w:pos="-307"/>
        <w:tab w:val="left" w:pos="9523"/>
        <w:tab w:val="center" w:pos="10"/>
        <w:tab w:val="left" w:pos="-288"/>
        <w:tab w:val="left" w:pos="317"/>
        <w:tab w:val="left" w:pos="-307"/>
        <w:tab w:val="left" w:pos="-307"/>
        <w:tab w:val="left" w:pos="-306"/>
        <w:tab w:val="left" w:pos="-307"/>
        <w:tab w:val="left" w:pos="-306"/>
        <w:tab w:val="left" w:pos="0"/>
        <w:tab w:val="left" w:pos="-288"/>
        <w:tab w:val="left" w:pos="-298"/>
        <w:tab w:val="center" w:pos="-307"/>
        <w:tab w:val="left" w:pos="0"/>
        <w:tab w:val="left" w:pos="-288"/>
        <w:tab w:val="left" w:pos="-307"/>
        <w:tab w:val="left" w:pos="-96"/>
        <w:tab w:val="left" w:pos="0"/>
        <w:tab w:val="left" w:pos="-307"/>
        <w:tab w:val="left" w:pos="-307"/>
        <w:tab w:val="center" w:pos="-307"/>
        <w:tab w:val="right" w:pos="0"/>
        <w:tab w:val="left" w:pos="-306"/>
      </w:tabs>
      <w:spacing w:line="0" w:lineRule="atLeast"/>
      <w:rPr>
        <w:rFonts w:ascii="Times New" w:hAnsi="Times New"/>
        <w:lang w:val="fr-CA"/>
      </w:rPr>
    </w:pPr>
  </w:p>
  <w:p w:rsidR="00691D3B" w:rsidRPr="008D6812" w:rsidRDefault="00691D3B">
    <w:pPr>
      <w:tabs>
        <w:tab w:val="left" w:pos="-307"/>
        <w:tab w:val="left" w:pos="4609"/>
        <w:tab w:val="left" w:pos="0"/>
        <w:tab w:val="left" w:pos="-288"/>
        <w:tab w:val="left" w:pos="-293"/>
        <w:tab w:val="left" w:pos="-307"/>
        <w:tab w:val="decimal" w:pos="-307"/>
        <w:tab w:val="left" w:pos="-306"/>
        <w:tab w:val="right" w:pos="-307"/>
        <w:tab w:val="left" w:pos="9523"/>
        <w:tab w:val="left" w:pos="29"/>
        <w:tab w:val="center" w:pos="-288"/>
        <w:tab w:val="center" w:pos="331"/>
        <w:tab w:val="left" w:pos="-307"/>
        <w:tab w:val="left" w:pos="-154"/>
        <w:tab w:val="left" w:pos="-306"/>
        <w:tab w:val="right" w:pos="-307"/>
        <w:tab w:val="left" w:pos="9523"/>
        <w:tab w:val="center" w:pos="10"/>
        <w:tab w:val="left" w:pos="-288"/>
        <w:tab w:val="left" w:pos="317"/>
        <w:tab w:val="left" w:pos="-307"/>
        <w:tab w:val="left" w:pos="-307"/>
        <w:tab w:val="left" w:pos="-306"/>
        <w:tab w:val="left" w:pos="-307"/>
        <w:tab w:val="left" w:pos="-306"/>
        <w:tab w:val="left" w:pos="0"/>
        <w:tab w:val="left" w:pos="-288"/>
        <w:tab w:val="left" w:pos="-298"/>
        <w:tab w:val="center" w:pos="-307"/>
        <w:tab w:val="left" w:pos="0"/>
        <w:tab w:val="left" w:pos="-288"/>
        <w:tab w:val="left" w:pos="-307"/>
        <w:tab w:val="left" w:pos="-96"/>
        <w:tab w:val="left" w:pos="0"/>
        <w:tab w:val="left" w:pos="-307"/>
        <w:tab w:val="left" w:pos="-307"/>
        <w:tab w:val="center" w:pos="-307"/>
        <w:tab w:val="right" w:pos="0"/>
        <w:tab w:val="left" w:pos="-306"/>
      </w:tabs>
      <w:spacing w:line="-19" w:lineRule="auto"/>
      <w:rPr>
        <w:rFonts w:ascii="Times New" w:hAnsi="Times New"/>
        <w:lang w:val="fr-C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auto"/>
      </w:tblBorders>
      <w:tblLayout w:type="fixed"/>
      <w:tblCellMar>
        <w:left w:w="0" w:type="dxa"/>
        <w:right w:w="0" w:type="dxa"/>
      </w:tblCellMar>
      <w:tblLook w:val="0000" w:firstRow="0" w:lastRow="0" w:firstColumn="0" w:lastColumn="0" w:noHBand="0" w:noVBand="0"/>
    </w:tblPr>
    <w:tblGrid>
      <w:gridCol w:w="4410"/>
      <w:gridCol w:w="720"/>
      <w:gridCol w:w="4350"/>
    </w:tblGrid>
    <w:tr w:rsidR="00691D3B" w:rsidRPr="00840E69" w:rsidTr="00091BA6">
      <w:tc>
        <w:tcPr>
          <w:tcW w:w="4410" w:type="dxa"/>
          <w:tcMar>
            <w:left w:w="0" w:type="dxa"/>
            <w:right w:w="0" w:type="dxa"/>
          </w:tcMar>
        </w:tcPr>
        <w:p w:rsidR="00691D3B" w:rsidRPr="00755F22" w:rsidRDefault="00691D3B" w:rsidP="00432989">
          <w:pPr>
            <w:rPr>
              <w:sz w:val="20"/>
              <w:szCs w:val="20"/>
            </w:rPr>
          </w:pPr>
          <w:r w:rsidRPr="00755F22">
            <w:rPr>
              <w:sz w:val="20"/>
              <w:szCs w:val="20"/>
            </w:rPr>
            <w:t>ORAL HEARING ON APPLICATIONS FOR LEAVE</w:t>
          </w:r>
        </w:p>
      </w:tc>
      <w:tc>
        <w:tcPr>
          <w:tcW w:w="720" w:type="dxa"/>
          <w:tcMar>
            <w:left w:w="0" w:type="dxa"/>
            <w:right w:w="0" w:type="dxa"/>
          </w:tcMar>
        </w:tcPr>
        <w:p w:rsidR="00691D3B" w:rsidRDefault="00691D3B" w:rsidP="008D292F">
          <w:pPr>
            <w:jc w:val="center"/>
            <w:rPr>
              <w:sz w:val="20"/>
              <w:szCs w:val="20"/>
            </w:rPr>
          </w:pPr>
        </w:p>
        <w:p w:rsidR="00691D3B" w:rsidRDefault="00691D3B" w:rsidP="008D292F">
          <w:pPr>
            <w:jc w:val="center"/>
            <w:rPr>
              <w:sz w:val="20"/>
              <w:szCs w:val="20"/>
            </w:rPr>
          </w:pPr>
        </w:p>
        <w:p w:rsidR="00691D3B" w:rsidRPr="00755F22" w:rsidRDefault="00691D3B" w:rsidP="008D292F">
          <w:pPr>
            <w:jc w:val="center"/>
            <w:rPr>
              <w:sz w:val="20"/>
              <w:szCs w:val="20"/>
            </w:rPr>
          </w:pPr>
        </w:p>
      </w:tc>
      <w:tc>
        <w:tcPr>
          <w:tcW w:w="4350" w:type="dxa"/>
          <w:tcMar>
            <w:left w:w="0" w:type="dxa"/>
            <w:right w:w="0" w:type="dxa"/>
          </w:tcMar>
        </w:tcPr>
        <w:p w:rsidR="00691D3B" w:rsidRPr="00755F22" w:rsidRDefault="00691D3B" w:rsidP="00432989">
          <w:pPr>
            <w:rPr>
              <w:sz w:val="20"/>
              <w:szCs w:val="20"/>
              <w:lang w:val="fr-CA"/>
            </w:rPr>
          </w:pPr>
          <w:r w:rsidRPr="00755F22">
            <w:rPr>
              <w:sz w:val="20"/>
              <w:szCs w:val="20"/>
              <w:lang w:val="fr-CA"/>
            </w:rPr>
            <w:t xml:space="preserve">AUDIENCE SUR LES DEMANDES D’AUTORISATION </w:t>
          </w:r>
        </w:p>
      </w:tc>
    </w:tr>
  </w:tbl>
  <w:p w:rsidR="00691D3B" w:rsidRPr="008D6812" w:rsidRDefault="00691D3B">
    <w:pPr>
      <w:tabs>
        <w:tab w:val="left" w:pos="-307"/>
        <w:tab w:val="left" w:pos="4609"/>
        <w:tab w:val="left" w:pos="0"/>
        <w:tab w:val="left" w:pos="-288"/>
        <w:tab w:val="left" w:pos="-293"/>
        <w:tab w:val="left" w:pos="-307"/>
        <w:tab w:val="decimal" w:pos="-307"/>
        <w:tab w:val="left" w:pos="-306"/>
        <w:tab w:val="right" w:pos="-307"/>
        <w:tab w:val="left" w:pos="9523"/>
        <w:tab w:val="left" w:pos="29"/>
        <w:tab w:val="center" w:pos="-288"/>
        <w:tab w:val="center" w:pos="331"/>
        <w:tab w:val="left" w:pos="-307"/>
        <w:tab w:val="left" w:pos="-154"/>
        <w:tab w:val="left" w:pos="-306"/>
        <w:tab w:val="right" w:pos="-307"/>
        <w:tab w:val="left" w:pos="9523"/>
        <w:tab w:val="center" w:pos="10"/>
        <w:tab w:val="left" w:pos="-288"/>
        <w:tab w:val="left" w:pos="317"/>
        <w:tab w:val="left" w:pos="-307"/>
        <w:tab w:val="left" w:pos="-307"/>
        <w:tab w:val="left" w:pos="-306"/>
        <w:tab w:val="left" w:pos="-307"/>
        <w:tab w:val="left" w:pos="-306"/>
        <w:tab w:val="left" w:pos="0"/>
        <w:tab w:val="left" w:pos="-288"/>
        <w:tab w:val="left" w:pos="-298"/>
        <w:tab w:val="center" w:pos="-307"/>
        <w:tab w:val="left" w:pos="0"/>
        <w:tab w:val="left" w:pos="-288"/>
        <w:tab w:val="left" w:pos="-307"/>
        <w:tab w:val="left" w:pos="-96"/>
        <w:tab w:val="left" w:pos="0"/>
        <w:tab w:val="left" w:pos="-307"/>
        <w:tab w:val="left" w:pos="-307"/>
        <w:tab w:val="center" w:pos="-307"/>
        <w:tab w:val="right" w:pos="0"/>
        <w:tab w:val="left" w:pos="-306"/>
      </w:tabs>
      <w:spacing w:line="0" w:lineRule="atLeast"/>
      <w:rPr>
        <w:rFonts w:ascii="Times New" w:hAnsi="Times New"/>
        <w:lang w:val="fr-CA"/>
      </w:rPr>
    </w:pPr>
  </w:p>
  <w:p w:rsidR="00691D3B" w:rsidRPr="008D6812" w:rsidRDefault="00691D3B">
    <w:pPr>
      <w:tabs>
        <w:tab w:val="left" w:pos="-307"/>
        <w:tab w:val="left" w:pos="4609"/>
        <w:tab w:val="left" w:pos="0"/>
        <w:tab w:val="left" w:pos="-288"/>
        <w:tab w:val="left" w:pos="-293"/>
        <w:tab w:val="left" w:pos="-307"/>
        <w:tab w:val="decimal" w:pos="-307"/>
        <w:tab w:val="left" w:pos="-306"/>
        <w:tab w:val="right" w:pos="-307"/>
        <w:tab w:val="left" w:pos="9523"/>
        <w:tab w:val="left" w:pos="29"/>
        <w:tab w:val="center" w:pos="-288"/>
        <w:tab w:val="center" w:pos="331"/>
        <w:tab w:val="left" w:pos="-307"/>
        <w:tab w:val="left" w:pos="-154"/>
        <w:tab w:val="left" w:pos="-306"/>
        <w:tab w:val="right" w:pos="-307"/>
        <w:tab w:val="left" w:pos="9523"/>
        <w:tab w:val="center" w:pos="10"/>
        <w:tab w:val="left" w:pos="-288"/>
        <w:tab w:val="left" w:pos="317"/>
        <w:tab w:val="left" w:pos="-307"/>
        <w:tab w:val="left" w:pos="-307"/>
        <w:tab w:val="left" w:pos="-306"/>
        <w:tab w:val="left" w:pos="-307"/>
        <w:tab w:val="left" w:pos="-306"/>
        <w:tab w:val="left" w:pos="0"/>
        <w:tab w:val="left" w:pos="-288"/>
        <w:tab w:val="left" w:pos="-298"/>
        <w:tab w:val="center" w:pos="-307"/>
        <w:tab w:val="left" w:pos="0"/>
        <w:tab w:val="left" w:pos="-288"/>
        <w:tab w:val="left" w:pos="-307"/>
        <w:tab w:val="left" w:pos="-96"/>
        <w:tab w:val="left" w:pos="0"/>
        <w:tab w:val="left" w:pos="-307"/>
        <w:tab w:val="left" w:pos="-307"/>
        <w:tab w:val="center" w:pos="-307"/>
        <w:tab w:val="right" w:pos="0"/>
        <w:tab w:val="left" w:pos="-306"/>
      </w:tabs>
      <w:spacing w:line="-19" w:lineRule="auto"/>
      <w:rPr>
        <w:rFonts w:ascii="Times New" w:hAnsi="Times New"/>
        <w:lang w:val="fr-C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3B" w:rsidRDefault="00691D3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200"/>
      <w:gridCol w:w="1200"/>
      <w:gridCol w:w="4080"/>
    </w:tblGrid>
    <w:tr w:rsidR="00691D3B" w:rsidRPr="00840E69">
      <w:tc>
        <w:tcPr>
          <w:tcW w:w="4200" w:type="dxa"/>
          <w:tcMar>
            <w:left w:w="0" w:type="dxa"/>
            <w:right w:w="0" w:type="dxa"/>
          </w:tcMar>
        </w:tcPr>
        <w:p w:rsidR="00691D3B" w:rsidRDefault="00691D3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691D3B" w:rsidRDefault="00691D3B">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691D3B" w:rsidRDefault="00691D3B">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691D3B" w:rsidRPr="00FF6BA5" w:rsidRDefault="00691D3B">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691D3B" w:rsidRPr="00FF6BA5" w:rsidRDefault="00691D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691D3B" w:rsidRPr="00FF6BA5" w:rsidRDefault="00691D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691D3B" w:rsidRPr="00FF6BA5" w:rsidRDefault="00691D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7915568"/>
    <w:multiLevelType w:val="hybridMultilevel"/>
    <w:tmpl w:val="A9CEDEBA"/>
    <w:lvl w:ilvl="0" w:tplc="A8404620">
      <w:start w:val="16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83EE8"/>
    <w:multiLevelType w:val="multilevel"/>
    <w:tmpl w:val="134EF918"/>
    <w:lvl w:ilvl="0">
      <w:start w:val="1"/>
      <w:numFmt w:val="decimal"/>
      <w:pStyle w:val="ParaNoNdepar-AltN"/>
      <w:lvlText w:val="[%1]"/>
      <w:lvlJc w:val="left"/>
      <w:pPr>
        <w:tabs>
          <w:tab w:val="num" w:pos="1152"/>
        </w:tabs>
        <w:ind w:left="0" w:firstLine="0"/>
      </w:pPr>
      <w:rPr>
        <w:rFonts w:ascii="Times New Roman" w:hAnsi="Times New Roman"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proofState w:spelling="clean" w:grammar="clean"/>
  <w:attachedTemplate r:id="rId1"/>
  <w:defaultTabStop w:val="720"/>
  <w:drawingGridHorizontalSpacing w:val="120"/>
  <w:displayHorizontalDrawingGridEvery w:val="2"/>
  <w:characterSpacingControl w:val="doNotCompress"/>
  <w:hdrShapeDefaults>
    <o:shapedefaults v:ext="edit" spidmax="266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EB"/>
    <w:rsid w:val="00002704"/>
    <w:rsid w:val="00020DC3"/>
    <w:rsid w:val="0002603A"/>
    <w:rsid w:val="0003223B"/>
    <w:rsid w:val="000327B2"/>
    <w:rsid w:val="00033A57"/>
    <w:rsid w:val="0004528B"/>
    <w:rsid w:val="00064FBA"/>
    <w:rsid w:val="00076190"/>
    <w:rsid w:val="000765BE"/>
    <w:rsid w:val="000873E5"/>
    <w:rsid w:val="00091BA6"/>
    <w:rsid w:val="00091FA6"/>
    <w:rsid w:val="0009686C"/>
    <w:rsid w:val="00096BD9"/>
    <w:rsid w:val="000B3C9A"/>
    <w:rsid w:val="000B40A2"/>
    <w:rsid w:val="000B4624"/>
    <w:rsid w:val="000C0ACD"/>
    <w:rsid w:val="000C0D2A"/>
    <w:rsid w:val="000C1D9D"/>
    <w:rsid w:val="000C5CE8"/>
    <w:rsid w:val="000D573A"/>
    <w:rsid w:val="000E27A5"/>
    <w:rsid w:val="000E2959"/>
    <w:rsid w:val="000F0B60"/>
    <w:rsid w:val="000F2CA3"/>
    <w:rsid w:val="000F566B"/>
    <w:rsid w:val="00102792"/>
    <w:rsid w:val="00102926"/>
    <w:rsid w:val="0010587F"/>
    <w:rsid w:val="00111C6B"/>
    <w:rsid w:val="0012102B"/>
    <w:rsid w:val="00121BA5"/>
    <w:rsid w:val="00124D41"/>
    <w:rsid w:val="00125B8F"/>
    <w:rsid w:val="0013369E"/>
    <w:rsid w:val="0013595D"/>
    <w:rsid w:val="001434B9"/>
    <w:rsid w:val="00143EF6"/>
    <w:rsid w:val="00152E76"/>
    <w:rsid w:val="001647D0"/>
    <w:rsid w:val="00164E6D"/>
    <w:rsid w:val="0016538E"/>
    <w:rsid w:val="00172473"/>
    <w:rsid w:val="00180CBA"/>
    <w:rsid w:val="00183454"/>
    <w:rsid w:val="0019203D"/>
    <w:rsid w:val="00195F99"/>
    <w:rsid w:val="001B157C"/>
    <w:rsid w:val="001B1994"/>
    <w:rsid w:val="001B4006"/>
    <w:rsid w:val="001B5C23"/>
    <w:rsid w:val="001D0D5F"/>
    <w:rsid w:val="001D6B8C"/>
    <w:rsid w:val="001F1F83"/>
    <w:rsid w:val="001F40DF"/>
    <w:rsid w:val="001F43F8"/>
    <w:rsid w:val="001F6B2D"/>
    <w:rsid w:val="002021A9"/>
    <w:rsid w:val="002139A7"/>
    <w:rsid w:val="00215574"/>
    <w:rsid w:val="00215F7C"/>
    <w:rsid w:val="00221DEF"/>
    <w:rsid w:val="0022323B"/>
    <w:rsid w:val="002410B8"/>
    <w:rsid w:val="00242AEE"/>
    <w:rsid w:val="00245129"/>
    <w:rsid w:val="00245879"/>
    <w:rsid w:val="00253236"/>
    <w:rsid w:val="002534CE"/>
    <w:rsid w:val="00267FD5"/>
    <w:rsid w:val="00271E1E"/>
    <w:rsid w:val="00274D34"/>
    <w:rsid w:val="00281DA2"/>
    <w:rsid w:val="00283AFF"/>
    <w:rsid w:val="00283ED8"/>
    <w:rsid w:val="002868D0"/>
    <w:rsid w:val="0028760B"/>
    <w:rsid w:val="00292BB2"/>
    <w:rsid w:val="002A008C"/>
    <w:rsid w:val="002A1BA5"/>
    <w:rsid w:val="002A27D1"/>
    <w:rsid w:val="002A4AFA"/>
    <w:rsid w:val="002B2610"/>
    <w:rsid w:val="002B516C"/>
    <w:rsid w:val="002B5D82"/>
    <w:rsid w:val="002C4FA4"/>
    <w:rsid w:val="002D72EB"/>
    <w:rsid w:val="002E2327"/>
    <w:rsid w:val="002E3583"/>
    <w:rsid w:val="002E5576"/>
    <w:rsid w:val="0030050B"/>
    <w:rsid w:val="003008F5"/>
    <w:rsid w:val="00304081"/>
    <w:rsid w:val="00304AC4"/>
    <w:rsid w:val="003308AA"/>
    <w:rsid w:val="00331B52"/>
    <w:rsid w:val="00333403"/>
    <w:rsid w:val="003359D3"/>
    <w:rsid w:val="0034657E"/>
    <w:rsid w:val="00351475"/>
    <w:rsid w:val="00352683"/>
    <w:rsid w:val="00355967"/>
    <w:rsid w:val="0037021E"/>
    <w:rsid w:val="00382C47"/>
    <w:rsid w:val="00384384"/>
    <w:rsid w:val="003866AE"/>
    <w:rsid w:val="00393AB2"/>
    <w:rsid w:val="003B3977"/>
    <w:rsid w:val="003D49B1"/>
    <w:rsid w:val="003E1D4C"/>
    <w:rsid w:val="003E2D35"/>
    <w:rsid w:val="003E5DBD"/>
    <w:rsid w:val="003E5F3E"/>
    <w:rsid w:val="00407C5D"/>
    <w:rsid w:val="0041245B"/>
    <w:rsid w:val="004137A0"/>
    <w:rsid w:val="00422D9A"/>
    <w:rsid w:val="004317DE"/>
    <w:rsid w:val="00432989"/>
    <w:rsid w:val="004342A0"/>
    <w:rsid w:val="00440E24"/>
    <w:rsid w:val="0044776A"/>
    <w:rsid w:val="00460AFC"/>
    <w:rsid w:val="0047471F"/>
    <w:rsid w:val="004B195E"/>
    <w:rsid w:val="004B2E86"/>
    <w:rsid w:val="004B66B4"/>
    <w:rsid w:val="004B7F60"/>
    <w:rsid w:val="004C1AAC"/>
    <w:rsid w:val="004C1C35"/>
    <w:rsid w:val="004E1E0A"/>
    <w:rsid w:val="004E44A7"/>
    <w:rsid w:val="004E5524"/>
    <w:rsid w:val="004F090E"/>
    <w:rsid w:val="004F6A73"/>
    <w:rsid w:val="00501F3C"/>
    <w:rsid w:val="00506BE1"/>
    <w:rsid w:val="00520F9E"/>
    <w:rsid w:val="0052229C"/>
    <w:rsid w:val="00527CC7"/>
    <w:rsid w:val="00560DF1"/>
    <w:rsid w:val="0056248C"/>
    <w:rsid w:val="00564B09"/>
    <w:rsid w:val="00567602"/>
    <w:rsid w:val="00567680"/>
    <w:rsid w:val="00571CA4"/>
    <w:rsid w:val="00573AF2"/>
    <w:rsid w:val="00582136"/>
    <w:rsid w:val="005967EF"/>
    <w:rsid w:val="005A7E14"/>
    <w:rsid w:val="005B6826"/>
    <w:rsid w:val="005C6840"/>
    <w:rsid w:val="005E1A49"/>
    <w:rsid w:val="005F1ED8"/>
    <w:rsid w:val="005F263E"/>
    <w:rsid w:val="00600252"/>
    <w:rsid w:val="00612A40"/>
    <w:rsid w:val="0062714A"/>
    <w:rsid w:val="00634F42"/>
    <w:rsid w:val="00645947"/>
    <w:rsid w:val="006615F4"/>
    <w:rsid w:val="00675479"/>
    <w:rsid w:val="00680709"/>
    <w:rsid w:val="00681F61"/>
    <w:rsid w:val="00684F23"/>
    <w:rsid w:val="006907C0"/>
    <w:rsid w:val="00691D1D"/>
    <w:rsid w:val="00691D3B"/>
    <w:rsid w:val="00693C38"/>
    <w:rsid w:val="00696BF9"/>
    <w:rsid w:val="00697C62"/>
    <w:rsid w:val="006A329B"/>
    <w:rsid w:val="006A7EB8"/>
    <w:rsid w:val="006B6926"/>
    <w:rsid w:val="006C3F47"/>
    <w:rsid w:val="006C5F7A"/>
    <w:rsid w:val="006E06AF"/>
    <w:rsid w:val="006E1CB0"/>
    <w:rsid w:val="006F350F"/>
    <w:rsid w:val="007066BC"/>
    <w:rsid w:val="00716DEA"/>
    <w:rsid w:val="00717608"/>
    <w:rsid w:val="00727571"/>
    <w:rsid w:val="00732DB7"/>
    <w:rsid w:val="0074238B"/>
    <w:rsid w:val="00745EF7"/>
    <w:rsid w:val="00751E02"/>
    <w:rsid w:val="00755F22"/>
    <w:rsid w:val="00766E4A"/>
    <w:rsid w:val="007820CE"/>
    <w:rsid w:val="00782AE4"/>
    <w:rsid w:val="0079724F"/>
    <w:rsid w:val="007A3EAE"/>
    <w:rsid w:val="007B09D6"/>
    <w:rsid w:val="007B4DFF"/>
    <w:rsid w:val="007C04FC"/>
    <w:rsid w:val="007C3D5F"/>
    <w:rsid w:val="007C3DB0"/>
    <w:rsid w:val="007C47C2"/>
    <w:rsid w:val="007D3E0F"/>
    <w:rsid w:val="007E4282"/>
    <w:rsid w:val="007F387B"/>
    <w:rsid w:val="00802863"/>
    <w:rsid w:val="008112A9"/>
    <w:rsid w:val="0081473A"/>
    <w:rsid w:val="00815B3C"/>
    <w:rsid w:val="0081610A"/>
    <w:rsid w:val="008277C4"/>
    <w:rsid w:val="0082783A"/>
    <w:rsid w:val="00831CA9"/>
    <w:rsid w:val="00840E69"/>
    <w:rsid w:val="00842B6B"/>
    <w:rsid w:val="00844E40"/>
    <w:rsid w:val="00845C2A"/>
    <w:rsid w:val="00850E1F"/>
    <w:rsid w:val="0085476B"/>
    <w:rsid w:val="0086340B"/>
    <w:rsid w:val="00863F14"/>
    <w:rsid w:val="00877592"/>
    <w:rsid w:val="008859F1"/>
    <w:rsid w:val="008902B1"/>
    <w:rsid w:val="00890FEB"/>
    <w:rsid w:val="00893449"/>
    <w:rsid w:val="00895E7E"/>
    <w:rsid w:val="008961FD"/>
    <w:rsid w:val="008A5C1A"/>
    <w:rsid w:val="008C11EB"/>
    <w:rsid w:val="008C2318"/>
    <w:rsid w:val="008C4308"/>
    <w:rsid w:val="008D085E"/>
    <w:rsid w:val="008D292F"/>
    <w:rsid w:val="008D3D4B"/>
    <w:rsid w:val="008E03DC"/>
    <w:rsid w:val="00902E51"/>
    <w:rsid w:val="0090314C"/>
    <w:rsid w:val="009058B9"/>
    <w:rsid w:val="00924065"/>
    <w:rsid w:val="00930B8A"/>
    <w:rsid w:val="00930D68"/>
    <w:rsid w:val="00932DB4"/>
    <w:rsid w:val="00941A4B"/>
    <w:rsid w:val="00946242"/>
    <w:rsid w:val="0095096B"/>
    <w:rsid w:val="00955827"/>
    <w:rsid w:val="00957556"/>
    <w:rsid w:val="00961C83"/>
    <w:rsid w:val="00970CD3"/>
    <w:rsid w:val="009723FA"/>
    <w:rsid w:val="00984546"/>
    <w:rsid w:val="00993141"/>
    <w:rsid w:val="00996510"/>
    <w:rsid w:val="009A75CF"/>
    <w:rsid w:val="009C0516"/>
    <w:rsid w:val="009C4E23"/>
    <w:rsid w:val="009D1F15"/>
    <w:rsid w:val="009D555E"/>
    <w:rsid w:val="009F3024"/>
    <w:rsid w:val="009F39BA"/>
    <w:rsid w:val="00A0355E"/>
    <w:rsid w:val="00A234E1"/>
    <w:rsid w:val="00A242F4"/>
    <w:rsid w:val="00A375D1"/>
    <w:rsid w:val="00A41D2B"/>
    <w:rsid w:val="00A51D10"/>
    <w:rsid w:val="00A52A83"/>
    <w:rsid w:val="00A61252"/>
    <w:rsid w:val="00A6552C"/>
    <w:rsid w:val="00A744AF"/>
    <w:rsid w:val="00A760C7"/>
    <w:rsid w:val="00A81DCF"/>
    <w:rsid w:val="00A87207"/>
    <w:rsid w:val="00A935AA"/>
    <w:rsid w:val="00A956D3"/>
    <w:rsid w:val="00AB2201"/>
    <w:rsid w:val="00AC3CBD"/>
    <w:rsid w:val="00AD1D34"/>
    <w:rsid w:val="00AD3259"/>
    <w:rsid w:val="00AE043C"/>
    <w:rsid w:val="00AF1715"/>
    <w:rsid w:val="00AF3904"/>
    <w:rsid w:val="00B00A0B"/>
    <w:rsid w:val="00B010C0"/>
    <w:rsid w:val="00B15CBE"/>
    <w:rsid w:val="00B40FD9"/>
    <w:rsid w:val="00B4740D"/>
    <w:rsid w:val="00B61629"/>
    <w:rsid w:val="00B635E0"/>
    <w:rsid w:val="00B67395"/>
    <w:rsid w:val="00B7374B"/>
    <w:rsid w:val="00B84A84"/>
    <w:rsid w:val="00B90DC0"/>
    <w:rsid w:val="00BA116A"/>
    <w:rsid w:val="00BA5582"/>
    <w:rsid w:val="00BA6468"/>
    <w:rsid w:val="00BB15A8"/>
    <w:rsid w:val="00BB1D44"/>
    <w:rsid w:val="00BC680C"/>
    <w:rsid w:val="00BC6EB5"/>
    <w:rsid w:val="00BD06DA"/>
    <w:rsid w:val="00BD264E"/>
    <w:rsid w:val="00BD4110"/>
    <w:rsid w:val="00BD4217"/>
    <w:rsid w:val="00BE34F7"/>
    <w:rsid w:val="00BF25F3"/>
    <w:rsid w:val="00C01FCB"/>
    <w:rsid w:val="00C1697B"/>
    <w:rsid w:val="00C21644"/>
    <w:rsid w:val="00C21CB5"/>
    <w:rsid w:val="00C257CD"/>
    <w:rsid w:val="00C27015"/>
    <w:rsid w:val="00C406CA"/>
    <w:rsid w:val="00C46376"/>
    <w:rsid w:val="00C50A5C"/>
    <w:rsid w:val="00C50FDF"/>
    <w:rsid w:val="00C63381"/>
    <w:rsid w:val="00C73D06"/>
    <w:rsid w:val="00C73D76"/>
    <w:rsid w:val="00C73E1B"/>
    <w:rsid w:val="00C73EE8"/>
    <w:rsid w:val="00C7556C"/>
    <w:rsid w:val="00C759B4"/>
    <w:rsid w:val="00C77713"/>
    <w:rsid w:val="00C8528C"/>
    <w:rsid w:val="00C85BB7"/>
    <w:rsid w:val="00C86E0F"/>
    <w:rsid w:val="00CA2DEA"/>
    <w:rsid w:val="00CB3520"/>
    <w:rsid w:val="00CB43D5"/>
    <w:rsid w:val="00CC4D84"/>
    <w:rsid w:val="00CE198A"/>
    <w:rsid w:val="00CF08C8"/>
    <w:rsid w:val="00D004FC"/>
    <w:rsid w:val="00D22BC0"/>
    <w:rsid w:val="00D31809"/>
    <w:rsid w:val="00D6331A"/>
    <w:rsid w:val="00D64901"/>
    <w:rsid w:val="00D701DF"/>
    <w:rsid w:val="00D76BDF"/>
    <w:rsid w:val="00D774AB"/>
    <w:rsid w:val="00D818B6"/>
    <w:rsid w:val="00D82A57"/>
    <w:rsid w:val="00D82BFF"/>
    <w:rsid w:val="00D8443D"/>
    <w:rsid w:val="00D862C1"/>
    <w:rsid w:val="00D93A6C"/>
    <w:rsid w:val="00D93B50"/>
    <w:rsid w:val="00D94028"/>
    <w:rsid w:val="00D94670"/>
    <w:rsid w:val="00DA1D48"/>
    <w:rsid w:val="00DA46F6"/>
    <w:rsid w:val="00DA756F"/>
    <w:rsid w:val="00DC0577"/>
    <w:rsid w:val="00DC6B2E"/>
    <w:rsid w:val="00DD0B49"/>
    <w:rsid w:val="00DD0BDC"/>
    <w:rsid w:val="00DE0502"/>
    <w:rsid w:val="00DE349D"/>
    <w:rsid w:val="00DF7C80"/>
    <w:rsid w:val="00E0270C"/>
    <w:rsid w:val="00E06DFA"/>
    <w:rsid w:val="00E06F20"/>
    <w:rsid w:val="00E20A0A"/>
    <w:rsid w:val="00E240C2"/>
    <w:rsid w:val="00E356C7"/>
    <w:rsid w:val="00E414CA"/>
    <w:rsid w:val="00E41A5A"/>
    <w:rsid w:val="00E45FE4"/>
    <w:rsid w:val="00E64FA7"/>
    <w:rsid w:val="00E65960"/>
    <w:rsid w:val="00E664DA"/>
    <w:rsid w:val="00E670F7"/>
    <w:rsid w:val="00E71254"/>
    <w:rsid w:val="00E75CFD"/>
    <w:rsid w:val="00E770CB"/>
    <w:rsid w:val="00E80D6C"/>
    <w:rsid w:val="00E82082"/>
    <w:rsid w:val="00E8544A"/>
    <w:rsid w:val="00E903A1"/>
    <w:rsid w:val="00E92A37"/>
    <w:rsid w:val="00E940EB"/>
    <w:rsid w:val="00E942C2"/>
    <w:rsid w:val="00E9703F"/>
    <w:rsid w:val="00E97984"/>
    <w:rsid w:val="00EB2B90"/>
    <w:rsid w:val="00ED078F"/>
    <w:rsid w:val="00ED7E83"/>
    <w:rsid w:val="00EE091F"/>
    <w:rsid w:val="00EF4B63"/>
    <w:rsid w:val="00F0068D"/>
    <w:rsid w:val="00F0576D"/>
    <w:rsid w:val="00F138C1"/>
    <w:rsid w:val="00F14E6D"/>
    <w:rsid w:val="00F15EA8"/>
    <w:rsid w:val="00F16063"/>
    <w:rsid w:val="00F16C8D"/>
    <w:rsid w:val="00F253CC"/>
    <w:rsid w:val="00F26C61"/>
    <w:rsid w:val="00F33CCE"/>
    <w:rsid w:val="00F40249"/>
    <w:rsid w:val="00F526C8"/>
    <w:rsid w:val="00F554B5"/>
    <w:rsid w:val="00F663FF"/>
    <w:rsid w:val="00F75954"/>
    <w:rsid w:val="00F761A3"/>
    <w:rsid w:val="00F9125A"/>
    <w:rsid w:val="00F9272D"/>
    <w:rsid w:val="00F9518C"/>
    <w:rsid w:val="00FA316E"/>
    <w:rsid w:val="00FA3373"/>
    <w:rsid w:val="00FA59EF"/>
    <w:rsid w:val="00FB19A2"/>
    <w:rsid w:val="00FB1DB6"/>
    <w:rsid w:val="00FB4A2E"/>
    <w:rsid w:val="00FC4738"/>
    <w:rsid w:val="00FD053D"/>
    <w:rsid w:val="00FF0398"/>
    <w:rsid w:val="00FF0795"/>
    <w:rsid w:val="00FF22BA"/>
    <w:rsid w:val="00FF6E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84"/>
    <w:rPr>
      <w:lang w:val="en-CA"/>
    </w:rPr>
  </w:style>
  <w:style w:type="paragraph" w:styleId="Heading1">
    <w:name w:val="heading 1"/>
    <w:basedOn w:val="Normal"/>
    <w:next w:val="Normal"/>
    <w:link w:val="Heading1Char"/>
    <w:uiPriority w:val="9"/>
    <w:qFormat/>
    <w:rsid w:val="00560DF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207"/>
    <w:pPr>
      <w:tabs>
        <w:tab w:val="center" w:pos="4680"/>
        <w:tab w:val="right" w:pos="9360"/>
      </w:tabs>
    </w:pPr>
  </w:style>
  <w:style w:type="character" w:customStyle="1" w:styleId="HeaderChar">
    <w:name w:val="Header Char"/>
    <w:basedOn w:val="DefaultParagraphFont"/>
    <w:link w:val="Header"/>
    <w:uiPriority w:val="99"/>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567602"/>
    <w:pPr>
      <w:widowControl w:val="0"/>
      <w:autoSpaceDE w:val="0"/>
      <w:autoSpaceDN w:val="0"/>
      <w:adjustRightInd w:val="0"/>
      <w:jc w:val="center"/>
      <w:outlineLvl w:val="0"/>
    </w:pPr>
    <w:rPr>
      <w:rFonts w:eastAsiaTheme="minorEastAsia" w:cs="Times New Roman"/>
      <w:b/>
      <w:szCs w:val="20"/>
      <w:lang w:eastAsia="en-CA"/>
    </w:rPr>
  </w:style>
  <w:style w:type="paragraph" w:customStyle="1" w:styleId="Header1StyleF">
    <w:name w:val="Header 1 Style F"/>
    <w:basedOn w:val="Header1StyleE"/>
    <w:autoRedefine/>
    <w:qFormat/>
    <w:rsid w:val="0056760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CellMar>
        <w:left w:w="576"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CellMar>
        <w:left w:w="576"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rFonts w:eastAsia="Times New Roman" w:cs="Times New Roman"/>
      <w:i/>
      <w:szCs w:val="20"/>
      <w:lang w:val="en-CA" w:eastAsia="en-CA"/>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rFonts w:eastAsia="Times New Roman" w:cs="Times New Roman"/>
      <w:i/>
      <w:szCs w:val="20"/>
      <w:lang w:val="en-CA" w:eastAsia="en-CA"/>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rPr>
      <w:rFonts w:eastAsia="Times New Roman" w:cs="Times New Roman"/>
      <w:szCs w:val="20"/>
      <w:lang w:val="en-CA" w:eastAsia="en-CA"/>
    </w:rPr>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rFonts w:eastAsia="Times New Roman" w:cs="Times New Roman"/>
      <w:szCs w:val="20"/>
      <w:lang w:val="fr-CA" w:eastAsia="en-CA"/>
    </w:rPr>
  </w:style>
  <w:style w:type="paragraph" w:customStyle="1" w:styleId="SCCFileNumber">
    <w:name w:val="SCC.FileNumber"/>
    <w:basedOn w:val="Normal"/>
    <w:next w:val="Normal"/>
    <w:link w:val="SCCFileNumberChar"/>
    <w:rsid w:val="001B157C"/>
    <w:pPr>
      <w:jc w:val="both"/>
    </w:pPr>
    <w:rPr>
      <w:rFonts w:eastAsia="Calibri" w:cs="Times New Roman"/>
      <w:b/>
    </w:rPr>
  </w:style>
  <w:style w:type="character" w:customStyle="1" w:styleId="SCCFileNumberChar">
    <w:name w:val="SCC.FileNumber Char"/>
    <w:basedOn w:val="DefaultParagraphFont"/>
    <w:link w:val="SCCFileNumber"/>
    <w:rsid w:val="001B157C"/>
    <w:rPr>
      <w:rFonts w:eastAsia="Calibri" w:cs="Times New Roman"/>
      <w:b/>
      <w:lang w:val="en-CA"/>
    </w:rPr>
  </w:style>
  <w:style w:type="paragraph" w:customStyle="1" w:styleId="SCCLsoc">
    <w:name w:val="SCC.Lsoc"/>
    <w:basedOn w:val="Normal"/>
    <w:next w:val="Normal"/>
    <w:link w:val="SCCLsocChar"/>
    <w:rsid w:val="001B157C"/>
    <w:pPr>
      <w:jc w:val="center"/>
    </w:pPr>
    <w:rPr>
      <w:b/>
      <w:szCs w:val="24"/>
      <w:u w:val="single"/>
      <w:lang w:val="fr-CA"/>
    </w:rPr>
  </w:style>
  <w:style w:type="character" w:customStyle="1" w:styleId="SCCLsocChar">
    <w:name w:val="SCC.Lsoc Char"/>
    <w:basedOn w:val="DefaultParagraphFont"/>
    <w:link w:val="SCCLsoc"/>
    <w:rsid w:val="001B157C"/>
    <w:rPr>
      <w:b/>
      <w:szCs w:val="24"/>
      <w:u w:val="single"/>
      <w:lang w:val="fr-CA"/>
    </w:rPr>
  </w:style>
  <w:style w:type="paragraph" w:customStyle="1" w:styleId="SCCCoram">
    <w:name w:val="SCC.Coram"/>
    <w:basedOn w:val="Normal"/>
    <w:next w:val="Normal"/>
    <w:link w:val="SCCCoramChar"/>
    <w:rsid w:val="001B157C"/>
    <w:pPr>
      <w:jc w:val="center"/>
    </w:pPr>
    <w:rPr>
      <w:szCs w:val="24"/>
      <w:u w:val="single"/>
      <w:lang w:val="fr-CA"/>
    </w:rPr>
  </w:style>
  <w:style w:type="character" w:customStyle="1" w:styleId="SCCCoramChar">
    <w:name w:val="SCC.Coram Char"/>
    <w:basedOn w:val="DefaultParagraphFont"/>
    <w:link w:val="SCCCoram"/>
    <w:rsid w:val="001B157C"/>
    <w:rPr>
      <w:szCs w:val="24"/>
      <w:u w:val="single"/>
      <w:lang w:val="fr-CA"/>
    </w:rPr>
  </w:style>
  <w:style w:type="paragraph" w:customStyle="1" w:styleId="SCCShortJudgment">
    <w:name w:val="SCC.ShortJudgment"/>
    <w:basedOn w:val="Normal"/>
    <w:qFormat/>
    <w:rsid w:val="001B157C"/>
    <w:pPr>
      <w:ind w:firstLine="720"/>
      <w:jc w:val="both"/>
    </w:pPr>
    <w:rPr>
      <w:sz w:val="20"/>
      <w:szCs w:val="24"/>
    </w:rPr>
  </w:style>
  <w:style w:type="character" w:styleId="Hyperlink">
    <w:name w:val="Hyperlink"/>
    <w:basedOn w:val="DefaultParagraphFont"/>
    <w:uiPriority w:val="99"/>
    <w:unhideWhenUsed/>
    <w:rsid w:val="009F3024"/>
    <w:rPr>
      <w:color w:val="0000FF" w:themeColor="hyperlink"/>
      <w:u w:val="single"/>
    </w:rPr>
  </w:style>
  <w:style w:type="paragraph" w:customStyle="1" w:styleId="ParaNoNdepar-AltN">
    <w:name w:val="Para. No. / Nº de par. - Alt N"/>
    <w:qFormat/>
    <w:rsid w:val="001F40DF"/>
    <w:pPr>
      <w:numPr>
        <w:numId w:val="3"/>
      </w:numPr>
      <w:spacing w:before="480" w:after="480" w:line="480" w:lineRule="auto"/>
      <w:jc w:val="both"/>
    </w:pPr>
    <w:rPr>
      <w:rFonts w:eastAsiaTheme="minorEastAsia"/>
      <w:lang w:val="fr-CA"/>
    </w:rPr>
  </w:style>
  <w:style w:type="paragraph" w:customStyle="1" w:styleId="SCCLowerCourtNameLowercase">
    <w:name w:val="SCC.LowerCourtNameLowercase"/>
    <w:basedOn w:val="SCCNormalDoubleSpacing"/>
    <w:next w:val="SCCNormalDoubleSpacing"/>
    <w:rsid w:val="00902E51"/>
    <w:pPr>
      <w:tabs>
        <w:tab w:val="left" w:pos="1168"/>
      </w:tabs>
    </w:pPr>
    <w:rPr>
      <w:smallCaps/>
    </w:rPr>
  </w:style>
  <w:style w:type="table" w:customStyle="1" w:styleId="TableGrid1">
    <w:name w:val="Table Grid1"/>
    <w:basedOn w:val="TableNormal"/>
    <w:next w:val="TableGrid"/>
    <w:uiPriority w:val="59"/>
    <w:rsid w:val="00183454"/>
    <w:rPr>
      <w:rFonts w:eastAsia="Times New Roman" w:cs="Times New Roman"/>
      <w:sz w:val="20"/>
      <w:szCs w:val="20"/>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next w:val="Normal"/>
    <w:link w:val="QuoteChar"/>
    <w:uiPriority w:val="29"/>
    <w:qFormat/>
    <w:rsid w:val="0052229C"/>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52229C"/>
    <w:rPr>
      <w:rFonts w:eastAsia="Times New Roman" w:cs="Times New Roman"/>
      <w:i/>
      <w:iCs/>
      <w:color w:val="000000" w:themeColor="text1"/>
      <w:szCs w:val="20"/>
      <w:lang w:val="en-CA" w:eastAsia="en-CA"/>
    </w:rPr>
  </w:style>
  <w:style w:type="paragraph" w:customStyle="1" w:styleId="SCCLsocParty">
    <w:name w:val="SCC.Lsoc.Party"/>
    <w:basedOn w:val="Normal"/>
    <w:next w:val="Normal"/>
    <w:link w:val="SCCLsocPartyChar"/>
    <w:rsid w:val="00E8544A"/>
    <w:pPr>
      <w:jc w:val="center"/>
    </w:pPr>
    <w:rPr>
      <w:rFonts w:eastAsia="Calibri" w:cs="Times New Roman"/>
      <w:lang w:val="fr-CA"/>
    </w:rPr>
  </w:style>
  <w:style w:type="character" w:customStyle="1" w:styleId="SCCLsocPartyChar">
    <w:name w:val="SCC.Lsoc.Party Char"/>
    <w:basedOn w:val="DefaultParagraphFont"/>
    <w:link w:val="SCCLsocParty"/>
    <w:rsid w:val="00E8544A"/>
    <w:rPr>
      <w:rFonts w:eastAsia="Calibri" w:cs="Times New Roman"/>
      <w:lang w:val="fr-CA"/>
    </w:rPr>
  </w:style>
  <w:style w:type="table" w:customStyle="1" w:styleId="TableGrid2">
    <w:name w:val="Table Grid2"/>
    <w:basedOn w:val="TableNormal"/>
    <w:next w:val="TableGrid"/>
    <w:uiPriority w:val="59"/>
    <w:rsid w:val="00C01FCB"/>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OtherPartySeparatorChar">
    <w:name w:val="SCC.Lsoc.OtherPartySeparator Char"/>
    <w:basedOn w:val="DefaultParagraphFont"/>
    <w:link w:val="SCCLsocOtherPartySeparator"/>
    <w:rsid w:val="00C01FCB"/>
    <w:rPr>
      <w:i/>
    </w:rPr>
  </w:style>
  <w:style w:type="paragraph" w:customStyle="1" w:styleId="SCCLsocOtherPartySeparator">
    <w:name w:val="SCC.Lsoc.OtherPartySeparator"/>
    <w:basedOn w:val="Normal"/>
    <w:next w:val="Normal"/>
    <w:link w:val="SCCLsocOtherPartySeparatorChar"/>
    <w:rsid w:val="00C01FCB"/>
    <w:rPr>
      <w:i/>
      <w:lang w:val="en-US"/>
    </w:rPr>
  </w:style>
  <w:style w:type="paragraph" w:styleId="NormalWeb">
    <w:name w:val="Normal (Web)"/>
    <w:basedOn w:val="Normal"/>
    <w:uiPriority w:val="99"/>
    <w:unhideWhenUsed/>
    <w:rsid w:val="00C01FCB"/>
    <w:pPr>
      <w:spacing w:before="100" w:beforeAutospacing="1" w:after="100" w:afterAutospacing="1"/>
    </w:pPr>
    <w:rPr>
      <w:rFonts w:eastAsia="Times New Roman" w:cs="Times New Roman"/>
      <w:szCs w:val="24"/>
      <w:lang w:eastAsia="en-CA"/>
    </w:rPr>
  </w:style>
  <w:style w:type="character" w:styleId="Emphasis">
    <w:name w:val="Emphasis"/>
    <w:basedOn w:val="DefaultParagraphFont"/>
    <w:uiPriority w:val="20"/>
    <w:qFormat/>
    <w:rsid w:val="00C01FCB"/>
    <w:rPr>
      <w:i/>
      <w:iCs/>
    </w:rPr>
  </w:style>
  <w:style w:type="character" w:styleId="Strong">
    <w:name w:val="Strong"/>
    <w:basedOn w:val="DefaultParagraphFont"/>
    <w:uiPriority w:val="22"/>
    <w:qFormat/>
    <w:rsid w:val="00C01FCB"/>
    <w:rPr>
      <w:b/>
      <w:bCs/>
    </w:rPr>
  </w:style>
  <w:style w:type="paragraph" w:customStyle="1" w:styleId="SCCSsocParty">
    <w:name w:val="SCC.Ssoc.Party"/>
    <w:basedOn w:val="Normal"/>
    <w:next w:val="Normal"/>
    <w:link w:val="SCCSsocPartyChar"/>
    <w:rsid w:val="00102792"/>
    <w:rPr>
      <w:rFonts w:cs="Times New Roman"/>
      <w:i/>
      <w:szCs w:val="24"/>
    </w:rPr>
  </w:style>
  <w:style w:type="character" w:customStyle="1" w:styleId="SCCSsocPartyChar">
    <w:name w:val="SCC.Ssoc.Party Char"/>
    <w:basedOn w:val="DefaultParagraphFont"/>
    <w:link w:val="SCCSsocParty"/>
    <w:rsid w:val="00102792"/>
    <w:rPr>
      <w:rFonts w:cs="Times New Roman"/>
      <w:i/>
      <w:szCs w:val="24"/>
      <w:lang w:val="en-CA"/>
    </w:rPr>
  </w:style>
  <w:style w:type="character" w:customStyle="1" w:styleId="sccssocchar">
    <w:name w:val="sccssocchar"/>
    <w:basedOn w:val="DefaultParagraphFont"/>
    <w:rsid w:val="00102792"/>
  </w:style>
  <w:style w:type="character" w:styleId="FollowedHyperlink">
    <w:name w:val="FollowedHyperlink"/>
    <w:basedOn w:val="DefaultParagraphFont"/>
    <w:uiPriority w:val="99"/>
    <w:semiHidden/>
    <w:unhideWhenUsed/>
    <w:rsid w:val="00102792"/>
    <w:rPr>
      <w:color w:val="800080" w:themeColor="followedHyperlink"/>
      <w:u w:val="single"/>
    </w:rPr>
  </w:style>
  <w:style w:type="paragraph" w:customStyle="1" w:styleId="scclsocparty0">
    <w:name w:val="scclsocparty"/>
    <w:basedOn w:val="Normal"/>
    <w:rsid w:val="00102792"/>
    <w:pPr>
      <w:spacing w:before="100" w:beforeAutospacing="1" w:after="100" w:afterAutospacing="1"/>
    </w:pPr>
    <w:rPr>
      <w:rFonts w:eastAsia="Times New Roman" w:cs="Times New Roman"/>
      <w:szCs w:val="24"/>
      <w:lang w:val="en-US"/>
    </w:rPr>
  </w:style>
  <w:style w:type="character" w:customStyle="1" w:styleId="sccfilenumberchar0">
    <w:name w:val="sccfilenumberchar"/>
    <w:basedOn w:val="DefaultParagraphFont"/>
    <w:rsid w:val="00102792"/>
  </w:style>
  <w:style w:type="paragraph" w:customStyle="1" w:styleId="scclsocotherpartyseparator0">
    <w:name w:val="scclsocotherpartyseparator"/>
    <w:basedOn w:val="Normal"/>
    <w:rsid w:val="00102792"/>
    <w:pPr>
      <w:spacing w:before="100" w:beforeAutospacing="1" w:after="100" w:afterAutospacing="1"/>
    </w:pPr>
    <w:rPr>
      <w:rFonts w:eastAsia="Times New Roman" w:cs="Times New Roman"/>
      <w:szCs w:val="24"/>
      <w:lang w:val="en-US"/>
    </w:rPr>
  </w:style>
  <w:style w:type="paragraph" w:customStyle="1" w:styleId="scclsocsubfileseparator">
    <w:name w:val="scclsocsubfileseparator"/>
    <w:basedOn w:val="Normal"/>
    <w:rsid w:val="00102792"/>
    <w:pPr>
      <w:spacing w:before="100" w:beforeAutospacing="1" w:after="100" w:afterAutospacing="1"/>
    </w:pPr>
    <w:rPr>
      <w:rFonts w:eastAsia="Times New Roman" w:cs="Times New Roman"/>
      <w:szCs w:val="24"/>
      <w:lang w:val="en-US"/>
    </w:rPr>
  </w:style>
  <w:style w:type="character" w:customStyle="1" w:styleId="decisia-reflex2-icon">
    <w:name w:val="decisia-reflex2-icon"/>
    <w:basedOn w:val="DefaultParagraphFont"/>
    <w:rsid w:val="00102792"/>
  </w:style>
  <w:style w:type="paragraph" w:customStyle="1" w:styleId="sccbansummary">
    <w:name w:val="sccbansummary"/>
    <w:basedOn w:val="Normal"/>
    <w:rsid w:val="00102792"/>
    <w:pPr>
      <w:spacing w:before="100" w:beforeAutospacing="1" w:after="100" w:afterAutospacing="1"/>
    </w:pPr>
    <w:rPr>
      <w:rFonts w:eastAsia="Times New Roman" w:cs="Times New Roman"/>
      <w:szCs w:val="24"/>
      <w:lang w:val="en-US"/>
    </w:rPr>
  </w:style>
  <w:style w:type="paragraph" w:customStyle="1" w:styleId="scccasedescriptor">
    <w:name w:val="scccasedescriptor"/>
    <w:basedOn w:val="Normal"/>
    <w:rsid w:val="00102792"/>
    <w:pPr>
      <w:spacing w:before="100" w:beforeAutospacing="1" w:after="100" w:afterAutospacing="1"/>
    </w:pPr>
    <w:rPr>
      <w:rFonts w:eastAsia="Times New Roman" w:cs="Times New Roman"/>
      <w:szCs w:val="24"/>
      <w:lang w:val="en-US"/>
    </w:rPr>
  </w:style>
  <w:style w:type="character" w:customStyle="1" w:styleId="solext0">
    <w:name w:val="solext0"/>
    <w:basedOn w:val="DefaultParagraphFont"/>
    <w:rsid w:val="00A744AF"/>
  </w:style>
  <w:style w:type="character" w:customStyle="1" w:styleId="Heading1Char">
    <w:name w:val="Heading 1 Char"/>
    <w:basedOn w:val="DefaultParagraphFont"/>
    <w:link w:val="Heading1"/>
    <w:uiPriority w:val="9"/>
    <w:rsid w:val="00560DF1"/>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560DF1"/>
    <w:pPr>
      <w:spacing w:line="259" w:lineRule="auto"/>
      <w:outlineLvl w:val="9"/>
    </w:pPr>
    <w:rPr>
      <w:lang w:val="en-US"/>
    </w:rPr>
  </w:style>
  <w:style w:type="paragraph" w:styleId="TOC1">
    <w:name w:val="toc 1"/>
    <w:basedOn w:val="Normal"/>
    <w:next w:val="Normal"/>
    <w:autoRedefine/>
    <w:uiPriority w:val="39"/>
    <w:unhideWhenUsed/>
    <w:rsid w:val="00727571"/>
    <w:pPr>
      <w:spacing w:after="100"/>
    </w:pPr>
    <w:rPr>
      <w:sz w:val="20"/>
    </w:rPr>
  </w:style>
  <w:style w:type="paragraph" w:styleId="TOC2">
    <w:name w:val="toc 2"/>
    <w:basedOn w:val="Normal"/>
    <w:next w:val="Normal"/>
    <w:autoRedefine/>
    <w:uiPriority w:val="39"/>
    <w:unhideWhenUsed/>
    <w:rsid w:val="00560DF1"/>
    <w:pPr>
      <w:spacing w:after="100" w:line="259" w:lineRule="auto"/>
      <w:ind w:left="220"/>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560DF1"/>
    <w:pPr>
      <w:spacing w:after="100" w:line="259" w:lineRule="auto"/>
      <w:ind w:left="440"/>
    </w:pPr>
    <w:rPr>
      <w:rFonts w:asciiTheme="minorHAnsi" w:eastAsiaTheme="minorEastAsia" w:hAnsiTheme="minorHAnsi" w:cs="Times New Roman"/>
      <w:sz w:val="22"/>
      <w:lang w:val="en-US"/>
    </w:rPr>
  </w:style>
  <w:style w:type="paragraph" w:styleId="Title">
    <w:name w:val="Title"/>
    <w:basedOn w:val="Normal"/>
    <w:next w:val="Normal"/>
    <w:link w:val="TitleChar"/>
    <w:uiPriority w:val="10"/>
    <w:qFormat/>
    <w:rsid w:val="00693C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C38"/>
    <w:rPr>
      <w:rFonts w:asciiTheme="majorHAnsi" w:eastAsiaTheme="majorEastAsia" w:hAnsiTheme="majorHAnsi" w:cstheme="majorBidi"/>
      <w:spacing w:val="-10"/>
      <w:kern w:val="28"/>
      <w:sz w:val="56"/>
      <w:szCs w:val="56"/>
      <w:lang w:val="en-CA"/>
    </w:rPr>
  </w:style>
  <w:style w:type="paragraph" w:styleId="BalloonText">
    <w:name w:val="Balloon Text"/>
    <w:basedOn w:val="Normal"/>
    <w:link w:val="BalloonTextChar"/>
    <w:uiPriority w:val="99"/>
    <w:semiHidden/>
    <w:unhideWhenUsed/>
    <w:rsid w:val="008D3D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D4B"/>
    <w:rPr>
      <w:rFonts w:ascii="Segoe UI" w:hAnsi="Segoe UI" w:cs="Segoe UI"/>
      <w:sz w:val="18"/>
      <w:szCs w:val="18"/>
      <w:lang w:val="en-CA"/>
    </w:rPr>
  </w:style>
  <w:style w:type="paragraph" w:customStyle="1" w:styleId="SCCAppellantInfoTypeOfCase">
    <w:name w:val="SCC.AppellantInfo.TypeOfCase"/>
    <w:basedOn w:val="Normal"/>
    <w:next w:val="Normal"/>
    <w:link w:val="SCCAppellantInfoTypeOfCaseChar"/>
    <w:rsid w:val="00F138C1"/>
    <w:rPr>
      <w:b/>
      <w:szCs w:val="24"/>
    </w:rPr>
  </w:style>
  <w:style w:type="character" w:customStyle="1" w:styleId="SCCAppellantInfoTypeOfCaseChar">
    <w:name w:val="SCC.AppellantInfo.TypeOfCase Char"/>
    <w:basedOn w:val="DefaultParagraphFont"/>
    <w:link w:val="SCCAppellantInfoTypeOfCase"/>
    <w:rsid w:val="00F138C1"/>
    <w:rPr>
      <w:b/>
      <w:szCs w:val="24"/>
      <w:lang w:val="en-CA"/>
    </w:rPr>
  </w:style>
  <w:style w:type="paragraph" w:customStyle="1" w:styleId="SCCAppellantInfoAppellantInfo">
    <w:name w:val="SCC.AppellantInfo.AppellantInfo"/>
    <w:basedOn w:val="Normal"/>
    <w:next w:val="Normal"/>
    <w:link w:val="SCCAppellantInfoAppellantInfoChar"/>
    <w:rsid w:val="00F138C1"/>
    <w:rPr>
      <w:szCs w:val="24"/>
    </w:rPr>
  </w:style>
  <w:style w:type="character" w:customStyle="1" w:styleId="SCCAppellantInfoAppellantInfoChar">
    <w:name w:val="SCC.AppellantInfo.AppellantInfo Char"/>
    <w:basedOn w:val="DefaultParagraphFont"/>
    <w:link w:val="SCCAppellantInfoAppellantInfo"/>
    <w:rsid w:val="00F138C1"/>
    <w:rPr>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7102">
      <w:bodyDiv w:val="1"/>
      <w:marLeft w:val="0"/>
      <w:marRight w:val="0"/>
      <w:marTop w:val="0"/>
      <w:marBottom w:val="0"/>
      <w:divBdr>
        <w:top w:val="none" w:sz="0" w:space="0" w:color="auto"/>
        <w:left w:val="none" w:sz="0" w:space="0" w:color="auto"/>
        <w:bottom w:val="none" w:sz="0" w:space="0" w:color="auto"/>
        <w:right w:val="none" w:sz="0" w:space="0" w:color="auto"/>
      </w:divBdr>
    </w:div>
    <w:div w:id="52824571">
      <w:bodyDiv w:val="1"/>
      <w:marLeft w:val="0"/>
      <w:marRight w:val="0"/>
      <w:marTop w:val="0"/>
      <w:marBottom w:val="0"/>
      <w:divBdr>
        <w:top w:val="none" w:sz="0" w:space="0" w:color="auto"/>
        <w:left w:val="none" w:sz="0" w:space="0" w:color="auto"/>
        <w:bottom w:val="none" w:sz="0" w:space="0" w:color="auto"/>
        <w:right w:val="none" w:sz="0" w:space="0" w:color="auto"/>
      </w:divBdr>
    </w:div>
    <w:div w:id="102656733">
      <w:bodyDiv w:val="1"/>
      <w:marLeft w:val="0"/>
      <w:marRight w:val="0"/>
      <w:marTop w:val="0"/>
      <w:marBottom w:val="0"/>
      <w:divBdr>
        <w:top w:val="none" w:sz="0" w:space="0" w:color="auto"/>
        <w:left w:val="none" w:sz="0" w:space="0" w:color="auto"/>
        <w:bottom w:val="none" w:sz="0" w:space="0" w:color="auto"/>
        <w:right w:val="none" w:sz="0" w:space="0" w:color="auto"/>
      </w:divBdr>
    </w:div>
    <w:div w:id="318964222">
      <w:bodyDiv w:val="1"/>
      <w:marLeft w:val="0"/>
      <w:marRight w:val="0"/>
      <w:marTop w:val="0"/>
      <w:marBottom w:val="0"/>
      <w:divBdr>
        <w:top w:val="none" w:sz="0" w:space="0" w:color="auto"/>
        <w:left w:val="none" w:sz="0" w:space="0" w:color="auto"/>
        <w:bottom w:val="none" w:sz="0" w:space="0" w:color="auto"/>
        <w:right w:val="none" w:sz="0" w:space="0" w:color="auto"/>
      </w:divBdr>
    </w:div>
    <w:div w:id="388311168">
      <w:bodyDiv w:val="1"/>
      <w:marLeft w:val="0"/>
      <w:marRight w:val="0"/>
      <w:marTop w:val="0"/>
      <w:marBottom w:val="0"/>
      <w:divBdr>
        <w:top w:val="none" w:sz="0" w:space="0" w:color="auto"/>
        <w:left w:val="none" w:sz="0" w:space="0" w:color="auto"/>
        <w:bottom w:val="none" w:sz="0" w:space="0" w:color="auto"/>
        <w:right w:val="none" w:sz="0" w:space="0" w:color="auto"/>
      </w:divBdr>
    </w:div>
    <w:div w:id="741215213">
      <w:bodyDiv w:val="1"/>
      <w:marLeft w:val="0"/>
      <w:marRight w:val="0"/>
      <w:marTop w:val="0"/>
      <w:marBottom w:val="0"/>
      <w:divBdr>
        <w:top w:val="none" w:sz="0" w:space="0" w:color="auto"/>
        <w:left w:val="none" w:sz="0" w:space="0" w:color="auto"/>
        <w:bottom w:val="none" w:sz="0" w:space="0" w:color="auto"/>
        <w:right w:val="none" w:sz="0" w:space="0" w:color="auto"/>
      </w:divBdr>
    </w:div>
    <w:div w:id="843593426">
      <w:bodyDiv w:val="1"/>
      <w:marLeft w:val="0"/>
      <w:marRight w:val="0"/>
      <w:marTop w:val="0"/>
      <w:marBottom w:val="0"/>
      <w:divBdr>
        <w:top w:val="none" w:sz="0" w:space="0" w:color="auto"/>
        <w:left w:val="none" w:sz="0" w:space="0" w:color="auto"/>
        <w:bottom w:val="none" w:sz="0" w:space="0" w:color="auto"/>
        <w:right w:val="none" w:sz="0" w:space="0" w:color="auto"/>
      </w:divBdr>
    </w:div>
    <w:div w:id="1477378695">
      <w:bodyDiv w:val="1"/>
      <w:marLeft w:val="0"/>
      <w:marRight w:val="0"/>
      <w:marTop w:val="0"/>
      <w:marBottom w:val="0"/>
      <w:divBdr>
        <w:top w:val="none" w:sz="0" w:space="0" w:color="auto"/>
        <w:left w:val="none" w:sz="0" w:space="0" w:color="auto"/>
        <w:bottom w:val="none" w:sz="0" w:space="0" w:color="auto"/>
        <w:right w:val="none" w:sz="0" w:space="0" w:color="auto"/>
      </w:divBdr>
    </w:div>
    <w:div w:id="1526364174">
      <w:bodyDiv w:val="1"/>
      <w:marLeft w:val="0"/>
      <w:marRight w:val="0"/>
      <w:marTop w:val="0"/>
      <w:marBottom w:val="0"/>
      <w:divBdr>
        <w:top w:val="none" w:sz="0" w:space="0" w:color="auto"/>
        <w:left w:val="none" w:sz="0" w:space="0" w:color="auto"/>
        <w:bottom w:val="none" w:sz="0" w:space="0" w:color="auto"/>
        <w:right w:val="none" w:sz="0" w:space="0" w:color="auto"/>
      </w:divBdr>
    </w:div>
    <w:div w:id="1815876177">
      <w:bodyDiv w:val="1"/>
      <w:marLeft w:val="0"/>
      <w:marRight w:val="0"/>
      <w:marTop w:val="0"/>
      <w:marBottom w:val="0"/>
      <w:divBdr>
        <w:top w:val="none" w:sz="0" w:space="0" w:color="auto"/>
        <w:left w:val="none" w:sz="0" w:space="0" w:color="auto"/>
        <w:bottom w:val="none" w:sz="0" w:space="0" w:color="auto"/>
        <w:right w:val="none" w:sz="0" w:space="0" w:color="auto"/>
      </w:divBdr>
    </w:div>
    <w:div w:id="1872450012">
      <w:bodyDiv w:val="1"/>
      <w:marLeft w:val="0"/>
      <w:marRight w:val="0"/>
      <w:marTop w:val="0"/>
      <w:marBottom w:val="0"/>
      <w:divBdr>
        <w:top w:val="none" w:sz="0" w:space="0" w:color="auto"/>
        <w:left w:val="none" w:sz="0" w:space="0" w:color="auto"/>
        <w:bottom w:val="none" w:sz="0" w:space="0" w:color="auto"/>
        <w:right w:val="none" w:sz="0" w:space="0" w:color="auto"/>
      </w:divBdr>
    </w:div>
    <w:div w:id="2119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9.xml"/><Relationship Id="rId21" Type="http://schemas.openxmlformats.org/officeDocument/2006/relationships/header" Target="header6.xml"/><Relationship Id="rId34" Type="http://schemas.openxmlformats.org/officeDocument/2006/relationships/hyperlink" Target="https://www.canlii.org/fr/on/onca/doc/2019/2019onca922/2019onca922.html?autocompleteStr=2019%20ONCA%20922&amp;autocompletePos=1" TargetMode="External"/><Relationship Id="rId42" Type="http://schemas.openxmlformats.org/officeDocument/2006/relationships/footer" Target="footer11.xml"/><Relationship Id="rId47" Type="http://schemas.openxmlformats.org/officeDocument/2006/relationships/header" Target="header13.xml"/><Relationship Id="rId50" Type="http://schemas.openxmlformats.org/officeDocument/2006/relationships/header" Target="header14.xml"/><Relationship Id="rId55" Type="http://schemas.openxmlformats.org/officeDocument/2006/relationships/header" Target="header16.xml"/><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s://www.scc-csc.ca/case-dossier/info/sum-som-eng.aspx?cas=38984" TargetMode="External"/><Relationship Id="rId29" Type="http://schemas.openxmlformats.org/officeDocument/2006/relationships/hyperlink" Target="https://www.canlii.org/en/ab/abqb/doc/2018/2018abqb591/2018abqb591.html?resultIndex=1" TargetMode="External"/><Relationship Id="rId41" Type="http://schemas.openxmlformats.org/officeDocument/2006/relationships/header" Target="header11.xml"/><Relationship Id="rId54" Type="http://schemas.openxmlformats.org/officeDocument/2006/relationships/header" Target="header15.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https://www.canlii.org/fr/on/onca/doc/2019/2019onca922/2019onca922.html?autocompleteStr=2019%20ONCA%20922&amp;autocompletePos=1" TargetMode="External"/><Relationship Id="rId37" Type="http://schemas.openxmlformats.org/officeDocument/2006/relationships/header" Target="header9.xml"/><Relationship Id="rId40" Type="http://schemas.openxmlformats.org/officeDocument/2006/relationships/footer" Target="footer10.xml"/><Relationship Id="rId45" Type="http://schemas.openxmlformats.org/officeDocument/2006/relationships/hyperlink" Target="https://www.scc-csc.ca/case-dossier/info/sum-som-eng.aspx?cas=38903" TargetMode="External"/><Relationship Id="rId53" Type="http://schemas.openxmlformats.org/officeDocument/2006/relationships/hyperlink" Target="https://decisions.scc-csc.ca/scc-csc/scc-csc/fr/item/18390/index.do" TargetMode="External"/><Relationship Id="rId58"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https://www.canlii.org/en/ab/abca/doc/2019/2019abca494/2019abca494.html" TargetMode="External"/><Relationship Id="rId36" Type="http://schemas.openxmlformats.org/officeDocument/2006/relationships/hyperlink" Target="https://www.canlii.org/en/on/onca/doc/2020/2020onca92/2020onca92.html?autocompleteStr=2020%20ONCA%2092&amp;autocompletePos=1" TargetMode="External"/><Relationship Id="rId49" Type="http://schemas.openxmlformats.org/officeDocument/2006/relationships/footer" Target="footer13.xml"/><Relationship Id="rId57" Type="http://schemas.openxmlformats.org/officeDocument/2006/relationships/footer" Target="footer16.xml"/><Relationship Id="rId61" Type="http://schemas.openxmlformats.org/officeDocument/2006/relationships/footer" Target="footer1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s://www.canlii.org/fr/on/onsc/doc/2018/2018onsc1129/2018onsc1129.html?resultIndex=1" TargetMode="External"/><Relationship Id="rId44" Type="http://schemas.openxmlformats.org/officeDocument/2006/relationships/hyperlink" Target="https://www.scc-csc.ca/case-dossier/info/sum-som-fra.aspx?cas=37984" TargetMode="External"/><Relationship Id="rId52" Type="http://schemas.openxmlformats.org/officeDocument/2006/relationships/hyperlink" Target="https://decisions.scc-csc.ca/scc-csc/scc-csc/en/item/18390/index.do" TargetMode="External"/><Relationship Id="rId60"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yperlink" Target="https://www.scc-csc.ca"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www.canlii.org/en/ab/abqb/doc/2018/2018abqb591/2018abqb591.html?resultIndex=1" TargetMode="External"/><Relationship Id="rId30" Type="http://schemas.openxmlformats.org/officeDocument/2006/relationships/hyperlink" Target="https://www.canlii.org/en/ab/abca/doc/2019/2019abca494/2019abca494.html" TargetMode="External"/><Relationship Id="rId35" Type="http://schemas.openxmlformats.org/officeDocument/2006/relationships/hyperlink" Target="https://www.canlii.org/en/on/onca/doc/2020/2020onca92/2020onca92.html?autocompleteStr=2020%20ONCA%2092&amp;autocompletePos=1" TargetMode="External"/><Relationship Id="rId43" Type="http://schemas.openxmlformats.org/officeDocument/2006/relationships/hyperlink" Target="https://www.scc-csc.ca/case-dossier/info/sum-som-eng.aspx?cas=38741" TargetMode="External"/><Relationship Id="rId48" Type="http://schemas.openxmlformats.org/officeDocument/2006/relationships/footer" Target="footer12.xml"/><Relationship Id="rId56" Type="http://schemas.openxmlformats.org/officeDocument/2006/relationships/footer" Target="footer15.xml"/><Relationship Id="rId8" Type="http://schemas.openxmlformats.org/officeDocument/2006/relationships/hyperlink" Target="https://www.scc-csc.ca" TargetMode="External"/><Relationship Id="rId51" Type="http://schemas.openxmlformats.org/officeDocument/2006/relationships/footer" Target="footer14.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yperlink" Target="https://www.canlii.org/fr/on/onsc/doc/2018/2018onsc1129/2018onsc1129.html?resultIndex=1" TargetMode="External"/><Relationship Id="rId38" Type="http://schemas.openxmlformats.org/officeDocument/2006/relationships/header" Target="header10.xml"/><Relationship Id="rId46" Type="http://schemas.openxmlformats.org/officeDocument/2006/relationships/header" Target="header12.xml"/><Relationship Id="rId59"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rec\AppData\Roaming\Microsoft\Templates\Bulletin\Bulletin%20of%20Proceedings%20-%20Updated%20%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Bulletin of Proceedings - Updated  2020.dotx</Template>
  <TotalTime>0</TotalTime>
  <Pages>20</Pages>
  <Words>7996</Words>
  <Characters>45583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2020-06-01T18:14:00Z</dcterms:created>
  <dcterms:modified xsi:type="dcterms:W3CDTF">2020-06-26T14:48:00Z</dcterms:modified>
</cp:coreProperties>
</file>