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25791" w:rsidTr="00F138C1">
        <w:tc>
          <w:tcPr>
            <w:tcW w:w="9648" w:type="dxa"/>
            <w:gridSpan w:val="3"/>
          </w:tcPr>
          <w:p w:rsidR="00F138C1" w:rsidRPr="00625791" w:rsidRDefault="00F138C1" w:rsidP="00F138C1">
            <w:pPr>
              <w:tabs>
                <w:tab w:val="left" w:pos="6075"/>
              </w:tabs>
              <w:jc w:val="center"/>
              <w:rPr>
                <w:b/>
                <w:sz w:val="32"/>
                <w:szCs w:val="32"/>
                <w:lang w:val="fr-CA"/>
              </w:rPr>
            </w:pPr>
            <w:r w:rsidRPr="00625791">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625791" w:rsidTr="00F138C1">
        <w:tc>
          <w:tcPr>
            <w:tcW w:w="4599" w:type="dxa"/>
            <w:tcMar>
              <w:top w:w="284" w:type="dxa"/>
            </w:tcMar>
          </w:tcPr>
          <w:p w:rsidR="00F138C1" w:rsidRPr="00625791" w:rsidRDefault="00F138C1" w:rsidP="00F138C1">
            <w:pPr>
              <w:tabs>
                <w:tab w:val="left" w:pos="6075"/>
              </w:tabs>
              <w:jc w:val="center"/>
              <w:rPr>
                <w:b/>
                <w:sz w:val="32"/>
                <w:szCs w:val="32"/>
              </w:rPr>
            </w:pPr>
            <w:r w:rsidRPr="00625791">
              <w:rPr>
                <w:b/>
                <w:sz w:val="32"/>
                <w:szCs w:val="32"/>
              </w:rPr>
              <w:t>SUPREME COURT OF CANADA</w:t>
            </w:r>
          </w:p>
        </w:tc>
        <w:tc>
          <w:tcPr>
            <w:tcW w:w="483" w:type="dxa"/>
          </w:tcPr>
          <w:p w:rsidR="00F138C1" w:rsidRPr="00625791" w:rsidRDefault="00F138C1" w:rsidP="00F138C1">
            <w:pPr>
              <w:tabs>
                <w:tab w:val="left" w:pos="6075"/>
              </w:tabs>
              <w:jc w:val="center"/>
              <w:rPr>
                <w:sz w:val="32"/>
                <w:szCs w:val="32"/>
              </w:rPr>
            </w:pPr>
          </w:p>
        </w:tc>
        <w:tc>
          <w:tcPr>
            <w:tcW w:w="4566" w:type="dxa"/>
            <w:tcMar>
              <w:top w:w="284" w:type="dxa"/>
            </w:tcMar>
          </w:tcPr>
          <w:p w:rsidR="00F138C1" w:rsidRPr="00625791" w:rsidRDefault="00F138C1" w:rsidP="00F138C1">
            <w:pPr>
              <w:tabs>
                <w:tab w:val="left" w:pos="6075"/>
              </w:tabs>
              <w:jc w:val="center"/>
              <w:rPr>
                <w:b/>
                <w:sz w:val="32"/>
                <w:szCs w:val="32"/>
                <w:lang w:val="fr-CA"/>
              </w:rPr>
            </w:pPr>
            <w:r w:rsidRPr="00625791">
              <w:rPr>
                <w:b/>
                <w:sz w:val="32"/>
                <w:szCs w:val="32"/>
                <w:lang w:val="fr-CA"/>
              </w:rPr>
              <w:t>COUR SUPRÊME DU CANADA</w:t>
            </w:r>
          </w:p>
        </w:tc>
      </w:tr>
      <w:tr w:rsidR="00F138C1" w:rsidRPr="00625791" w:rsidTr="00F138C1">
        <w:tc>
          <w:tcPr>
            <w:tcW w:w="4599" w:type="dxa"/>
            <w:tcMar>
              <w:top w:w="567" w:type="dxa"/>
            </w:tcMar>
          </w:tcPr>
          <w:p w:rsidR="00F138C1" w:rsidRPr="00625791" w:rsidRDefault="00F138C1" w:rsidP="00F138C1">
            <w:pPr>
              <w:tabs>
                <w:tab w:val="left" w:pos="6075"/>
              </w:tabs>
              <w:jc w:val="center"/>
              <w:rPr>
                <w:sz w:val="28"/>
                <w:szCs w:val="28"/>
              </w:rPr>
            </w:pPr>
            <w:r w:rsidRPr="00625791">
              <w:rPr>
                <w:sz w:val="28"/>
                <w:szCs w:val="28"/>
              </w:rPr>
              <w:t>BULLETIN OF</w:t>
            </w:r>
            <w:r w:rsidRPr="00625791">
              <w:rPr>
                <w:sz w:val="28"/>
                <w:szCs w:val="28"/>
              </w:rPr>
              <w:br/>
              <w:t xml:space="preserve"> PROCEEDINGS</w:t>
            </w:r>
          </w:p>
        </w:tc>
        <w:tc>
          <w:tcPr>
            <w:tcW w:w="483" w:type="dxa"/>
          </w:tcPr>
          <w:p w:rsidR="00F138C1" w:rsidRPr="00625791" w:rsidRDefault="00F138C1" w:rsidP="00F138C1">
            <w:pPr>
              <w:tabs>
                <w:tab w:val="left" w:pos="6075"/>
              </w:tabs>
            </w:pPr>
          </w:p>
        </w:tc>
        <w:tc>
          <w:tcPr>
            <w:tcW w:w="4566" w:type="dxa"/>
            <w:tcMar>
              <w:top w:w="567" w:type="dxa"/>
            </w:tcMar>
          </w:tcPr>
          <w:p w:rsidR="00F138C1" w:rsidRPr="00625791" w:rsidRDefault="00F138C1" w:rsidP="00F138C1">
            <w:pPr>
              <w:tabs>
                <w:tab w:val="left" w:pos="6075"/>
              </w:tabs>
              <w:jc w:val="center"/>
              <w:rPr>
                <w:sz w:val="28"/>
                <w:szCs w:val="28"/>
                <w:lang w:val="fr-CA"/>
              </w:rPr>
            </w:pPr>
            <w:r w:rsidRPr="00625791">
              <w:rPr>
                <w:sz w:val="28"/>
                <w:szCs w:val="28"/>
                <w:lang w:val="fr-CA"/>
              </w:rPr>
              <w:t>BULLETIN DES</w:t>
            </w:r>
            <w:r w:rsidRPr="00625791">
              <w:rPr>
                <w:sz w:val="28"/>
                <w:szCs w:val="28"/>
                <w:lang w:val="fr-CA"/>
              </w:rPr>
              <w:br/>
              <w:t xml:space="preserve"> PROCÉDURES</w:t>
            </w:r>
          </w:p>
        </w:tc>
      </w:tr>
      <w:tr w:rsidR="00F138C1" w:rsidRPr="00366BFA" w:rsidTr="00F138C1">
        <w:tc>
          <w:tcPr>
            <w:tcW w:w="4599" w:type="dxa"/>
            <w:tcMar>
              <w:top w:w="567" w:type="dxa"/>
            </w:tcMar>
          </w:tcPr>
          <w:p w:rsidR="00F138C1" w:rsidRPr="00625791" w:rsidRDefault="00F138C1" w:rsidP="00F138C1">
            <w:pPr>
              <w:tabs>
                <w:tab w:val="left" w:pos="6075"/>
              </w:tabs>
              <w:jc w:val="both"/>
              <w:rPr>
                <w:rFonts w:ascii="Arial" w:hAnsi="Arial" w:cs="Arial"/>
                <w:i/>
                <w:sz w:val="20"/>
                <w:szCs w:val="20"/>
              </w:rPr>
            </w:pPr>
            <w:r w:rsidRPr="0062579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25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25791" w:rsidRDefault="00F138C1" w:rsidP="00F138C1">
            <w:pPr>
              <w:tabs>
                <w:tab w:val="left" w:pos="6075"/>
              </w:tabs>
              <w:jc w:val="both"/>
              <w:rPr>
                <w:rFonts w:ascii="Arial" w:hAnsi="Arial" w:cs="Arial"/>
                <w:i/>
                <w:sz w:val="20"/>
                <w:szCs w:val="20"/>
                <w:lang w:val="fr-CA"/>
              </w:rPr>
            </w:pPr>
            <w:r w:rsidRPr="0062579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66BFA" w:rsidTr="00F138C1">
        <w:tc>
          <w:tcPr>
            <w:tcW w:w="4599" w:type="dxa"/>
            <w:tcMar>
              <w:top w:w="567" w:type="dxa"/>
            </w:tcMar>
          </w:tcPr>
          <w:p w:rsidR="00F138C1" w:rsidRPr="00625791" w:rsidRDefault="00F138C1" w:rsidP="00F138C1">
            <w:pPr>
              <w:tabs>
                <w:tab w:val="left" w:pos="6075"/>
              </w:tabs>
              <w:jc w:val="both"/>
              <w:rPr>
                <w:rFonts w:ascii="Arial" w:hAnsi="Arial" w:cs="Arial"/>
                <w:i/>
                <w:sz w:val="20"/>
                <w:szCs w:val="20"/>
              </w:rPr>
            </w:pPr>
            <w:r w:rsidRPr="00625791">
              <w:rPr>
                <w:rFonts w:ascii="Arial" w:hAnsi="Arial" w:cs="Arial"/>
                <w:i/>
                <w:sz w:val="20"/>
                <w:szCs w:val="20"/>
              </w:rPr>
              <w:t>During Court sessions, the Bulletin is usually issued weekly.</w:t>
            </w:r>
          </w:p>
        </w:tc>
        <w:tc>
          <w:tcPr>
            <w:tcW w:w="483" w:type="dxa"/>
          </w:tcPr>
          <w:p w:rsidR="00F138C1" w:rsidRPr="00625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25791" w:rsidRDefault="00F138C1" w:rsidP="00F138C1">
            <w:pPr>
              <w:tabs>
                <w:tab w:val="left" w:pos="6075"/>
              </w:tabs>
              <w:jc w:val="both"/>
              <w:rPr>
                <w:rFonts w:ascii="Arial" w:hAnsi="Arial" w:cs="Arial"/>
                <w:i/>
                <w:sz w:val="20"/>
                <w:szCs w:val="20"/>
                <w:lang w:val="fr-CA"/>
              </w:rPr>
            </w:pPr>
            <w:r w:rsidRPr="00625791">
              <w:rPr>
                <w:rFonts w:ascii="Arial" w:hAnsi="Arial" w:cs="Arial"/>
                <w:i/>
                <w:sz w:val="20"/>
                <w:szCs w:val="20"/>
                <w:lang w:val="fr-CA"/>
              </w:rPr>
              <w:t>Le Bulletin paraît en principe toutes les semaines pendant les sessions de la Cour.</w:t>
            </w:r>
          </w:p>
        </w:tc>
      </w:tr>
      <w:tr w:rsidR="00F138C1" w:rsidRPr="00366BFA" w:rsidTr="00F138C1">
        <w:tc>
          <w:tcPr>
            <w:tcW w:w="4599" w:type="dxa"/>
            <w:tcMar>
              <w:top w:w="567" w:type="dxa"/>
            </w:tcMar>
          </w:tcPr>
          <w:p w:rsidR="00F138C1" w:rsidRPr="00625791" w:rsidRDefault="00F138C1" w:rsidP="00F138C1">
            <w:pPr>
              <w:tabs>
                <w:tab w:val="left" w:pos="6075"/>
              </w:tabs>
              <w:jc w:val="both"/>
              <w:rPr>
                <w:rFonts w:ascii="Arial" w:hAnsi="Arial" w:cs="Arial"/>
                <w:i/>
                <w:sz w:val="20"/>
                <w:szCs w:val="20"/>
              </w:rPr>
            </w:pPr>
            <w:r w:rsidRPr="00625791">
              <w:rPr>
                <w:rFonts w:ascii="Arial" w:hAnsi="Arial" w:cs="Arial"/>
                <w:i/>
                <w:sz w:val="20"/>
                <w:szCs w:val="20"/>
              </w:rPr>
              <w:fldChar w:fldCharType="begin"/>
            </w:r>
            <w:r w:rsidRPr="00625791">
              <w:rPr>
                <w:rFonts w:ascii="Arial" w:hAnsi="Arial" w:cs="Arial"/>
                <w:i/>
                <w:sz w:val="20"/>
                <w:szCs w:val="20"/>
              </w:rPr>
              <w:instrText xml:space="preserve"> SEQ CHAPTER \h \r 1</w:instrText>
            </w:r>
            <w:r w:rsidRPr="00625791">
              <w:rPr>
                <w:rFonts w:ascii="Arial" w:hAnsi="Arial" w:cs="Arial"/>
                <w:i/>
                <w:sz w:val="20"/>
                <w:szCs w:val="20"/>
              </w:rPr>
              <w:fldChar w:fldCharType="end"/>
            </w:r>
            <w:r w:rsidRPr="0062579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25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25791" w:rsidRDefault="00F138C1" w:rsidP="00F138C1">
            <w:pPr>
              <w:tabs>
                <w:tab w:val="left" w:pos="6075"/>
              </w:tabs>
              <w:jc w:val="both"/>
              <w:rPr>
                <w:rFonts w:ascii="Arial" w:hAnsi="Arial" w:cs="Arial"/>
                <w:i/>
                <w:sz w:val="20"/>
                <w:szCs w:val="20"/>
                <w:lang w:val="fr-CA"/>
              </w:rPr>
            </w:pPr>
            <w:r w:rsidRPr="00625791">
              <w:rPr>
                <w:rFonts w:ascii="Arial" w:hAnsi="Arial" w:cs="Arial"/>
                <w:i/>
                <w:sz w:val="20"/>
                <w:szCs w:val="20"/>
                <w:lang w:val="fr-CA"/>
              </w:rPr>
              <w:fldChar w:fldCharType="begin"/>
            </w:r>
            <w:r w:rsidRPr="00625791">
              <w:rPr>
                <w:rFonts w:ascii="Arial" w:hAnsi="Arial" w:cs="Arial"/>
                <w:i/>
                <w:sz w:val="20"/>
                <w:szCs w:val="20"/>
                <w:lang w:val="fr-CA"/>
              </w:rPr>
              <w:instrText xml:space="preserve"> SEQ CHAPTER \h \r 1</w:instrText>
            </w:r>
            <w:r w:rsidRPr="00625791">
              <w:rPr>
                <w:rFonts w:ascii="Arial" w:hAnsi="Arial" w:cs="Arial"/>
                <w:i/>
                <w:sz w:val="20"/>
                <w:szCs w:val="20"/>
                <w:lang w:val="fr-CA"/>
              </w:rPr>
              <w:fldChar w:fldCharType="end"/>
            </w:r>
            <w:r w:rsidRPr="0062579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66BFA" w:rsidTr="00F138C1">
        <w:tc>
          <w:tcPr>
            <w:tcW w:w="4599" w:type="dxa"/>
            <w:tcMar>
              <w:top w:w="567" w:type="dxa"/>
            </w:tcMar>
          </w:tcPr>
          <w:p w:rsidR="00F138C1" w:rsidRPr="00625791" w:rsidRDefault="00F138C1" w:rsidP="00F138C1">
            <w:pPr>
              <w:tabs>
                <w:tab w:val="left" w:pos="6075"/>
              </w:tabs>
              <w:jc w:val="both"/>
              <w:rPr>
                <w:rFonts w:ascii="Arial" w:hAnsi="Arial" w:cs="Arial"/>
                <w:i/>
                <w:sz w:val="20"/>
                <w:szCs w:val="20"/>
              </w:rPr>
            </w:pPr>
            <w:r w:rsidRPr="00625791">
              <w:rPr>
                <w:rFonts w:ascii="Arial" w:hAnsi="Arial" w:cs="Arial"/>
                <w:i/>
                <w:sz w:val="20"/>
                <w:szCs w:val="20"/>
                <w:lang w:val="en-US"/>
              </w:rPr>
              <w:t>Please c</w:t>
            </w:r>
            <w:r w:rsidRPr="00625791">
              <w:rPr>
                <w:rFonts w:ascii="Arial" w:hAnsi="Arial" w:cs="Arial"/>
                <w:i/>
                <w:sz w:val="20"/>
                <w:szCs w:val="20"/>
              </w:rPr>
              <w:t xml:space="preserve">onsult the Supreme Court of Canada website at </w:t>
            </w:r>
            <w:hyperlink r:id="rId9" w:history="1">
              <w:r w:rsidRPr="00625791">
                <w:rPr>
                  <w:rStyle w:val="Hyperlink"/>
                  <w:rFonts w:ascii="Arial" w:hAnsi="Arial" w:cs="Arial"/>
                  <w:i/>
                  <w:sz w:val="20"/>
                  <w:szCs w:val="20"/>
                </w:rPr>
                <w:t>www.scc-csc.ca</w:t>
              </w:r>
            </w:hyperlink>
            <w:r w:rsidRPr="00625791">
              <w:rPr>
                <w:rFonts w:ascii="Arial" w:hAnsi="Arial" w:cs="Arial"/>
                <w:i/>
                <w:sz w:val="20"/>
                <w:szCs w:val="20"/>
              </w:rPr>
              <w:t xml:space="preserve"> for more information.</w:t>
            </w:r>
          </w:p>
        </w:tc>
        <w:tc>
          <w:tcPr>
            <w:tcW w:w="483" w:type="dxa"/>
          </w:tcPr>
          <w:p w:rsidR="00F138C1" w:rsidRPr="0062579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25791" w:rsidRDefault="00F138C1" w:rsidP="00F138C1">
            <w:pPr>
              <w:tabs>
                <w:tab w:val="left" w:pos="6075"/>
              </w:tabs>
              <w:jc w:val="both"/>
              <w:rPr>
                <w:rFonts w:ascii="Arial" w:hAnsi="Arial" w:cs="Arial"/>
                <w:i/>
                <w:sz w:val="20"/>
                <w:szCs w:val="20"/>
                <w:lang w:val="fr-CA"/>
              </w:rPr>
            </w:pPr>
            <w:r w:rsidRPr="00625791">
              <w:rPr>
                <w:rFonts w:ascii="Arial" w:hAnsi="Arial" w:cs="Arial"/>
                <w:i/>
                <w:sz w:val="20"/>
                <w:szCs w:val="20"/>
                <w:lang w:val="fr-CA"/>
              </w:rPr>
              <w:t xml:space="preserve">Pour de plus amples informations, veuillez consulter le site Web de la Cour suprême du Canada à l’adresse suivante : </w:t>
            </w:r>
            <w:hyperlink r:id="rId10" w:history="1">
              <w:r w:rsidRPr="00625791">
                <w:rPr>
                  <w:rStyle w:val="Hyperlink"/>
                  <w:rFonts w:ascii="Arial" w:hAnsi="Arial" w:cs="Arial"/>
                  <w:i/>
                  <w:sz w:val="20"/>
                  <w:szCs w:val="20"/>
                  <w:lang w:val="fr-CA"/>
                </w:rPr>
                <w:t>www.scc-csc.ca</w:t>
              </w:r>
            </w:hyperlink>
            <w:r w:rsidRPr="00625791">
              <w:rPr>
                <w:rFonts w:ascii="Arial" w:hAnsi="Arial" w:cs="Arial"/>
                <w:i/>
                <w:sz w:val="20"/>
                <w:szCs w:val="20"/>
                <w:lang w:val="fr-CA"/>
              </w:rPr>
              <w:t xml:space="preserve"> </w:t>
            </w:r>
          </w:p>
        </w:tc>
      </w:tr>
    </w:tbl>
    <w:p w:rsidR="00F138C1" w:rsidRPr="0062579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25791" w:rsidTr="00F138C1">
        <w:tc>
          <w:tcPr>
            <w:tcW w:w="2250" w:type="pct"/>
            <w:tcBorders>
              <w:top w:val="single" w:sz="4" w:space="0" w:color="auto"/>
            </w:tcBorders>
            <w:tcMar>
              <w:top w:w="284" w:type="dxa"/>
              <w:bottom w:w="284" w:type="dxa"/>
            </w:tcMar>
          </w:tcPr>
          <w:p w:rsidR="00F138C1" w:rsidRPr="00625791" w:rsidRDefault="00846965" w:rsidP="00846965">
            <w:pPr>
              <w:tabs>
                <w:tab w:val="left" w:pos="6075"/>
              </w:tabs>
              <w:rPr>
                <w:rFonts w:ascii="Arial" w:hAnsi="Arial" w:cs="Arial"/>
                <w:i/>
                <w:sz w:val="20"/>
                <w:szCs w:val="20"/>
              </w:rPr>
            </w:pPr>
            <w:r w:rsidRPr="00625791">
              <w:rPr>
                <w:lang w:val="fr-CA"/>
              </w:rPr>
              <w:t>October</w:t>
            </w:r>
            <w:r w:rsidR="00F138C1" w:rsidRPr="00625791">
              <w:rPr>
                <w:lang w:val="fr-CA"/>
              </w:rPr>
              <w:t xml:space="preserve"> </w:t>
            </w:r>
            <w:r w:rsidRPr="00625791">
              <w:rPr>
                <w:lang w:val="fr-CA"/>
              </w:rPr>
              <w:t>30</w:t>
            </w:r>
            <w:r w:rsidR="00F138C1" w:rsidRPr="00625791">
              <w:rPr>
                <w:lang w:val="fr-CA"/>
              </w:rPr>
              <w:t>, 2020</w:t>
            </w:r>
          </w:p>
        </w:tc>
        <w:tc>
          <w:tcPr>
            <w:tcW w:w="500" w:type="pct"/>
            <w:tcBorders>
              <w:top w:val="single" w:sz="4" w:space="0" w:color="auto"/>
            </w:tcBorders>
            <w:tcMar>
              <w:top w:w="284" w:type="dxa"/>
              <w:bottom w:w="284" w:type="dxa"/>
            </w:tcMar>
          </w:tcPr>
          <w:p w:rsidR="00F138C1" w:rsidRPr="00625791" w:rsidRDefault="00F138C1" w:rsidP="00625791">
            <w:pPr>
              <w:tabs>
                <w:tab w:val="left" w:pos="6075"/>
              </w:tabs>
              <w:jc w:val="center"/>
              <w:rPr>
                <w:rFonts w:ascii="Arial" w:hAnsi="Arial" w:cs="Arial"/>
                <w:i/>
                <w:sz w:val="20"/>
                <w:szCs w:val="20"/>
              </w:rPr>
            </w:pPr>
            <w:r w:rsidRPr="00625791">
              <w:rPr>
                <w:lang w:val="fr-CA"/>
              </w:rPr>
              <w:t xml:space="preserve">1 - </w:t>
            </w:r>
            <w:r w:rsidR="002E62ED" w:rsidRPr="00625791">
              <w:rPr>
                <w:lang w:val="fr-CA"/>
              </w:rPr>
              <w:t>3</w:t>
            </w:r>
            <w:r w:rsidR="00625791" w:rsidRPr="00625791">
              <w:rPr>
                <w:lang w:val="fr-CA"/>
              </w:rPr>
              <w:t>1</w:t>
            </w:r>
          </w:p>
        </w:tc>
        <w:tc>
          <w:tcPr>
            <w:tcW w:w="2250" w:type="pct"/>
            <w:tcBorders>
              <w:top w:val="single" w:sz="4" w:space="0" w:color="auto"/>
            </w:tcBorders>
            <w:tcMar>
              <w:top w:w="284" w:type="dxa"/>
              <w:bottom w:w="284" w:type="dxa"/>
            </w:tcMar>
          </w:tcPr>
          <w:p w:rsidR="00F138C1" w:rsidRPr="00625791" w:rsidRDefault="00F138C1" w:rsidP="00846965">
            <w:pPr>
              <w:tabs>
                <w:tab w:val="left" w:pos="6075"/>
              </w:tabs>
              <w:jc w:val="right"/>
              <w:rPr>
                <w:rFonts w:ascii="Arial" w:hAnsi="Arial" w:cs="Arial"/>
                <w:i/>
                <w:sz w:val="20"/>
                <w:szCs w:val="20"/>
                <w:lang w:val="fr-CA"/>
              </w:rPr>
            </w:pPr>
            <w:r w:rsidRPr="00625791">
              <w:rPr>
                <w:lang w:val="fr-CA"/>
              </w:rPr>
              <w:t xml:space="preserve">Le </w:t>
            </w:r>
            <w:r w:rsidR="00846965" w:rsidRPr="00625791">
              <w:rPr>
                <w:lang w:val="fr-CA"/>
              </w:rPr>
              <w:t>30</w:t>
            </w:r>
            <w:r w:rsidRPr="00625791">
              <w:rPr>
                <w:lang w:val="fr-CA"/>
              </w:rPr>
              <w:t xml:space="preserve"> </w:t>
            </w:r>
            <w:r w:rsidR="00846965" w:rsidRPr="00625791">
              <w:rPr>
                <w:lang w:val="fr-CA"/>
              </w:rPr>
              <w:t>octobre</w:t>
            </w:r>
            <w:r w:rsidRPr="00625791">
              <w:rPr>
                <w:lang w:val="fr-CA"/>
              </w:rPr>
              <w:t xml:space="preserve"> 2020</w:t>
            </w:r>
          </w:p>
        </w:tc>
      </w:tr>
      <w:tr w:rsidR="00F138C1" w:rsidRPr="00870098" w:rsidTr="00F138C1">
        <w:tc>
          <w:tcPr>
            <w:tcW w:w="2250" w:type="pct"/>
            <w:tcBorders>
              <w:bottom w:val="single" w:sz="4" w:space="0" w:color="auto"/>
            </w:tcBorders>
            <w:tcMar>
              <w:top w:w="284" w:type="dxa"/>
              <w:bottom w:w="284" w:type="dxa"/>
            </w:tcMar>
          </w:tcPr>
          <w:p w:rsidR="00F138C1" w:rsidRPr="00625791" w:rsidRDefault="00F138C1" w:rsidP="00F138C1">
            <w:pPr>
              <w:tabs>
                <w:tab w:val="left" w:pos="6075"/>
              </w:tabs>
              <w:rPr>
                <w:rFonts w:ascii="Arial" w:hAnsi="Arial" w:cs="Arial"/>
                <w:i/>
                <w:sz w:val="20"/>
                <w:szCs w:val="20"/>
              </w:rPr>
            </w:pPr>
            <w:r w:rsidRPr="00625791">
              <w:rPr>
                <w:sz w:val="18"/>
                <w:szCs w:val="18"/>
                <w:lang w:val="en-US"/>
              </w:rPr>
              <w:t>© Supreme Court of Canada (2020)</w:t>
            </w:r>
            <w:r w:rsidRPr="00625791">
              <w:rPr>
                <w:sz w:val="18"/>
                <w:szCs w:val="18"/>
                <w:lang w:val="en-US"/>
              </w:rPr>
              <w:br/>
              <w:t>ISSN 1918-8358 (Online)</w:t>
            </w:r>
          </w:p>
        </w:tc>
        <w:tc>
          <w:tcPr>
            <w:tcW w:w="500" w:type="pct"/>
            <w:tcBorders>
              <w:bottom w:val="single" w:sz="4" w:space="0" w:color="auto"/>
            </w:tcBorders>
            <w:tcMar>
              <w:top w:w="284" w:type="dxa"/>
              <w:bottom w:w="284" w:type="dxa"/>
            </w:tcMar>
          </w:tcPr>
          <w:p w:rsidR="00F138C1" w:rsidRPr="0062579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25791" w:rsidRDefault="00F138C1" w:rsidP="00F138C1">
            <w:pPr>
              <w:tabs>
                <w:tab w:val="left" w:pos="6075"/>
              </w:tabs>
              <w:jc w:val="right"/>
              <w:rPr>
                <w:rFonts w:ascii="Arial" w:hAnsi="Arial" w:cs="Arial"/>
                <w:i/>
                <w:sz w:val="20"/>
                <w:szCs w:val="20"/>
                <w:lang w:val="fr-CA"/>
              </w:rPr>
            </w:pPr>
            <w:r w:rsidRPr="00625791">
              <w:rPr>
                <w:sz w:val="18"/>
                <w:szCs w:val="18"/>
                <w:lang w:val="fr-CA"/>
              </w:rPr>
              <w:t>© Cour suprême du Canada (2020</w:t>
            </w:r>
            <w:proofErr w:type="gramStart"/>
            <w:r w:rsidRPr="00625791">
              <w:rPr>
                <w:sz w:val="18"/>
                <w:szCs w:val="18"/>
                <w:lang w:val="fr-CA"/>
              </w:rPr>
              <w:t>)</w:t>
            </w:r>
            <w:proofErr w:type="gramEnd"/>
            <w:r w:rsidRPr="00625791">
              <w:rPr>
                <w:sz w:val="18"/>
                <w:szCs w:val="18"/>
                <w:lang w:val="fr-CA"/>
              </w:rPr>
              <w:br/>
              <w:t>ISSN 1918-8358 (En ligne)</w:t>
            </w:r>
          </w:p>
        </w:tc>
      </w:tr>
    </w:tbl>
    <w:p w:rsidR="0030050B" w:rsidRPr="00625791" w:rsidRDefault="0030050B" w:rsidP="00F138C1">
      <w:pPr>
        <w:tabs>
          <w:tab w:val="left" w:pos="6075"/>
        </w:tabs>
        <w:rPr>
          <w:lang w:val="fr-CA"/>
        </w:rPr>
      </w:pPr>
    </w:p>
    <w:p w:rsidR="00560DF1" w:rsidRPr="00625791" w:rsidRDefault="00560DF1" w:rsidP="0095096B">
      <w:pPr>
        <w:tabs>
          <w:tab w:val="right" w:pos="9360"/>
        </w:tabs>
        <w:rPr>
          <w:lang w:val="fr-CA"/>
        </w:rPr>
      </w:pPr>
    </w:p>
    <w:p w:rsidR="00F138C1" w:rsidRPr="0062579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25791" w:rsidRDefault="00DC6B2E" w:rsidP="00693C38">
          <w:pPr>
            <w:pStyle w:val="Title"/>
            <w:jc w:val="center"/>
            <w:rPr>
              <w:rFonts w:ascii="Times New Roman" w:hAnsi="Times New Roman" w:cs="Times New Roman"/>
              <w:b/>
              <w:sz w:val="24"/>
              <w:szCs w:val="28"/>
              <w:lang w:val="fr-CA"/>
            </w:rPr>
          </w:pPr>
          <w:r w:rsidRPr="00625791">
            <w:rPr>
              <w:rFonts w:ascii="Times New Roman" w:hAnsi="Times New Roman" w:cs="Times New Roman"/>
              <w:b/>
              <w:sz w:val="24"/>
              <w:szCs w:val="28"/>
              <w:lang w:val="fr-CA"/>
            </w:rPr>
            <w:t>Contents</w:t>
          </w:r>
        </w:p>
        <w:p w:rsidR="00693C38" w:rsidRPr="00625791" w:rsidRDefault="00DC6B2E" w:rsidP="00693C38">
          <w:pPr>
            <w:jc w:val="center"/>
            <w:rPr>
              <w:b/>
              <w:szCs w:val="28"/>
              <w:lang w:val="fr-CA"/>
            </w:rPr>
          </w:pPr>
          <w:r w:rsidRPr="00625791">
            <w:rPr>
              <w:b/>
              <w:szCs w:val="28"/>
              <w:lang w:val="fr-CA"/>
            </w:rPr>
            <w:t>Table des matières</w:t>
          </w:r>
        </w:p>
        <w:p w:rsidR="00693C38" w:rsidRPr="00625791" w:rsidRDefault="00693C38" w:rsidP="00693C38">
          <w:pPr>
            <w:rPr>
              <w:lang w:val="fr-CA"/>
            </w:rPr>
          </w:pPr>
        </w:p>
        <w:p w:rsidR="00625791" w:rsidRPr="00625791" w:rsidRDefault="00DC6B2E">
          <w:pPr>
            <w:pStyle w:val="TOC1"/>
            <w:tabs>
              <w:tab w:val="right" w:leader="dot" w:pos="9638"/>
            </w:tabs>
            <w:rPr>
              <w:rFonts w:asciiTheme="minorHAnsi" w:eastAsiaTheme="minorEastAsia" w:hAnsiTheme="minorHAnsi"/>
              <w:noProof/>
              <w:sz w:val="22"/>
              <w:lang w:val="en-US"/>
            </w:rPr>
          </w:pPr>
          <w:r w:rsidRPr="00625791">
            <w:rPr>
              <w:b/>
              <w:bCs/>
              <w:noProof/>
            </w:rPr>
            <w:fldChar w:fldCharType="begin"/>
          </w:r>
          <w:r w:rsidRPr="00625791">
            <w:rPr>
              <w:b/>
              <w:bCs/>
              <w:noProof/>
            </w:rPr>
            <w:instrText xml:space="preserve"> TOC \o "1-3" \h \z \u </w:instrText>
          </w:r>
          <w:r w:rsidRPr="00625791">
            <w:rPr>
              <w:b/>
              <w:bCs/>
              <w:noProof/>
            </w:rPr>
            <w:fldChar w:fldCharType="separate"/>
          </w:r>
          <w:hyperlink w:anchor="_Toc54945598" w:history="1">
            <w:r w:rsidR="00625791" w:rsidRPr="00625791">
              <w:rPr>
                <w:rStyle w:val="Hyperlink"/>
                <w:noProof/>
                <w:lang w:val="fr-CA"/>
              </w:rPr>
              <w:t>Applications for leave to appeal filed /  Demandes d’autorisation d’appel déposées</w:t>
            </w:r>
            <w:r w:rsidR="00625791" w:rsidRPr="00625791">
              <w:rPr>
                <w:noProof/>
                <w:webHidden/>
              </w:rPr>
              <w:tab/>
            </w:r>
            <w:r w:rsidR="00625791" w:rsidRPr="00625791">
              <w:rPr>
                <w:noProof/>
                <w:webHidden/>
              </w:rPr>
              <w:fldChar w:fldCharType="begin"/>
            </w:r>
            <w:r w:rsidR="00625791" w:rsidRPr="00625791">
              <w:rPr>
                <w:noProof/>
                <w:webHidden/>
              </w:rPr>
              <w:instrText xml:space="preserve"> PAGEREF _Toc54945598 \h </w:instrText>
            </w:r>
            <w:r w:rsidR="00625791" w:rsidRPr="00625791">
              <w:rPr>
                <w:noProof/>
                <w:webHidden/>
              </w:rPr>
            </w:r>
            <w:r w:rsidR="00625791" w:rsidRPr="00625791">
              <w:rPr>
                <w:noProof/>
                <w:webHidden/>
              </w:rPr>
              <w:fldChar w:fldCharType="separate"/>
            </w:r>
            <w:r w:rsidR="00625791" w:rsidRPr="00625791">
              <w:rPr>
                <w:noProof/>
                <w:webHidden/>
              </w:rPr>
              <w:t>1</w:t>
            </w:r>
            <w:r w:rsidR="00625791" w:rsidRPr="00625791">
              <w:rPr>
                <w:noProof/>
                <w:webHidden/>
              </w:rPr>
              <w:fldChar w:fldCharType="end"/>
            </w:r>
          </w:hyperlink>
        </w:p>
        <w:p w:rsidR="00625791" w:rsidRPr="00625791" w:rsidRDefault="00366BFA">
          <w:pPr>
            <w:pStyle w:val="TOC1"/>
            <w:tabs>
              <w:tab w:val="right" w:leader="dot" w:pos="9638"/>
            </w:tabs>
            <w:rPr>
              <w:rFonts w:asciiTheme="minorHAnsi" w:eastAsiaTheme="minorEastAsia" w:hAnsiTheme="minorHAnsi"/>
              <w:noProof/>
              <w:sz w:val="22"/>
              <w:lang w:val="en-US"/>
            </w:rPr>
          </w:pPr>
          <w:hyperlink w:anchor="_Toc54945599" w:history="1">
            <w:r w:rsidR="00625791" w:rsidRPr="00625791">
              <w:rPr>
                <w:rStyle w:val="Hyperlink"/>
                <w:noProof/>
                <w:lang w:val="fr-CA"/>
              </w:rPr>
              <w:t>Judgments on applications for leave /  Jugements rendus sur les demandes d’autorisation</w:t>
            </w:r>
            <w:r w:rsidR="00625791" w:rsidRPr="00625791">
              <w:rPr>
                <w:noProof/>
                <w:webHidden/>
              </w:rPr>
              <w:tab/>
            </w:r>
            <w:r w:rsidR="00625791" w:rsidRPr="00625791">
              <w:rPr>
                <w:noProof/>
                <w:webHidden/>
              </w:rPr>
              <w:fldChar w:fldCharType="begin"/>
            </w:r>
            <w:r w:rsidR="00625791" w:rsidRPr="00625791">
              <w:rPr>
                <w:noProof/>
                <w:webHidden/>
              </w:rPr>
              <w:instrText xml:space="preserve"> PAGEREF _Toc54945599 \h </w:instrText>
            </w:r>
            <w:r w:rsidR="00625791" w:rsidRPr="00625791">
              <w:rPr>
                <w:noProof/>
                <w:webHidden/>
              </w:rPr>
            </w:r>
            <w:r w:rsidR="00625791" w:rsidRPr="00625791">
              <w:rPr>
                <w:noProof/>
                <w:webHidden/>
              </w:rPr>
              <w:fldChar w:fldCharType="separate"/>
            </w:r>
            <w:r w:rsidR="00625791" w:rsidRPr="00625791">
              <w:rPr>
                <w:noProof/>
                <w:webHidden/>
              </w:rPr>
              <w:t>2</w:t>
            </w:r>
            <w:r w:rsidR="00625791" w:rsidRPr="00625791">
              <w:rPr>
                <w:noProof/>
                <w:webHidden/>
              </w:rPr>
              <w:fldChar w:fldCharType="end"/>
            </w:r>
          </w:hyperlink>
        </w:p>
        <w:p w:rsidR="00625791" w:rsidRPr="00625791" w:rsidRDefault="00366BFA">
          <w:pPr>
            <w:pStyle w:val="TOC1"/>
            <w:tabs>
              <w:tab w:val="right" w:leader="dot" w:pos="9638"/>
            </w:tabs>
            <w:rPr>
              <w:rFonts w:asciiTheme="minorHAnsi" w:eastAsiaTheme="minorEastAsia" w:hAnsiTheme="minorHAnsi"/>
              <w:noProof/>
              <w:sz w:val="22"/>
              <w:lang w:val="en-US"/>
            </w:rPr>
          </w:pPr>
          <w:hyperlink w:anchor="_Toc54945600" w:history="1">
            <w:r w:rsidR="00625791" w:rsidRPr="00625791">
              <w:rPr>
                <w:rStyle w:val="Hyperlink"/>
                <w:noProof/>
                <w:lang w:val="fr-CA"/>
              </w:rPr>
              <w:t>Motions /  Requêtes</w:t>
            </w:r>
            <w:r w:rsidR="00625791" w:rsidRPr="00625791">
              <w:rPr>
                <w:noProof/>
                <w:webHidden/>
              </w:rPr>
              <w:tab/>
            </w:r>
            <w:r w:rsidR="00625791" w:rsidRPr="00625791">
              <w:rPr>
                <w:noProof/>
                <w:webHidden/>
              </w:rPr>
              <w:fldChar w:fldCharType="begin"/>
            </w:r>
            <w:r w:rsidR="00625791" w:rsidRPr="00625791">
              <w:rPr>
                <w:noProof/>
                <w:webHidden/>
              </w:rPr>
              <w:instrText xml:space="preserve"> PAGEREF _Toc54945600 \h </w:instrText>
            </w:r>
            <w:r w:rsidR="00625791" w:rsidRPr="00625791">
              <w:rPr>
                <w:noProof/>
                <w:webHidden/>
              </w:rPr>
            </w:r>
            <w:r w:rsidR="00625791" w:rsidRPr="00625791">
              <w:rPr>
                <w:noProof/>
                <w:webHidden/>
              </w:rPr>
              <w:fldChar w:fldCharType="separate"/>
            </w:r>
            <w:r w:rsidR="00625791" w:rsidRPr="00625791">
              <w:rPr>
                <w:noProof/>
                <w:webHidden/>
              </w:rPr>
              <w:t>27</w:t>
            </w:r>
            <w:r w:rsidR="00625791" w:rsidRPr="00625791">
              <w:rPr>
                <w:noProof/>
                <w:webHidden/>
              </w:rPr>
              <w:fldChar w:fldCharType="end"/>
            </w:r>
          </w:hyperlink>
        </w:p>
        <w:p w:rsidR="00625791" w:rsidRPr="00625791" w:rsidRDefault="00366BFA">
          <w:pPr>
            <w:pStyle w:val="TOC1"/>
            <w:tabs>
              <w:tab w:val="right" w:leader="dot" w:pos="9638"/>
            </w:tabs>
            <w:rPr>
              <w:rFonts w:asciiTheme="minorHAnsi" w:eastAsiaTheme="minorEastAsia" w:hAnsiTheme="minorHAnsi"/>
              <w:noProof/>
              <w:sz w:val="22"/>
              <w:lang w:val="en-US"/>
            </w:rPr>
          </w:pPr>
          <w:hyperlink w:anchor="_Toc54945601" w:history="1">
            <w:r w:rsidR="00625791" w:rsidRPr="00625791">
              <w:rPr>
                <w:rStyle w:val="Hyperlink"/>
                <w:noProof/>
              </w:rPr>
              <w:t xml:space="preserve">Notices of appeal filed since the last issue /  </w:t>
            </w:r>
            <w:r w:rsidR="00625791" w:rsidRPr="00625791">
              <w:rPr>
                <w:rStyle w:val="Hyperlink"/>
                <w:noProof/>
                <w:lang w:val="fr-CA"/>
              </w:rPr>
              <w:t>Avis d’appel déposés depuis la dernière parution</w:t>
            </w:r>
            <w:r w:rsidR="00625791" w:rsidRPr="00625791">
              <w:rPr>
                <w:noProof/>
                <w:webHidden/>
              </w:rPr>
              <w:tab/>
            </w:r>
            <w:r w:rsidR="00625791" w:rsidRPr="00625791">
              <w:rPr>
                <w:noProof/>
                <w:webHidden/>
              </w:rPr>
              <w:fldChar w:fldCharType="begin"/>
            </w:r>
            <w:r w:rsidR="00625791" w:rsidRPr="00625791">
              <w:rPr>
                <w:noProof/>
                <w:webHidden/>
              </w:rPr>
              <w:instrText xml:space="preserve"> PAGEREF _Toc54945601 \h </w:instrText>
            </w:r>
            <w:r w:rsidR="00625791" w:rsidRPr="00625791">
              <w:rPr>
                <w:noProof/>
                <w:webHidden/>
              </w:rPr>
            </w:r>
            <w:r w:rsidR="00625791" w:rsidRPr="00625791">
              <w:rPr>
                <w:noProof/>
                <w:webHidden/>
              </w:rPr>
              <w:fldChar w:fldCharType="separate"/>
            </w:r>
            <w:r w:rsidR="00625791" w:rsidRPr="00625791">
              <w:rPr>
                <w:noProof/>
                <w:webHidden/>
              </w:rPr>
              <w:t>29</w:t>
            </w:r>
            <w:r w:rsidR="00625791" w:rsidRPr="00625791">
              <w:rPr>
                <w:noProof/>
                <w:webHidden/>
              </w:rPr>
              <w:fldChar w:fldCharType="end"/>
            </w:r>
          </w:hyperlink>
        </w:p>
        <w:p w:rsidR="00625791" w:rsidRPr="00625791" w:rsidRDefault="00366BFA">
          <w:pPr>
            <w:pStyle w:val="TOC1"/>
            <w:tabs>
              <w:tab w:val="right" w:leader="dot" w:pos="9638"/>
            </w:tabs>
            <w:rPr>
              <w:rFonts w:asciiTheme="minorHAnsi" w:eastAsiaTheme="minorEastAsia" w:hAnsiTheme="minorHAnsi"/>
              <w:noProof/>
              <w:sz w:val="22"/>
              <w:lang w:val="en-US"/>
            </w:rPr>
          </w:pPr>
          <w:hyperlink w:anchor="_Toc54945602" w:history="1">
            <w:r w:rsidR="00625791" w:rsidRPr="00625791">
              <w:rPr>
                <w:rStyle w:val="Hyperlink"/>
                <w:noProof/>
                <w:lang w:val="fr-CA"/>
              </w:rPr>
              <w:t>Pronouncements of reserved appeals /  Jugements rendus sur les appels en délibéré</w:t>
            </w:r>
            <w:r w:rsidR="00625791" w:rsidRPr="00625791">
              <w:rPr>
                <w:noProof/>
                <w:webHidden/>
              </w:rPr>
              <w:tab/>
            </w:r>
            <w:r w:rsidR="00625791" w:rsidRPr="00625791">
              <w:rPr>
                <w:noProof/>
                <w:webHidden/>
              </w:rPr>
              <w:fldChar w:fldCharType="begin"/>
            </w:r>
            <w:r w:rsidR="00625791" w:rsidRPr="00625791">
              <w:rPr>
                <w:noProof/>
                <w:webHidden/>
              </w:rPr>
              <w:instrText xml:space="preserve"> PAGEREF _Toc54945602 \h </w:instrText>
            </w:r>
            <w:r w:rsidR="00625791" w:rsidRPr="00625791">
              <w:rPr>
                <w:noProof/>
                <w:webHidden/>
              </w:rPr>
            </w:r>
            <w:r w:rsidR="00625791" w:rsidRPr="00625791">
              <w:rPr>
                <w:noProof/>
                <w:webHidden/>
              </w:rPr>
              <w:fldChar w:fldCharType="separate"/>
            </w:r>
            <w:r w:rsidR="00625791" w:rsidRPr="00625791">
              <w:rPr>
                <w:noProof/>
                <w:webHidden/>
              </w:rPr>
              <w:t>30</w:t>
            </w:r>
            <w:r w:rsidR="00625791" w:rsidRPr="00625791">
              <w:rPr>
                <w:noProof/>
                <w:webHidden/>
              </w:rPr>
              <w:fldChar w:fldCharType="end"/>
            </w:r>
          </w:hyperlink>
        </w:p>
        <w:p w:rsidR="00560DF1" w:rsidRPr="00625791" w:rsidRDefault="00DC6B2E">
          <w:r w:rsidRPr="00625791">
            <w:rPr>
              <w:b/>
              <w:bCs/>
              <w:noProof/>
              <w:sz w:val="20"/>
            </w:rPr>
            <w:fldChar w:fldCharType="end"/>
          </w:r>
        </w:p>
      </w:sdtContent>
    </w:sdt>
    <w:p w:rsidR="00560DF1" w:rsidRPr="0062579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66BFA" w:rsidTr="00F138C1">
        <w:trPr>
          <w:jc w:val="center"/>
        </w:trPr>
        <w:tc>
          <w:tcPr>
            <w:tcW w:w="9638" w:type="dxa"/>
          </w:tcPr>
          <w:p w:rsidR="00F138C1" w:rsidRPr="00625791" w:rsidRDefault="00F138C1" w:rsidP="00F138C1">
            <w:pPr>
              <w:keepNext/>
              <w:tabs>
                <w:tab w:val="right" w:pos="9360"/>
              </w:tabs>
              <w:spacing w:after="120"/>
              <w:jc w:val="center"/>
              <w:rPr>
                <w:szCs w:val="24"/>
              </w:rPr>
            </w:pPr>
            <w:r w:rsidRPr="00625791">
              <w:rPr>
                <w:szCs w:val="24"/>
              </w:rPr>
              <w:t>NOTICE</w:t>
            </w:r>
          </w:p>
          <w:p w:rsidR="00F138C1" w:rsidRPr="00625791" w:rsidRDefault="00F138C1" w:rsidP="00F138C1">
            <w:pPr>
              <w:keepNext/>
              <w:tabs>
                <w:tab w:val="right" w:pos="9360"/>
              </w:tabs>
              <w:spacing w:after="120"/>
              <w:jc w:val="both"/>
              <w:rPr>
                <w:szCs w:val="24"/>
              </w:rPr>
            </w:pPr>
            <w:r w:rsidRPr="00625791">
              <w:rPr>
                <w:szCs w:val="24"/>
              </w:rPr>
              <w:t>Case summaries included in the Bulletin are prepared by the Office of the Registrar of the Supreme Court of Canada (Law Branch) for information purposes only.</w:t>
            </w:r>
          </w:p>
          <w:p w:rsidR="00F138C1" w:rsidRPr="00625791" w:rsidRDefault="00F138C1" w:rsidP="00F138C1">
            <w:pPr>
              <w:keepNext/>
              <w:tabs>
                <w:tab w:val="right" w:pos="9360"/>
              </w:tabs>
              <w:spacing w:after="120"/>
              <w:jc w:val="center"/>
              <w:rPr>
                <w:szCs w:val="24"/>
                <w:lang w:val="fr-CA"/>
              </w:rPr>
            </w:pPr>
            <w:r w:rsidRPr="00625791">
              <w:rPr>
                <w:szCs w:val="24"/>
                <w:lang w:val="fr-CA"/>
              </w:rPr>
              <w:t>AVIS</w:t>
            </w:r>
          </w:p>
          <w:p w:rsidR="00F138C1" w:rsidRPr="00625791" w:rsidRDefault="00F138C1" w:rsidP="00F138C1">
            <w:pPr>
              <w:keepNext/>
              <w:tabs>
                <w:tab w:val="right" w:pos="9360"/>
              </w:tabs>
              <w:spacing w:after="120"/>
              <w:jc w:val="both"/>
              <w:rPr>
                <w:sz w:val="20"/>
                <w:szCs w:val="20"/>
                <w:lang w:val="fr-CA"/>
              </w:rPr>
            </w:pPr>
            <w:r w:rsidRPr="00625791">
              <w:rPr>
                <w:szCs w:val="24"/>
                <w:lang w:val="fr-CA"/>
              </w:rPr>
              <w:t>Les résumés des causes publiés dans le bulletin sont préparés par le Bureau du registraire (Direction générale du droit) uniquement à titre d’information.</w:t>
            </w:r>
          </w:p>
        </w:tc>
      </w:tr>
    </w:tbl>
    <w:p w:rsidR="00F138C1" w:rsidRPr="00625791" w:rsidRDefault="00F138C1" w:rsidP="00F138C1">
      <w:pPr>
        <w:tabs>
          <w:tab w:val="right" w:pos="9360"/>
        </w:tabs>
        <w:rPr>
          <w:lang w:val="fr-CA"/>
        </w:rPr>
      </w:pPr>
    </w:p>
    <w:p w:rsidR="00F138C1" w:rsidRPr="00625791" w:rsidRDefault="00F138C1" w:rsidP="00F138C1">
      <w:pPr>
        <w:tabs>
          <w:tab w:val="right" w:pos="9360"/>
        </w:tabs>
        <w:rPr>
          <w:lang w:val="fr-CA"/>
        </w:rPr>
      </w:pPr>
    </w:p>
    <w:p w:rsidR="00C01FCB" w:rsidRPr="00625791" w:rsidRDefault="00C01FCB" w:rsidP="0095096B">
      <w:pPr>
        <w:tabs>
          <w:tab w:val="right" w:pos="9360"/>
        </w:tabs>
        <w:rPr>
          <w:lang w:val="fr-CA"/>
        </w:rPr>
      </w:pPr>
    </w:p>
    <w:p w:rsidR="00A87207" w:rsidRPr="00625791" w:rsidRDefault="00A87207" w:rsidP="0095096B">
      <w:pPr>
        <w:tabs>
          <w:tab w:val="right" w:pos="9360"/>
        </w:tabs>
        <w:rPr>
          <w:lang w:val="fr-CA"/>
        </w:rPr>
        <w:sectPr w:rsidR="00A87207" w:rsidRPr="00625791" w:rsidSect="0044776A">
          <w:pgSz w:w="12240" w:h="15840"/>
          <w:pgMar w:top="720" w:right="1152" w:bottom="1080" w:left="1440" w:header="706" w:footer="706" w:gutter="0"/>
          <w:cols w:space="708"/>
          <w:titlePg/>
          <w:docGrid w:linePitch="360"/>
        </w:sectPr>
      </w:pPr>
    </w:p>
    <w:p w:rsidR="00560DF1" w:rsidRPr="00625791" w:rsidRDefault="00DD0BDC" w:rsidP="00567602">
      <w:pPr>
        <w:pStyle w:val="Header1StyleE"/>
        <w:pBdr>
          <w:bottom w:val="single" w:sz="12" w:space="1" w:color="auto"/>
        </w:pBdr>
        <w:rPr>
          <w:lang w:val="fr-CA"/>
        </w:rPr>
      </w:pPr>
      <w:bookmarkStart w:id="0" w:name="_Toc54945598"/>
      <w:r w:rsidRPr="00625791">
        <w:rPr>
          <w:lang w:val="fr-CA"/>
        </w:rPr>
        <w:lastRenderedPageBreak/>
        <w:t>Applications for leave to appeal filed</w:t>
      </w:r>
      <w:r w:rsidR="00271E1E" w:rsidRPr="00625791">
        <w:rPr>
          <w:lang w:val="fr-CA"/>
        </w:rPr>
        <w:t xml:space="preserve"> / </w:t>
      </w:r>
      <w:r w:rsidR="00727571" w:rsidRPr="00625791">
        <w:rPr>
          <w:lang w:val="fr-CA"/>
        </w:rPr>
        <w:br/>
      </w:r>
      <w:r w:rsidRPr="00625791">
        <w:rPr>
          <w:lang w:val="fr-CA"/>
        </w:rPr>
        <w:t>Demandes d’autorisation d’appel déposées</w:t>
      </w:r>
      <w:bookmarkEnd w:id="0"/>
    </w:p>
    <w:p w:rsidR="00F138C1" w:rsidRPr="00625791"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25791" w:rsidTr="00F138C1">
        <w:tc>
          <w:tcPr>
            <w:tcW w:w="4239" w:type="dxa"/>
            <w:shd w:val="clear" w:color="auto" w:fill="auto"/>
          </w:tcPr>
          <w:p w:rsidR="00F138C1" w:rsidRPr="00625791" w:rsidRDefault="00693C4D" w:rsidP="00F138C1">
            <w:pPr>
              <w:rPr>
                <w:sz w:val="20"/>
                <w:szCs w:val="20"/>
                <w:lang w:val="fr-CA"/>
              </w:rPr>
            </w:pPr>
            <w:r w:rsidRPr="00625791">
              <w:rPr>
                <w:b/>
                <w:sz w:val="20"/>
                <w:szCs w:val="20"/>
                <w:lang w:val="fr-CA"/>
              </w:rPr>
              <w:t>Ryan Wolfson</w:t>
            </w:r>
          </w:p>
          <w:p w:rsidR="00F138C1" w:rsidRPr="00625791" w:rsidRDefault="00F138C1" w:rsidP="00F138C1">
            <w:pPr>
              <w:tabs>
                <w:tab w:val="left" w:pos="-1440"/>
                <w:tab w:val="left" w:pos="-720"/>
              </w:tabs>
              <w:rPr>
                <w:sz w:val="20"/>
                <w:szCs w:val="20"/>
                <w:lang w:val="fr-CA"/>
              </w:rPr>
            </w:pPr>
            <w:r w:rsidRPr="00625791">
              <w:rPr>
                <w:sz w:val="20"/>
                <w:szCs w:val="20"/>
                <w:lang w:val="fr-CA"/>
              </w:rPr>
              <w:tab/>
            </w:r>
            <w:r w:rsidR="00693C4D" w:rsidRPr="00625791">
              <w:rPr>
                <w:sz w:val="20"/>
                <w:szCs w:val="20"/>
                <w:lang w:val="fr-CA"/>
              </w:rPr>
              <w:t>Rondeau-Poissant, Mathieu</w:t>
            </w:r>
          </w:p>
          <w:p w:rsidR="00F138C1" w:rsidRPr="00625791" w:rsidRDefault="00D8396A" w:rsidP="00F138C1">
            <w:pPr>
              <w:tabs>
                <w:tab w:val="left" w:pos="-1440"/>
                <w:tab w:val="left" w:pos="-720"/>
              </w:tabs>
              <w:rPr>
                <w:sz w:val="20"/>
                <w:szCs w:val="20"/>
                <w:lang w:val="fr-CA"/>
              </w:rPr>
            </w:pPr>
            <w:r w:rsidRPr="00625791">
              <w:rPr>
                <w:sz w:val="20"/>
                <w:szCs w:val="20"/>
                <w:lang w:val="fr-CA"/>
              </w:rPr>
              <w:tab/>
            </w:r>
            <w:r w:rsidR="00693C4D" w:rsidRPr="00625791">
              <w:rPr>
                <w:sz w:val="20"/>
                <w:szCs w:val="20"/>
                <w:lang w:val="fr-CA"/>
              </w:rPr>
              <w:t>Poissant Perron avocat</w:t>
            </w:r>
          </w:p>
          <w:p w:rsidR="00D8396A" w:rsidRPr="00625791" w:rsidRDefault="00D8396A" w:rsidP="00F138C1">
            <w:pPr>
              <w:tabs>
                <w:tab w:val="left" w:pos="-1440"/>
                <w:tab w:val="left" w:pos="-720"/>
              </w:tabs>
              <w:rPr>
                <w:sz w:val="20"/>
                <w:szCs w:val="20"/>
                <w:lang w:val="fr-CA"/>
              </w:rPr>
            </w:pPr>
          </w:p>
          <w:p w:rsidR="00F138C1" w:rsidRPr="00625791" w:rsidRDefault="00F138C1" w:rsidP="00F138C1">
            <w:pPr>
              <w:tabs>
                <w:tab w:val="left" w:pos="-1440"/>
                <w:tab w:val="left" w:pos="-720"/>
              </w:tabs>
              <w:rPr>
                <w:sz w:val="20"/>
                <w:szCs w:val="20"/>
                <w:lang w:val="fr-CA"/>
              </w:rPr>
            </w:pPr>
            <w:r w:rsidRPr="00625791">
              <w:rPr>
                <w:sz w:val="20"/>
                <w:szCs w:val="20"/>
                <w:lang w:val="fr-CA"/>
              </w:rPr>
              <w:tab/>
            </w:r>
            <w:r w:rsidR="00693C4D" w:rsidRPr="00625791">
              <w:rPr>
                <w:sz w:val="20"/>
                <w:szCs w:val="20"/>
                <w:lang w:val="fr-CA"/>
              </w:rPr>
              <w:t>c</w:t>
            </w:r>
            <w:r w:rsidRPr="00625791">
              <w:rPr>
                <w:sz w:val="20"/>
                <w:szCs w:val="20"/>
                <w:lang w:val="fr-CA"/>
              </w:rPr>
              <w:t>. (39</w:t>
            </w:r>
            <w:r w:rsidR="00693C4D" w:rsidRPr="00625791">
              <w:rPr>
                <w:sz w:val="20"/>
                <w:szCs w:val="20"/>
                <w:lang w:val="fr-CA"/>
              </w:rPr>
              <w:t>342</w:t>
            </w:r>
            <w:r w:rsidRPr="00625791">
              <w:rPr>
                <w:sz w:val="20"/>
                <w:szCs w:val="20"/>
                <w:lang w:val="fr-CA"/>
              </w:rPr>
              <w:t>)</w:t>
            </w:r>
          </w:p>
          <w:p w:rsidR="00F138C1" w:rsidRPr="00625791" w:rsidRDefault="00F138C1" w:rsidP="00F138C1">
            <w:pPr>
              <w:tabs>
                <w:tab w:val="left" w:pos="-1440"/>
                <w:tab w:val="left" w:pos="-720"/>
              </w:tabs>
              <w:rPr>
                <w:sz w:val="20"/>
                <w:szCs w:val="20"/>
                <w:lang w:val="fr-CA"/>
              </w:rPr>
            </w:pPr>
          </w:p>
          <w:p w:rsidR="00F138C1" w:rsidRPr="00625791" w:rsidRDefault="00693C4D" w:rsidP="00F138C1">
            <w:pPr>
              <w:tabs>
                <w:tab w:val="left" w:pos="-1440"/>
                <w:tab w:val="left" w:pos="-720"/>
              </w:tabs>
              <w:rPr>
                <w:b/>
                <w:sz w:val="20"/>
                <w:szCs w:val="20"/>
                <w:lang w:val="fr-CA"/>
              </w:rPr>
            </w:pPr>
            <w:r w:rsidRPr="00625791">
              <w:rPr>
                <w:b/>
                <w:sz w:val="20"/>
                <w:szCs w:val="20"/>
                <w:lang w:val="fr-CA"/>
              </w:rPr>
              <w:t>Sa Majesté la</w:t>
            </w:r>
            <w:r w:rsidR="00F138C1" w:rsidRPr="00625791">
              <w:rPr>
                <w:b/>
                <w:sz w:val="20"/>
                <w:szCs w:val="20"/>
                <w:lang w:val="fr-CA"/>
              </w:rPr>
              <w:t xml:space="preserve"> </w:t>
            </w:r>
            <w:r w:rsidRPr="00625791">
              <w:rPr>
                <w:b/>
                <w:sz w:val="20"/>
                <w:szCs w:val="20"/>
                <w:lang w:val="fr-CA"/>
              </w:rPr>
              <w:t xml:space="preserve">Reine </w:t>
            </w:r>
            <w:r w:rsidR="00F138C1" w:rsidRPr="00625791">
              <w:rPr>
                <w:b/>
                <w:sz w:val="20"/>
                <w:szCs w:val="20"/>
                <w:lang w:val="fr-CA"/>
              </w:rPr>
              <w:t>(</w:t>
            </w:r>
            <w:r w:rsidRPr="00625791">
              <w:rPr>
                <w:b/>
                <w:sz w:val="20"/>
                <w:szCs w:val="20"/>
                <w:lang w:val="fr-CA"/>
              </w:rPr>
              <w:t>Qc</w:t>
            </w:r>
            <w:r w:rsidR="00F138C1" w:rsidRPr="00625791">
              <w:rPr>
                <w:b/>
                <w:sz w:val="20"/>
                <w:szCs w:val="20"/>
                <w:lang w:val="fr-CA"/>
              </w:rPr>
              <w:t>)</w:t>
            </w:r>
          </w:p>
          <w:p w:rsidR="00F138C1" w:rsidRPr="00625791" w:rsidRDefault="00F138C1" w:rsidP="00F138C1">
            <w:pPr>
              <w:tabs>
                <w:tab w:val="left" w:pos="-1440"/>
                <w:tab w:val="left" w:pos="-720"/>
              </w:tabs>
              <w:rPr>
                <w:sz w:val="20"/>
                <w:szCs w:val="20"/>
                <w:lang w:val="fr-CA"/>
              </w:rPr>
            </w:pPr>
            <w:r w:rsidRPr="00625791">
              <w:rPr>
                <w:sz w:val="20"/>
                <w:szCs w:val="20"/>
                <w:lang w:val="fr-CA"/>
              </w:rPr>
              <w:tab/>
            </w:r>
            <w:r w:rsidR="00693C4D" w:rsidRPr="00625791">
              <w:rPr>
                <w:sz w:val="20"/>
                <w:szCs w:val="20"/>
                <w:lang w:val="fr-CA"/>
              </w:rPr>
              <w:t>Baribeau, Steve</w:t>
            </w:r>
          </w:p>
          <w:p w:rsidR="00693C4D" w:rsidRPr="00625791" w:rsidRDefault="00F138C1" w:rsidP="00F138C1">
            <w:pPr>
              <w:tabs>
                <w:tab w:val="left" w:pos="-1440"/>
                <w:tab w:val="left" w:pos="-720"/>
              </w:tabs>
              <w:rPr>
                <w:sz w:val="20"/>
                <w:szCs w:val="20"/>
                <w:lang w:val="fr-CA"/>
              </w:rPr>
            </w:pPr>
            <w:r w:rsidRPr="00625791">
              <w:rPr>
                <w:sz w:val="20"/>
                <w:szCs w:val="20"/>
                <w:lang w:val="fr-CA"/>
              </w:rPr>
              <w:tab/>
            </w:r>
            <w:r w:rsidR="00693C4D" w:rsidRPr="00625791">
              <w:rPr>
                <w:sz w:val="20"/>
                <w:szCs w:val="20"/>
                <w:lang w:val="fr-CA"/>
              </w:rPr>
              <w:t xml:space="preserve">Poursuites criminelles et pénales du </w:t>
            </w:r>
          </w:p>
          <w:p w:rsidR="00F138C1" w:rsidRPr="00625791" w:rsidRDefault="00693C4D" w:rsidP="00F138C1">
            <w:pPr>
              <w:tabs>
                <w:tab w:val="left" w:pos="-1440"/>
                <w:tab w:val="left" w:pos="-720"/>
              </w:tabs>
              <w:rPr>
                <w:sz w:val="20"/>
                <w:szCs w:val="20"/>
                <w:lang w:val="fr-CA"/>
              </w:rPr>
            </w:pPr>
            <w:r w:rsidRPr="00625791">
              <w:rPr>
                <w:sz w:val="20"/>
                <w:szCs w:val="20"/>
                <w:lang w:val="fr-CA"/>
              </w:rPr>
              <w:tab/>
              <w:t>Québec</w:t>
            </w:r>
          </w:p>
          <w:p w:rsidR="00F138C1" w:rsidRPr="00625791" w:rsidRDefault="00F138C1" w:rsidP="00F138C1">
            <w:pPr>
              <w:tabs>
                <w:tab w:val="left" w:pos="-1440"/>
                <w:tab w:val="left" w:pos="-720"/>
              </w:tabs>
              <w:rPr>
                <w:sz w:val="20"/>
                <w:szCs w:val="20"/>
                <w:lang w:val="fr-CA"/>
              </w:rPr>
            </w:pPr>
          </w:p>
          <w:p w:rsidR="00F138C1" w:rsidRPr="00625791" w:rsidRDefault="00F138C1" w:rsidP="00F138C1">
            <w:pPr>
              <w:rPr>
                <w:sz w:val="20"/>
                <w:szCs w:val="20"/>
                <w:lang w:val="fr-CA"/>
              </w:rPr>
            </w:pPr>
            <w:r w:rsidRPr="00625791">
              <w:rPr>
                <w:sz w:val="20"/>
                <w:szCs w:val="20"/>
                <w:lang w:val="fr-CA"/>
              </w:rPr>
              <w:t>DATE</w:t>
            </w:r>
            <w:r w:rsidR="00693C4D" w:rsidRPr="00625791">
              <w:rPr>
                <w:sz w:val="20"/>
                <w:szCs w:val="20"/>
                <w:lang w:val="fr-CA"/>
              </w:rPr>
              <w:t xml:space="preserve"> DE PRODUCTION </w:t>
            </w:r>
            <w:r w:rsidRPr="00625791">
              <w:rPr>
                <w:sz w:val="20"/>
                <w:szCs w:val="20"/>
                <w:lang w:val="fr-CA"/>
              </w:rPr>
              <w:t xml:space="preserve">: </w:t>
            </w:r>
            <w:r w:rsidR="00693C4D" w:rsidRPr="00625791">
              <w:rPr>
                <w:sz w:val="20"/>
                <w:szCs w:val="20"/>
                <w:lang w:val="fr-CA"/>
              </w:rPr>
              <w:t>le 20 octobre</w:t>
            </w:r>
            <w:r w:rsidRPr="00625791">
              <w:rPr>
                <w:sz w:val="20"/>
                <w:szCs w:val="20"/>
                <w:lang w:val="fr-CA"/>
              </w:rPr>
              <w:t xml:space="preserve"> 20</w:t>
            </w:r>
            <w:r w:rsidR="00DA1D48" w:rsidRPr="00625791">
              <w:rPr>
                <w:sz w:val="20"/>
                <w:szCs w:val="20"/>
                <w:lang w:val="fr-CA"/>
              </w:rPr>
              <w:t>20</w:t>
            </w:r>
          </w:p>
          <w:p w:rsidR="004B2E86" w:rsidRPr="00625791" w:rsidRDefault="004B2E86" w:rsidP="00F138C1">
            <w:pPr>
              <w:rPr>
                <w:sz w:val="20"/>
                <w:szCs w:val="20"/>
                <w:lang w:val="fr-CA"/>
              </w:rPr>
            </w:pPr>
          </w:p>
          <w:p w:rsidR="00F138C1" w:rsidRPr="00625791" w:rsidRDefault="00366BFA"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F138C1" w:rsidRPr="00625791" w:rsidRDefault="00F138C1" w:rsidP="00F138C1">
            <w:pPr>
              <w:jc w:val="center"/>
              <w:rPr>
                <w:sz w:val="20"/>
                <w:szCs w:val="20"/>
              </w:rPr>
            </w:pPr>
          </w:p>
          <w:p w:rsidR="004B2E86" w:rsidRPr="00625791" w:rsidRDefault="004B2E86" w:rsidP="00F138C1">
            <w:pPr>
              <w:jc w:val="center"/>
              <w:rPr>
                <w:sz w:val="20"/>
                <w:szCs w:val="20"/>
              </w:rPr>
            </w:pPr>
          </w:p>
          <w:p w:rsidR="00693C4D" w:rsidRPr="00625791" w:rsidRDefault="00693C4D" w:rsidP="00F138C1">
            <w:pPr>
              <w:jc w:val="center"/>
              <w:rPr>
                <w:sz w:val="20"/>
                <w:szCs w:val="20"/>
              </w:rPr>
            </w:pPr>
          </w:p>
          <w:p w:rsidR="00F138C1" w:rsidRPr="00625791" w:rsidRDefault="00F138C1" w:rsidP="00F138C1">
            <w:pPr>
              <w:jc w:val="center"/>
              <w:rPr>
                <w:sz w:val="20"/>
                <w:szCs w:val="20"/>
              </w:rPr>
            </w:pPr>
          </w:p>
        </w:tc>
        <w:tc>
          <w:tcPr>
            <w:tcW w:w="4239" w:type="dxa"/>
            <w:shd w:val="clear" w:color="auto" w:fill="auto"/>
          </w:tcPr>
          <w:p w:rsidR="00F138C1" w:rsidRPr="00625791" w:rsidRDefault="006804A7" w:rsidP="00F138C1">
            <w:pPr>
              <w:rPr>
                <w:b/>
                <w:sz w:val="20"/>
                <w:szCs w:val="20"/>
                <w:lang w:val="fr-CA"/>
              </w:rPr>
            </w:pPr>
            <w:r w:rsidRPr="00625791">
              <w:rPr>
                <w:b/>
                <w:sz w:val="20"/>
                <w:szCs w:val="20"/>
                <w:lang w:val="fr-CA"/>
              </w:rPr>
              <w:t>G.L.</w:t>
            </w:r>
          </w:p>
          <w:p w:rsidR="00F138C1" w:rsidRPr="00625791" w:rsidRDefault="00F138C1" w:rsidP="00F138C1">
            <w:pPr>
              <w:tabs>
                <w:tab w:val="left" w:pos="-1440"/>
                <w:tab w:val="left" w:pos="-720"/>
              </w:tabs>
              <w:rPr>
                <w:sz w:val="20"/>
                <w:szCs w:val="20"/>
                <w:lang w:val="fr-CA"/>
              </w:rPr>
            </w:pPr>
            <w:r w:rsidRPr="00625791">
              <w:rPr>
                <w:sz w:val="20"/>
                <w:szCs w:val="20"/>
                <w:lang w:val="fr-CA"/>
              </w:rPr>
              <w:tab/>
            </w:r>
            <w:r w:rsidR="006804A7" w:rsidRPr="00625791">
              <w:rPr>
                <w:sz w:val="20"/>
                <w:szCs w:val="20"/>
                <w:lang w:val="fr-CA"/>
              </w:rPr>
              <w:t>G.L.</w:t>
            </w:r>
          </w:p>
          <w:p w:rsidR="00F138C1" w:rsidRPr="00625791" w:rsidRDefault="00F138C1" w:rsidP="00F138C1">
            <w:pPr>
              <w:tabs>
                <w:tab w:val="left" w:pos="-1440"/>
                <w:tab w:val="left" w:pos="-720"/>
              </w:tabs>
              <w:rPr>
                <w:sz w:val="20"/>
                <w:szCs w:val="20"/>
                <w:lang w:val="fr-CA"/>
              </w:rPr>
            </w:pPr>
          </w:p>
          <w:p w:rsidR="00F138C1" w:rsidRPr="00625791" w:rsidRDefault="00F138C1" w:rsidP="00F138C1">
            <w:pPr>
              <w:tabs>
                <w:tab w:val="left" w:pos="-1440"/>
                <w:tab w:val="left" w:pos="-720"/>
              </w:tabs>
              <w:rPr>
                <w:sz w:val="20"/>
                <w:szCs w:val="20"/>
                <w:lang w:val="fr-CA"/>
              </w:rPr>
            </w:pPr>
            <w:r w:rsidRPr="00625791">
              <w:rPr>
                <w:sz w:val="20"/>
                <w:szCs w:val="20"/>
                <w:lang w:val="fr-CA"/>
              </w:rPr>
              <w:tab/>
              <w:t>c. (39</w:t>
            </w:r>
            <w:r w:rsidR="006804A7" w:rsidRPr="00625791">
              <w:rPr>
                <w:sz w:val="20"/>
                <w:szCs w:val="20"/>
                <w:lang w:val="fr-CA"/>
              </w:rPr>
              <w:t>279</w:t>
            </w:r>
            <w:r w:rsidRPr="00625791">
              <w:rPr>
                <w:sz w:val="20"/>
                <w:szCs w:val="20"/>
                <w:lang w:val="fr-CA"/>
              </w:rPr>
              <w:t>)</w:t>
            </w:r>
          </w:p>
          <w:p w:rsidR="00F138C1" w:rsidRPr="00625791" w:rsidRDefault="00F138C1" w:rsidP="00F138C1">
            <w:pPr>
              <w:tabs>
                <w:tab w:val="left" w:pos="-1440"/>
                <w:tab w:val="left" w:pos="-720"/>
              </w:tabs>
              <w:rPr>
                <w:sz w:val="20"/>
                <w:szCs w:val="20"/>
                <w:lang w:val="fr-CA"/>
              </w:rPr>
            </w:pPr>
          </w:p>
          <w:p w:rsidR="00F138C1" w:rsidRPr="00625791" w:rsidRDefault="006804A7" w:rsidP="00F138C1">
            <w:pPr>
              <w:tabs>
                <w:tab w:val="left" w:pos="-1440"/>
                <w:tab w:val="left" w:pos="-720"/>
              </w:tabs>
              <w:rPr>
                <w:b/>
                <w:sz w:val="20"/>
                <w:szCs w:val="20"/>
                <w:lang w:val="fr-CA"/>
              </w:rPr>
            </w:pPr>
            <w:r w:rsidRPr="00625791">
              <w:rPr>
                <w:b/>
                <w:sz w:val="20"/>
                <w:szCs w:val="20"/>
                <w:lang w:val="fr-CA"/>
              </w:rPr>
              <w:t>Centre intégré universitaire de santé et de services sociaux de l'Estrie — Centre hospitalier universitaire de Sherbrooke</w:t>
            </w:r>
            <w:r w:rsidR="00F138C1" w:rsidRPr="00625791">
              <w:rPr>
                <w:sz w:val="20"/>
                <w:szCs w:val="20"/>
                <w:lang w:val="fr-CA"/>
              </w:rPr>
              <w:t xml:space="preserve"> </w:t>
            </w:r>
            <w:r w:rsidR="00F138C1" w:rsidRPr="00625791">
              <w:rPr>
                <w:b/>
                <w:sz w:val="20"/>
                <w:szCs w:val="20"/>
                <w:lang w:val="fr-CA"/>
              </w:rPr>
              <w:t>(Qc)</w:t>
            </w:r>
          </w:p>
          <w:p w:rsidR="00F138C1" w:rsidRPr="00625791" w:rsidRDefault="00F138C1" w:rsidP="00F138C1">
            <w:pPr>
              <w:tabs>
                <w:tab w:val="left" w:pos="-1440"/>
                <w:tab w:val="left" w:pos="-720"/>
              </w:tabs>
              <w:rPr>
                <w:sz w:val="20"/>
                <w:szCs w:val="20"/>
                <w:lang w:val="fr-CA"/>
              </w:rPr>
            </w:pPr>
            <w:r w:rsidRPr="00625791">
              <w:rPr>
                <w:sz w:val="20"/>
                <w:szCs w:val="20"/>
                <w:lang w:val="fr-CA"/>
              </w:rPr>
              <w:tab/>
            </w:r>
            <w:r w:rsidR="006804A7" w:rsidRPr="00625791">
              <w:rPr>
                <w:sz w:val="20"/>
                <w:szCs w:val="20"/>
                <w:lang w:val="fr-CA"/>
              </w:rPr>
              <w:t>Dutrisac, Carl</w:t>
            </w:r>
          </w:p>
          <w:p w:rsidR="00F138C1" w:rsidRPr="00625791" w:rsidRDefault="00F138C1" w:rsidP="00F138C1">
            <w:pPr>
              <w:tabs>
                <w:tab w:val="left" w:pos="-1440"/>
                <w:tab w:val="left" w:pos="-720"/>
              </w:tabs>
              <w:rPr>
                <w:sz w:val="20"/>
                <w:szCs w:val="20"/>
                <w:lang w:val="fr-CA"/>
              </w:rPr>
            </w:pPr>
            <w:r w:rsidRPr="00625791">
              <w:rPr>
                <w:sz w:val="20"/>
                <w:szCs w:val="20"/>
                <w:lang w:val="fr-CA"/>
              </w:rPr>
              <w:tab/>
            </w:r>
            <w:r w:rsidR="006804A7" w:rsidRPr="00625791">
              <w:rPr>
                <w:sz w:val="20"/>
                <w:szCs w:val="20"/>
                <w:lang w:val="fr-CA"/>
              </w:rPr>
              <w:t>Ménard, Martin</w:t>
            </w:r>
          </w:p>
          <w:p w:rsidR="00F138C1" w:rsidRPr="00625791" w:rsidRDefault="00F138C1" w:rsidP="00F138C1">
            <w:pPr>
              <w:tabs>
                <w:tab w:val="left" w:pos="-1440"/>
                <w:tab w:val="left" w:pos="-720"/>
              </w:tabs>
              <w:rPr>
                <w:sz w:val="20"/>
                <w:szCs w:val="20"/>
                <w:lang w:val="fr-CA"/>
              </w:rPr>
            </w:pPr>
          </w:p>
          <w:p w:rsidR="00F138C1" w:rsidRPr="00625791" w:rsidRDefault="00F138C1" w:rsidP="00F138C1">
            <w:pPr>
              <w:rPr>
                <w:sz w:val="20"/>
                <w:szCs w:val="20"/>
                <w:lang w:val="fr-CA"/>
              </w:rPr>
            </w:pPr>
            <w:r w:rsidRPr="00625791">
              <w:rPr>
                <w:sz w:val="20"/>
                <w:szCs w:val="20"/>
                <w:lang w:val="fr-CA"/>
              </w:rPr>
              <w:t xml:space="preserve">DATE DE PRODUCTION : le </w:t>
            </w:r>
            <w:r w:rsidR="006804A7" w:rsidRPr="00625791">
              <w:rPr>
                <w:sz w:val="20"/>
                <w:szCs w:val="20"/>
                <w:lang w:val="fr-CA"/>
              </w:rPr>
              <w:t>18</w:t>
            </w:r>
            <w:r w:rsidRPr="00625791">
              <w:rPr>
                <w:sz w:val="20"/>
                <w:szCs w:val="20"/>
                <w:lang w:val="fr-CA"/>
              </w:rPr>
              <w:t xml:space="preserve"> </w:t>
            </w:r>
            <w:r w:rsidR="006804A7" w:rsidRPr="00625791">
              <w:rPr>
                <w:sz w:val="20"/>
                <w:szCs w:val="20"/>
                <w:lang w:val="fr-CA"/>
              </w:rPr>
              <w:t>août</w:t>
            </w:r>
            <w:r w:rsidRPr="00625791">
              <w:rPr>
                <w:sz w:val="20"/>
                <w:szCs w:val="20"/>
                <w:lang w:val="fr-CA"/>
              </w:rPr>
              <w:t xml:space="preserve"> 20</w:t>
            </w:r>
            <w:r w:rsidR="00DA1D48" w:rsidRPr="00625791">
              <w:rPr>
                <w:sz w:val="20"/>
                <w:szCs w:val="20"/>
                <w:lang w:val="fr-CA"/>
              </w:rPr>
              <w:t>20</w:t>
            </w:r>
          </w:p>
          <w:p w:rsidR="004B2E86" w:rsidRPr="00625791" w:rsidRDefault="004B2E86" w:rsidP="00F138C1">
            <w:pPr>
              <w:rPr>
                <w:sz w:val="20"/>
                <w:szCs w:val="20"/>
                <w:lang w:val="fr-CA"/>
              </w:rPr>
            </w:pPr>
          </w:p>
          <w:p w:rsidR="00F138C1" w:rsidRPr="00625791" w:rsidRDefault="00366BFA"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625791" w:rsidTr="00F138C1">
        <w:tc>
          <w:tcPr>
            <w:tcW w:w="4239" w:type="dxa"/>
            <w:shd w:val="clear" w:color="auto" w:fill="auto"/>
          </w:tcPr>
          <w:p w:rsidR="00F138C1" w:rsidRPr="00625791" w:rsidRDefault="00E51D4C" w:rsidP="00D8396A">
            <w:pPr>
              <w:tabs>
                <w:tab w:val="left" w:pos="-1440"/>
                <w:tab w:val="left" w:pos="-720"/>
              </w:tabs>
              <w:rPr>
                <w:b/>
                <w:sz w:val="20"/>
                <w:szCs w:val="20"/>
                <w:lang w:val="fr-CA"/>
              </w:rPr>
            </w:pPr>
            <w:r w:rsidRPr="00625791">
              <w:rPr>
                <w:b/>
                <w:sz w:val="20"/>
                <w:szCs w:val="20"/>
                <w:lang w:val="fr-CA"/>
              </w:rPr>
              <w:t>Société en commandite Sommet Bleu, et al.</w:t>
            </w:r>
          </w:p>
          <w:p w:rsidR="00F138C1" w:rsidRPr="00625791" w:rsidRDefault="00F138C1" w:rsidP="00F138C1">
            <w:pPr>
              <w:keepNext/>
              <w:keepLines/>
              <w:tabs>
                <w:tab w:val="left" w:pos="-1440"/>
                <w:tab w:val="left" w:pos="-720"/>
              </w:tabs>
              <w:rPr>
                <w:sz w:val="20"/>
                <w:szCs w:val="20"/>
                <w:lang w:val="fr-CA"/>
              </w:rPr>
            </w:pPr>
            <w:r w:rsidRPr="00625791">
              <w:rPr>
                <w:sz w:val="20"/>
                <w:szCs w:val="20"/>
                <w:lang w:val="fr-CA"/>
              </w:rPr>
              <w:tab/>
            </w:r>
            <w:r w:rsidR="00E51D4C" w:rsidRPr="00625791">
              <w:rPr>
                <w:sz w:val="20"/>
                <w:szCs w:val="20"/>
                <w:lang w:val="fr-CA"/>
              </w:rPr>
              <w:t>Fernandez, Nina</w:t>
            </w:r>
          </w:p>
          <w:p w:rsidR="00F138C1" w:rsidRPr="00625791" w:rsidRDefault="00F138C1" w:rsidP="00F138C1">
            <w:pPr>
              <w:keepNext/>
              <w:keepLines/>
              <w:tabs>
                <w:tab w:val="left" w:pos="-1440"/>
                <w:tab w:val="left" w:pos="-720"/>
              </w:tabs>
              <w:rPr>
                <w:sz w:val="20"/>
                <w:szCs w:val="20"/>
                <w:lang w:val="fr-CA"/>
              </w:rPr>
            </w:pPr>
            <w:r w:rsidRPr="00625791">
              <w:rPr>
                <w:sz w:val="20"/>
                <w:szCs w:val="20"/>
                <w:lang w:val="fr-CA"/>
              </w:rPr>
              <w:tab/>
            </w:r>
            <w:r w:rsidR="00E51D4C" w:rsidRPr="00625791">
              <w:rPr>
                <w:sz w:val="20"/>
                <w:szCs w:val="20"/>
                <w:lang w:val="fr-CA"/>
              </w:rPr>
              <w:t>FNC Avocats</w:t>
            </w:r>
          </w:p>
          <w:p w:rsidR="00F138C1" w:rsidRPr="00625791" w:rsidRDefault="00F138C1" w:rsidP="00F138C1">
            <w:pPr>
              <w:keepNext/>
              <w:keepLines/>
              <w:tabs>
                <w:tab w:val="left" w:pos="-1440"/>
                <w:tab w:val="left" w:pos="-720"/>
              </w:tabs>
              <w:rPr>
                <w:sz w:val="20"/>
                <w:szCs w:val="20"/>
                <w:lang w:val="fr-CA"/>
              </w:rPr>
            </w:pPr>
          </w:p>
          <w:p w:rsidR="00F138C1" w:rsidRPr="00625791" w:rsidRDefault="00F138C1" w:rsidP="00F138C1">
            <w:pPr>
              <w:keepNext/>
              <w:keepLines/>
              <w:tabs>
                <w:tab w:val="left" w:pos="-1440"/>
                <w:tab w:val="left" w:pos="-720"/>
              </w:tabs>
              <w:rPr>
                <w:sz w:val="20"/>
                <w:szCs w:val="20"/>
                <w:lang w:val="fr-CA"/>
              </w:rPr>
            </w:pPr>
            <w:r w:rsidRPr="00625791">
              <w:rPr>
                <w:sz w:val="20"/>
                <w:szCs w:val="20"/>
                <w:lang w:val="fr-CA"/>
              </w:rPr>
              <w:tab/>
            </w:r>
            <w:r w:rsidR="00E51D4C" w:rsidRPr="00625791">
              <w:rPr>
                <w:sz w:val="20"/>
                <w:szCs w:val="20"/>
                <w:lang w:val="fr-CA"/>
              </w:rPr>
              <w:t>c</w:t>
            </w:r>
            <w:r w:rsidRPr="00625791">
              <w:rPr>
                <w:sz w:val="20"/>
                <w:szCs w:val="20"/>
                <w:lang w:val="fr-CA"/>
              </w:rPr>
              <w:t>. (39</w:t>
            </w:r>
            <w:r w:rsidR="00E51D4C" w:rsidRPr="00625791">
              <w:rPr>
                <w:sz w:val="20"/>
                <w:szCs w:val="20"/>
                <w:lang w:val="fr-CA"/>
              </w:rPr>
              <w:t>353</w:t>
            </w:r>
            <w:r w:rsidRPr="00625791">
              <w:rPr>
                <w:sz w:val="20"/>
                <w:szCs w:val="20"/>
                <w:lang w:val="fr-CA"/>
              </w:rPr>
              <w:t>)</w:t>
            </w:r>
          </w:p>
          <w:p w:rsidR="00F138C1" w:rsidRPr="00625791" w:rsidRDefault="00F138C1" w:rsidP="00F138C1">
            <w:pPr>
              <w:keepNext/>
              <w:keepLines/>
              <w:tabs>
                <w:tab w:val="left" w:pos="-1440"/>
                <w:tab w:val="left" w:pos="-720"/>
              </w:tabs>
              <w:rPr>
                <w:sz w:val="20"/>
                <w:szCs w:val="20"/>
                <w:lang w:val="fr-CA"/>
              </w:rPr>
            </w:pPr>
          </w:p>
          <w:p w:rsidR="00F138C1" w:rsidRPr="00625791" w:rsidRDefault="00E51D4C" w:rsidP="00F138C1">
            <w:pPr>
              <w:keepNext/>
              <w:keepLines/>
              <w:tabs>
                <w:tab w:val="left" w:pos="-1440"/>
                <w:tab w:val="left" w:pos="-720"/>
              </w:tabs>
              <w:rPr>
                <w:b/>
                <w:sz w:val="20"/>
                <w:szCs w:val="20"/>
                <w:lang w:val="en-US"/>
              </w:rPr>
            </w:pPr>
            <w:r w:rsidRPr="00625791">
              <w:rPr>
                <w:b/>
                <w:sz w:val="20"/>
                <w:szCs w:val="20"/>
                <w:lang w:val="fr-CA"/>
              </w:rPr>
              <w:t xml:space="preserve">Municipalité de Sainte-Adèle, et al. </w:t>
            </w:r>
            <w:r w:rsidR="00F138C1" w:rsidRPr="00625791">
              <w:rPr>
                <w:b/>
                <w:sz w:val="20"/>
                <w:szCs w:val="20"/>
                <w:lang w:val="en-US"/>
              </w:rPr>
              <w:t>(</w:t>
            </w:r>
            <w:r w:rsidRPr="00625791">
              <w:rPr>
                <w:b/>
                <w:sz w:val="20"/>
                <w:szCs w:val="20"/>
                <w:lang w:val="en-US"/>
              </w:rPr>
              <w:t>Qc</w:t>
            </w:r>
            <w:r w:rsidR="00F138C1" w:rsidRPr="00625791">
              <w:rPr>
                <w:b/>
                <w:sz w:val="20"/>
                <w:szCs w:val="20"/>
                <w:lang w:val="en-US"/>
              </w:rPr>
              <w:t>)</w:t>
            </w:r>
          </w:p>
          <w:p w:rsidR="00F138C1" w:rsidRPr="00625791" w:rsidRDefault="00F138C1" w:rsidP="00F138C1">
            <w:pPr>
              <w:keepNext/>
              <w:keepLines/>
              <w:tabs>
                <w:tab w:val="left" w:pos="-1440"/>
                <w:tab w:val="left" w:pos="-720"/>
              </w:tabs>
              <w:rPr>
                <w:sz w:val="20"/>
                <w:szCs w:val="20"/>
                <w:lang w:val="en-US"/>
              </w:rPr>
            </w:pPr>
            <w:r w:rsidRPr="00625791">
              <w:rPr>
                <w:sz w:val="20"/>
                <w:szCs w:val="20"/>
                <w:lang w:val="en-US"/>
              </w:rPr>
              <w:tab/>
            </w:r>
            <w:r w:rsidR="00E51D4C" w:rsidRPr="00625791">
              <w:rPr>
                <w:sz w:val="20"/>
                <w:szCs w:val="20"/>
                <w:lang w:val="en-US"/>
              </w:rPr>
              <w:t>Gervais, Ad. E., Francis</w:t>
            </w:r>
          </w:p>
          <w:p w:rsidR="00F138C1" w:rsidRPr="00625791" w:rsidRDefault="00F138C1" w:rsidP="00F138C1">
            <w:pPr>
              <w:keepNext/>
              <w:keepLines/>
              <w:tabs>
                <w:tab w:val="left" w:pos="-1440"/>
                <w:tab w:val="left" w:pos="-720"/>
              </w:tabs>
              <w:rPr>
                <w:sz w:val="20"/>
                <w:szCs w:val="20"/>
                <w:lang w:val="en-US"/>
              </w:rPr>
            </w:pPr>
            <w:r w:rsidRPr="00625791">
              <w:rPr>
                <w:sz w:val="20"/>
                <w:szCs w:val="20"/>
                <w:lang w:val="en-US"/>
              </w:rPr>
              <w:tab/>
            </w:r>
            <w:r w:rsidR="00E51D4C" w:rsidRPr="00625791">
              <w:rPr>
                <w:sz w:val="20"/>
                <w:szCs w:val="20"/>
                <w:lang w:val="en-US"/>
              </w:rPr>
              <w:t>Trivium Avocats Inc.</w:t>
            </w:r>
          </w:p>
          <w:p w:rsidR="00F138C1" w:rsidRPr="00625791" w:rsidRDefault="00F138C1" w:rsidP="00F138C1">
            <w:pPr>
              <w:keepNext/>
              <w:keepLines/>
              <w:tabs>
                <w:tab w:val="left" w:pos="-1440"/>
                <w:tab w:val="left" w:pos="-720"/>
              </w:tabs>
              <w:rPr>
                <w:sz w:val="20"/>
                <w:szCs w:val="20"/>
                <w:lang w:val="en-US"/>
              </w:rPr>
            </w:pPr>
          </w:p>
          <w:p w:rsidR="004B2E86" w:rsidRPr="00625791" w:rsidRDefault="00F138C1" w:rsidP="00F138C1">
            <w:pPr>
              <w:rPr>
                <w:sz w:val="20"/>
                <w:szCs w:val="20"/>
                <w:lang w:val="fr-CA"/>
              </w:rPr>
            </w:pPr>
            <w:r w:rsidRPr="00625791">
              <w:rPr>
                <w:sz w:val="20"/>
                <w:szCs w:val="20"/>
                <w:lang w:val="fr-CA"/>
              </w:rPr>
              <w:t>DATE</w:t>
            </w:r>
            <w:r w:rsidR="00E51D4C" w:rsidRPr="00625791">
              <w:rPr>
                <w:sz w:val="20"/>
                <w:szCs w:val="20"/>
                <w:lang w:val="fr-CA"/>
              </w:rPr>
              <w:t xml:space="preserve"> DE PRODUCTION</w:t>
            </w:r>
            <w:r w:rsidRPr="00625791">
              <w:rPr>
                <w:sz w:val="20"/>
                <w:szCs w:val="20"/>
                <w:lang w:val="fr-CA"/>
              </w:rPr>
              <w:t xml:space="preserve">: </w:t>
            </w:r>
            <w:r w:rsidR="00E51D4C" w:rsidRPr="00625791">
              <w:rPr>
                <w:sz w:val="20"/>
                <w:szCs w:val="20"/>
                <w:lang w:val="fr-CA"/>
              </w:rPr>
              <w:t>le 21 octobre</w:t>
            </w:r>
            <w:r w:rsidRPr="00625791">
              <w:rPr>
                <w:sz w:val="20"/>
                <w:szCs w:val="20"/>
                <w:lang w:val="fr-CA"/>
              </w:rPr>
              <w:t xml:space="preserve"> 20</w:t>
            </w:r>
            <w:r w:rsidR="00DA1D48" w:rsidRPr="00625791">
              <w:rPr>
                <w:sz w:val="20"/>
                <w:szCs w:val="20"/>
                <w:lang w:val="fr-CA"/>
              </w:rPr>
              <w:t>20</w:t>
            </w:r>
          </w:p>
          <w:p w:rsidR="004B2E86" w:rsidRPr="00625791" w:rsidRDefault="004B2E86" w:rsidP="00F138C1">
            <w:pPr>
              <w:rPr>
                <w:sz w:val="20"/>
                <w:szCs w:val="20"/>
                <w:lang w:val="fr-CA"/>
              </w:rPr>
            </w:pPr>
          </w:p>
          <w:p w:rsidR="00F138C1" w:rsidRPr="00625791" w:rsidRDefault="00366BFA"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F138C1" w:rsidRPr="00625791" w:rsidRDefault="00F138C1" w:rsidP="00F138C1">
            <w:pPr>
              <w:jc w:val="center"/>
              <w:rPr>
                <w:sz w:val="20"/>
                <w:szCs w:val="20"/>
                <w:lang w:val="en-US"/>
              </w:rPr>
            </w:pPr>
          </w:p>
          <w:p w:rsidR="004B2E86" w:rsidRPr="00625791" w:rsidRDefault="004B2E86" w:rsidP="00F138C1">
            <w:pPr>
              <w:jc w:val="center"/>
              <w:rPr>
                <w:sz w:val="20"/>
                <w:szCs w:val="20"/>
                <w:lang w:val="en-US"/>
              </w:rPr>
            </w:pPr>
          </w:p>
        </w:tc>
        <w:tc>
          <w:tcPr>
            <w:tcW w:w="4239" w:type="dxa"/>
            <w:shd w:val="clear" w:color="auto" w:fill="auto"/>
          </w:tcPr>
          <w:p w:rsidR="00F138C1" w:rsidRPr="00625791" w:rsidRDefault="008665E4" w:rsidP="00F138C1">
            <w:pPr>
              <w:rPr>
                <w:b/>
                <w:sz w:val="20"/>
                <w:szCs w:val="20"/>
                <w:lang w:val="en-US"/>
              </w:rPr>
            </w:pPr>
            <w:r w:rsidRPr="00625791">
              <w:rPr>
                <w:b/>
                <w:sz w:val="20"/>
                <w:szCs w:val="20"/>
                <w:lang w:val="en-US"/>
              </w:rPr>
              <w:t>984274 Alberta Inc.</w:t>
            </w:r>
          </w:p>
          <w:p w:rsidR="00F138C1" w:rsidRPr="00625791" w:rsidRDefault="00F138C1" w:rsidP="00F138C1">
            <w:pPr>
              <w:tabs>
                <w:tab w:val="left" w:pos="-1440"/>
                <w:tab w:val="left" w:pos="-720"/>
              </w:tabs>
              <w:rPr>
                <w:sz w:val="20"/>
                <w:szCs w:val="20"/>
                <w:lang w:val="en-US"/>
              </w:rPr>
            </w:pPr>
            <w:r w:rsidRPr="00625791">
              <w:rPr>
                <w:sz w:val="20"/>
                <w:szCs w:val="20"/>
                <w:lang w:val="en-US"/>
              </w:rPr>
              <w:tab/>
            </w:r>
            <w:r w:rsidR="008665E4" w:rsidRPr="00625791">
              <w:rPr>
                <w:sz w:val="20"/>
                <w:szCs w:val="20"/>
                <w:lang w:val="en-US"/>
              </w:rPr>
              <w:t>Landy, Barry</w:t>
            </w:r>
          </w:p>
          <w:p w:rsidR="00F138C1" w:rsidRPr="00625791" w:rsidRDefault="00F138C1" w:rsidP="00F138C1">
            <w:pPr>
              <w:tabs>
                <w:tab w:val="left" w:pos="-1440"/>
                <w:tab w:val="left" w:pos="-720"/>
              </w:tabs>
              <w:rPr>
                <w:sz w:val="20"/>
                <w:szCs w:val="20"/>
                <w:lang w:val="en-US"/>
              </w:rPr>
            </w:pPr>
            <w:r w:rsidRPr="00625791">
              <w:rPr>
                <w:sz w:val="20"/>
                <w:szCs w:val="20"/>
                <w:lang w:val="en-US"/>
              </w:rPr>
              <w:tab/>
            </w:r>
            <w:r w:rsidR="008665E4" w:rsidRPr="00625791">
              <w:rPr>
                <w:sz w:val="20"/>
                <w:szCs w:val="20"/>
                <w:lang w:val="en-US"/>
              </w:rPr>
              <w:t>Spiegel Sohmer</w:t>
            </w:r>
          </w:p>
          <w:p w:rsidR="00F138C1" w:rsidRPr="00625791" w:rsidRDefault="00F138C1" w:rsidP="00F138C1">
            <w:pPr>
              <w:tabs>
                <w:tab w:val="left" w:pos="-1440"/>
                <w:tab w:val="left" w:pos="-720"/>
              </w:tabs>
              <w:rPr>
                <w:sz w:val="20"/>
                <w:szCs w:val="20"/>
                <w:lang w:val="en-US"/>
              </w:rPr>
            </w:pPr>
          </w:p>
          <w:p w:rsidR="00F138C1" w:rsidRPr="00625791" w:rsidRDefault="00F138C1" w:rsidP="00F138C1">
            <w:pPr>
              <w:tabs>
                <w:tab w:val="left" w:pos="-1440"/>
                <w:tab w:val="left" w:pos="-720"/>
              </w:tabs>
              <w:rPr>
                <w:sz w:val="20"/>
                <w:szCs w:val="20"/>
                <w:lang w:val="en-US"/>
              </w:rPr>
            </w:pPr>
            <w:r w:rsidRPr="00625791">
              <w:rPr>
                <w:sz w:val="20"/>
                <w:szCs w:val="20"/>
                <w:lang w:val="en-US"/>
              </w:rPr>
              <w:tab/>
            </w:r>
            <w:r w:rsidR="008665E4" w:rsidRPr="00625791">
              <w:rPr>
                <w:sz w:val="20"/>
                <w:szCs w:val="20"/>
                <w:lang w:val="en-US"/>
              </w:rPr>
              <w:t>v</w:t>
            </w:r>
            <w:r w:rsidRPr="00625791">
              <w:rPr>
                <w:sz w:val="20"/>
                <w:szCs w:val="20"/>
                <w:lang w:val="en-US"/>
              </w:rPr>
              <w:t>. (39</w:t>
            </w:r>
            <w:r w:rsidR="008665E4" w:rsidRPr="00625791">
              <w:rPr>
                <w:sz w:val="20"/>
                <w:szCs w:val="20"/>
                <w:lang w:val="en-US"/>
              </w:rPr>
              <w:t>355</w:t>
            </w:r>
            <w:r w:rsidRPr="00625791">
              <w:rPr>
                <w:sz w:val="20"/>
                <w:szCs w:val="20"/>
                <w:lang w:val="en-US"/>
              </w:rPr>
              <w:t>)</w:t>
            </w:r>
          </w:p>
          <w:p w:rsidR="00F138C1" w:rsidRPr="00625791" w:rsidRDefault="00F138C1" w:rsidP="00F138C1">
            <w:pPr>
              <w:tabs>
                <w:tab w:val="left" w:pos="-1440"/>
                <w:tab w:val="left" w:pos="-720"/>
              </w:tabs>
              <w:rPr>
                <w:sz w:val="20"/>
                <w:szCs w:val="20"/>
                <w:lang w:val="en-US"/>
              </w:rPr>
            </w:pPr>
          </w:p>
          <w:p w:rsidR="00F138C1" w:rsidRPr="00625791" w:rsidRDefault="008665E4" w:rsidP="00F138C1">
            <w:pPr>
              <w:tabs>
                <w:tab w:val="left" w:pos="-1440"/>
                <w:tab w:val="left" w:pos="-720"/>
              </w:tabs>
              <w:rPr>
                <w:b/>
                <w:sz w:val="20"/>
                <w:szCs w:val="20"/>
                <w:lang w:val="en-US"/>
              </w:rPr>
            </w:pPr>
            <w:r w:rsidRPr="00625791">
              <w:rPr>
                <w:b/>
                <w:sz w:val="20"/>
                <w:szCs w:val="20"/>
                <w:lang w:val="en-US"/>
              </w:rPr>
              <w:t>Her Majesty the Queen</w:t>
            </w:r>
            <w:r w:rsidR="00F138C1" w:rsidRPr="00625791">
              <w:rPr>
                <w:sz w:val="20"/>
                <w:szCs w:val="20"/>
                <w:lang w:val="en-US"/>
              </w:rPr>
              <w:t xml:space="preserve"> </w:t>
            </w:r>
            <w:r w:rsidR="00F138C1" w:rsidRPr="00625791">
              <w:rPr>
                <w:b/>
                <w:sz w:val="20"/>
                <w:szCs w:val="20"/>
                <w:lang w:val="en-US"/>
              </w:rPr>
              <w:t>(</w:t>
            </w:r>
            <w:r w:rsidRPr="00625791">
              <w:rPr>
                <w:b/>
                <w:sz w:val="20"/>
                <w:szCs w:val="20"/>
                <w:lang w:val="en-US"/>
              </w:rPr>
              <w:t>F.C.</w:t>
            </w:r>
            <w:r w:rsidR="00F138C1" w:rsidRPr="00625791">
              <w:rPr>
                <w:b/>
                <w:sz w:val="20"/>
                <w:szCs w:val="20"/>
                <w:lang w:val="en-US"/>
              </w:rPr>
              <w:t>)</w:t>
            </w:r>
          </w:p>
          <w:p w:rsidR="00F138C1" w:rsidRPr="00625791" w:rsidRDefault="00F138C1" w:rsidP="00F138C1">
            <w:pPr>
              <w:tabs>
                <w:tab w:val="left" w:pos="-1440"/>
                <w:tab w:val="left" w:pos="-720"/>
              </w:tabs>
              <w:rPr>
                <w:sz w:val="20"/>
                <w:szCs w:val="20"/>
                <w:lang w:val="en-US"/>
              </w:rPr>
            </w:pPr>
            <w:r w:rsidRPr="00625791">
              <w:rPr>
                <w:sz w:val="20"/>
                <w:szCs w:val="20"/>
                <w:lang w:val="en-US"/>
              </w:rPr>
              <w:tab/>
            </w:r>
            <w:r w:rsidR="008665E4" w:rsidRPr="00625791">
              <w:rPr>
                <w:sz w:val="20"/>
                <w:szCs w:val="20"/>
                <w:lang w:val="en-US"/>
              </w:rPr>
              <w:t>Petit, Simon</w:t>
            </w:r>
          </w:p>
          <w:p w:rsidR="00F138C1" w:rsidRPr="00625791" w:rsidRDefault="00F138C1" w:rsidP="00F138C1">
            <w:pPr>
              <w:tabs>
                <w:tab w:val="left" w:pos="-1440"/>
                <w:tab w:val="left" w:pos="-720"/>
              </w:tabs>
              <w:rPr>
                <w:sz w:val="20"/>
                <w:szCs w:val="20"/>
                <w:lang w:val="en-US"/>
              </w:rPr>
            </w:pPr>
            <w:r w:rsidRPr="00625791">
              <w:rPr>
                <w:sz w:val="20"/>
                <w:szCs w:val="20"/>
                <w:lang w:val="en-US"/>
              </w:rPr>
              <w:tab/>
            </w:r>
            <w:r w:rsidR="008665E4" w:rsidRPr="00625791">
              <w:rPr>
                <w:sz w:val="20"/>
                <w:szCs w:val="20"/>
                <w:lang w:val="en-US"/>
              </w:rPr>
              <w:t>Attorney General of Canada</w:t>
            </w:r>
          </w:p>
          <w:p w:rsidR="00F138C1" w:rsidRPr="00625791" w:rsidRDefault="00F138C1" w:rsidP="00F138C1">
            <w:pPr>
              <w:tabs>
                <w:tab w:val="left" w:pos="-1440"/>
                <w:tab w:val="left" w:pos="-720"/>
              </w:tabs>
              <w:rPr>
                <w:sz w:val="20"/>
                <w:szCs w:val="20"/>
                <w:lang w:val="en-US"/>
              </w:rPr>
            </w:pPr>
          </w:p>
          <w:p w:rsidR="00F138C1" w:rsidRPr="00625791" w:rsidRDefault="008665E4" w:rsidP="00F138C1">
            <w:pPr>
              <w:rPr>
                <w:sz w:val="20"/>
                <w:szCs w:val="20"/>
                <w:lang w:val="fr-CA"/>
              </w:rPr>
            </w:pPr>
            <w:r w:rsidRPr="00625791">
              <w:rPr>
                <w:sz w:val="20"/>
                <w:szCs w:val="20"/>
                <w:lang w:val="fr-CA"/>
              </w:rPr>
              <w:t xml:space="preserve">FILING </w:t>
            </w:r>
            <w:r w:rsidR="00F138C1" w:rsidRPr="00625791">
              <w:rPr>
                <w:sz w:val="20"/>
                <w:szCs w:val="20"/>
                <w:lang w:val="fr-CA"/>
              </w:rPr>
              <w:t xml:space="preserve">DATE: </w:t>
            </w:r>
            <w:r w:rsidRPr="00625791">
              <w:rPr>
                <w:sz w:val="20"/>
                <w:szCs w:val="20"/>
                <w:lang w:val="fr-CA"/>
              </w:rPr>
              <w:t>October 21,</w:t>
            </w:r>
            <w:r w:rsidR="00F138C1" w:rsidRPr="00625791">
              <w:rPr>
                <w:sz w:val="20"/>
                <w:szCs w:val="20"/>
                <w:lang w:val="fr-CA"/>
              </w:rPr>
              <w:t xml:space="preserve"> 20</w:t>
            </w:r>
            <w:r w:rsidR="00DA1D48" w:rsidRPr="00625791">
              <w:rPr>
                <w:sz w:val="20"/>
                <w:szCs w:val="20"/>
                <w:lang w:val="fr-CA"/>
              </w:rPr>
              <w:t>20</w:t>
            </w:r>
          </w:p>
          <w:p w:rsidR="004B2E86" w:rsidRPr="00625791" w:rsidRDefault="004B2E86" w:rsidP="00F138C1">
            <w:pPr>
              <w:rPr>
                <w:sz w:val="20"/>
                <w:szCs w:val="20"/>
                <w:lang w:val="fr-CA"/>
              </w:rPr>
            </w:pPr>
          </w:p>
          <w:p w:rsidR="00F138C1" w:rsidRPr="00625791" w:rsidRDefault="00366BFA" w:rsidP="00F138C1">
            <w:pPr>
              <w:rPr>
                <w:sz w:val="20"/>
                <w:szCs w:val="20"/>
                <w:lang w:val="en-US"/>
              </w:rPr>
            </w:pPr>
            <w:r>
              <w:rPr>
                <w:sz w:val="20"/>
                <w:szCs w:val="20"/>
                <w:lang w:val="fr-CA"/>
              </w:rPr>
              <w:pict>
                <v:rect id="_x0000_i1028" style="width:108pt;height:1pt" o:hrpct="0" o:hrstd="t" o:hrnoshade="t" o:hr="t" fillcolor="black [3213]" stroked="f"/>
              </w:pict>
            </w:r>
          </w:p>
        </w:tc>
      </w:tr>
    </w:tbl>
    <w:p w:rsidR="00F138C1" w:rsidRPr="00625791" w:rsidRDefault="00F138C1" w:rsidP="00F138C1">
      <w:pPr>
        <w:tabs>
          <w:tab w:val="right" w:pos="9360"/>
        </w:tabs>
        <w:rPr>
          <w:sz w:val="20"/>
          <w:szCs w:val="20"/>
          <w:lang w:val="fr-CA"/>
        </w:rPr>
      </w:pPr>
    </w:p>
    <w:p w:rsidR="00F138C1" w:rsidRPr="00625791" w:rsidRDefault="00F138C1" w:rsidP="00F138C1">
      <w:pPr>
        <w:tabs>
          <w:tab w:val="right" w:pos="9360"/>
        </w:tabs>
        <w:rPr>
          <w:sz w:val="20"/>
          <w:szCs w:val="20"/>
          <w:lang w:val="fr-CA"/>
        </w:rPr>
      </w:pPr>
    </w:p>
    <w:p w:rsidR="00C01FCB" w:rsidRPr="00625791" w:rsidRDefault="00C01FCB" w:rsidP="0095096B">
      <w:pPr>
        <w:tabs>
          <w:tab w:val="right" w:pos="9360"/>
        </w:tabs>
        <w:rPr>
          <w:sz w:val="20"/>
          <w:szCs w:val="20"/>
          <w:lang w:val="fr-CA"/>
        </w:rPr>
      </w:pPr>
    </w:p>
    <w:p w:rsidR="00242AEE" w:rsidRPr="00625791" w:rsidRDefault="00242AEE" w:rsidP="0095096B">
      <w:pPr>
        <w:tabs>
          <w:tab w:val="right" w:pos="9360"/>
        </w:tabs>
        <w:rPr>
          <w:sz w:val="20"/>
          <w:szCs w:val="20"/>
          <w:lang w:val="fr-CA"/>
        </w:rPr>
        <w:sectPr w:rsidR="00242AEE" w:rsidRPr="00625791"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25791" w:rsidRDefault="00DD0BDC" w:rsidP="00567602">
      <w:pPr>
        <w:pStyle w:val="Header1StyleE"/>
        <w:pBdr>
          <w:bottom w:val="single" w:sz="12" w:space="1" w:color="auto"/>
        </w:pBdr>
        <w:rPr>
          <w:lang w:val="fr-CA"/>
        </w:rPr>
      </w:pPr>
      <w:bookmarkStart w:id="1" w:name="QuickMark_1"/>
      <w:bookmarkStart w:id="2" w:name="_Toc54945599"/>
      <w:bookmarkEnd w:id="1"/>
      <w:r w:rsidRPr="00625791">
        <w:rPr>
          <w:lang w:val="fr-CA"/>
        </w:rPr>
        <w:lastRenderedPageBreak/>
        <w:t>Judgments on applications</w:t>
      </w:r>
      <w:r w:rsidR="000C1D9D" w:rsidRPr="00625791">
        <w:rPr>
          <w:lang w:val="fr-CA"/>
        </w:rPr>
        <w:t xml:space="preserve"> </w:t>
      </w:r>
      <w:r w:rsidRPr="00625791">
        <w:rPr>
          <w:lang w:val="fr-CA"/>
        </w:rPr>
        <w:t>for leave</w:t>
      </w:r>
      <w:r w:rsidR="00693C38" w:rsidRPr="00625791">
        <w:rPr>
          <w:noProof/>
          <w:sz w:val="20"/>
          <w:lang w:val="fr-CA"/>
        </w:rPr>
        <w:t xml:space="preserve"> </w:t>
      </w:r>
      <w:r w:rsidR="00271E1E" w:rsidRPr="00625791">
        <w:rPr>
          <w:noProof/>
          <w:sz w:val="20"/>
          <w:lang w:val="fr-CA"/>
        </w:rPr>
        <w:t xml:space="preserve">/ </w:t>
      </w:r>
      <w:r w:rsidR="00693C38" w:rsidRPr="00625791">
        <w:rPr>
          <w:noProof/>
          <w:sz w:val="20"/>
          <w:lang w:val="fr-CA"/>
        </w:rPr>
        <w:br/>
      </w:r>
      <w:r w:rsidRPr="00625791">
        <w:rPr>
          <w:lang w:val="fr-CA"/>
        </w:rPr>
        <w:t>Jugements rendus sur les demandes d’autorisation</w:t>
      </w:r>
      <w:bookmarkEnd w:id="2"/>
    </w:p>
    <w:p w:rsidR="00FB1DB6" w:rsidRPr="00625791" w:rsidRDefault="00FB1DB6" w:rsidP="00693C38">
      <w:pPr>
        <w:rPr>
          <w:sz w:val="20"/>
          <w:szCs w:val="20"/>
          <w:lang w:val="fr-CA"/>
        </w:rPr>
      </w:pPr>
    </w:p>
    <w:p w:rsidR="00F16063" w:rsidRPr="00625791" w:rsidRDefault="00846965" w:rsidP="00F16063">
      <w:pPr>
        <w:rPr>
          <w:b/>
          <w:sz w:val="20"/>
          <w:szCs w:val="20"/>
        </w:rPr>
      </w:pPr>
      <w:r w:rsidRPr="00625791">
        <w:rPr>
          <w:b/>
          <w:sz w:val="20"/>
          <w:szCs w:val="20"/>
          <w:lang w:val="fr-CA"/>
        </w:rPr>
        <w:t>OCTOBER</w:t>
      </w:r>
      <w:r w:rsidR="00F16063" w:rsidRPr="00625791">
        <w:rPr>
          <w:b/>
          <w:sz w:val="20"/>
          <w:szCs w:val="20"/>
        </w:rPr>
        <w:t xml:space="preserve"> </w:t>
      </w:r>
      <w:r w:rsidRPr="00625791">
        <w:rPr>
          <w:b/>
          <w:sz w:val="20"/>
          <w:szCs w:val="20"/>
        </w:rPr>
        <w:t>2</w:t>
      </w:r>
      <w:r w:rsidR="005967EF" w:rsidRPr="00625791">
        <w:rPr>
          <w:b/>
          <w:sz w:val="20"/>
          <w:szCs w:val="20"/>
        </w:rPr>
        <w:t>9</w:t>
      </w:r>
      <w:r w:rsidR="00F16063" w:rsidRPr="00625791">
        <w:rPr>
          <w:b/>
          <w:sz w:val="20"/>
          <w:szCs w:val="20"/>
        </w:rPr>
        <w:t xml:space="preserve">, </w:t>
      </w:r>
      <w:r w:rsidR="0034657E" w:rsidRPr="00625791">
        <w:rPr>
          <w:b/>
          <w:sz w:val="20"/>
          <w:szCs w:val="20"/>
        </w:rPr>
        <w:t>20</w:t>
      </w:r>
      <w:r w:rsidR="005967EF" w:rsidRPr="00625791">
        <w:rPr>
          <w:b/>
          <w:sz w:val="20"/>
          <w:szCs w:val="20"/>
        </w:rPr>
        <w:t>20</w:t>
      </w:r>
      <w:r w:rsidR="00F16063" w:rsidRPr="00625791">
        <w:rPr>
          <w:b/>
          <w:sz w:val="20"/>
          <w:szCs w:val="20"/>
        </w:rPr>
        <w:t xml:space="preserve"> / LE </w:t>
      </w:r>
      <w:r w:rsidRPr="00625791">
        <w:rPr>
          <w:b/>
          <w:sz w:val="20"/>
          <w:szCs w:val="20"/>
        </w:rPr>
        <w:t>2</w:t>
      </w:r>
      <w:r w:rsidR="005967EF" w:rsidRPr="00625791">
        <w:rPr>
          <w:b/>
          <w:sz w:val="20"/>
          <w:szCs w:val="20"/>
        </w:rPr>
        <w:t>9</w:t>
      </w:r>
      <w:r w:rsidR="00F16063" w:rsidRPr="00625791">
        <w:rPr>
          <w:b/>
          <w:sz w:val="20"/>
          <w:szCs w:val="20"/>
        </w:rPr>
        <w:t xml:space="preserve"> </w:t>
      </w:r>
      <w:r w:rsidRPr="00625791">
        <w:rPr>
          <w:b/>
          <w:sz w:val="20"/>
          <w:szCs w:val="20"/>
        </w:rPr>
        <w:t>OCTOBRE</w:t>
      </w:r>
      <w:r w:rsidR="00F16063" w:rsidRPr="00625791">
        <w:rPr>
          <w:b/>
          <w:sz w:val="20"/>
          <w:szCs w:val="20"/>
        </w:rPr>
        <w:t xml:space="preserve"> </w:t>
      </w:r>
      <w:r w:rsidR="0034657E" w:rsidRPr="00625791">
        <w:rPr>
          <w:b/>
          <w:sz w:val="20"/>
          <w:szCs w:val="20"/>
        </w:rPr>
        <w:t>20</w:t>
      </w:r>
      <w:r w:rsidR="005967EF" w:rsidRPr="00625791">
        <w:rPr>
          <w:b/>
          <w:sz w:val="20"/>
          <w:szCs w:val="20"/>
        </w:rPr>
        <w:t>20</w:t>
      </w:r>
    </w:p>
    <w:p w:rsidR="006E0D1B" w:rsidRPr="00625791" w:rsidRDefault="006E0D1B" w:rsidP="006E0D1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39186</w:t>
            </w:r>
          </w:p>
        </w:tc>
        <w:tc>
          <w:tcPr>
            <w:tcW w:w="4457" w:type="pct"/>
          </w:tcPr>
          <w:p w:rsidR="006E0D1B" w:rsidRPr="00625791" w:rsidRDefault="006E0D1B" w:rsidP="00786E63">
            <w:pPr>
              <w:pStyle w:val="SCCLsocParty"/>
              <w:jc w:val="both"/>
              <w:rPr>
                <w:b/>
                <w:sz w:val="20"/>
                <w:szCs w:val="20"/>
              </w:rPr>
            </w:pPr>
            <w:r w:rsidRPr="00625791">
              <w:rPr>
                <w:b/>
                <w:sz w:val="20"/>
                <w:szCs w:val="20"/>
              </w:rPr>
              <w:t xml:space="preserve">Ville de Montréal v. </w:t>
            </w:r>
            <w:r w:rsidR="00C855D6" w:rsidRPr="00625791">
              <w:rPr>
                <w:b/>
                <w:sz w:val="20"/>
                <w:szCs w:val="20"/>
              </w:rPr>
              <w:t>Groupe SMI inc., Groupe SM inc., Claulac inc., SMI Construction inc., Enerpro inc. and Groupe SM International (Construction) inc.</w:t>
            </w:r>
          </w:p>
          <w:p w:rsidR="006E0D1B" w:rsidRPr="00625791" w:rsidRDefault="006E0D1B" w:rsidP="00786E63">
            <w:pPr>
              <w:pStyle w:val="SCCLsocOtherPartySeparator"/>
              <w:rPr>
                <w:sz w:val="20"/>
                <w:szCs w:val="20"/>
                <w:lang w:val="en-CA"/>
              </w:rPr>
            </w:pPr>
            <w:r w:rsidRPr="00625791">
              <w:rPr>
                <w:sz w:val="20"/>
                <w:szCs w:val="20"/>
                <w:lang w:val="en-CA"/>
              </w:rPr>
              <w:t>- and -</w:t>
            </w:r>
          </w:p>
          <w:p w:rsidR="006E0D1B" w:rsidRPr="00625791" w:rsidRDefault="00C855D6" w:rsidP="00786E63">
            <w:pPr>
              <w:pStyle w:val="SCCLsocParty"/>
              <w:jc w:val="both"/>
              <w:rPr>
                <w:b/>
                <w:sz w:val="20"/>
                <w:szCs w:val="20"/>
                <w:lang w:val="en-CA"/>
              </w:rPr>
            </w:pPr>
            <w:r w:rsidRPr="00625791">
              <w:rPr>
                <w:b/>
                <w:sz w:val="20"/>
                <w:szCs w:val="20"/>
                <w:lang w:val="en-CA"/>
              </w:rPr>
              <w:t>Deloitte Restructuring Inc., Alaris Royalty Corp., Integrated Private Debt Fund V LP and Thornhill Investments Inc.</w:t>
            </w:r>
          </w:p>
          <w:p w:rsidR="006E0D1B" w:rsidRPr="00625791" w:rsidRDefault="006E0D1B" w:rsidP="00786E63">
            <w:pPr>
              <w:jc w:val="both"/>
              <w:rPr>
                <w:sz w:val="20"/>
              </w:rPr>
            </w:pPr>
            <w:r w:rsidRPr="00625791">
              <w:rPr>
                <w:sz w:val="20"/>
              </w:rPr>
              <w:t>(Que.) (Civil) (By Leave)</w:t>
            </w:r>
          </w:p>
        </w:tc>
      </w:tr>
      <w:tr w:rsidR="006E0D1B" w:rsidRPr="00625791" w:rsidTr="00786E63">
        <w:tc>
          <w:tcPr>
            <w:tcW w:w="5000" w:type="pct"/>
            <w:gridSpan w:val="2"/>
          </w:tcPr>
          <w:p w:rsidR="00C855D6" w:rsidRPr="00625791" w:rsidRDefault="00C855D6" w:rsidP="00C855D6">
            <w:pPr>
              <w:jc w:val="both"/>
              <w:rPr>
                <w:sz w:val="20"/>
                <w:szCs w:val="20"/>
              </w:rPr>
            </w:pPr>
            <w:r w:rsidRPr="00625791">
              <w:rPr>
                <w:sz w:val="20"/>
                <w:szCs w:val="20"/>
                <w:lang w:val="en-US"/>
              </w:rPr>
              <w:t>The motion for leave to intervene in the leave application filed by City of Laval is dismissed,</w:t>
            </w:r>
            <w:r w:rsidRPr="00625791">
              <w:rPr>
                <w:sz w:val="20"/>
                <w:szCs w:val="20"/>
              </w:rPr>
              <w:t xml:space="preserve"> without prejudice to its right to bring a motion for leave to intervene in the appeal. The application for leave to appeal from the judgment of the</w:t>
            </w:r>
            <w:bookmarkStart w:id="3" w:name="BM_1_"/>
            <w:bookmarkEnd w:id="3"/>
            <w:r w:rsidRPr="00625791">
              <w:rPr>
                <w:sz w:val="20"/>
                <w:szCs w:val="20"/>
              </w:rPr>
              <w:t xml:space="preserve"> </w:t>
            </w:r>
            <w:r w:rsidRPr="00625791">
              <w:rPr>
                <w:sz w:val="20"/>
                <w:szCs w:val="20"/>
                <w:lang w:val="en-US"/>
              </w:rPr>
              <w:t>Court of Appeal of Quebec (Montréal)</w:t>
            </w:r>
            <w:r w:rsidRPr="00625791">
              <w:rPr>
                <w:sz w:val="20"/>
                <w:szCs w:val="20"/>
              </w:rPr>
              <w:t xml:space="preserve">, Number </w:t>
            </w:r>
            <w:r w:rsidRPr="00625791">
              <w:rPr>
                <w:sz w:val="20"/>
                <w:szCs w:val="20"/>
                <w:lang w:val="en-US"/>
              </w:rPr>
              <w:t xml:space="preserve">500-09-028191-195, 2020 QCCA 438, </w:t>
            </w:r>
            <w:r w:rsidRPr="00625791">
              <w:rPr>
                <w:sz w:val="20"/>
                <w:szCs w:val="20"/>
              </w:rPr>
              <w:t xml:space="preserve">dated </w:t>
            </w:r>
            <w:r w:rsidRPr="00625791">
              <w:rPr>
                <w:sz w:val="20"/>
                <w:szCs w:val="20"/>
                <w:lang w:val="en-US"/>
              </w:rPr>
              <w:t>March 17, 2020,</w:t>
            </w:r>
            <w:r w:rsidRPr="00625791">
              <w:rPr>
                <w:sz w:val="20"/>
                <w:szCs w:val="20"/>
              </w:rPr>
              <w:t xml:space="preserve"> is granted with costs in the cause. </w:t>
            </w:r>
          </w:p>
          <w:p w:rsidR="00C855D6" w:rsidRPr="00625791" w:rsidRDefault="00C855D6" w:rsidP="00C855D6">
            <w:pPr>
              <w:jc w:val="both"/>
              <w:rPr>
                <w:sz w:val="20"/>
                <w:szCs w:val="20"/>
              </w:rPr>
            </w:pPr>
          </w:p>
          <w:p w:rsidR="006E0D1B" w:rsidRPr="00625791" w:rsidRDefault="00C855D6" w:rsidP="00C855D6">
            <w:pPr>
              <w:pStyle w:val="SCCBanSummary0"/>
              <w:rPr>
                <w:smallCaps w:val="0"/>
                <w:sz w:val="20"/>
                <w:szCs w:val="20"/>
                <w:lang w:val="en-US"/>
              </w:rPr>
            </w:pPr>
            <w:r w:rsidRPr="00625791">
              <w:rPr>
                <w:smallCaps w:val="0"/>
                <w:sz w:val="20"/>
                <w:szCs w:val="20"/>
                <w:lang w:val="en-US"/>
              </w:rPr>
              <w:t>Kasirer J. took no part in the judgment.</w:t>
            </w:r>
          </w:p>
          <w:p w:rsidR="00C855D6" w:rsidRPr="00625791" w:rsidRDefault="00C855D6" w:rsidP="00C855D6">
            <w:pPr>
              <w:rPr>
                <w:lang w:val="en-US"/>
              </w:rPr>
            </w:pPr>
          </w:p>
        </w:tc>
      </w:tr>
      <w:tr w:rsidR="006E0D1B" w:rsidRPr="00625791" w:rsidTr="00786E63">
        <w:tc>
          <w:tcPr>
            <w:tcW w:w="5000" w:type="pct"/>
            <w:gridSpan w:val="2"/>
          </w:tcPr>
          <w:p w:rsidR="006E0D1B" w:rsidRPr="00625791" w:rsidRDefault="006E0D1B" w:rsidP="00786E63">
            <w:pPr>
              <w:pStyle w:val="SCCBanSummary0"/>
              <w:rPr>
                <w:sz w:val="20"/>
                <w:szCs w:val="20"/>
              </w:rPr>
            </w:pPr>
            <w:r w:rsidRPr="00625791">
              <w:rPr>
                <w:sz w:val="20"/>
                <w:szCs w:val="20"/>
              </w:rPr>
              <w:t>(Court file contains information that is not available for inspection by the public)</w:t>
            </w:r>
          </w:p>
          <w:p w:rsidR="006E0D1B" w:rsidRPr="00625791" w:rsidRDefault="006E0D1B" w:rsidP="00786E63">
            <w:pPr>
              <w:jc w:val="both"/>
              <w:rPr>
                <w:sz w:val="20"/>
              </w:rPr>
            </w:pPr>
          </w:p>
          <w:p w:rsidR="006E0D1B" w:rsidRPr="00625791" w:rsidRDefault="006E0D1B" w:rsidP="00786E63">
            <w:pPr>
              <w:jc w:val="both"/>
              <w:rPr>
                <w:sz w:val="20"/>
              </w:rPr>
            </w:pPr>
            <w:r w:rsidRPr="00625791">
              <w:rPr>
                <w:sz w:val="20"/>
              </w:rPr>
              <w:t xml:space="preserve">Bankruptcy and insolvency — Compensation — Order issued to effect that companies are subject to proceedings under </w:t>
            </w:r>
            <w:r w:rsidRPr="00625791">
              <w:rPr>
                <w:i/>
                <w:sz w:val="20"/>
              </w:rPr>
              <w:t>Companies’ Creditors Arrangement Act</w:t>
            </w:r>
            <w:r w:rsidRPr="00625791">
              <w:rPr>
                <w:sz w:val="20"/>
              </w:rPr>
              <w:t>, R.S.C. 1985, c. C</w:t>
            </w:r>
            <w:r w:rsidRPr="00625791">
              <w:rPr>
                <w:sz w:val="20"/>
              </w:rPr>
              <w:noBreakHyphen/>
              <w:t xml:space="preserve">36 (“CCAA”) — Claim of public body arising from agreement entered into before initial order under voluntary reimbursement program set up under </w:t>
            </w:r>
            <w:r w:rsidRPr="00625791">
              <w:rPr>
                <w:i/>
                <w:sz w:val="20"/>
              </w:rPr>
              <w:t>Act to ensure mainly the recovery of amounts improperly paid as a result of fraud or fraudulent tactics in connection with public contracts</w:t>
            </w:r>
            <w:r w:rsidRPr="00625791">
              <w:rPr>
                <w:sz w:val="20"/>
              </w:rPr>
              <w:t>, CQLR, c. R</w:t>
            </w:r>
            <w:r w:rsidRPr="00625791">
              <w:rPr>
                <w:sz w:val="20"/>
              </w:rPr>
              <w:noBreakHyphen/>
              <w:t xml:space="preserve">2.2.0.0.3 (“Bill 26”) — Amounts owed to companies by public body for work carried out after initial order — Whether claims of public bodies arising from voluntary reimbursement program set up under Bill 26 are claims resulting from fraud for purposes of s. 19(2)(d) CCAA or s. 178(1)(e) BIA, from which debtor cannot be released — Whether, where claim for fraud cannot be subject of compromise in accordance with s. 19(2) CCAA, victim of that fraud may effect compensation under s. 21 CCAA with debt incurred after initial order was issued — Whether creditor in restructuring may obtain judicial compensation where certainty, liquidity and exigibility of claim is to be determined in proceeding other than that of restructuring case — </w:t>
            </w:r>
            <w:r w:rsidRPr="00625791">
              <w:rPr>
                <w:i/>
                <w:sz w:val="20"/>
              </w:rPr>
              <w:t>Companies’ Creditors Arrangement Act</w:t>
            </w:r>
            <w:r w:rsidRPr="00625791">
              <w:rPr>
                <w:sz w:val="20"/>
              </w:rPr>
              <w:t>, R.S.C. 1985, c. C</w:t>
            </w:r>
            <w:r w:rsidRPr="00625791">
              <w:rPr>
                <w:sz w:val="20"/>
              </w:rPr>
              <w:noBreakHyphen/>
              <w:t xml:space="preserve">36, ss. 19, 21. </w:t>
            </w:r>
          </w:p>
        </w:tc>
      </w:tr>
      <w:tr w:rsidR="006E0D1B" w:rsidRPr="00625791" w:rsidTr="00786E63">
        <w:tc>
          <w:tcPr>
            <w:tcW w:w="5000" w:type="pct"/>
            <w:gridSpan w:val="2"/>
          </w:tcPr>
          <w:p w:rsidR="006E0D1B" w:rsidRPr="00625791" w:rsidRDefault="006E0D1B" w:rsidP="00786E63">
            <w:pPr>
              <w:jc w:val="both"/>
              <w:rPr>
                <w:sz w:val="20"/>
              </w:rPr>
            </w:pPr>
          </w:p>
        </w:tc>
      </w:tr>
      <w:tr w:rsidR="00C855D6" w:rsidRPr="00625791" w:rsidTr="00786E63">
        <w:tc>
          <w:tcPr>
            <w:tcW w:w="5000" w:type="pct"/>
            <w:gridSpan w:val="2"/>
          </w:tcPr>
          <w:p w:rsidR="00C855D6" w:rsidRPr="00625791" w:rsidRDefault="00C855D6" w:rsidP="00C855D6">
            <w:pPr>
              <w:jc w:val="both"/>
              <w:rPr>
                <w:sz w:val="20"/>
              </w:rPr>
            </w:pPr>
            <w:r w:rsidRPr="00625791">
              <w:rPr>
                <w:sz w:val="20"/>
              </w:rPr>
              <w:t xml:space="preserve">In August 2018, the Superior Court made an order to the effect that the respondents (“Groupe SM”) were subject to proceedings under the </w:t>
            </w:r>
            <w:r w:rsidRPr="00625791">
              <w:rPr>
                <w:i/>
                <w:sz w:val="20"/>
              </w:rPr>
              <w:t>Companies’ Creditors Arrangement Act</w:t>
            </w:r>
            <w:r w:rsidRPr="00625791">
              <w:rPr>
                <w:sz w:val="20"/>
              </w:rPr>
              <w:t>, R.S.C. 1985, c. C</w:t>
            </w:r>
            <w:r w:rsidRPr="00625791">
              <w:rPr>
                <w:sz w:val="20"/>
              </w:rPr>
              <w:noBreakHyphen/>
              <w:t xml:space="preserve">36 (“CCAA”). The Superior Court appointed the intervener Deloitte Restructuring Inc. as monitor, and in November 2018 approved the sale of some of Groupe SM’s assets to the intervener Thornhill Investments Inc. Between August and November 2018, Groupe SM did work for Ville de Montréal (“city”) worth an estimated $825,892.20, for which it was not paid. The city argued that it could effect compensation between, on the one hand, two claims that had arisen before the August 2018 order and resulted from fraud by Groupe SM in the awarding of public contracts and, on the other hand, what it owed to Groupe SM for the work. The first claim the city argued it had against Groupe SM resulted from a settlement agreement entered into in November 2017 within the framework of the voluntary reimbursement program (“VRP”) set up under the </w:t>
            </w:r>
            <w:r w:rsidRPr="00625791">
              <w:rPr>
                <w:i/>
                <w:sz w:val="20"/>
              </w:rPr>
              <w:t>Act to ensure mainly the recovery of amounts improperly paid as a result of fraud or fraudulent tactics in connection with public contracts</w:t>
            </w:r>
            <w:r w:rsidRPr="00625791">
              <w:rPr>
                <w:sz w:val="20"/>
              </w:rPr>
              <w:t>, CQLR, c. R</w:t>
            </w:r>
            <w:r w:rsidRPr="00625791">
              <w:rPr>
                <w:sz w:val="20"/>
              </w:rPr>
              <w:noBreakHyphen/>
              <w:t>2.2.0.0.3</w:t>
            </w:r>
            <w:r w:rsidRPr="00625791">
              <w:rPr>
                <w:i/>
                <w:sz w:val="20"/>
              </w:rPr>
              <w:t xml:space="preserve"> </w:t>
            </w:r>
            <w:r w:rsidRPr="00625791">
              <w:rPr>
                <w:sz w:val="20"/>
              </w:rPr>
              <w:t xml:space="preserve">(“Bill 26”). The second claim was based on a proceeding brought by the city in September 2018 in which it claimed money from Groupe SM for, in particular, having participated in collusion in relation to a call for tenders for water meters. The monitor then applied for a declaratory judgment to the effect that the amounts owed by the city to Groupe SM for work that had been done could not be extinguished by compensation, and requested that the city pay the invoices for that work. </w:t>
            </w:r>
          </w:p>
          <w:p w:rsidR="00C855D6" w:rsidRPr="00625791" w:rsidRDefault="00C855D6" w:rsidP="00786E63">
            <w:pPr>
              <w:jc w:val="both"/>
              <w:rPr>
                <w:sz w:val="20"/>
              </w:rPr>
            </w:pPr>
          </w:p>
        </w:tc>
      </w:tr>
    </w:tbl>
    <w:p w:rsidR="00C855D6" w:rsidRPr="00625791" w:rsidRDefault="00C855D6">
      <w:r w:rsidRPr="00625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0D1B" w:rsidRPr="00625791" w:rsidTr="00786E63">
        <w:tc>
          <w:tcPr>
            <w:tcW w:w="5000" w:type="pct"/>
            <w:gridSpan w:val="3"/>
          </w:tcPr>
          <w:p w:rsidR="006E0D1B" w:rsidRPr="00625791" w:rsidRDefault="006E0D1B" w:rsidP="00786E63">
            <w:pPr>
              <w:jc w:val="both"/>
              <w:rPr>
                <w:sz w:val="20"/>
              </w:rPr>
            </w:pPr>
            <w:r w:rsidRPr="00625791">
              <w:rPr>
                <w:sz w:val="20"/>
              </w:rPr>
              <w:lastRenderedPageBreak/>
              <w:t xml:space="preserve">The Superior Court granted the application for a declaratory judgment and ordered Ville de Montréal to pay the monitor, Deloitte, $825,892.20 plus interest at the legal rate and the additional indemnity since the application for a declaratory judgment, with costs. In the judge’s view, the debt resulting from the VRP was linked to an unrefuted allegation of fraud, whereas the debt resulting from the suit was not liquid and exigible. In accordance with the principles from </w:t>
            </w:r>
            <w:r w:rsidRPr="00625791">
              <w:rPr>
                <w:i/>
                <w:sz w:val="20"/>
              </w:rPr>
              <w:t>Arrangement relatif à Métaux Kitco Inc.</w:t>
            </w:r>
            <w:r w:rsidRPr="00625791">
              <w:rPr>
                <w:sz w:val="20"/>
              </w:rPr>
              <w:t xml:space="preserve">, 2017 QCCA 268, compensation cannot be effected between amounts owing before the order was made and a debt incurred after it was made. A majority of the Court of Appeal allowed Ville de Montréal’s appeal, with costs against Ville de Montréal, solely to replace para. 76 of the judgment (order that Ville de Montréal pay $825,892.20). Ruel J.A. would have allowed the appeal and declared that compensation had been effected by operation of law, after the order was made, between the city’s debt for services rendered by Groupe SM and Groupe SM’s debt resulting from the agreement under the VRP. </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March 1, 2019</w:t>
            </w:r>
          </w:p>
          <w:p w:rsidR="006E0D1B" w:rsidRPr="00625791" w:rsidRDefault="006E0D1B" w:rsidP="00786E63">
            <w:pPr>
              <w:jc w:val="both"/>
              <w:rPr>
                <w:sz w:val="20"/>
              </w:rPr>
            </w:pPr>
            <w:r w:rsidRPr="00625791">
              <w:rPr>
                <w:sz w:val="20"/>
              </w:rPr>
              <w:t>Quebec Superior Court</w:t>
            </w:r>
          </w:p>
          <w:p w:rsidR="006E0D1B" w:rsidRPr="00625791" w:rsidRDefault="006E0D1B" w:rsidP="00786E63">
            <w:pPr>
              <w:jc w:val="both"/>
              <w:rPr>
                <w:sz w:val="20"/>
              </w:rPr>
            </w:pPr>
            <w:r w:rsidRPr="00625791">
              <w:rPr>
                <w:sz w:val="20"/>
              </w:rPr>
              <w:t>(Corriveau J.)</w:t>
            </w:r>
          </w:p>
          <w:p w:rsidR="006E0D1B" w:rsidRPr="00625791" w:rsidRDefault="00366BFA" w:rsidP="00786E63">
            <w:pPr>
              <w:jc w:val="both"/>
              <w:rPr>
                <w:sz w:val="20"/>
              </w:rPr>
            </w:pPr>
            <w:hyperlink r:id="rId15" w:history="1">
              <w:r w:rsidR="006E0D1B" w:rsidRPr="00625791">
                <w:rPr>
                  <w:rStyle w:val="Hyperlink"/>
                  <w:sz w:val="20"/>
                </w:rPr>
                <w:t>2019 QCCS 2316</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declaratory judgment granted; Ville de Montréal ordered to pay monitor, Deloitte Restructuring Inc., $825,892.20</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March 17, 2020</w:t>
            </w:r>
          </w:p>
          <w:p w:rsidR="006E0D1B" w:rsidRPr="00625791" w:rsidRDefault="006E0D1B" w:rsidP="00786E63">
            <w:pPr>
              <w:jc w:val="both"/>
              <w:rPr>
                <w:sz w:val="20"/>
              </w:rPr>
            </w:pPr>
            <w:r w:rsidRPr="00625791">
              <w:rPr>
                <w:sz w:val="20"/>
              </w:rPr>
              <w:t>Quebec Court of Appeal (Montréal)</w:t>
            </w:r>
          </w:p>
          <w:p w:rsidR="006E0D1B" w:rsidRPr="00625791" w:rsidRDefault="006E0D1B" w:rsidP="00786E63">
            <w:pPr>
              <w:jc w:val="both"/>
              <w:rPr>
                <w:sz w:val="20"/>
              </w:rPr>
            </w:pPr>
            <w:r w:rsidRPr="00625791">
              <w:rPr>
                <w:sz w:val="20"/>
              </w:rPr>
              <w:t>(Rochette, Healy and Ruel JJ.A.)</w:t>
            </w:r>
          </w:p>
          <w:p w:rsidR="006E0D1B" w:rsidRPr="00625791" w:rsidRDefault="00366BFA" w:rsidP="00786E63">
            <w:pPr>
              <w:jc w:val="both"/>
              <w:rPr>
                <w:sz w:val="20"/>
              </w:rPr>
            </w:pPr>
            <w:hyperlink r:id="rId16" w:history="1">
              <w:r w:rsidR="006E0D1B" w:rsidRPr="00625791">
                <w:rPr>
                  <w:rStyle w:val="Hyperlink"/>
                  <w:sz w:val="20"/>
                </w:rPr>
                <w:t>2020 QCCA 438</w:t>
              </w:r>
            </w:hyperlink>
            <w:r w:rsidR="006E0D1B" w:rsidRPr="00625791">
              <w:rPr>
                <w:sz w:val="20"/>
              </w:rPr>
              <w:t>; 500</w:t>
            </w:r>
            <w:r w:rsidR="006E0D1B" w:rsidRPr="00625791">
              <w:rPr>
                <w:sz w:val="20"/>
              </w:rPr>
              <w:noBreakHyphen/>
              <w:t>09</w:t>
            </w:r>
            <w:r w:rsidR="006E0D1B" w:rsidRPr="00625791">
              <w:rPr>
                <w:sz w:val="20"/>
              </w:rPr>
              <w:noBreakHyphen/>
              <w:t>028191</w:t>
            </w:r>
            <w:r w:rsidR="006E0D1B" w:rsidRPr="00625791">
              <w:rPr>
                <w:sz w:val="20"/>
              </w:rPr>
              <w:noBreakHyphen/>
              <w:t>195</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Appeal allowed solely to replace para. 76 of Superior Court’s judgment</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May 15, 2020</w:t>
            </w:r>
          </w:p>
          <w:p w:rsidR="006E0D1B" w:rsidRPr="00625791" w:rsidRDefault="006E0D1B" w:rsidP="00786E63">
            <w:pPr>
              <w:jc w:val="both"/>
              <w:rPr>
                <w:sz w:val="20"/>
              </w:rPr>
            </w:pPr>
            <w:r w:rsidRPr="00625791">
              <w:rPr>
                <w:sz w:val="20"/>
              </w:rPr>
              <w:t>Supreme Court of Canada</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tabs>
                <w:tab w:val="left" w:pos="1515"/>
              </w:tabs>
              <w:jc w:val="both"/>
              <w:rPr>
                <w:sz w:val="20"/>
              </w:rPr>
            </w:pPr>
            <w:r w:rsidRPr="00625791">
              <w:rPr>
                <w:sz w:val="20"/>
              </w:rPr>
              <w:t>June 19,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Motion for leave to intervene filed by Ville de Laval</w:t>
            </w: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31"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39186</w:t>
            </w:r>
          </w:p>
        </w:tc>
        <w:tc>
          <w:tcPr>
            <w:tcW w:w="4457" w:type="pct"/>
          </w:tcPr>
          <w:p w:rsidR="006E0D1B" w:rsidRPr="00625791" w:rsidRDefault="006E0D1B" w:rsidP="00786E63">
            <w:pPr>
              <w:pStyle w:val="SCCLsocParty"/>
              <w:jc w:val="both"/>
              <w:rPr>
                <w:b/>
                <w:sz w:val="20"/>
                <w:szCs w:val="20"/>
              </w:rPr>
            </w:pPr>
            <w:r w:rsidRPr="00625791">
              <w:rPr>
                <w:b/>
                <w:sz w:val="20"/>
                <w:szCs w:val="20"/>
              </w:rPr>
              <w:t xml:space="preserve">Ville de Montréal c. Le Groupe SMI inc., </w:t>
            </w:r>
            <w:r w:rsidR="00C855D6" w:rsidRPr="00625791">
              <w:rPr>
                <w:b/>
                <w:sz w:val="20"/>
                <w:szCs w:val="20"/>
              </w:rPr>
              <w:t>Groupe SMI inc., Groupe SM inc., Claulac inc., SMI Construction inc., Enerpro inc. et Groupe SM International (Construction) inc.</w:t>
            </w:r>
          </w:p>
          <w:p w:rsidR="006E0D1B" w:rsidRPr="00625791" w:rsidRDefault="006E0D1B" w:rsidP="00786E63">
            <w:pPr>
              <w:pStyle w:val="SCCLsocOtherPartySeparator"/>
              <w:rPr>
                <w:sz w:val="20"/>
                <w:szCs w:val="20"/>
              </w:rPr>
            </w:pPr>
            <w:r w:rsidRPr="00625791">
              <w:rPr>
                <w:sz w:val="20"/>
                <w:szCs w:val="20"/>
              </w:rPr>
              <w:t>- et -</w:t>
            </w:r>
          </w:p>
          <w:p w:rsidR="006E0D1B" w:rsidRPr="00625791" w:rsidRDefault="00C855D6" w:rsidP="00786E63">
            <w:pPr>
              <w:pStyle w:val="SCCLsocParty"/>
              <w:jc w:val="both"/>
              <w:rPr>
                <w:b/>
                <w:sz w:val="20"/>
                <w:szCs w:val="20"/>
                <w:lang w:val="en-US"/>
              </w:rPr>
            </w:pPr>
            <w:r w:rsidRPr="00625791">
              <w:rPr>
                <w:b/>
                <w:sz w:val="20"/>
                <w:szCs w:val="20"/>
                <w:lang w:val="en-US"/>
              </w:rPr>
              <w:t>Restructuration Deloitte Inc., Alaris Royalty Corp., Integrated Private Debt Fund V LP et Thornhill Investments Inc.</w:t>
            </w:r>
          </w:p>
          <w:p w:rsidR="006E0D1B" w:rsidRPr="00625791" w:rsidRDefault="006E0D1B" w:rsidP="00786E63">
            <w:pPr>
              <w:jc w:val="both"/>
              <w:rPr>
                <w:sz w:val="20"/>
              </w:rPr>
            </w:pPr>
            <w:r w:rsidRPr="00625791">
              <w:rPr>
                <w:sz w:val="20"/>
              </w:rPr>
              <w:t>(Qc) (Civile) (Autorisation)</w:t>
            </w:r>
          </w:p>
        </w:tc>
      </w:tr>
      <w:tr w:rsidR="006E0D1B" w:rsidRPr="00366BFA" w:rsidTr="00786E63">
        <w:tc>
          <w:tcPr>
            <w:tcW w:w="5000" w:type="pct"/>
            <w:gridSpan w:val="2"/>
          </w:tcPr>
          <w:p w:rsidR="00C855D6" w:rsidRPr="00625791" w:rsidRDefault="00C855D6" w:rsidP="00C855D6">
            <w:pPr>
              <w:jc w:val="both"/>
              <w:rPr>
                <w:sz w:val="20"/>
                <w:szCs w:val="20"/>
                <w:lang w:val="fr-CA"/>
              </w:rPr>
            </w:pPr>
            <w:r w:rsidRPr="00625791">
              <w:rPr>
                <w:sz w:val="20"/>
                <w:szCs w:val="20"/>
                <w:lang w:val="fr-CA"/>
              </w:rPr>
              <w:t>La requête pour permission d’intervenir dans la demande d’autorisation d’appel déposée par la Ville de Laval est rejetée, sans préjudice à son droit de présenter une demande pour permission d’intervenir dans l’appel. La demande d’autorisation d’appel de l’arrêt de la Cour d’appel du Québec (Montréal), numéro 500-09-028191-195, 2020 QCCA 438, daté du 17 mars 2020, est accueillie avec dépens suivant l’issue de la cause.</w:t>
            </w:r>
          </w:p>
          <w:p w:rsidR="00C855D6" w:rsidRPr="00625791" w:rsidRDefault="00C855D6" w:rsidP="00C855D6">
            <w:pPr>
              <w:jc w:val="both"/>
              <w:rPr>
                <w:sz w:val="20"/>
                <w:szCs w:val="20"/>
                <w:lang w:val="fr-CA"/>
              </w:rPr>
            </w:pPr>
          </w:p>
          <w:p w:rsidR="00C855D6" w:rsidRPr="00625791" w:rsidRDefault="00C855D6" w:rsidP="00C855D6">
            <w:pPr>
              <w:rPr>
                <w:sz w:val="20"/>
                <w:szCs w:val="20"/>
                <w:lang w:val="fr-CA"/>
              </w:rPr>
            </w:pPr>
            <w:r w:rsidRPr="00625791">
              <w:rPr>
                <w:sz w:val="20"/>
                <w:szCs w:val="20"/>
                <w:lang w:val="fr-CA"/>
              </w:rPr>
              <w:t>Le juge Kasirer n’a pas participé au jugement.</w:t>
            </w:r>
          </w:p>
          <w:p w:rsidR="006E0D1B" w:rsidRPr="00625791" w:rsidRDefault="006E0D1B" w:rsidP="00786E63">
            <w:pPr>
              <w:pStyle w:val="SCCBanSummary0"/>
              <w:rPr>
                <w:sz w:val="20"/>
                <w:szCs w:val="20"/>
                <w:lang w:val="fr-CA"/>
              </w:rPr>
            </w:pPr>
          </w:p>
        </w:tc>
      </w:tr>
    </w:tbl>
    <w:p w:rsidR="00C855D6" w:rsidRPr="00625791" w:rsidRDefault="00C855D6">
      <w:pPr>
        <w:rPr>
          <w:lang w:val="fr-CA"/>
        </w:rPr>
      </w:pPr>
      <w:r w:rsidRPr="00625791">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0D1B" w:rsidRPr="00366BFA" w:rsidTr="00786E63">
        <w:tc>
          <w:tcPr>
            <w:tcW w:w="5000" w:type="pct"/>
            <w:gridSpan w:val="3"/>
          </w:tcPr>
          <w:p w:rsidR="006E0D1B" w:rsidRPr="00625791" w:rsidRDefault="006E0D1B" w:rsidP="00786E63">
            <w:pPr>
              <w:pStyle w:val="SCCBanSummary0"/>
              <w:rPr>
                <w:sz w:val="20"/>
                <w:szCs w:val="20"/>
                <w:lang w:val="fr-CA"/>
              </w:rPr>
            </w:pPr>
            <w:r w:rsidRPr="00625791">
              <w:rPr>
                <w:sz w:val="20"/>
                <w:szCs w:val="20"/>
                <w:lang w:val="fr-CA"/>
              </w:rPr>
              <w:lastRenderedPageBreak/>
              <w:t>(Le dossier de la Cour renferme des données que le public n’est pas autorisé à consulter)</w:t>
            </w:r>
          </w:p>
          <w:p w:rsidR="006E0D1B" w:rsidRPr="00625791" w:rsidRDefault="006E0D1B" w:rsidP="00786E63">
            <w:pPr>
              <w:jc w:val="both"/>
              <w:rPr>
                <w:sz w:val="20"/>
                <w:lang w:val="fr-CA"/>
              </w:rPr>
            </w:pPr>
          </w:p>
          <w:p w:rsidR="006E0D1B" w:rsidRPr="00625791" w:rsidRDefault="006E0D1B" w:rsidP="00786E63">
            <w:pPr>
              <w:jc w:val="both"/>
              <w:rPr>
                <w:sz w:val="20"/>
                <w:lang w:val="fr-CA"/>
              </w:rPr>
            </w:pPr>
            <w:r w:rsidRPr="00625791">
              <w:rPr>
                <w:sz w:val="20"/>
                <w:lang w:val="fr-CA"/>
              </w:rPr>
              <w:t xml:space="preserve">Faillite et insolvabilité — Compensation — Ordonnance assujettissant des compagnies à des procédures déposées en vertu de la </w:t>
            </w:r>
            <w:r w:rsidRPr="00625791">
              <w:rPr>
                <w:i/>
                <w:sz w:val="20"/>
                <w:lang w:val="fr-CA"/>
              </w:rPr>
              <w:t>Loi sur les arrangements avec les créanciers des compagnies</w:t>
            </w:r>
            <w:r w:rsidRPr="00625791">
              <w:rPr>
                <w:sz w:val="20"/>
                <w:lang w:val="fr-CA"/>
              </w:rPr>
              <w:t>, L.R.C. 1985, c. C</w:t>
            </w:r>
            <w:r w:rsidRPr="00625791">
              <w:rPr>
                <w:sz w:val="20"/>
                <w:lang w:val="fr-CA"/>
              </w:rPr>
              <w:noBreakHyphen/>
              <w:t xml:space="preserve">36 (« LACC ») — Réclamation d’un organisme public découlant d’une entente conclue avant l’ordonnance initiale sous le programme de remboursement volontaire mis en place en vertu de la </w:t>
            </w:r>
            <w:r w:rsidRPr="00625791">
              <w:rPr>
                <w:i/>
                <w:sz w:val="20"/>
                <w:lang w:val="fr-CA"/>
              </w:rPr>
              <w:t>Loi visant principalement la récupération de sommes payés injustement à la suite de fraudes ou de manœuvres dolosives dans le cadre de contrats publics</w:t>
            </w:r>
            <w:r w:rsidRPr="00625791">
              <w:rPr>
                <w:sz w:val="20"/>
                <w:lang w:val="fr-CA"/>
              </w:rPr>
              <w:t>, RLRQ, c. R</w:t>
            </w:r>
            <w:r w:rsidRPr="00625791">
              <w:rPr>
                <w:sz w:val="20"/>
                <w:lang w:val="fr-CA"/>
              </w:rPr>
              <w:noBreakHyphen/>
              <w:t>2.2.0.0.3</w:t>
            </w:r>
            <w:r w:rsidRPr="00625791">
              <w:rPr>
                <w:i/>
                <w:sz w:val="20"/>
                <w:lang w:val="fr-CA"/>
              </w:rPr>
              <w:t xml:space="preserve"> </w:t>
            </w:r>
            <w:r w:rsidRPr="00625791">
              <w:rPr>
                <w:sz w:val="20"/>
                <w:lang w:val="fr-CA"/>
              </w:rPr>
              <w:t>(« Loi 26 ») — Sommes dues aux compagnies par l’organisme public pour des travaux exécutés après l’ordonnance initiale — Les réclamations des organismes publics issues du programme de remboursement volontaire établi en vertu de la Loi 26 sont</w:t>
            </w:r>
            <w:r w:rsidRPr="00625791">
              <w:rPr>
                <w:sz w:val="20"/>
                <w:lang w:val="fr-CA"/>
              </w:rPr>
              <w:noBreakHyphen/>
              <w:t>elles des réclamations découlant de la fraude au sens de l’art. 19(2)d) LACC ou de l’art. 178(1)e) LFI, desquelles le débiteur ne peut être libéré? — En présence d’une réclamation pour fraude ne pouvant être compromise selon l’art. 19(2) LACC, l’art. 21 LACC permet</w:t>
            </w:r>
            <w:r w:rsidRPr="00625791">
              <w:rPr>
                <w:sz w:val="20"/>
                <w:lang w:val="fr-CA"/>
              </w:rPr>
              <w:noBreakHyphen/>
              <w:t>il à la victime de cette fraude d’opérer compensation avec une dette encourue après l’émission de l’ordonnance initiale? — Un créancier dans une restructuration peut</w:t>
            </w:r>
            <w:r w:rsidRPr="00625791">
              <w:rPr>
                <w:sz w:val="20"/>
                <w:lang w:val="fr-CA"/>
              </w:rPr>
              <w:noBreakHyphen/>
              <w:t xml:space="preserve">il faire valoir une compensation judiciaire lorsque le caractère certain, liquide et exigible de sa réclamation sera déterminé dans une autre instance que celle du dossier de restructuration? — </w:t>
            </w:r>
            <w:r w:rsidRPr="00625791">
              <w:rPr>
                <w:i/>
                <w:sz w:val="20"/>
                <w:lang w:val="fr-CA"/>
              </w:rPr>
              <w:t>Loi sur les arrangements avec les créanciers des compagnies</w:t>
            </w:r>
            <w:r w:rsidRPr="00625791">
              <w:rPr>
                <w:sz w:val="20"/>
                <w:lang w:val="fr-CA"/>
              </w:rPr>
              <w:t>, L.R.C. 1985, c. C</w:t>
            </w:r>
            <w:r w:rsidRPr="00625791">
              <w:rPr>
                <w:sz w:val="20"/>
                <w:lang w:val="fr-CA"/>
              </w:rPr>
              <w:noBreakHyphen/>
              <w:t xml:space="preserve">36, art. 19, 21. </w:t>
            </w:r>
          </w:p>
        </w:tc>
      </w:tr>
      <w:tr w:rsidR="006E0D1B" w:rsidRPr="00366BFA" w:rsidTr="00786E63">
        <w:tc>
          <w:tcPr>
            <w:tcW w:w="5000" w:type="pct"/>
            <w:gridSpan w:val="3"/>
          </w:tcPr>
          <w:p w:rsidR="006E0D1B" w:rsidRPr="00625791" w:rsidRDefault="006E0D1B" w:rsidP="00786E63">
            <w:pPr>
              <w:jc w:val="both"/>
              <w:rPr>
                <w:sz w:val="20"/>
                <w:lang w:val="fr-CA"/>
              </w:rPr>
            </w:pPr>
          </w:p>
        </w:tc>
      </w:tr>
      <w:tr w:rsidR="006E0D1B" w:rsidRPr="00366BFA" w:rsidTr="00786E63">
        <w:tc>
          <w:tcPr>
            <w:tcW w:w="5000" w:type="pct"/>
            <w:gridSpan w:val="3"/>
          </w:tcPr>
          <w:p w:rsidR="006E0D1B" w:rsidRPr="00625791" w:rsidRDefault="006E0D1B" w:rsidP="00786E63">
            <w:pPr>
              <w:jc w:val="both"/>
              <w:rPr>
                <w:sz w:val="20"/>
                <w:lang w:val="fr-CA"/>
              </w:rPr>
            </w:pPr>
            <w:r w:rsidRPr="00625791">
              <w:rPr>
                <w:sz w:val="20"/>
                <w:lang w:val="fr-CA"/>
              </w:rPr>
              <w:t xml:space="preserve">En août 2018, la Cour supérieure rend une ordonnance assujettissant les intimées (« Groupe SM ») à des procédures déposées en vertu de la </w:t>
            </w:r>
            <w:r w:rsidRPr="00625791">
              <w:rPr>
                <w:i/>
                <w:sz w:val="20"/>
                <w:lang w:val="fr-CA"/>
              </w:rPr>
              <w:t>Loi sur les arrangements avec les créanciers des compagnies</w:t>
            </w:r>
            <w:r w:rsidRPr="00625791">
              <w:rPr>
                <w:sz w:val="20"/>
                <w:lang w:val="fr-CA"/>
              </w:rPr>
              <w:t>, L.R.C. 1985, c. C</w:t>
            </w:r>
            <w:r w:rsidRPr="00625791">
              <w:rPr>
                <w:sz w:val="20"/>
                <w:lang w:val="fr-CA"/>
              </w:rPr>
              <w:noBreakHyphen/>
              <w:t xml:space="preserve">36 (« LACC »). La Cour supérieure nomme Restructuration Deloitte Inc., intervenante, à titre de contrôleur, et, en novembre 2018, approuve la vente partielle des actifs du Groupe SM à Thornhill Investments Inc., intervenante. Entre août et novembre 2018, le Groupe SM effectue des travaux au bénéfice de la Ville de Montréal, estimés à 825 892,20 $, qui demeurent impayés. La Ville prétend pouvoir opérer compensation entre d’une part deux créances nées avant l’ordonnance d’août 2018 qui résulteraient de la fraude du Groupe SM dans l’octroi de contrats publics et, d’autre part, ce qu’elle doit au Groupe SM pour les travaux. La première créance que la Ville prétend détenir contre le Groupe SM résulte d’une entente de règlement intervenue en novembre 2017 dans le cadre du Programme de remboursement volontaire (« PRV ») mis en place en vertu de la </w:t>
            </w:r>
            <w:r w:rsidRPr="00625791">
              <w:rPr>
                <w:i/>
                <w:sz w:val="20"/>
                <w:lang w:val="fr-CA"/>
              </w:rPr>
              <w:t>Loi visant principalement la récupération de sommes payés injustement à la suite de fraudes ou de manœuvres dolosives dans le cadre de contrats publics</w:t>
            </w:r>
            <w:r w:rsidRPr="00625791">
              <w:rPr>
                <w:sz w:val="20"/>
                <w:lang w:val="fr-CA"/>
              </w:rPr>
              <w:t>, RLRQ, c. R</w:t>
            </w:r>
            <w:r w:rsidRPr="00625791">
              <w:rPr>
                <w:sz w:val="20"/>
                <w:lang w:val="fr-CA"/>
              </w:rPr>
              <w:noBreakHyphen/>
              <w:t>2.2.0.0.3</w:t>
            </w:r>
            <w:r w:rsidRPr="00625791">
              <w:rPr>
                <w:i/>
                <w:sz w:val="20"/>
                <w:lang w:val="fr-CA"/>
              </w:rPr>
              <w:t xml:space="preserve"> </w:t>
            </w:r>
            <w:r w:rsidRPr="00625791">
              <w:rPr>
                <w:sz w:val="20"/>
                <w:lang w:val="fr-CA"/>
              </w:rPr>
              <w:t xml:space="preserve">(« Loi 26 »). La deuxième créance se fonde sur un recours entrepris par la Ville en septembre 2018 dans lequel elle réclame des sommes d’argent au Groupe SM notamment pour sa participation à une collusion relativement à l’appel d’offres pour les compteurs d’eau. Le contrôleur demande alors un jugement déclaratoire portant que les sommes dues au Groupe SM par la Ville pour des travaux exécutés ne peuvent faire l’objet de compensation et demande que la Ville acquitte les factures liées aux travaux effectués. </w:t>
            </w:r>
          </w:p>
          <w:p w:rsidR="006E0D1B" w:rsidRPr="00625791" w:rsidRDefault="006E0D1B" w:rsidP="00786E63">
            <w:pPr>
              <w:jc w:val="both"/>
              <w:rPr>
                <w:sz w:val="20"/>
                <w:lang w:val="fr-CA"/>
              </w:rPr>
            </w:pPr>
          </w:p>
          <w:p w:rsidR="006E0D1B" w:rsidRPr="00625791" w:rsidRDefault="006E0D1B" w:rsidP="00786E63">
            <w:pPr>
              <w:jc w:val="both"/>
              <w:rPr>
                <w:sz w:val="20"/>
                <w:lang w:val="fr-CA"/>
              </w:rPr>
            </w:pPr>
            <w:r w:rsidRPr="00625791">
              <w:rPr>
                <w:sz w:val="20"/>
                <w:lang w:val="fr-CA"/>
              </w:rPr>
              <w:t xml:space="preserve">La Cour supérieure accueille la demande en jugement déclaratoire et condamne la Ville de Montréal à payer au contrôleur Deloitte la somme de 825 892,20 $ avec intérêt légal et indemnité additionnelle depuis la demande de jugement déclaratoire, ainsi que les frais de justice. De l’avis de la juge, la dette issue du PRV est liée à une allégation de fraude non réfutée alors que celle qui découle de la poursuite n’est pas liquide et exigible. Suivant les principes énoncés dans l’arrêt </w:t>
            </w:r>
            <w:r w:rsidRPr="00625791">
              <w:rPr>
                <w:i/>
                <w:sz w:val="20"/>
                <w:lang w:val="fr-CA"/>
              </w:rPr>
              <w:t>Arrangement relatif à Métaux Kitco Inc.</w:t>
            </w:r>
            <w:r w:rsidRPr="00625791">
              <w:rPr>
                <w:sz w:val="20"/>
                <w:lang w:val="fr-CA"/>
              </w:rPr>
              <w:t xml:space="preserve">, 2017 QCCA 268, il n’y a pas lieu d’opérer compensation entre des sommes dues avant le prononcé de l’ordonnance et une dette encourue après l’émission de l’ordonnance. La majorité de la Cour d’appel accueille l’appel de la Ville de Montréal, avec frais de justice contre la Ville de Montréal, à la seule fin de remplacer le par. 76 du jugement (condamnation de la Ville de Montréal à payer la somme de 825 892,20 $). Le juge Ruel aurait accueilli l’appel et déclaré qu’une compensation légale de plein droit s’est opérée, après que l’ordonnance ait été rendue, entre la dette de la Ville pour services rendus par le Groupe SM et la dette du Groupe SM résultant de l’entente conclue dans le cadre du PRV. </w:t>
            </w:r>
          </w:p>
          <w:p w:rsidR="006E0D1B" w:rsidRPr="00625791" w:rsidRDefault="006E0D1B" w:rsidP="00786E63">
            <w:pPr>
              <w:jc w:val="both"/>
              <w:rPr>
                <w:sz w:val="20"/>
                <w:lang w:val="fr-CA"/>
              </w:rPr>
            </w:pPr>
          </w:p>
        </w:tc>
      </w:tr>
      <w:tr w:rsidR="006E0D1B" w:rsidRPr="00366BFA" w:rsidTr="00786E63">
        <w:tc>
          <w:tcPr>
            <w:tcW w:w="2427" w:type="pct"/>
          </w:tcPr>
          <w:p w:rsidR="006E0D1B" w:rsidRPr="00625791" w:rsidRDefault="006E0D1B" w:rsidP="00786E63">
            <w:pPr>
              <w:jc w:val="both"/>
              <w:rPr>
                <w:sz w:val="20"/>
                <w:lang w:val="fr-CA"/>
              </w:rPr>
            </w:pPr>
            <w:r w:rsidRPr="00625791">
              <w:rPr>
                <w:sz w:val="20"/>
                <w:lang w:val="fr-CA"/>
              </w:rPr>
              <w:t>Le 1</w:t>
            </w:r>
            <w:r w:rsidRPr="00625791">
              <w:rPr>
                <w:sz w:val="20"/>
                <w:vertAlign w:val="superscript"/>
                <w:lang w:val="fr-CA"/>
              </w:rPr>
              <w:t>er</w:t>
            </w:r>
            <w:r w:rsidRPr="00625791">
              <w:rPr>
                <w:sz w:val="20"/>
                <w:lang w:val="fr-CA"/>
              </w:rPr>
              <w:t xml:space="preserve"> mars 2019</w:t>
            </w:r>
          </w:p>
          <w:p w:rsidR="006E0D1B" w:rsidRPr="00625791" w:rsidRDefault="006E0D1B" w:rsidP="00786E63">
            <w:pPr>
              <w:jc w:val="both"/>
              <w:rPr>
                <w:sz w:val="20"/>
                <w:lang w:val="fr-CA"/>
              </w:rPr>
            </w:pPr>
            <w:r w:rsidRPr="00625791">
              <w:rPr>
                <w:sz w:val="20"/>
                <w:lang w:val="fr-CA"/>
              </w:rPr>
              <w:t>Cour supérieure du Québec</w:t>
            </w:r>
          </w:p>
          <w:p w:rsidR="006E0D1B" w:rsidRPr="00625791" w:rsidRDefault="006E0D1B" w:rsidP="00786E63">
            <w:pPr>
              <w:jc w:val="both"/>
              <w:rPr>
                <w:sz w:val="20"/>
              </w:rPr>
            </w:pPr>
            <w:r w:rsidRPr="00625791">
              <w:rPr>
                <w:sz w:val="20"/>
              </w:rPr>
              <w:t>(La juge Corriveau)</w:t>
            </w:r>
          </w:p>
          <w:p w:rsidR="006E0D1B" w:rsidRPr="00625791" w:rsidRDefault="00366BFA" w:rsidP="00786E63">
            <w:pPr>
              <w:jc w:val="both"/>
              <w:rPr>
                <w:sz w:val="20"/>
              </w:rPr>
            </w:pPr>
            <w:hyperlink r:id="rId17" w:history="1">
              <w:r w:rsidR="006E0D1B" w:rsidRPr="00625791">
                <w:rPr>
                  <w:rStyle w:val="Hyperlink"/>
                  <w:sz w:val="20"/>
                </w:rPr>
                <w:t>2019 QCCS 2316</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Demande en jugement déclaratoire accueillie; condamnation de la Ville de Montréal à payer au contrôleur Restructuration Deloitte Inc. la somme de 825 892,20 $</w:t>
            </w:r>
          </w:p>
          <w:p w:rsidR="006E0D1B" w:rsidRPr="00625791" w:rsidRDefault="006E0D1B" w:rsidP="00786E63">
            <w:pPr>
              <w:jc w:val="both"/>
              <w:rPr>
                <w:sz w:val="20"/>
                <w:lang w:val="fr-CA"/>
              </w:rPr>
            </w:pPr>
          </w:p>
        </w:tc>
      </w:tr>
    </w:tbl>
    <w:p w:rsidR="00C855D6" w:rsidRPr="00625791" w:rsidRDefault="00C855D6">
      <w:pPr>
        <w:rPr>
          <w:lang w:val="fr-CA"/>
        </w:rPr>
      </w:pPr>
      <w:r w:rsidRPr="00625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0D1B" w:rsidRPr="00366BFA" w:rsidTr="00786E63">
        <w:tc>
          <w:tcPr>
            <w:tcW w:w="2427" w:type="pct"/>
          </w:tcPr>
          <w:p w:rsidR="006E0D1B" w:rsidRPr="00625791" w:rsidRDefault="006E0D1B" w:rsidP="00786E63">
            <w:pPr>
              <w:jc w:val="both"/>
              <w:rPr>
                <w:sz w:val="20"/>
                <w:lang w:val="fr-CA"/>
              </w:rPr>
            </w:pPr>
            <w:r w:rsidRPr="00625791">
              <w:rPr>
                <w:sz w:val="20"/>
                <w:lang w:val="fr-CA"/>
              </w:rPr>
              <w:lastRenderedPageBreak/>
              <w:t>Le 17 mars 2020</w:t>
            </w:r>
          </w:p>
          <w:p w:rsidR="006E0D1B" w:rsidRPr="00625791" w:rsidRDefault="006E0D1B" w:rsidP="00786E63">
            <w:pPr>
              <w:jc w:val="both"/>
              <w:rPr>
                <w:sz w:val="20"/>
                <w:lang w:val="fr-CA"/>
              </w:rPr>
            </w:pPr>
            <w:r w:rsidRPr="00625791">
              <w:rPr>
                <w:sz w:val="20"/>
                <w:lang w:val="fr-CA"/>
              </w:rPr>
              <w:t>Cour d’appel du Québec (Montréal)</w:t>
            </w:r>
          </w:p>
          <w:p w:rsidR="006E0D1B" w:rsidRPr="00625791" w:rsidRDefault="006E0D1B" w:rsidP="00786E63">
            <w:pPr>
              <w:jc w:val="both"/>
              <w:rPr>
                <w:sz w:val="20"/>
                <w:lang w:val="fr-CA"/>
              </w:rPr>
            </w:pPr>
            <w:r w:rsidRPr="00625791">
              <w:rPr>
                <w:sz w:val="20"/>
                <w:lang w:val="fr-CA"/>
              </w:rPr>
              <w:t>(Les juges Rochette, Healy et Ruel)</w:t>
            </w:r>
          </w:p>
          <w:p w:rsidR="006E0D1B" w:rsidRPr="00625791" w:rsidRDefault="00366BFA" w:rsidP="00786E63">
            <w:pPr>
              <w:jc w:val="both"/>
              <w:rPr>
                <w:sz w:val="20"/>
              </w:rPr>
            </w:pPr>
            <w:hyperlink r:id="rId18" w:history="1">
              <w:r w:rsidR="006E0D1B" w:rsidRPr="00625791">
                <w:rPr>
                  <w:rStyle w:val="Hyperlink"/>
                  <w:sz w:val="20"/>
                </w:rPr>
                <w:t>2020 QCCA 438</w:t>
              </w:r>
            </w:hyperlink>
            <w:r w:rsidR="006E0D1B" w:rsidRPr="00625791">
              <w:rPr>
                <w:sz w:val="20"/>
              </w:rPr>
              <w:t>; 500</w:t>
            </w:r>
            <w:r w:rsidR="006E0D1B" w:rsidRPr="00625791">
              <w:rPr>
                <w:sz w:val="20"/>
              </w:rPr>
              <w:noBreakHyphen/>
              <w:t>09</w:t>
            </w:r>
            <w:r w:rsidR="006E0D1B" w:rsidRPr="00625791">
              <w:rPr>
                <w:sz w:val="20"/>
              </w:rPr>
              <w:noBreakHyphen/>
              <w:t>028191</w:t>
            </w:r>
            <w:r w:rsidR="006E0D1B" w:rsidRPr="00625791">
              <w:rPr>
                <w:sz w:val="20"/>
              </w:rPr>
              <w:noBreakHyphen/>
              <w:t>195</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Appel accueilli à la seule fin de remplacer le par. 76 du jugement de la Cour supérieure</w:t>
            </w:r>
          </w:p>
          <w:p w:rsidR="006E0D1B" w:rsidRPr="00625791" w:rsidRDefault="006E0D1B" w:rsidP="00786E63">
            <w:pPr>
              <w:jc w:val="both"/>
              <w:rPr>
                <w:sz w:val="20"/>
                <w:lang w:val="fr-CA"/>
              </w:rPr>
            </w:pPr>
          </w:p>
        </w:tc>
      </w:tr>
      <w:tr w:rsidR="006E0D1B" w:rsidRPr="00625791" w:rsidTr="00786E63">
        <w:tc>
          <w:tcPr>
            <w:tcW w:w="2427" w:type="pct"/>
          </w:tcPr>
          <w:p w:rsidR="006E0D1B" w:rsidRPr="00625791" w:rsidRDefault="006E0D1B" w:rsidP="00786E63">
            <w:pPr>
              <w:jc w:val="both"/>
              <w:rPr>
                <w:sz w:val="20"/>
                <w:lang w:val="fr-CA"/>
              </w:rPr>
            </w:pPr>
            <w:r w:rsidRPr="00625791">
              <w:rPr>
                <w:sz w:val="20"/>
                <w:lang w:val="fr-CA"/>
              </w:rPr>
              <w:t>Le 15 mai 2020</w:t>
            </w:r>
          </w:p>
          <w:p w:rsidR="006E0D1B" w:rsidRPr="00625791" w:rsidRDefault="006E0D1B" w:rsidP="00786E63">
            <w:pPr>
              <w:jc w:val="both"/>
              <w:rPr>
                <w:sz w:val="20"/>
                <w:lang w:val="fr-CA"/>
              </w:rPr>
            </w:pPr>
            <w:r w:rsidRPr="00625791">
              <w:rPr>
                <w:sz w:val="20"/>
                <w:lang w:val="fr-CA"/>
              </w:rPr>
              <w:t>Cour suprême du Canada</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rPr>
            </w:pPr>
            <w:r w:rsidRPr="00625791">
              <w:rPr>
                <w:sz w:val="20"/>
              </w:rPr>
              <w:t>Demande d’autorisation d’appel déposée</w:t>
            </w:r>
          </w:p>
          <w:p w:rsidR="006E0D1B" w:rsidRPr="00625791" w:rsidRDefault="006E0D1B" w:rsidP="00786E63">
            <w:pPr>
              <w:jc w:val="both"/>
              <w:rPr>
                <w:sz w:val="20"/>
              </w:rPr>
            </w:pPr>
          </w:p>
        </w:tc>
      </w:tr>
      <w:tr w:rsidR="006E0D1B" w:rsidRPr="00366BFA" w:rsidTr="00786E63">
        <w:tc>
          <w:tcPr>
            <w:tcW w:w="2427" w:type="pct"/>
          </w:tcPr>
          <w:p w:rsidR="006E0D1B" w:rsidRPr="00625791" w:rsidRDefault="006E0D1B" w:rsidP="00786E63">
            <w:pPr>
              <w:tabs>
                <w:tab w:val="left" w:pos="1515"/>
              </w:tabs>
              <w:jc w:val="both"/>
              <w:rPr>
                <w:sz w:val="20"/>
                <w:lang w:val="fr-CA"/>
              </w:rPr>
            </w:pPr>
            <w:r w:rsidRPr="00625791">
              <w:rPr>
                <w:sz w:val="20"/>
                <w:lang w:val="fr-CA"/>
              </w:rPr>
              <w:t>Le 19 juin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Requête en intervention déposée par la Ville de Laval</w:t>
            </w:r>
          </w:p>
        </w:tc>
      </w:tr>
    </w:tbl>
    <w:p w:rsidR="006E0D1B" w:rsidRPr="00625791" w:rsidRDefault="006E0D1B" w:rsidP="006E0D1B">
      <w:pPr>
        <w:jc w:val="both"/>
        <w:rPr>
          <w:sz w:val="20"/>
          <w:lang w:val="fr-CA"/>
        </w:rPr>
      </w:pPr>
    </w:p>
    <w:p w:rsidR="006E0D1B" w:rsidRPr="00625791" w:rsidRDefault="00366BFA" w:rsidP="006E0D1B">
      <w:pPr>
        <w:jc w:val="both"/>
        <w:rPr>
          <w:sz w:val="20"/>
          <w:lang w:val="fr-CA"/>
        </w:rPr>
      </w:pPr>
      <w:r>
        <w:rPr>
          <w:sz w:val="20"/>
        </w:rPr>
        <w:pict>
          <v:rect id="_x0000_i1032"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39204</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Venture Construction Inc. v. Government of Saskatchewan (Ministry of Highways and Infrastructure)</w:t>
            </w:r>
          </w:p>
          <w:p w:rsidR="006E0D1B" w:rsidRPr="00625791" w:rsidRDefault="006E0D1B" w:rsidP="00786E63">
            <w:pPr>
              <w:jc w:val="both"/>
              <w:rPr>
                <w:sz w:val="20"/>
              </w:rPr>
            </w:pPr>
            <w:r w:rsidRPr="00625791">
              <w:rPr>
                <w:sz w:val="20"/>
              </w:rPr>
              <w:t>(Sask.) (Civil) (By Leave)</w:t>
            </w:r>
          </w:p>
        </w:tc>
      </w:tr>
      <w:tr w:rsidR="006E0D1B" w:rsidRPr="00625791" w:rsidTr="00786E63">
        <w:tc>
          <w:tcPr>
            <w:tcW w:w="5000" w:type="pct"/>
            <w:gridSpan w:val="4"/>
          </w:tcPr>
          <w:p w:rsidR="00C855D6" w:rsidRPr="00625791" w:rsidRDefault="00C855D6" w:rsidP="00C855D6">
            <w:pPr>
              <w:jc w:val="both"/>
              <w:rPr>
                <w:sz w:val="20"/>
                <w:szCs w:val="20"/>
              </w:rPr>
            </w:pPr>
            <w:r w:rsidRPr="00625791">
              <w:rPr>
                <w:sz w:val="20"/>
                <w:szCs w:val="20"/>
              </w:rPr>
              <w:t>The application for leave to appeal from the judgment of the Court of Appeal for Saskatchewan, Number CACV3330, 2020 SKCA 39, dated April 7, 2020, is dismissed with costs.</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 xml:space="preserve">Limitation of actions — Whether Court of Appeal erred in interpreting and applying s. 6(1)(a) of </w:t>
            </w:r>
            <w:r w:rsidRPr="00625791">
              <w:rPr>
                <w:i/>
                <w:sz w:val="20"/>
              </w:rPr>
              <w:t>The</w:t>
            </w:r>
            <w:r w:rsidRPr="00625791">
              <w:rPr>
                <w:sz w:val="20"/>
              </w:rPr>
              <w:t xml:space="preserve"> </w:t>
            </w:r>
            <w:r w:rsidRPr="00625791">
              <w:rPr>
                <w:i/>
                <w:sz w:val="20"/>
              </w:rPr>
              <w:t>Limitations Act</w:t>
            </w:r>
            <w:r w:rsidRPr="00625791">
              <w:rPr>
                <w:sz w:val="20"/>
              </w:rPr>
              <w:t>, SS 2004, c L</w:t>
            </w:r>
            <w:r w:rsidRPr="00625791">
              <w:rPr>
                <w:sz w:val="20"/>
              </w:rPr>
              <w:noBreakHyphen/>
              <w:t>16.1, or in finding that it was appropriate to commence an action as early as May or July 2011?</w:t>
            </w:r>
          </w:p>
        </w:tc>
      </w:tr>
      <w:tr w:rsidR="006E0D1B" w:rsidRPr="00625791" w:rsidTr="00786E63">
        <w:tc>
          <w:tcPr>
            <w:tcW w:w="5000" w:type="pct"/>
            <w:gridSpan w:val="4"/>
          </w:tcPr>
          <w:p w:rsidR="006E0D1B" w:rsidRPr="00625791" w:rsidRDefault="006E0D1B" w:rsidP="00786E63">
            <w:pPr>
              <w:jc w:val="both"/>
              <w:rPr>
                <w:sz w:val="20"/>
              </w:rPr>
            </w:pPr>
          </w:p>
          <w:p w:rsidR="006E0D1B" w:rsidRPr="00625791" w:rsidRDefault="006E0D1B" w:rsidP="00786E63">
            <w:pPr>
              <w:jc w:val="both"/>
              <w:rPr>
                <w:sz w:val="20"/>
              </w:rPr>
            </w:pPr>
            <w:r w:rsidRPr="00625791">
              <w:rPr>
                <w:sz w:val="20"/>
              </w:rPr>
              <w:t>Saskatchewan’s Ministry of Highways and Infrastructure</w:t>
            </w:r>
            <w:r w:rsidRPr="00625791">
              <w:rPr>
                <w:color w:val="373739"/>
                <w:sz w:val="20"/>
              </w:rPr>
              <w:t xml:space="preserve"> </w:t>
            </w:r>
            <w:r w:rsidRPr="00625791">
              <w:rPr>
                <w:sz w:val="20"/>
              </w:rPr>
              <w:t xml:space="preserve">retained Venture Construction Inc. </w:t>
            </w:r>
            <w:r w:rsidRPr="00625791">
              <w:rPr>
                <w:color w:val="373739"/>
                <w:sz w:val="20"/>
              </w:rPr>
              <w:t xml:space="preserve">to perform road construction work. Venture </w:t>
            </w:r>
            <w:r w:rsidRPr="00625791">
              <w:rPr>
                <w:sz w:val="20"/>
              </w:rPr>
              <w:t xml:space="preserve">Construction Inc. </w:t>
            </w:r>
            <w:r w:rsidRPr="00625791">
              <w:rPr>
                <w:color w:val="373739"/>
                <w:sz w:val="20"/>
              </w:rPr>
              <w:t xml:space="preserve">subcontracted phases of the work and, in May 2011, discovered that some subcontracted work had to be remediated. Venture </w:t>
            </w:r>
            <w:r w:rsidRPr="00625791">
              <w:rPr>
                <w:sz w:val="20"/>
              </w:rPr>
              <w:t>Construction Inc.</w:t>
            </w:r>
            <w:r w:rsidRPr="00625791">
              <w:rPr>
                <w:color w:val="373739"/>
                <w:sz w:val="20"/>
              </w:rPr>
              <w:t xml:space="preserve"> completed the remediation work and, in July 2013 it completed the work required by the contract. It submitted a claim to the Ministry for the cost of remediation under an Extra Work provision of the contract. On April 7, 2014, it commenced an action seeking damages for negligence and breach of contract. The Ministry denied the claim under the contract and applied for summary judgment dismissing the action as statute barred by </w:t>
            </w:r>
            <w:r w:rsidRPr="00625791">
              <w:rPr>
                <w:i/>
                <w:sz w:val="20"/>
              </w:rPr>
              <w:t>The Limitations Act</w:t>
            </w:r>
            <w:r w:rsidRPr="00625791">
              <w:rPr>
                <w:sz w:val="20"/>
              </w:rPr>
              <w:t xml:space="preserve">, </w:t>
            </w:r>
            <w:hyperlink r:id="rId19" w:tooltip="Statutes of Saskatchewan" w:history="1">
              <w:r w:rsidRPr="00625791">
                <w:rPr>
                  <w:rFonts w:eastAsiaTheme="majorEastAsia"/>
                  <w:sz w:val="20"/>
                </w:rPr>
                <w:t>SS 2004, c L</w:t>
              </w:r>
              <w:r w:rsidRPr="00625791">
                <w:rPr>
                  <w:rFonts w:eastAsiaTheme="majorEastAsia"/>
                  <w:sz w:val="20"/>
                </w:rPr>
                <w:noBreakHyphen/>
                <w:t>16.1</w:t>
              </w:r>
            </w:hyperlink>
            <w:r w:rsidRPr="00625791">
              <w:rPr>
                <w:rFonts w:eastAsiaTheme="majorEastAsia"/>
                <w:sz w:val="20"/>
              </w:rPr>
              <w:t xml:space="preserve">. </w:t>
            </w:r>
            <w:r w:rsidRPr="00625791">
              <w:rPr>
                <w:color w:val="373739"/>
                <w:sz w:val="20"/>
              </w:rPr>
              <w:t xml:space="preserve">The chambers judge dismissed the motion for summary judgment. </w:t>
            </w:r>
            <w:r w:rsidRPr="00625791">
              <w:rPr>
                <w:sz w:val="20"/>
              </w:rPr>
              <w:t>The Court of Appeal allowed an appeal</w:t>
            </w:r>
            <w:r w:rsidRPr="00625791">
              <w:rPr>
                <w:color w:val="373739"/>
                <w:sz w:val="20"/>
              </w:rPr>
              <w:t xml:space="preserve"> and granted summary judgment dismissing the action. It held the action is statute barred by a two</w:t>
            </w:r>
            <w:r w:rsidRPr="00625791">
              <w:rPr>
                <w:color w:val="373739"/>
                <w:sz w:val="20"/>
              </w:rPr>
              <w:noBreakHyphen/>
              <w:t xml:space="preserve">year limitations period in </w:t>
            </w:r>
            <w:r w:rsidRPr="00625791">
              <w:rPr>
                <w:i/>
                <w:sz w:val="20"/>
              </w:rPr>
              <w:t>The Limitations Act</w:t>
            </w:r>
            <w:r w:rsidRPr="00625791">
              <w:rPr>
                <w:i/>
                <w:color w:val="373739"/>
                <w:sz w:val="20"/>
              </w:rPr>
              <w:t>.</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November 1, 2018</w:t>
            </w:r>
          </w:p>
          <w:p w:rsidR="006E0D1B" w:rsidRPr="00625791" w:rsidRDefault="006E0D1B" w:rsidP="00786E63">
            <w:pPr>
              <w:jc w:val="both"/>
              <w:rPr>
                <w:sz w:val="20"/>
              </w:rPr>
            </w:pPr>
            <w:r w:rsidRPr="00625791">
              <w:rPr>
                <w:sz w:val="20"/>
              </w:rPr>
              <w:t>Court of Queen’s Bench of Saskatchewan</w:t>
            </w:r>
          </w:p>
          <w:p w:rsidR="006E0D1B" w:rsidRPr="00625791" w:rsidRDefault="006E0D1B" w:rsidP="00786E63">
            <w:pPr>
              <w:jc w:val="both"/>
              <w:rPr>
                <w:sz w:val="20"/>
              </w:rPr>
            </w:pPr>
            <w:r w:rsidRPr="00625791">
              <w:rPr>
                <w:sz w:val="20"/>
              </w:rPr>
              <w:t>(McCreary J.)</w:t>
            </w:r>
          </w:p>
          <w:p w:rsidR="006E0D1B" w:rsidRPr="00625791" w:rsidRDefault="00366BFA" w:rsidP="00786E63">
            <w:pPr>
              <w:jc w:val="both"/>
              <w:rPr>
                <w:sz w:val="20"/>
              </w:rPr>
            </w:pPr>
            <w:hyperlink r:id="rId20" w:history="1">
              <w:r w:rsidR="006E0D1B" w:rsidRPr="00625791">
                <w:rPr>
                  <w:rStyle w:val="Hyperlink"/>
                  <w:sz w:val="20"/>
                </w:rPr>
                <w:t>2018 SKQB 293</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 xml:space="preserve">Application for summary judgment dismissed  </w:t>
            </w:r>
          </w:p>
        </w:tc>
      </w:tr>
      <w:tr w:rsidR="006E0D1B" w:rsidRPr="00625791" w:rsidTr="00786E63">
        <w:tc>
          <w:tcPr>
            <w:tcW w:w="2427" w:type="pct"/>
            <w:gridSpan w:val="2"/>
          </w:tcPr>
          <w:p w:rsidR="006E0D1B" w:rsidRPr="00625791" w:rsidRDefault="006E0D1B" w:rsidP="00786E63">
            <w:pPr>
              <w:jc w:val="both"/>
              <w:rPr>
                <w:sz w:val="20"/>
              </w:rPr>
            </w:pPr>
            <w:r w:rsidRPr="00625791">
              <w:rPr>
                <w:sz w:val="20"/>
              </w:rPr>
              <w:t>April 7, 2020</w:t>
            </w:r>
          </w:p>
          <w:p w:rsidR="006E0D1B" w:rsidRPr="00625791" w:rsidRDefault="006E0D1B" w:rsidP="00786E63">
            <w:pPr>
              <w:jc w:val="both"/>
              <w:rPr>
                <w:sz w:val="20"/>
              </w:rPr>
            </w:pPr>
            <w:r w:rsidRPr="00625791">
              <w:rPr>
                <w:sz w:val="20"/>
              </w:rPr>
              <w:t>Court of Appeal for Saskatchewan</w:t>
            </w:r>
          </w:p>
          <w:p w:rsidR="006E0D1B" w:rsidRPr="00625791" w:rsidRDefault="006E0D1B" w:rsidP="00786E63">
            <w:pPr>
              <w:jc w:val="both"/>
              <w:rPr>
                <w:sz w:val="20"/>
              </w:rPr>
            </w:pPr>
            <w:r w:rsidRPr="00625791">
              <w:rPr>
                <w:sz w:val="20"/>
              </w:rPr>
              <w:t>(Kalmakoff, Richards, Schwann JJ.A.)</w:t>
            </w:r>
          </w:p>
          <w:p w:rsidR="006E0D1B" w:rsidRPr="00625791" w:rsidRDefault="00366BFA" w:rsidP="00786E63">
            <w:pPr>
              <w:jc w:val="both"/>
              <w:rPr>
                <w:sz w:val="20"/>
              </w:rPr>
            </w:pPr>
            <w:hyperlink r:id="rId21" w:history="1">
              <w:r w:rsidR="006E0D1B" w:rsidRPr="00625791">
                <w:rPr>
                  <w:rStyle w:val="Hyperlink"/>
                  <w:sz w:val="20"/>
                </w:rPr>
                <w:t>2020 SKCA 30</w:t>
              </w:r>
            </w:hyperlink>
            <w:r w:rsidR="006E0D1B" w:rsidRPr="00625791">
              <w:rPr>
                <w:sz w:val="20"/>
              </w:rPr>
              <w:t>; CACV3330</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Appeal allowed, claim declared statute barred by limitations period, summary judgment dismissing claim granted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June 8,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33" style="width:2in;height:1pt" o:hrpct="0" o:hralign="center" o:hrstd="t" o:hrnoshade="t" o:hr="t" fillcolor="black [3213]" stroked="f"/>
        </w:pict>
      </w:r>
    </w:p>
    <w:p w:rsidR="006E0D1B" w:rsidRPr="00625791" w:rsidRDefault="006E0D1B" w:rsidP="006E0D1B">
      <w:pPr>
        <w:jc w:val="both"/>
        <w:rPr>
          <w:sz w:val="20"/>
        </w:rPr>
      </w:pPr>
    </w:p>
    <w:p w:rsidR="00C855D6" w:rsidRPr="00625791" w:rsidRDefault="00C855D6">
      <w:r w:rsidRPr="0062579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lastRenderedPageBreak/>
              <w:t>39204</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Venture Construction Inc. c. Government of Saskatchewan (Ministry of Highways and Infrastructure)</w:t>
            </w:r>
          </w:p>
          <w:p w:rsidR="006E0D1B" w:rsidRPr="00625791" w:rsidRDefault="006E0D1B" w:rsidP="00786E63">
            <w:pPr>
              <w:jc w:val="both"/>
              <w:rPr>
                <w:sz w:val="20"/>
                <w:lang w:val="fr-CA"/>
              </w:rPr>
            </w:pPr>
            <w:r w:rsidRPr="00625791">
              <w:rPr>
                <w:sz w:val="20"/>
                <w:lang w:val="fr-CA"/>
              </w:rPr>
              <w:t>(Sask.) (Civile) (Sur autorisation)</w:t>
            </w:r>
          </w:p>
        </w:tc>
      </w:tr>
      <w:tr w:rsidR="006E0D1B" w:rsidRPr="00366BFA" w:rsidTr="00786E63">
        <w:tc>
          <w:tcPr>
            <w:tcW w:w="5000" w:type="pct"/>
            <w:gridSpan w:val="4"/>
          </w:tcPr>
          <w:p w:rsidR="006E0D1B" w:rsidRPr="00625791" w:rsidRDefault="00C855D6" w:rsidP="00C855D6">
            <w:pPr>
              <w:tabs>
                <w:tab w:val="left" w:pos="1280"/>
              </w:tabs>
              <w:jc w:val="both"/>
              <w:rPr>
                <w:sz w:val="20"/>
                <w:szCs w:val="20"/>
                <w:lang w:val="fr-CA"/>
              </w:rPr>
            </w:pPr>
            <w:r w:rsidRPr="00625791">
              <w:rPr>
                <w:sz w:val="20"/>
                <w:szCs w:val="20"/>
                <w:lang w:val="fr-CA"/>
              </w:rPr>
              <w:t>La demande d’autorisation d’appel de l’arrêt de la Cour d’appel de la Saskatchewan, numéro CACV3330, 2020 SKCA 39, daté du 7 avril 2020, est rejetée avec dépens.</w:t>
            </w:r>
          </w:p>
          <w:p w:rsidR="00C855D6" w:rsidRPr="00625791" w:rsidRDefault="00C855D6" w:rsidP="00C855D6">
            <w:pPr>
              <w:tabs>
                <w:tab w:val="left" w:pos="1280"/>
              </w:tabs>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t>Prescription — La Cour d’appel a</w:t>
            </w:r>
            <w:r w:rsidRPr="00625791">
              <w:rPr>
                <w:sz w:val="20"/>
                <w:lang w:val="fr-CA"/>
              </w:rPr>
              <w:noBreakHyphen/>
              <w:t>t</w:t>
            </w:r>
            <w:r w:rsidRPr="00625791">
              <w:rPr>
                <w:sz w:val="20"/>
                <w:lang w:val="fr-CA"/>
              </w:rPr>
              <w:noBreakHyphen/>
              <w:t xml:space="preserve">elle commis une erreur dans l’interprétation et l’application de l’al. 6(1)(a) de la loi intitulée </w:t>
            </w:r>
            <w:r w:rsidRPr="00625791">
              <w:rPr>
                <w:i/>
                <w:sz w:val="20"/>
                <w:lang w:val="fr-CA"/>
              </w:rPr>
              <w:t>The</w:t>
            </w:r>
            <w:r w:rsidRPr="00625791">
              <w:rPr>
                <w:sz w:val="20"/>
                <w:lang w:val="fr-CA"/>
              </w:rPr>
              <w:t xml:space="preserve"> </w:t>
            </w:r>
            <w:r w:rsidRPr="00625791">
              <w:rPr>
                <w:i/>
                <w:sz w:val="20"/>
                <w:lang w:val="fr-CA"/>
              </w:rPr>
              <w:t>Limitations Act</w:t>
            </w:r>
            <w:r w:rsidRPr="00625791">
              <w:rPr>
                <w:sz w:val="20"/>
                <w:lang w:val="fr-CA"/>
              </w:rPr>
              <w:t>, SS 2004, c L</w:t>
            </w:r>
            <w:r w:rsidRPr="00625791">
              <w:rPr>
                <w:sz w:val="20"/>
                <w:lang w:val="fr-CA"/>
              </w:rPr>
              <w:noBreakHyphen/>
              <w:t>16.1 (Loi), ou en concluant qu’il était approprié d’intenter une action dès le mois de mai ou de juillet 2011 ?</w:t>
            </w:r>
          </w:p>
        </w:tc>
      </w:tr>
      <w:tr w:rsidR="006E0D1B" w:rsidRPr="00366BFA" w:rsidTr="00786E63">
        <w:tc>
          <w:tcPr>
            <w:tcW w:w="5000" w:type="pct"/>
            <w:gridSpan w:val="4"/>
          </w:tcPr>
          <w:p w:rsidR="006E0D1B" w:rsidRPr="00625791" w:rsidRDefault="006E0D1B" w:rsidP="00786E63">
            <w:pPr>
              <w:jc w:val="both"/>
              <w:rPr>
                <w:sz w:val="20"/>
                <w:lang w:val="fr-CA"/>
              </w:rPr>
            </w:pPr>
          </w:p>
          <w:p w:rsidR="006E0D1B" w:rsidRPr="00625791" w:rsidRDefault="006E0D1B" w:rsidP="00786E63">
            <w:pPr>
              <w:jc w:val="both"/>
              <w:rPr>
                <w:sz w:val="20"/>
                <w:lang w:val="fr-CA"/>
              </w:rPr>
            </w:pPr>
            <w:r w:rsidRPr="00625791">
              <w:rPr>
                <w:sz w:val="20"/>
                <w:lang w:val="fr-CA"/>
              </w:rPr>
              <w:t xml:space="preserve">Le ministère de la voirie et de l’infrastructure de la Saskatchewan a retenu les services de Venture Construction Inc. pour effectuer des travaux de </w:t>
            </w:r>
            <w:r w:rsidRPr="00625791">
              <w:rPr>
                <w:color w:val="373739"/>
                <w:sz w:val="20"/>
                <w:lang w:val="fr-CA"/>
              </w:rPr>
              <w:t xml:space="preserve">construction routière. Venture </w:t>
            </w:r>
            <w:r w:rsidRPr="00625791">
              <w:rPr>
                <w:sz w:val="20"/>
                <w:lang w:val="fr-CA"/>
              </w:rPr>
              <w:t>Construction Inc. a confié en sous-traitance une partie de ceux</w:t>
            </w:r>
            <w:r w:rsidRPr="00625791">
              <w:rPr>
                <w:sz w:val="20"/>
                <w:lang w:val="fr-CA"/>
              </w:rPr>
              <w:noBreakHyphen/>
              <w:t>ci et</w:t>
            </w:r>
            <w:r w:rsidRPr="00625791">
              <w:rPr>
                <w:color w:val="373739"/>
                <w:sz w:val="20"/>
                <w:lang w:val="fr-CA"/>
              </w:rPr>
              <w:t>, en mai 2011, a découvert que des travaux correctifs devaient être effectuée à l’égard de certains des travaux de sous</w:t>
            </w:r>
            <w:r w:rsidRPr="00625791">
              <w:rPr>
                <w:color w:val="373739"/>
                <w:sz w:val="20"/>
                <w:lang w:val="fr-CA"/>
              </w:rPr>
              <w:noBreakHyphen/>
              <w:t xml:space="preserve">traitance. Venture </w:t>
            </w:r>
            <w:r w:rsidRPr="00625791">
              <w:rPr>
                <w:sz w:val="20"/>
                <w:lang w:val="fr-CA"/>
              </w:rPr>
              <w:t>Construction Inc.</w:t>
            </w:r>
            <w:r w:rsidRPr="00625791">
              <w:rPr>
                <w:color w:val="373739"/>
                <w:sz w:val="20"/>
                <w:lang w:val="fr-CA"/>
              </w:rPr>
              <w:t xml:space="preserve"> a réalisé ces travaux correctifs et, en juillet 2013, elle a mené à terme les travaux exigés en vertu du contrat. Elle a présenté une demande au ministère pour le coût des travaux correctifs aux termes d’une disposition du contrat relative aux travaux supplémentaires. Le 7 avril 2014, elle a intenté une action sollicitant des dommages-intérêts pour négligence et violation de contrat. Le ministère a rejeté la demande fondée sur le contrat et a demandé un jugement sommaire rejetant l’action pour cause de prescription en vertu de la Loi</w:t>
            </w:r>
            <w:r w:rsidRPr="00625791">
              <w:rPr>
                <w:rFonts w:eastAsiaTheme="majorEastAsia"/>
                <w:sz w:val="20"/>
                <w:lang w:val="fr-CA"/>
              </w:rPr>
              <w:t>. La juge en cabinet a rejeté la requête en jugement sommaire</w:t>
            </w:r>
            <w:r w:rsidRPr="00625791">
              <w:rPr>
                <w:color w:val="373739"/>
                <w:sz w:val="20"/>
                <w:lang w:val="fr-CA"/>
              </w:rPr>
              <w:t xml:space="preserve">. La </w:t>
            </w:r>
            <w:r w:rsidRPr="00625791">
              <w:rPr>
                <w:sz w:val="20"/>
                <w:lang w:val="fr-CA"/>
              </w:rPr>
              <w:t>Cour d’appel a accueilli l’appel</w:t>
            </w:r>
            <w:r w:rsidRPr="00625791">
              <w:rPr>
                <w:color w:val="373739"/>
                <w:sz w:val="20"/>
                <w:lang w:val="fr-CA"/>
              </w:rPr>
              <w:t xml:space="preserve"> et accordé la requête en jugement sommaire rejetant l’action. Elle a conclu que l’action est prescrite par application du délai de prescription de deux ans prévu par la </w:t>
            </w:r>
            <w:r w:rsidRPr="00625791">
              <w:rPr>
                <w:sz w:val="20"/>
                <w:lang w:val="fr-CA"/>
              </w:rPr>
              <w:t>Loi</w:t>
            </w:r>
            <w:r w:rsidRPr="00625791">
              <w:rPr>
                <w:i/>
                <w:color w:val="373739"/>
                <w:sz w:val="20"/>
                <w:lang w:val="fr-CA"/>
              </w:rPr>
              <w:t>.</w:t>
            </w:r>
          </w:p>
        </w:tc>
      </w:tr>
      <w:tr w:rsidR="006E0D1B" w:rsidRPr="00366BFA" w:rsidTr="00786E63">
        <w:tc>
          <w:tcPr>
            <w:tcW w:w="5000" w:type="pct"/>
            <w:gridSpan w:val="4"/>
          </w:tcPr>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1</w:t>
            </w:r>
            <w:r w:rsidRPr="00625791">
              <w:rPr>
                <w:sz w:val="20"/>
                <w:vertAlign w:val="superscript"/>
                <w:lang w:val="fr-CA"/>
              </w:rPr>
              <w:t>er</w:t>
            </w:r>
            <w:r w:rsidRPr="00625791">
              <w:rPr>
                <w:sz w:val="20"/>
                <w:lang w:val="fr-CA"/>
              </w:rPr>
              <w:t xml:space="preserve"> novembre 2018</w:t>
            </w:r>
          </w:p>
          <w:p w:rsidR="006E0D1B" w:rsidRPr="00625791" w:rsidRDefault="006E0D1B" w:rsidP="00786E63">
            <w:pPr>
              <w:jc w:val="both"/>
              <w:rPr>
                <w:sz w:val="20"/>
                <w:lang w:val="fr-CA"/>
              </w:rPr>
            </w:pPr>
            <w:r w:rsidRPr="00625791">
              <w:rPr>
                <w:sz w:val="20"/>
                <w:lang w:val="fr-CA"/>
              </w:rPr>
              <w:t>Cour du Banc de la Reine de la Saskatchewan</w:t>
            </w:r>
          </w:p>
          <w:p w:rsidR="006E0D1B" w:rsidRPr="00625791" w:rsidRDefault="006E0D1B" w:rsidP="00786E63">
            <w:pPr>
              <w:jc w:val="both"/>
              <w:rPr>
                <w:sz w:val="20"/>
                <w:lang w:val="fr-CA"/>
              </w:rPr>
            </w:pPr>
            <w:r w:rsidRPr="00625791">
              <w:rPr>
                <w:sz w:val="20"/>
                <w:lang w:val="fr-CA"/>
              </w:rPr>
              <w:t>(Juge McCreary)</w:t>
            </w:r>
          </w:p>
          <w:p w:rsidR="006E0D1B" w:rsidRPr="00625791" w:rsidRDefault="00366BFA" w:rsidP="00786E63">
            <w:pPr>
              <w:jc w:val="both"/>
              <w:rPr>
                <w:sz w:val="20"/>
                <w:lang w:val="fr-CA"/>
              </w:rPr>
            </w:pPr>
            <w:hyperlink r:id="rId22" w:history="1">
              <w:r w:rsidR="006E0D1B" w:rsidRPr="00625791">
                <w:rPr>
                  <w:rStyle w:val="Hyperlink"/>
                  <w:sz w:val="20"/>
                  <w:lang w:val="fr-CA"/>
                </w:rPr>
                <w:t>2018 SKQB 293</w:t>
              </w:r>
            </w:hyperlink>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Requête en jugement sommaire rejetée.  </w:t>
            </w: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7 avril 2020</w:t>
            </w:r>
          </w:p>
          <w:p w:rsidR="006E0D1B" w:rsidRPr="00625791" w:rsidRDefault="006E0D1B" w:rsidP="00786E63">
            <w:pPr>
              <w:jc w:val="both"/>
              <w:rPr>
                <w:sz w:val="20"/>
                <w:lang w:val="fr-CA"/>
              </w:rPr>
            </w:pPr>
            <w:r w:rsidRPr="00625791">
              <w:rPr>
                <w:sz w:val="20"/>
                <w:lang w:val="fr-CA"/>
              </w:rPr>
              <w:t>Cour d’appel de la Saskatchewan</w:t>
            </w:r>
          </w:p>
          <w:p w:rsidR="006E0D1B" w:rsidRPr="00625791" w:rsidRDefault="006E0D1B" w:rsidP="00786E63">
            <w:pPr>
              <w:jc w:val="both"/>
              <w:rPr>
                <w:sz w:val="20"/>
                <w:lang w:val="fr-CA"/>
              </w:rPr>
            </w:pPr>
            <w:r w:rsidRPr="00625791">
              <w:rPr>
                <w:sz w:val="20"/>
                <w:lang w:val="fr-CA"/>
              </w:rPr>
              <w:t>(Juges Kalmakoff, Richards, Schwann)</w:t>
            </w:r>
          </w:p>
          <w:p w:rsidR="006E0D1B" w:rsidRPr="00625791" w:rsidRDefault="00366BFA" w:rsidP="00786E63">
            <w:pPr>
              <w:jc w:val="both"/>
              <w:rPr>
                <w:sz w:val="20"/>
                <w:lang w:val="fr-CA"/>
              </w:rPr>
            </w:pPr>
            <w:hyperlink r:id="rId23" w:history="1">
              <w:r w:rsidR="006E0D1B" w:rsidRPr="00625791">
                <w:rPr>
                  <w:rStyle w:val="Hyperlink"/>
                  <w:sz w:val="20"/>
                  <w:lang w:val="fr-CA"/>
                </w:rPr>
                <w:t>2020 SKCA 30</w:t>
              </w:r>
            </w:hyperlink>
            <w:r w:rsidR="006E0D1B" w:rsidRPr="00625791">
              <w:rPr>
                <w:sz w:val="20"/>
                <w:lang w:val="fr-CA"/>
              </w:rPr>
              <w:t>; CACV3330</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Appel accueilli; il est déclaré que la demande est prescrite par l’application du délai de prescription, </w:t>
            </w:r>
            <w:r w:rsidRPr="00625791">
              <w:rPr>
                <w:color w:val="373739"/>
                <w:sz w:val="20"/>
                <w:lang w:val="fr-CA"/>
              </w:rPr>
              <w:t>la requête en jugement sommaire rejetant l’action est accueillie.</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8 juin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Demande d’autorisation d’appel présentée. </w:t>
            </w:r>
          </w:p>
        </w:tc>
      </w:tr>
    </w:tbl>
    <w:p w:rsidR="006E0D1B" w:rsidRPr="00625791" w:rsidRDefault="006E0D1B" w:rsidP="006E0D1B">
      <w:pPr>
        <w:jc w:val="both"/>
        <w:rPr>
          <w:sz w:val="20"/>
          <w:lang w:val="fr-CA"/>
        </w:rPr>
      </w:pPr>
    </w:p>
    <w:p w:rsidR="006E0D1B" w:rsidRPr="00625791" w:rsidRDefault="00366BFA" w:rsidP="006E0D1B">
      <w:pPr>
        <w:widowControl w:val="0"/>
        <w:jc w:val="both"/>
        <w:rPr>
          <w:sz w:val="20"/>
          <w:lang w:val="fr-CA"/>
        </w:rPr>
      </w:pPr>
      <w:r>
        <w:rPr>
          <w:sz w:val="20"/>
        </w:rPr>
        <w:pict>
          <v:rect id="_x0000_i1034"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39244</w:t>
            </w:r>
          </w:p>
        </w:tc>
        <w:tc>
          <w:tcPr>
            <w:tcW w:w="4457" w:type="pct"/>
            <w:gridSpan w:val="3"/>
          </w:tcPr>
          <w:p w:rsidR="006E0D1B" w:rsidRPr="00625791" w:rsidRDefault="006E0D1B" w:rsidP="00786E63">
            <w:pPr>
              <w:pStyle w:val="SCCLsocParty"/>
              <w:jc w:val="both"/>
              <w:rPr>
                <w:b/>
                <w:sz w:val="20"/>
                <w:szCs w:val="20"/>
                <w:lang w:val="en-CA"/>
              </w:rPr>
            </w:pPr>
            <w:r w:rsidRPr="00625791">
              <w:rPr>
                <w:b/>
                <w:sz w:val="20"/>
                <w:szCs w:val="20"/>
                <w:lang w:val="en-CA"/>
              </w:rPr>
              <w:t>Fabrice Bastien v. Her Majesty the Queen</w:t>
            </w:r>
          </w:p>
          <w:p w:rsidR="006E0D1B" w:rsidRPr="00625791" w:rsidRDefault="006E0D1B" w:rsidP="00786E63">
            <w:pPr>
              <w:jc w:val="both"/>
              <w:rPr>
                <w:sz w:val="20"/>
              </w:rPr>
            </w:pPr>
            <w:r w:rsidRPr="00625791">
              <w:rPr>
                <w:sz w:val="20"/>
              </w:rPr>
              <w:t>(Que.) (Criminal) (By Leave)</w:t>
            </w:r>
          </w:p>
        </w:tc>
      </w:tr>
      <w:tr w:rsidR="006E0D1B" w:rsidRPr="00625791" w:rsidTr="00786E63">
        <w:tc>
          <w:tcPr>
            <w:tcW w:w="5000" w:type="pct"/>
            <w:gridSpan w:val="4"/>
          </w:tcPr>
          <w:p w:rsidR="006E0D1B" w:rsidRPr="00625791" w:rsidRDefault="00786E63" w:rsidP="00786E63">
            <w:pPr>
              <w:jc w:val="both"/>
              <w:rPr>
                <w:sz w:val="20"/>
                <w:szCs w:val="20"/>
              </w:rPr>
            </w:pPr>
            <w:r w:rsidRPr="00625791">
              <w:rPr>
                <w:sz w:val="20"/>
                <w:szCs w:val="20"/>
              </w:rPr>
              <w:t xml:space="preserve">The application for leave to appeal from the judgment of the </w:t>
            </w:r>
            <w:r w:rsidRPr="00625791">
              <w:rPr>
                <w:sz w:val="20"/>
                <w:szCs w:val="20"/>
                <w:lang w:val="en-US"/>
              </w:rPr>
              <w:t>Court of Appeal of Quebec (Québec)</w:t>
            </w:r>
            <w:r w:rsidRPr="00625791">
              <w:rPr>
                <w:sz w:val="20"/>
                <w:szCs w:val="20"/>
              </w:rPr>
              <w:t xml:space="preserve">, Number </w:t>
            </w:r>
            <w:r w:rsidRPr="00625791">
              <w:rPr>
                <w:sz w:val="20"/>
                <w:szCs w:val="20"/>
                <w:lang w:val="en-US"/>
              </w:rPr>
              <w:t>200-10-003552-184, 2020 QCCA 766</w:t>
            </w:r>
            <w:r w:rsidRPr="00625791">
              <w:rPr>
                <w:sz w:val="20"/>
                <w:szCs w:val="20"/>
              </w:rPr>
              <w:t xml:space="preserve">, dated </w:t>
            </w:r>
            <w:r w:rsidRPr="00625791">
              <w:rPr>
                <w:sz w:val="20"/>
                <w:szCs w:val="20"/>
                <w:lang w:val="en-US"/>
              </w:rPr>
              <w:t>June 11, 2020,</w:t>
            </w:r>
            <w:r w:rsidRPr="00625791">
              <w:rPr>
                <w:sz w:val="20"/>
                <w:szCs w:val="20"/>
              </w:rPr>
              <w:t xml:space="preserve"> is dismissed.</w:t>
            </w:r>
          </w:p>
          <w:p w:rsidR="00786E63" w:rsidRPr="00625791" w:rsidRDefault="00786E63"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Criminal law — Evidence — Testimony — Credibility — Reasonable doubt — Applicant found guilty of offences of obstruction of justice, intimidation of justice system participant and failure to comply with probation order — Appeal dismissed — Whether Court of Appeal erred in law by imposing excessive burden on accused for showing that trial court had applied different levels of scrutiny in assessing testimony — Whether Court of Appeal erred by concluding that accused had not shown that trial judge had applied different levels of scrutiny in assessing testimony — Whether Court of Appeal erred by failing to consider, as evidence of unfairness of trial, errors of law relating to admissibility of objective physical evidence capable of enlightening court in its search for truth in context in which credibility was important — Whether Court of Appeal erred by failing to determine that trial was unfair and verdict was unreasonable.</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The applicant, Mr. Bastien, was charged with assault. Before and at the start of his trial, he allegedly uttered threats against a witness for the prosecution (who was charged with the same assault offence but had pleaded guilty). Mr. Bastien was then charged with various criminal offences, including obstruction of justice, intimidation of a witness and failure to comply with a probation order (to keep the peace and be of good behaviour). The trial judge found Mr. Bastien guilty of those offences; in his view, the testimony of the accused and of his spouse was not credible, and he preferred that of the witness for the prosecution. The Court of Appeal dismissed Mr. Bastien’s appeal, as it found no error in the trial judge’s analysis or in his conclusion with respect to the verdict.</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April 23, 2019</w:t>
            </w:r>
          </w:p>
          <w:p w:rsidR="006E0D1B" w:rsidRPr="00625791" w:rsidRDefault="006E0D1B" w:rsidP="00786E63">
            <w:pPr>
              <w:jc w:val="both"/>
              <w:rPr>
                <w:sz w:val="20"/>
              </w:rPr>
            </w:pPr>
            <w:r w:rsidRPr="00625791">
              <w:rPr>
                <w:sz w:val="20"/>
              </w:rPr>
              <w:t>Court of Québec</w:t>
            </w:r>
          </w:p>
          <w:p w:rsidR="006E0D1B" w:rsidRPr="00625791" w:rsidRDefault="006E0D1B" w:rsidP="00786E63">
            <w:pPr>
              <w:jc w:val="both"/>
              <w:rPr>
                <w:sz w:val="20"/>
              </w:rPr>
            </w:pPr>
            <w:r w:rsidRPr="00625791">
              <w:rPr>
                <w:sz w:val="20"/>
              </w:rPr>
              <w:t>(Judge Rousseau)</w:t>
            </w:r>
          </w:p>
          <w:p w:rsidR="006E0D1B" w:rsidRPr="00625791" w:rsidRDefault="006E0D1B" w:rsidP="00786E63">
            <w:pPr>
              <w:jc w:val="both"/>
              <w:rPr>
                <w:sz w:val="20"/>
              </w:rPr>
            </w:pPr>
            <w:r w:rsidRPr="00625791">
              <w:rPr>
                <w:sz w:val="20"/>
              </w:rPr>
              <w:t>(judgment from the bench)</w:t>
            </w:r>
          </w:p>
          <w:p w:rsidR="006E0D1B" w:rsidRPr="00625791" w:rsidRDefault="006E0D1B" w:rsidP="00786E63">
            <w:pPr>
              <w:jc w:val="both"/>
              <w:rPr>
                <w:sz w:val="20"/>
              </w:rPr>
            </w:pPr>
            <w:r w:rsidRPr="00625791">
              <w:rPr>
                <w:sz w:val="20"/>
              </w:rPr>
              <w:t xml:space="preserve">File No.: </w:t>
            </w:r>
          </w:p>
          <w:p w:rsidR="006E0D1B" w:rsidRPr="00625791" w:rsidRDefault="006E0D1B" w:rsidP="00786E63">
            <w:pPr>
              <w:jc w:val="both"/>
              <w:rPr>
                <w:sz w:val="20"/>
              </w:rPr>
            </w:pPr>
            <w:r w:rsidRPr="00625791">
              <w:rPr>
                <w:sz w:val="20"/>
              </w:rPr>
              <w:t>200</w:t>
            </w:r>
            <w:r w:rsidRPr="00625791">
              <w:rPr>
                <w:sz w:val="20"/>
              </w:rPr>
              <w:noBreakHyphen/>
              <w:t>01</w:t>
            </w:r>
            <w:r w:rsidRPr="00625791">
              <w:rPr>
                <w:sz w:val="20"/>
              </w:rPr>
              <w:noBreakHyphen/>
              <w:t>217723</w:t>
            </w:r>
            <w:r w:rsidRPr="00625791">
              <w:rPr>
                <w:sz w:val="20"/>
              </w:rPr>
              <w:noBreakHyphen/>
              <w:t xml:space="preserve">182 / </w:t>
            </w:r>
          </w:p>
          <w:p w:rsidR="006E0D1B" w:rsidRPr="00625791" w:rsidRDefault="006E0D1B" w:rsidP="00786E63">
            <w:pPr>
              <w:jc w:val="both"/>
              <w:rPr>
                <w:sz w:val="20"/>
              </w:rPr>
            </w:pPr>
            <w:r w:rsidRPr="00625791">
              <w:rPr>
                <w:sz w:val="20"/>
              </w:rPr>
              <w:t>200</w:t>
            </w:r>
            <w:r w:rsidRPr="00625791">
              <w:rPr>
                <w:sz w:val="20"/>
              </w:rPr>
              <w:noBreakHyphen/>
              <w:t>01</w:t>
            </w:r>
            <w:r w:rsidRPr="00625791">
              <w:rPr>
                <w:sz w:val="20"/>
              </w:rPr>
              <w:noBreakHyphen/>
              <w:t>217724</w:t>
            </w:r>
            <w:r w:rsidRPr="00625791">
              <w:rPr>
                <w:sz w:val="20"/>
              </w:rPr>
              <w:noBreakHyphen/>
              <w:t>180</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Mr. Bastien found guilty of various offences: obstruction of justice, intimidation of justice system participant and failure to comply with probation order</w:t>
            </w:r>
          </w:p>
          <w:p w:rsidR="006E0D1B" w:rsidRPr="00625791" w:rsidRDefault="006E0D1B" w:rsidP="00786E63">
            <w:pPr>
              <w:jc w:val="both"/>
              <w:rPr>
                <w:sz w:val="20"/>
              </w:rPr>
            </w:pP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June 11, 2020</w:t>
            </w:r>
          </w:p>
          <w:p w:rsidR="006E0D1B" w:rsidRPr="00625791" w:rsidRDefault="006E0D1B" w:rsidP="00786E63">
            <w:pPr>
              <w:jc w:val="both"/>
              <w:rPr>
                <w:sz w:val="20"/>
              </w:rPr>
            </w:pPr>
            <w:r w:rsidRPr="00625791">
              <w:rPr>
                <w:sz w:val="20"/>
              </w:rPr>
              <w:t>Quebec Court of Appeal (Québec)</w:t>
            </w:r>
          </w:p>
          <w:p w:rsidR="006E0D1B" w:rsidRPr="00625791" w:rsidRDefault="006E0D1B" w:rsidP="00786E63">
            <w:pPr>
              <w:jc w:val="both"/>
              <w:rPr>
                <w:sz w:val="20"/>
              </w:rPr>
            </w:pPr>
            <w:r w:rsidRPr="00625791">
              <w:rPr>
                <w:sz w:val="20"/>
              </w:rPr>
              <w:t>(Thibault, Ruel and Gagné JJ.A.)</w:t>
            </w:r>
          </w:p>
          <w:p w:rsidR="006E0D1B" w:rsidRPr="00625791" w:rsidRDefault="00366BFA" w:rsidP="00786E63">
            <w:pPr>
              <w:jc w:val="both"/>
              <w:rPr>
                <w:sz w:val="20"/>
              </w:rPr>
            </w:pPr>
            <w:hyperlink r:id="rId24" w:anchor="document" w:history="1">
              <w:r w:rsidR="006E0D1B" w:rsidRPr="00625791">
                <w:rPr>
                  <w:rStyle w:val="Hyperlink"/>
                  <w:sz w:val="20"/>
                </w:rPr>
                <w:t>2020 QCCA 776</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Appeal by Mr. Bastien — dismissed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July 3,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 by Mr. Bastien</w:t>
            </w: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35"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39244</w:t>
            </w:r>
          </w:p>
        </w:tc>
        <w:tc>
          <w:tcPr>
            <w:tcW w:w="4457" w:type="pct"/>
            <w:gridSpan w:val="3"/>
          </w:tcPr>
          <w:p w:rsidR="006E0D1B" w:rsidRPr="00625791" w:rsidRDefault="006E0D1B" w:rsidP="00786E63">
            <w:pPr>
              <w:pStyle w:val="SCCLsocParty"/>
              <w:jc w:val="both"/>
              <w:rPr>
                <w:b/>
                <w:sz w:val="20"/>
                <w:szCs w:val="20"/>
              </w:rPr>
            </w:pPr>
            <w:r w:rsidRPr="00625791">
              <w:rPr>
                <w:b/>
                <w:sz w:val="20"/>
                <w:szCs w:val="20"/>
              </w:rPr>
              <w:t>Fabrice Bastien c. Sa Majesté la Reine</w:t>
            </w:r>
          </w:p>
          <w:p w:rsidR="006E0D1B" w:rsidRPr="00625791" w:rsidRDefault="006E0D1B" w:rsidP="00786E63">
            <w:pPr>
              <w:jc w:val="both"/>
              <w:rPr>
                <w:sz w:val="20"/>
              </w:rPr>
            </w:pPr>
            <w:r w:rsidRPr="00625791">
              <w:rPr>
                <w:sz w:val="20"/>
              </w:rPr>
              <w:t>(Qc) (Criminelle) (Autorisation)</w:t>
            </w:r>
          </w:p>
        </w:tc>
      </w:tr>
      <w:tr w:rsidR="006E0D1B" w:rsidRPr="00366BFA" w:rsidTr="00786E63">
        <w:tc>
          <w:tcPr>
            <w:tcW w:w="5000" w:type="pct"/>
            <w:gridSpan w:val="4"/>
          </w:tcPr>
          <w:p w:rsidR="00786E63" w:rsidRPr="00625791" w:rsidRDefault="00786E63" w:rsidP="00786E63">
            <w:pPr>
              <w:jc w:val="both"/>
              <w:rPr>
                <w:sz w:val="20"/>
                <w:szCs w:val="20"/>
                <w:lang w:val="fr-CA"/>
              </w:rPr>
            </w:pPr>
            <w:r w:rsidRPr="00625791">
              <w:rPr>
                <w:sz w:val="20"/>
                <w:szCs w:val="20"/>
                <w:lang w:val="fr-CA"/>
              </w:rPr>
              <w:t>La demande d’autorisation d’appel de l’arrêt de la Cour d’appel du Québec (Québec), numéro 200-10-003552-184, 2020 QCCA 766, daté du 11 juin 2020, est rejetée.</w:t>
            </w:r>
          </w:p>
          <w:p w:rsidR="006E0D1B" w:rsidRPr="00625791" w:rsidRDefault="006E0D1B"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t>Droit criminel — Preuve — Témoignage — Crédibilité — Doute raisonnable — Demandeur déclaré coupable des infractions d’entrave à la justice, intimidation d’une personne associée au système judiciaire et défaut de se conformer à une ordonnance — Appel rejeté — La Cour d’appel a</w:t>
            </w:r>
            <w:r w:rsidRPr="00625791">
              <w:rPr>
                <w:sz w:val="20"/>
                <w:lang w:val="fr-CA"/>
              </w:rPr>
              <w:noBreakHyphen/>
              <w:t>t</w:t>
            </w:r>
            <w:r w:rsidRPr="00625791">
              <w:rPr>
                <w:sz w:val="20"/>
                <w:lang w:val="fr-CA"/>
              </w:rPr>
              <w:noBreakHyphen/>
              <w:t>elle erré en droit en imposant à l’accusé un fardeau trop lourd en ce qui a trait à la démonstration du degré d’examen diffèrent appliqué par le tribunal d’instance dans l'évaluation des témoignages? — La Cour d’appel a</w:t>
            </w:r>
            <w:r w:rsidRPr="00625791">
              <w:rPr>
                <w:sz w:val="20"/>
                <w:lang w:val="fr-CA"/>
              </w:rPr>
              <w:noBreakHyphen/>
              <w:t>t</w:t>
            </w:r>
            <w:r w:rsidRPr="00625791">
              <w:rPr>
                <w:sz w:val="20"/>
                <w:lang w:val="fr-CA"/>
              </w:rPr>
              <w:noBreakHyphen/>
              <w:t>elle erré en concluant que l’accusé n'avait pas démontré que le juge d’instance avait évalué les témoignages selon un degré d’examen diffèrent? — La Cour d’appel a</w:t>
            </w:r>
            <w:r w:rsidRPr="00625791">
              <w:rPr>
                <w:sz w:val="20"/>
                <w:lang w:val="fr-CA"/>
              </w:rPr>
              <w:noBreakHyphen/>
              <w:t>t</w:t>
            </w:r>
            <w:r w:rsidRPr="00625791">
              <w:rPr>
                <w:sz w:val="20"/>
                <w:lang w:val="fr-CA"/>
              </w:rPr>
              <w:noBreakHyphen/>
              <w:t>elle erré en omettant de considérer, à titre d’éléments démontrant le caractère inéquitable du procès, les erreurs de droit relatives à l’admissibilité d'une preuve matérielle objective susceptible d’éclairer le tribunal dans sa recherche de la vérité dans le contexte ou la crédibilité était importante? — La Cour d’appel a erré en omettant de considérer le procès inéquitable et le verdict déraisonnable?</w:t>
            </w:r>
          </w:p>
        </w:tc>
      </w:tr>
      <w:tr w:rsidR="006E0D1B" w:rsidRPr="00366BFA" w:rsidTr="00786E63">
        <w:tc>
          <w:tcPr>
            <w:tcW w:w="5000" w:type="pct"/>
            <w:gridSpan w:val="4"/>
          </w:tcPr>
          <w:p w:rsidR="006E0D1B" w:rsidRPr="00625791" w:rsidRDefault="006E0D1B"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t>Le demandeur, M. Bastien, est accusé de voies de fait. Avant son procès et au début de celui</w:t>
            </w:r>
            <w:r w:rsidRPr="00625791">
              <w:rPr>
                <w:sz w:val="20"/>
                <w:lang w:val="fr-CA"/>
              </w:rPr>
              <w:noBreakHyphen/>
              <w:t>ci, il aurait prononcé des menaces envers un témoin pour la poursuite (lui</w:t>
            </w:r>
            <w:r w:rsidRPr="00625791">
              <w:rPr>
                <w:sz w:val="20"/>
                <w:lang w:val="fr-CA"/>
              </w:rPr>
              <w:noBreakHyphen/>
              <w:t>aussi accusé d’avoir commis les mêmes voies de fait, mais ayant plaidé coupable). Monsieur Bastien est alors accusé de diverses infractions criminelles, dont l’entrave à la justice, l’intimidation d’un témoin et le défaut de se conformer à une ordonnance juridique (de ne pas troubler l’ordre public et d’avoir une bonne conduite). Le juge de procès déclare M. Bastien coupable de ces infractions; il n’accorde aucune crédibilité au témoignage de l’accusé ni à celui de sa conjointe, préférant plutôt le témoignage du témoin pour la poursuite. La Cour d’appel rejette l’appel de M. Bastien, ne trouvant aucune erreur dans l’analyse du juge de procès, ni dans sa conclusion sur le verdict.</w:t>
            </w: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lastRenderedPageBreak/>
              <w:t>Le 23 avril 2019</w:t>
            </w:r>
          </w:p>
          <w:p w:rsidR="006E0D1B" w:rsidRPr="00625791" w:rsidRDefault="006E0D1B" w:rsidP="00786E63">
            <w:pPr>
              <w:jc w:val="both"/>
              <w:rPr>
                <w:sz w:val="20"/>
                <w:lang w:val="fr-CA"/>
              </w:rPr>
            </w:pPr>
            <w:r w:rsidRPr="00625791">
              <w:rPr>
                <w:sz w:val="20"/>
                <w:lang w:val="fr-CA"/>
              </w:rPr>
              <w:t>Cour du Québec</w:t>
            </w:r>
          </w:p>
          <w:p w:rsidR="006E0D1B" w:rsidRPr="00625791" w:rsidRDefault="006E0D1B" w:rsidP="00786E63">
            <w:pPr>
              <w:jc w:val="both"/>
              <w:rPr>
                <w:sz w:val="20"/>
                <w:lang w:val="fr-CA"/>
              </w:rPr>
            </w:pPr>
            <w:r w:rsidRPr="00625791">
              <w:rPr>
                <w:sz w:val="20"/>
                <w:lang w:val="fr-CA"/>
              </w:rPr>
              <w:t>(le juge Rousseau)</w:t>
            </w:r>
          </w:p>
          <w:p w:rsidR="006E0D1B" w:rsidRPr="00625791" w:rsidRDefault="006E0D1B" w:rsidP="00786E63">
            <w:pPr>
              <w:jc w:val="both"/>
              <w:rPr>
                <w:sz w:val="20"/>
                <w:lang w:val="fr-CA"/>
              </w:rPr>
            </w:pPr>
            <w:r w:rsidRPr="00625791">
              <w:rPr>
                <w:sz w:val="20"/>
                <w:lang w:val="fr-CA"/>
              </w:rPr>
              <w:t>(jugement rendu oralement)</w:t>
            </w:r>
          </w:p>
          <w:p w:rsidR="006E0D1B" w:rsidRPr="00625791" w:rsidRDefault="006E0D1B" w:rsidP="00786E63">
            <w:pPr>
              <w:jc w:val="both"/>
              <w:rPr>
                <w:sz w:val="20"/>
                <w:lang w:val="fr-CA"/>
              </w:rPr>
            </w:pPr>
            <w:r w:rsidRPr="00625791">
              <w:rPr>
                <w:sz w:val="20"/>
                <w:lang w:val="fr-CA"/>
              </w:rPr>
              <w:t>N</w:t>
            </w:r>
            <w:r w:rsidRPr="00625791">
              <w:rPr>
                <w:sz w:val="20"/>
                <w:vertAlign w:val="superscript"/>
                <w:lang w:val="fr-CA"/>
              </w:rPr>
              <w:t>o</w:t>
            </w:r>
            <w:r w:rsidRPr="00625791">
              <w:rPr>
                <w:sz w:val="20"/>
                <w:lang w:val="fr-CA"/>
              </w:rPr>
              <w:t xml:space="preserve"> de dossier : </w:t>
            </w:r>
          </w:p>
          <w:p w:rsidR="006E0D1B" w:rsidRPr="00625791" w:rsidRDefault="006E0D1B" w:rsidP="00786E63">
            <w:pPr>
              <w:jc w:val="both"/>
              <w:rPr>
                <w:sz w:val="20"/>
              </w:rPr>
            </w:pPr>
            <w:r w:rsidRPr="00625791">
              <w:rPr>
                <w:sz w:val="20"/>
              </w:rPr>
              <w:t>200</w:t>
            </w:r>
            <w:r w:rsidRPr="00625791">
              <w:rPr>
                <w:sz w:val="20"/>
              </w:rPr>
              <w:noBreakHyphen/>
              <w:t>01</w:t>
            </w:r>
            <w:r w:rsidRPr="00625791">
              <w:rPr>
                <w:sz w:val="20"/>
              </w:rPr>
              <w:noBreakHyphen/>
              <w:t>217723</w:t>
            </w:r>
            <w:r w:rsidRPr="00625791">
              <w:rPr>
                <w:sz w:val="20"/>
              </w:rPr>
              <w:noBreakHyphen/>
              <w:t xml:space="preserve">182 / </w:t>
            </w:r>
          </w:p>
          <w:p w:rsidR="006E0D1B" w:rsidRPr="00625791" w:rsidRDefault="006E0D1B" w:rsidP="00786E63">
            <w:pPr>
              <w:jc w:val="both"/>
              <w:rPr>
                <w:sz w:val="20"/>
              </w:rPr>
            </w:pPr>
            <w:r w:rsidRPr="00625791">
              <w:rPr>
                <w:sz w:val="20"/>
              </w:rPr>
              <w:t>200</w:t>
            </w:r>
            <w:r w:rsidRPr="00625791">
              <w:rPr>
                <w:sz w:val="20"/>
              </w:rPr>
              <w:noBreakHyphen/>
              <w:t>01</w:t>
            </w:r>
            <w:r w:rsidRPr="00625791">
              <w:rPr>
                <w:sz w:val="20"/>
              </w:rPr>
              <w:noBreakHyphen/>
              <w:t>217724</w:t>
            </w:r>
            <w:r w:rsidRPr="00625791">
              <w:rPr>
                <w:sz w:val="20"/>
              </w:rPr>
              <w:noBreakHyphen/>
              <w:t>180</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M. Bastien déclaré coupable de diverses infractions : entrave à la justice, intimidation d’une personne associée au système judiciaire et défaut de se conformer à une ordonnance.</w:t>
            </w:r>
          </w:p>
          <w:p w:rsidR="006E0D1B" w:rsidRPr="00625791" w:rsidRDefault="006E0D1B" w:rsidP="00786E63">
            <w:pPr>
              <w:jc w:val="both"/>
              <w:rPr>
                <w:sz w:val="20"/>
                <w:lang w:val="fr-CA"/>
              </w:rPr>
            </w:pP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Le 11 juin 2020</w:t>
            </w:r>
          </w:p>
          <w:p w:rsidR="006E0D1B" w:rsidRPr="00625791" w:rsidRDefault="006E0D1B" w:rsidP="00786E63">
            <w:pPr>
              <w:jc w:val="both"/>
              <w:rPr>
                <w:sz w:val="20"/>
                <w:lang w:val="fr-CA"/>
              </w:rPr>
            </w:pPr>
            <w:r w:rsidRPr="00625791">
              <w:rPr>
                <w:sz w:val="20"/>
                <w:lang w:val="fr-CA"/>
              </w:rPr>
              <w:t>Cour d’appel du Québec (Québec)</w:t>
            </w:r>
          </w:p>
          <w:p w:rsidR="006E0D1B" w:rsidRPr="00625791" w:rsidRDefault="006E0D1B" w:rsidP="00786E63">
            <w:pPr>
              <w:jc w:val="both"/>
              <w:rPr>
                <w:sz w:val="20"/>
                <w:lang w:val="fr-CA"/>
              </w:rPr>
            </w:pPr>
            <w:r w:rsidRPr="00625791">
              <w:rPr>
                <w:sz w:val="20"/>
                <w:lang w:val="fr-CA"/>
              </w:rPr>
              <w:t>(les juges Thibault, Ruel et Gagné)</w:t>
            </w:r>
          </w:p>
          <w:p w:rsidR="006E0D1B" w:rsidRPr="00625791" w:rsidRDefault="00366BFA" w:rsidP="00786E63">
            <w:pPr>
              <w:jc w:val="both"/>
              <w:rPr>
                <w:sz w:val="20"/>
              </w:rPr>
            </w:pPr>
            <w:hyperlink r:id="rId25" w:anchor="document" w:history="1">
              <w:r w:rsidR="006E0D1B" w:rsidRPr="00625791">
                <w:rPr>
                  <w:rStyle w:val="Hyperlink"/>
                  <w:sz w:val="20"/>
                </w:rPr>
                <w:t>2020 QCCA 776</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Appel de M. Bastien — rejeté.</w:t>
            </w: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Le 3 juillet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 d’autorisation d’appel déposée par M. Bastien.</w:t>
            </w:r>
          </w:p>
        </w:tc>
      </w:tr>
    </w:tbl>
    <w:p w:rsidR="006E0D1B" w:rsidRPr="00625791" w:rsidRDefault="006E0D1B" w:rsidP="006E0D1B">
      <w:pPr>
        <w:jc w:val="both"/>
        <w:rPr>
          <w:sz w:val="20"/>
          <w:lang w:val="fr-CA"/>
        </w:rPr>
      </w:pPr>
    </w:p>
    <w:p w:rsidR="006E0D1B" w:rsidRPr="00625791" w:rsidRDefault="00366BFA" w:rsidP="006E0D1B">
      <w:pPr>
        <w:jc w:val="both"/>
        <w:rPr>
          <w:sz w:val="20"/>
          <w:lang w:val="fr-CA"/>
        </w:rPr>
      </w:pPr>
      <w:r>
        <w:rPr>
          <w:sz w:val="20"/>
        </w:rPr>
        <w:pict>
          <v:rect id="_x0000_i1036"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39256</w:t>
            </w:r>
          </w:p>
        </w:tc>
        <w:tc>
          <w:tcPr>
            <w:tcW w:w="4457" w:type="pct"/>
          </w:tcPr>
          <w:p w:rsidR="006E0D1B" w:rsidRPr="00625791" w:rsidRDefault="006E0D1B" w:rsidP="00786E63">
            <w:pPr>
              <w:pStyle w:val="SCCLsocParty"/>
              <w:jc w:val="both"/>
              <w:rPr>
                <w:b/>
                <w:sz w:val="20"/>
                <w:szCs w:val="20"/>
              </w:rPr>
            </w:pPr>
            <w:r w:rsidRPr="00625791">
              <w:rPr>
                <w:b/>
                <w:sz w:val="20"/>
                <w:szCs w:val="20"/>
              </w:rPr>
              <w:t xml:space="preserve">Denis C. Charron v. Succession of Claude L. Charron, </w:t>
            </w:r>
            <w:r w:rsidR="00786E63" w:rsidRPr="00625791">
              <w:rPr>
                <w:b/>
                <w:sz w:val="20"/>
                <w:szCs w:val="20"/>
              </w:rPr>
              <w:t>Fiducie Daniel G. Charron, 9012-6707 Québec inc., Société en commandite Résidence Les Deux Aires and Nicole M. Charron</w:t>
            </w:r>
          </w:p>
          <w:p w:rsidR="006E0D1B" w:rsidRPr="00625791" w:rsidRDefault="006E0D1B" w:rsidP="00786E63">
            <w:pPr>
              <w:pStyle w:val="SCCLsocOtherPartySeparator"/>
              <w:rPr>
                <w:sz w:val="20"/>
                <w:szCs w:val="20"/>
                <w:lang w:val="en-CA"/>
              </w:rPr>
            </w:pPr>
            <w:r w:rsidRPr="00625791">
              <w:rPr>
                <w:sz w:val="20"/>
                <w:szCs w:val="20"/>
                <w:lang w:val="en-CA"/>
              </w:rPr>
              <w:t>- and -</w:t>
            </w:r>
          </w:p>
          <w:p w:rsidR="006E0D1B" w:rsidRPr="00625791" w:rsidRDefault="006E0D1B" w:rsidP="00786E63">
            <w:pPr>
              <w:pStyle w:val="SCCLsocParty"/>
              <w:jc w:val="both"/>
              <w:rPr>
                <w:b/>
                <w:sz w:val="20"/>
                <w:szCs w:val="20"/>
                <w:lang w:val="en-CA"/>
              </w:rPr>
            </w:pPr>
            <w:r w:rsidRPr="00625791">
              <w:rPr>
                <w:b/>
                <w:sz w:val="20"/>
                <w:szCs w:val="20"/>
                <w:lang w:val="en-CA"/>
              </w:rPr>
              <w:t>Jean-Marc Poulin de Courval, in his capacity as trustee in bankruptcy of Denis C. Charron</w:t>
            </w:r>
          </w:p>
          <w:p w:rsidR="006E0D1B" w:rsidRPr="00625791" w:rsidRDefault="006E0D1B" w:rsidP="00786E63">
            <w:pPr>
              <w:jc w:val="both"/>
              <w:rPr>
                <w:sz w:val="20"/>
              </w:rPr>
            </w:pPr>
            <w:r w:rsidRPr="00625791">
              <w:rPr>
                <w:sz w:val="20"/>
              </w:rPr>
              <w:t>(Que.) (Civil) (By Leave)</w:t>
            </w:r>
          </w:p>
        </w:tc>
      </w:tr>
      <w:tr w:rsidR="006E0D1B" w:rsidRPr="00625791" w:rsidTr="00786E63">
        <w:tc>
          <w:tcPr>
            <w:tcW w:w="5000" w:type="pct"/>
            <w:gridSpan w:val="2"/>
          </w:tcPr>
          <w:p w:rsidR="00786E63" w:rsidRPr="00625791" w:rsidRDefault="00786E63" w:rsidP="00786E63">
            <w:pPr>
              <w:jc w:val="both"/>
              <w:rPr>
                <w:sz w:val="20"/>
                <w:szCs w:val="20"/>
              </w:rPr>
            </w:pPr>
            <w:r w:rsidRPr="00625791">
              <w:rPr>
                <w:sz w:val="20"/>
                <w:szCs w:val="20"/>
              </w:rPr>
              <w:t xml:space="preserve">The application for leave to appeal from the judgment of the </w:t>
            </w:r>
            <w:r w:rsidRPr="00625791">
              <w:rPr>
                <w:sz w:val="20"/>
                <w:szCs w:val="20"/>
                <w:lang w:val="en-US"/>
              </w:rPr>
              <w:t>Court of Appeal of Quebec (Montréal)</w:t>
            </w:r>
            <w:r w:rsidRPr="00625791">
              <w:rPr>
                <w:sz w:val="20"/>
                <w:szCs w:val="20"/>
              </w:rPr>
              <w:t xml:space="preserve">, Number </w:t>
            </w:r>
            <w:r w:rsidRPr="00625791">
              <w:rPr>
                <w:sz w:val="20"/>
                <w:szCs w:val="20"/>
                <w:lang w:val="en-US"/>
              </w:rPr>
              <w:t>500-09-028642-197</w:t>
            </w:r>
            <w:r w:rsidRPr="00625791">
              <w:rPr>
                <w:sz w:val="20"/>
                <w:szCs w:val="20"/>
              </w:rPr>
              <w:t xml:space="preserve">, </w:t>
            </w:r>
            <w:r w:rsidRPr="00625791">
              <w:rPr>
                <w:sz w:val="20"/>
                <w:szCs w:val="20"/>
                <w:lang w:val="en-US"/>
              </w:rPr>
              <w:t xml:space="preserve">2020 QCCA 483, </w:t>
            </w:r>
            <w:r w:rsidRPr="00625791">
              <w:rPr>
                <w:sz w:val="20"/>
                <w:szCs w:val="20"/>
              </w:rPr>
              <w:t xml:space="preserve">dated </w:t>
            </w:r>
            <w:r w:rsidRPr="00625791">
              <w:rPr>
                <w:sz w:val="20"/>
                <w:szCs w:val="20"/>
                <w:lang w:val="en-US"/>
              </w:rPr>
              <w:t>March 26, 2020,</w:t>
            </w:r>
            <w:r w:rsidRPr="00625791">
              <w:rPr>
                <w:sz w:val="20"/>
                <w:szCs w:val="20"/>
              </w:rPr>
              <w:t xml:space="preserve"> is dismissed with costs on a solicitor-client basis. </w:t>
            </w:r>
          </w:p>
          <w:p w:rsidR="00786E63" w:rsidRPr="00625791" w:rsidRDefault="00786E63" w:rsidP="00786E63">
            <w:pPr>
              <w:jc w:val="both"/>
              <w:rPr>
                <w:sz w:val="20"/>
                <w:szCs w:val="20"/>
              </w:rPr>
            </w:pPr>
          </w:p>
          <w:p w:rsidR="006E0D1B" w:rsidRPr="00625791" w:rsidRDefault="00786E63" w:rsidP="00786E63">
            <w:pPr>
              <w:pStyle w:val="SCCBanSummary0"/>
              <w:rPr>
                <w:smallCaps w:val="0"/>
                <w:sz w:val="20"/>
                <w:szCs w:val="20"/>
                <w:lang w:val="en-US"/>
              </w:rPr>
            </w:pPr>
            <w:r w:rsidRPr="00625791">
              <w:rPr>
                <w:smallCaps w:val="0"/>
                <w:sz w:val="20"/>
                <w:szCs w:val="20"/>
                <w:lang w:val="en-US"/>
              </w:rPr>
              <w:t>Kasirer J. took no part in the judgment.</w:t>
            </w:r>
          </w:p>
          <w:p w:rsidR="00786E63" w:rsidRPr="00625791" w:rsidRDefault="00786E63" w:rsidP="00786E63">
            <w:pPr>
              <w:rPr>
                <w:lang w:val="en-US"/>
              </w:rPr>
            </w:pPr>
          </w:p>
        </w:tc>
      </w:tr>
      <w:tr w:rsidR="006E0D1B" w:rsidRPr="00625791" w:rsidTr="00786E63">
        <w:tc>
          <w:tcPr>
            <w:tcW w:w="5000" w:type="pct"/>
            <w:gridSpan w:val="2"/>
          </w:tcPr>
          <w:p w:rsidR="006E0D1B" w:rsidRPr="00625791" w:rsidRDefault="006E0D1B" w:rsidP="00786E63">
            <w:pPr>
              <w:pStyle w:val="SCCBanSummary0"/>
              <w:rPr>
                <w:smallCaps w:val="0"/>
                <w:sz w:val="20"/>
                <w:szCs w:val="20"/>
              </w:rPr>
            </w:pPr>
            <w:r w:rsidRPr="00625791">
              <w:rPr>
                <w:smallCaps w:val="0"/>
                <w:sz w:val="20"/>
                <w:szCs w:val="20"/>
              </w:rPr>
              <w:t xml:space="preserve">Bankruptcy and insolvency — </w:t>
            </w:r>
            <w:r w:rsidRPr="00625791">
              <w:rPr>
                <w:i/>
                <w:smallCaps w:val="0"/>
                <w:sz w:val="20"/>
                <w:szCs w:val="20"/>
              </w:rPr>
              <w:t>Res judicata</w:t>
            </w:r>
            <w:r w:rsidRPr="00625791">
              <w:rPr>
                <w:smallCaps w:val="0"/>
                <w:sz w:val="20"/>
                <w:szCs w:val="20"/>
              </w:rPr>
              <w:t xml:space="preserve"> — Dismissal — Prescription — Application for revocation of judgment — Redemption of bankrupt’s shares in partnership — Order authorizing creditor to take proceeding in own name in place of trustee — Interest of discharged bankrupt — Abuse of procedure — Whether courts below erred in concluding that </w:t>
            </w:r>
            <w:r w:rsidRPr="00625791">
              <w:rPr>
                <w:i/>
                <w:smallCaps w:val="0"/>
                <w:sz w:val="20"/>
                <w:szCs w:val="20"/>
              </w:rPr>
              <w:t>res judicata</w:t>
            </w:r>
            <w:r w:rsidRPr="00625791">
              <w:rPr>
                <w:smallCaps w:val="0"/>
                <w:sz w:val="20"/>
                <w:szCs w:val="20"/>
              </w:rPr>
              <w:t xml:space="preserve"> should apply in this case — </w:t>
            </w:r>
            <w:r w:rsidRPr="00625791">
              <w:rPr>
                <w:i/>
                <w:iCs/>
                <w:smallCaps w:val="0"/>
                <w:sz w:val="20"/>
                <w:szCs w:val="20"/>
              </w:rPr>
              <w:t>Bankruptcy and Insolvency General Rules</w:t>
            </w:r>
            <w:r w:rsidRPr="00625791">
              <w:rPr>
                <w:iCs/>
                <w:smallCaps w:val="0"/>
                <w:sz w:val="20"/>
                <w:szCs w:val="20"/>
              </w:rPr>
              <w:t xml:space="preserve">, C.R.C., c. 368, s. 31 </w:t>
            </w:r>
            <w:r w:rsidRPr="00625791">
              <w:rPr>
                <w:smallCaps w:val="0"/>
                <w:sz w:val="20"/>
                <w:szCs w:val="20"/>
              </w:rPr>
              <w:t>—</w:t>
            </w:r>
            <w:r w:rsidRPr="00625791">
              <w:rPr>
                <w:iCs/>
                <w:smallCaps w:val="0"/>
                <w:sz w:val="20"/>
                <w:szCs w:val="20"/>
              </w:rPr>
              <w:t xml:space="preserve"> </w:t>
            </w:r>
            <w:r w:rsidRPr="00625791">
              <w:rPr>
                <w:i/>
                <w:smallCaps w:val="0"/>
                <w:sz w:val="20"/>
                <w:szCs w:val="20"/>
              </w:rPr>
              <w:t>Bankruptcy and Insolvency Act</w:t>
            </w:r>
            <w:r w:rsidRPr="00625791">
              <w:rPr>
                <w:smallCaps w:val="0"/>
                <w:sz w:val="20"/>
                <w:szCs w:val="20"/>
              </w:rPr>
              <w:t>, R.S.C. 1985, c. B</w:t>
            </w:r>
            <w:r w:rsidRPr="00625791">
              <w:rPr>
                <w:smallCaps w:val="0"/>
                <w:sz w:val="20"/>
                <w:szCs w:val="20"/>
              </w:rPr>
              <w:noBreakHyphen/>
              <w:t xml:space="preserve">3, ss. 38, 193 — </w:t>
            </w:r>
            <w:r w:rsidRPr="00625791">
              <w:rPr>
                <w:i/>
                <w:smallCaps w:val="0"/>
                <w:sz w:val="20"/>
                <w:szCs w:val="20"/>
              </w:rPr>
              <w:t>Civil Code of Québec</w:t>
            </w:r>
            <w:r w:rsidRPr="00625791">
              <w:rPr>
                <w:smallCaps w:val="0"/>
                <w:sz w:val="20"/>
                <w:szCs w:val="20"/>
              </w:rPr>
              <w:t>, CQLR, c. CCQ</w:t>
            </w:r>
            <w:r w:rsidRPr="00625791">
              <w:rPr>
                <w:smallCaps w:val="0"/>
                <w:sz w:val="20"/>
                <w:szCs w:val="20"/>
              </w:rPr>
              <w:noBreakHyphen/>
              <w:t>1991, arts. 2226, 2227.</w:t>
            </w:r>
          </w:p>
        </w:tc>
      </w:tr>
      <w:tr w:rsidR="006E0D1B" w:rsidRPr="00625791" w:rsidTr="00786E63">
        <w:tc>
          <w:tcPr>
            <w:tcW w:w="5000" w:type="pct"/>
            <w:gridSpan w:val="2"/>
          </w:tcPr>
          <w:p w:rsidR="006E0D1B" w:rsidRPr="00625791" w:rsidRDefault="006E0D1B" w:rsidP="00786E63">
            <w:pPr>
              <w:jc w:val="both"/>
              <w:rPr>
                <w:sz w:val="20"/>
              </w:rPr>
            </w:pPr>
          </w:p>
          <w:p w:rsidR="006E0D1B" w:rsidRPr="00625791" w:rsidRDefault="006E0D1B" w:rsidP="00786E63">
            <w:pPr>
              <w:jc w:val="both"/>
              <w:rPr>
                <w:sz w:val="20"/>
              </w:rPr>
            </w:pPr>
            <w:r w:rsidRPr="00625791">
              <w:rPr>
                <w:sz w:val="20"/>
              </w:rPr>
              <w:t>In 2001, the applicant brought an action by which he sought the redemption of his shares in the family business. He made an assignment in bankruptcy in 2010, and the trustee declined to continue the proceeding, which resulted in his action being dismissed in 2012. A registrar in bankruptcy granted 9149</w:t>
            </w:r>
            <w:r w:rsidRPr="00625791">
              <w:rPr>
                <w:sz w:val="20"/>
              </w:rPr>
              <w:noBreakHyphen/>
              <w:t xml:space="preserve">1811 Québec inc. an order authorizing it to take the proceeding in its own name in order to realize on the applicant’s assets. In 2017, that company brought a new application against the respondents for the purpose of recovering the value of the applicant’s shares in the family business, which he was allegedly deemed to have disposed of at the time of his bankruptcy. The application judge granted the respondents’ motion to dismiss, thereby dismissing the action on the basis that it concerned a right of action that was clearly prescribed and had already been the subject of a judgment in 2012. The Superior Court granted the dismissal of the applicant’s application for revocation of judgment, concluding, among other things, that it was abusive. The Court of Appeal granted the respondents’ motion to dismiss the applicant’s appeal on the basis that it was brought after the expiration of a strict time limit and that it had no reasonable chance of success. </w:t>
            </w:r>
          </w:p>
        </w:tc>
      </w:tr>
      <w:tr w:rsidR="006E0D1B" w:rsidRPr="00625791" w:rsidTr="00786E63">
        <w:tc>
          <w:tcPr>
            <w:tcW w:w="5000" w:type="pct"/>
            <w:gridSpan w:val="2"/>
          </w:tcPr>
          <w:p w:rsidR="006E0D1B" w:rsidRPr="00625791" w:rsidRDefault="006E0D1B" w:rsidP="00786E63">
            <w:pPr>
              <w:jc w:val="both"/>
              <w:rPr>
                <w:sz w:val="20"/>
              </w:rPr>
            </w:pPr>
          </w:p>
        </w:tc>
      </w:tr>
    </w:tbl>
    <w:p w:rsidR="00786E63" w:rsidRPr="00625791" w:rsidRDefault="00786E63">
      <w:r w:rsidRPr="00625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0D1B" w:rsidRPr="00625791" w:rsidTr="00786E63">
        <w:tc>
          <w:tcPr>
            <w:tcW w:w="2427" w:type="pct"/>
          </w:tcPr>
          <w:p w:rsidR="006E0D1B" w:rsidRPr="00625791" w:rsidRDefault="006E0D1B" w:rsidP="00786E63">
            <w:pPr>
              <w:jc w:val="both"/>
              <w:rPr>
                <w:sz w:val="20"/>
              </w:rPr>
            </w:pPr>
            <w:r w:rsidRPr="00625791">
              <w:rPr>
                <w:sz w:val="20"/>
              </w:rPr>
              <w:lastRenderedPageBreak/>
              <w:t>May 18, 2018</w:t>
            </w:r>
          </w:p>
          <w:p w:rsidR="006E0D1B" w:rsidRPr="00625791" w:rsidRDefault="006E0D1B" w:rsidP="00786E63">
            <w:pPr>
              <w:jc w:val="both"/>
              <w:rPr>
                <w:sz w:val="20"/>
              </w:rPr>
            </w:pPr>
            <w:r w:rsidRPr="00625791">
              <w:rPr>
                <w:sz w:val="20"/>
              </w:rPr>
              <w:t>Quebec Superior Court</w:t>
            </w:r>
          </w:p>
          <w:p w:rsidR="006E0D1B" w:rsidRPr="00625791" w:rsidRDefault="006E0D1B" w:rsidP="00786E63">
            <w:pPr>
              <w:jc w:val="both"/>
              <w:rPr>
                <w:sz w:val="20"/>
              </w:rPr>
            </w:pPr>
            <w:r w:rsidRPr="00625791">
              <w:rPr>
                <w:sz w:val="20"/>
              </w:rPr>
              <w:t>(Pinsonnault J.)</w:t>
            </w:r>
          </w:p>
          <w:p w:rsidR="006E0D1B" w:rsidRPr="00625791" w:rsidRDefault="006E0D1B" w:rsidP="00786E63">
            <w:pPr>
              <w:jc w:val="both"/>
              <w:rPr>
                <w:sz w:val="20"/>
              </w:rPr>
            </w:pPr>
            <w:r w:rsidRPr="00625791">
              <w:rPr>
                <w:sz w:val="20"/>
              </w:rPr>
              <w:t>500</w:t>
            </w:r>
            <w:r w:rsidRPr="00625791">
              <w:rPr>
                <w:sz w:val="20"/>
              </w:rPr>
              <w:noBreakHyphen/>
              <w:t>11</w:t>
            </w:r>
            <w:r w:rsidRPr="00625791">
              <w:rPr>
                <w:sz w:val="20"/>
              </w:rPr>
              <w:noBreakHyphen/>
              <w:t>040879</w:t>
            </w:r>
            <w:r w:rsidRPr="00625791">
              <w:rPr>
                <w:sz w:val="20"/>
              </w:rPr>
              <w:noBreakHyphen/>
              <w:t xml:space="preserve">112 </w:t>
            </w:r>
          </w:p>
          <w:p w:rsidR="006E0D1B" w:rsidRPr="00625791" w:rsidRDefault="00366BFA" w:rsidP="00786E63">
            <w:pPr>
              <w:jc w:val="both"/>
              <w:rPr>
                <w:sz w:val="20"/>
              </w:rPr>
            </w:pPr>
            <w:hyperlink r:id="rId26" w:history="1">
              <w:r w:rsidR="006E0D1B" w:rsidRPr="00625791">
                <w:rPr>
                  <w:rStyle w:val="Hyperlink"/>
                  <w:sz w:val="20"/>
                </w:rPr>
                <w:t>2018 QCCS 2119</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 xml:space="preserve">Motion to dismiss action and strike allegations granted in part; action declared to be dismissed, with costs </w:t>
            </w:r>
          </w:p>
        </w:tc>
      </w:tr>
      <w:tr w:rsidR="006E0D1B" w:rsidRPr="00625791" w:rsidTr="00786E63">
        <w:tc>
          <w:tcPr>
            <w:tcW w:w="2427" w:type="pct"/>
          </w:tcPr>
          <w:p w:rsidR="006E0D1B" w:rsidRPr="00625791" w:rsidRDefault="006E0D1B" w:rsidP="00786E63">
            <w:pPr>
              <w:jc w:val="both"/>
              <w:rPr>
                <w:sz w:val="20"/>
              </w:rPr>
            </w:pPr>
            <w:r w:rsidRPr="00625791">
              <w:rPr>
                <w:sz w:val="20"/>
              </w:rPr>
              <w:t>September 24, 2019</w:t>
            </w:r>
          </w:p>
          <w:p w:rsidR="006E0D1B" w:rsidRPr="00625791" w:rsidRDefault="006E0D1B" w:rsidP="00786E63">
            <w:pPr>
              <w:jc w:val="both"/>
              <w:rPr>
                <w:sz w:val="20"/>
              </w:rPr>
            </w:pPr>
            <w:r w:rsidRPr="00625791">
              <w:rPr>
                <w:sz w:val="20"/>
              </w:rPr>
              <w:t xml:space="preserve">Quebec Superior Court </w:t>
            </w:r>
          </w:p>
          <w:p w:rsidR="006E0D1B" w:rsidRPr="00625791" w:rsidRDefault="006E0D1B" w:rsidP="00786E63">
            <w:pPr>
              <w:jc w:val="both"/>
              <w:rPr>
                <w:sz w:val="20"/>
              </w:rPr>
            </w:pPr>
            <w:r w:rsidRPr="00625791">
              <w:rPr>
                <w:sz w:val="20"/>
              </w:rPr>
              <w:t>(Paquette J.)</w:t>
            </w:r>
          </w:p>
          <w:p w:rsidR="006E0D1B" w:rsidRPr="00625791" w:rsidRDefault="006E0D1B" w:rsidP="00786E63">
            <w:pPr>
              <w:jc w:val="both"/>
              <w:rPr>
                <w:sz w:val="20"/>
              </w:rPr>
            </w:pPr>
            <w:r w:rsidRPr="00625791">
              <w:rPr>
                <w:sz w:val="20"/>
              </w:rPr>
              <w:t>500</w:t>
            </w:r>
            <w:r w:rsidRPr="00625791">
              <w:rPr>
                <w:sz w:val="20"/>
              </w:rPr>
              <w:noBreakHyphen/>
              <w:t>11</w:t>
            </w:r>
            <w:r w:rsidRPr="00625791">
              <w:rPr>
                <w:sz w:val="20"/>
              </w:rPr>
              <w:noBreakHyphen/>
              <w:t>040879</w:t>
            </w:r>
            <w:r w:rsidRPr="00625791">
              <w:rPr>
                <w:sz w:val="20"/>
              </w:rPr>
              <w:noBreakHyphen/>
              <w:t xml:space="preserve">112 </w:t>
            </w:r>
          </w:p>
          <w:p w:rsidR="006E0D1B" w:rsidRPr="00625791" w:rsidRDefault="00366BFA" w:rsidP="00786E63">
            <w:pPr>
              <w:jc w:val="both"/>
              <w:rPr>
                <w:sz w:val="20"/>
              </w:rPr>
            </w:pPr>
            <w:hyperlink r:id="rId27" w:history="1">
              <w:r w:rsidR="006E0D1B" w:rsidRPr="00625791">
                <w:rPr>
                  <w:rStyle w:val="Hyperlink"/>
                  <w:sz w:val="20"/>
                </w:rPr>
                <w:t>2019 QCCS 4166</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Applications to dismiss granted, applications for revocation of judgment dismissed and declared to be abusive, with costs</w:t>
            </w:r>
          </w:p>
        </w:tc>
      </w:tr>
      <w:tr w:rsidR="006E0D1B" w:rsidRPr="00625791" w:rsidTr="00786E63">
        <w:tc>
          <w:tcPr>
            <w:tcW w:w="2427" w:type="pct"/>
          </w:tcPr>
          <w:p w:rsidR="006E0D1B" w:rsidRPr="00625791" w:rsidRDefault="006E0D1B" w:rsidP="00786E63">
            <w:pPr>
              <w:jc w:val="both"/>
              <w:rPr>
                <w:sz w:val="20"/>
              </w:rPr>
            </w:pPr>
            <w:r w:rsidRPr="00625791">
              <w:rPr>
                <w:sz w:val="20"/>
              </w:rPr>
              <w:t>January 24, 2020</w:t>
            </w:r>
          </w:p>
          <w:p w:rsidR="006E0D1B" w:rsidRPr="00625791" w:rsidRDefault="006E0D1B" w:rsidP="00786E63">
            <w:pPr>
              <w:jc w:val="both"/>
              <w:rPr>
                <w:sz w:val="20"/>
              </w:rPr>
            </w:pPr>
            <w:r w:rsidRPr="00625791">
              <w:rPr>
                <w:sz w:val="20"/>
              </w:rPr>
              <w:t>Quebec Court of Appeal (Montréal)</w:t>
            </w:r>
          </w:p>
          <w:p w:rsidR="006E0D1B" w:rsidRPr="00625791" w:rsidRDefault="006E0D1B" w:rsidP="00786E63">
            <w:pPr>
              <w:jc w:val="both"/>
              <w:rPr>
                <w:sz w:val="20"/>
              </w:rPr>
            </w:pPr>
            <w:r w:rsidRPr="00625791">
              <w:rPr>
                <w:sz w:val="20"/>
              </w:rPr>
              <w:t>(Savard J.A.)</w:t>
            </w:r>
          </w:p>
          <w:p w:rsidR="006E0D1B" w:rsidRPr="00625791" w:rsidRDefault="006E0D1B" w:rsidP="00786E63">
            <w:pPr>
              <w:jc w:val="both"/>
              <w:rPr>
                <w:sz w:val="20"/>
              </w:rPr>
            </w:pPr>
            <w:r w:rsidRPr="00625791">
              <w:rPr>
                <w:sz w:val="20"/>
              </w:rPr>
              <w:t>500</w:t>
            </w:r>
            <w:r w:rsidRPr="00625791">
              <w:rPr>
                <w:sz w:val="20"/>
              </w:rPr>
              <w:noBreakHyphen/>
              <w:t>09</w:t>
            </w:r>
            <w:r w:rsidRPr="00625791">
              <w:rPr>
                <w:sz w:val="20"/>
              </w:rPr>
              <w:noBreakHyphen/>
              <w:t>028642</w:t>
            </w:r>
            <w:r w:rsidRPr="00625791">
              <w:rPr>
                <w:sz w:val="20"/>
              </w:rPr>
              <w:noBreakHyphen/>
              <w:t xml:space="preserve">197 </w:t>
            </w:r>
          </w:p>
          <w:p w:rsidR="006E0D1B" w:rsidRPr="00625791" w:rsidRDefault="00366BFA" w:rsidP="00786E63">
            <w:pPr>
              <w:jc w:val="both"/>
              <w:rPr>
                <w:sz w:val="20"/>
              </w:rPr>
            </w:pPr>
            <w:hyperlink r:id="rId28" w:history="1">
              <w:r w:rsidR="006E0D1B" w:rsidRPr="00625791">
                <w:rPr>
                  <w:rStyle w:val="Hyperlink"/>
                  <w:sz w:val="20"/>
                </w:rPr>
                <w:t>2020 QCCA 154</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Motion for leave to appeal dismissed</w:t>
            </w:r>
          </w:p>
        </w:tc>
      </w:tr>
      <w:tr w:rsidR="006E0D1B" w:rsidRPr="00625791" w:rsidTr="00786E63">
        <w:tc>
          <w:tcPr>
            <w:tcW w:w="2427" w:type="pct"/>
          </w:tcPr>
          <w:p w:rsidR="006E0D1B" w:rsidRPr="00625791" w:rsidRDefault="006E0D1B" w:rsidP="00786E63">
            <w:pPr>
              <w:jc w:val="both"/>
              <w:rPr>
                <w:sz w:val="20"/>
              </w:rPr>
            </w:pPr>
            <w:r w:rsidRPr="00625791">
              <w:rPr>
                <w:sz w:val="20"/>
              </w:rPr>
              <w:t>March 26, 2020</w:t>
            </w:r>
          </w:p>
          <w:p w:rsidR="006E0D1B" w:rsidRPr="00625791" w:rsidRDefault="006E0D1B" w:rsidP="00786E63">
            <w:pPr>
              <w:jc w:val="both"/>
              <w:rPr>
                <w:sz w:val="20"/>
              </w:rPr>
            </w:pPr>
            <w:r w:rsidRPr="00625791">
              <w:rPr>
                <w:sz w:val="20"/>
              </w:rPr>
              <w:t>Quebec Court of Appeal (Montréal)</w:t>
            </w:r>
          </w:p>
          <w:p w:rsidR="006E0D1B" w:rsidRPr="00625791" w:rsidRDefault="006E0D1B" w:rsidP="00786E63">
            <w:pPr>
              <w:jc w:val="both"/>
              <w:rPr>
                <w:sz w:val="20"/>
              </w:rPr>
            </w:pPr>
            <w:r w:rsidRPr="00625791">
              <w:rPr>
                <w:sz w:val="20"/>
              </w:rPr>
              <w:t>(Chamberland, Hilton and Moore JJ.A.)</w:t>
            </w:r>
          </w:p>
          <w:p w:rsidR="006E0D1B" w:rsidRPr="00625791" w:rsidRDefault="006E0D1B" w:rsidP="00786E63">
            <w:pPr>
              <w:jc w:val="both"/>
              <w:rPr>
                <w:sz w:val="20"/>
              </w:rPr>
            </w:pPr>
            <w:r w:rsidRPr="00625791">
              <w:rPr>
                <w:sz w:val="20"/>
              </w:rPr>
              <w:t>500</w:t>
            </w:r>
            <w:r w:rsidRPr="00625791">
              <w:rPr>
                <w:sz w:val="20"/>
              </w:rPr>
              <w:noBreakHyphen/>
              <w:t>09</w:t>
            </w:r>
            <w:r w:rsidRPr="00625791">
              <w:rPr>
                <w:sz w:val="20"/>
              </w:rPr>
              <w:noBreakHyphen/>
              <w:t>028642</w:t>
            </w:r>
            <w:r w:rsidRPr="00625791">
              <w:rPr>
                <w:sz w:val="20"/>
              </w:rPr>
              <w:noBreakHyphen/>
              <w:t xml:space="preserve">197 </w:t>
            </w:r>
          </w:p>
          <w:p w:rsidR="006E0D1B" w:rsidRPr="00625791" w:rsidRDefault="00366BFA" w:rsidP="00786E63">
            <w:pPr>
              <w:jc w:val="both"/>
              <w:rPr>
                <w:sz w:val="20"/>
              </w:rPr>
            </w:pPr>
            <w:hyperlink r:id="rId29" w:history="1">
              <w:r w:rsidR="006E0D1B" w:rsidRPr="00625791">
                <w:rPr>
                  <w:rStyle w:val="Hyperlink"/>
                  <w:sz w:val="20"/>
                </w:rPr>
                <w:t>2020 QCCA 483</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 xml:space="preserve">Motion to dismiss appeal granted, appeal and motion for leave to appeal out of time dismissed, with costs </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May 22,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37"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39256</w:t>
            </w:r>
          </w:p>
        </w:tc>
        <w:tc>
          <w:tcPr>
            <w:tcW w:w="4457" w:type="pct"/>
          </w:tcPr>
          <w:p w:rsidR="006E0D1B" w:rsidRPr="00625791" w:rsidRDefault="006E0D1B" w:rsidP="00786E63">
            <w:pPr>
              <w:pStyle w:val="SCCLsocParty"/>
              <w:jc w:val="both"/>
              <w:rPr>
                <w:b/>
                <w:sz w:val="20"/>
                <w:szCs w:val="20"/>
              </w:rPr>
            </w:pPr>
            <w:r w:rsidRPr="00625791">
              <w:rPr>
                <w:b/>
                <w:sz w:val="20"/>
                <w:szCs w:val="20"/>
              </w:rPr>
              <w:t xml:space="preserve">Denis C. Charron c. Succession de Claude L. Charron, </w:t>
            </w:r>
            <w:r w:rsidR="00786E63" w:rsidRPr="00625791">
              <w:rPr>
                <w:b/>
                <w:sz w:val="20"/>
                <w:szCs w:val="20"/>
              </w:rPr>
              <w:t>Fiducie Daniel G. Charron, 9012-6707 Québec inc., Société en commandite Résidence Les Deux Aires et Nicole M. Charron</w:t>
            </w:r>
          </w:p>
          <w:p w:rsidR="006E0D1B" w:rsidRPr="00625791" w:rsidRDefault="006E0D1B" w:rsidP="00786E63">
            <w:pPr>
              <w:pStyle w:val="SCCLsocOtherPartySeparator"/>
              <w:rPr>
                <w:sz w:val="20"/>
                <w:szCs w:val="20"/>
                <w:lang w:val="fr-CA"/>
              </w:rPr>
            </w:pPr>
            <w:r w:rsidRPr="00625791">
              <w:rPr>
                <w:sz w:val="20"/>
                <w:szCs w:val="20"/>
                <w:lang w:val="fr-CA"/>
              </w:rPr>
              <w:t>- et -</w:t>
            </w:r>
          </w:p>
          <w:p w:rsidR="006E0D1B" w:rsidRPr="00625791" w:rsidRDefault="006E0D1B" w:rsidP="00786E63">
            <w:pPr>
              <w:pStyle w:val="SCCLsocParty"/>
              <w:jc w:val="both"/>
              <w:rPr>
                <w:b/>
                <w:sz w:val="20"/>
                <w:szCs w:val="20"/>
              </w:rPr>
            </w:pPr>
            <w:r w:rsidRPr="00625791">
              <w:rPr>
                <w:b/>
                <w:sz w:val="20"/>
                <w:szCs w:val="20"/>
              </w:rPr>
              <w:t>Jean-Marc Poulin de Courval, en sa qualité de syndic à la faillite de Denis C. Charron</w:t>
            </w:r>
          </w:p>
          <w:p w:rsidR="006E0D1B" w:rsidRPr="00625791" w:rsidRDefault="006E0D1B" w:rsidP="00786E63">
            <w:pPr>
              <w:jc w:val="both"/>
              <w:rPr>
                <w:sz w:val="20"/>
              </w:rPr>
            </w:pPr>
            <w:r w:rsidRPr="00625791">
              <w:rPr>
                <w:sz w:val="20"/>
              </w:rPr>
              <w:t>(Qc) (Civile) (Autorisation)</w:t>
            </w:r>
          </w:p>
        </w:tc>
      </w:tr>
      <w:tr w:rsidR="006E0D1B" w:rsidRPr="00366BFA" w:rsidTr="00786E63">
        <w:tc>
          <w:tcPr>
            <w:tcW w:w="5000" w:type="pct"/>
            <w:gridSpan w:val="2"/>
          </w:tcPr>
          <w:p w:rsidR="00786E63" w:rsidRPr="00625791" w:rsidRDefault="00786E63" w:rsidP="00786E63">
            <w:pPr>
              <w:jc w:val="both"/>
              <w:rPr>
                <w:sz w:val="20"/>
                <w:szCs w:val="20"/>
                <w:lang w:val="fr-CA"/>
              </w:rPr>
            </w:pPr>
            <w:r w:rsidRPr="00625791">
              <w:rPr>
                <w:sz w:val="20"/>
                <w:szCs w:val="20"/>
                <w:lang w:val="fr-CA"/>
              </w:rPr>
              <w:t>La demande d’autorisation d’appel de l’arrêt de la Cour d’appel du Québec (Montréal), numéro 500-09-028642-197, 2020 QCCA 483, daté du 26 mars 2020, est rejetée avec dépens sur la base procureur-client.</w:t>
            </w:r>
          </w:p>
          <w:p w:rsidR="00786E63" w:rsidRPr="00625791" w:rsidRDefault="00786E63" w:rsidP="00786E63">
            <w:pPr>
              <w:jc w:val="both"/>
              <w:rPr>
                <w:sz w:val="20"/>
                <w:szCs w:val="20"/>
                <w:lang w:val="fr-CA"/>
              </w:rPr>
            </w:pPr>
          </w:p>
          <w:p w:rsidR="00786E63" w:rsidRPr="00625791" w:rsidRDefault="00786E63" w:rsidP="00786E63">
            <w:pPr>
              <w:jc w:val="both"/>
              <w:rPr>
                <w:sz w:val="20"/>
                <w:szCs w:val="20"/>
                <w:lang w:val="fr-CA"/>
              </w:rPr>
            </w:pPr>
            <w:r w:rsidRPr="00625791">
              <w:rPr>
                <w:sz w:val="20"/>
                <w:szCs w:val="20"/>
                <w:lang w:val="fr-CA"/>
              </w:rPr>
              <w:t>Le juge Kasirer n’a pas participé au jugement.</w:t>
            </w:r>
          </w:p>
          <w:p w:rsidR="006E0D1B" w:rsidRPr="00625791" w:rsidRDefault="006E0D1B" w:rsidP="00786E63">
            <w:pPr>
              <w:pStyle w:val="SCCBanSummary0"/>
              <w:rPr>
                <w:smallCaps w:val="0"/>
                <w:sz w:val="20"/>
                <w:szCs w:val="20"/>
                <w:lang w:val="fr-CA"/>
              </w:rPr>
            </w:pPr>
          </w:p>
        </w:tc>
      </w:tr>
      <w:tr w:rsidR="006E0D1B" w:rsidRPr="00366BFA" w:rsidTr="00786E63">
        <w:tc>
          <w:tcPr>
            <w:tcW w:w="5000" w:type="pct"/>
            <w:gridSpan w:val="2"/>
          </w:tcPr>
          <w:p w:rsidR="006E0D1B" w:rsidRPr="00625791" w:rsidRDefault="006E0D1B" w:rsidP="00786E63">
            <w:pPr>
              <w:pStyle w:val="SCCBanSummary0"/>
              <w:rPr>
                <w:smallCaps w:val="0"/>
                <w:sz w:val="20"/>
                <w:szCs w:val="20"/>
                <w:lang w:val="fr-CA"/>
              </w:rPr>
            </w:pPr>
            <w:r w:rsidRPr="00625791">
              <w:rPr>
                <w:smallCaps w:val="0"/>
                <w:sz w:val="20"/>
                <w:szCs w:val="20"/>
                <w:lang w:val="fr-CA"/>
              </w:rPr>
              <w:t>Faillite et insolvabilité — Autorité de la chose jugée — Irrecevabilité — Prescription — Pourvoi en rétractation de jugement — Rachat des parts du failli dans la société — Autorisation d’intenter des procédures par un créancier en son propre nom au lieu du syndic — Intérêt pour agir d’un failli libéré — Abus de procédure — Les instances inférieures ont</w:t>
            </w:r>
            <w:r w:rsidRPr="00625791">
              <w:rPr>
                <w:smallCaps w:val="0"/>
                <w:sz w:val="20"/>
                <w:szCs w:val="20"/>
                <w:lang w:val="fr-CA"/>
              </w:rPr>
              <w:noBreakHyphen/>
              <w:t xml:space="preserve">elles erré en concluant que l’autorité de la chose jugée devait s’appliquer en l’espèce ? — </w:t>
            </w:r>
            <w:r w:rsidRPr="00625791">
              <w:rPr>
                <w:i/>
                <w:iCs/>
                <w:smallCaps w:val="0"/>
                <w:sz w:val="20"/>
                <w:szCs w:val="20"/>
                <w:lang w:val="fr-CA"/>
              </w:rPr>
              <w:t>Règles générales sur la faillite et l’insolvabilité</w:t>
            </w:r>
            <w:r w:rsidRPr="00625791">
              <w:rPr>
                <w:iCs/>
                <w:smallCaps w:val="0"/>
                <w:sz w:val="20"/>
                <w:szCs w:val="20"/>
                <w:lang w:val="fr-CA"/>
              </w:rPr>
              <w:t xml:space="preserve">, CRC, c 368, art. 31 </w:t>
            </w:r>
            <w:r w:rsidRPr="00625791">
              <w:rPr>
                <w:smallCaps w:val="0"/>
                <w:sz w:val="20"/>
                <w:szCs w:val="20"/>
                <w:lang w:val="fr-CA"/>
              </w:rPr>
              <w:t>—</w:t>
            </w:r>
            <w:r w:rsidRPr="00625791">
              <w:rPr>
                <w:iCs/>
                <w:smallCaps w:val="0"/>
                <w:sz w:val="20"/>
                <w:szCs w:val="20"/>
                <w:lang w:val="fr-CA"/>
              </w:rPr>
              <w:t xml:space="preserve"> </w:t>
            </w:r>
            <w:r w:rsidRPr="00625791">
              <w:rPr>
                <w:i/>
                <w:smallCaps w:val="0"/>
                <w:sz w:val="20"/>
                <w:szCs w:val="20"/>
                <w:lang w:val="fr-CA"/>
              </w:rPr>
              <w:t>Loi sur la faillite et l’insolvabilité</w:t>
            </w:r>
            <w:r w:rsidRPr="00625791">
              <w:rPr>
                <w:smallCaps w:val="0"/>
                <w:sz w:val="20"/>
                <w:szCs w:val="20"/>
                <w:lang w:val="fr-CA"/>
              </w:rPr>
              <w:t>, LRC 1985, c B</w:t>
            </w:r>
            <w:r w:rsidRPr="00625791">
              <w:rPr>
                <w:smallCaps w:val="0"/>
                <w:sz w:val="20"/>
                <w:szCs w:val="20"/>
                <w:lang w:val="fr-CA"/>
              </w:rPr>
              <w:noBreakHyphen/>
              <w:t xml:space="preserve">3, art. 38, 193 — </w:t>
            </w:r>
            <w:r w:rsidRPr="00625791">
              <w:rPr>
                <w:i/>
                <w:smallCaps w:val="0"/>
                <w:sz w:val="20"/>
                <w:szCs w:val="20"/>
                <w:lang w:val="fr-CA"/>
              </w:rPr>
              <w:t>Code civil du Québec</w:t>
            </w:r>
            <w:r w:rsidRPr="00625791">
              <w:rPr>
                <w:smallCaps w:val="0"/>
                <w:sz w:val="20"/>
                <w:szCs w:val="20"/>
                <w:lang w:val="fr-CA"/>
              </w:rPr>
              <w:t>, RLRQ c CCQ</w:t>
            </w:r>
            <w:r w:rsidRPr="00625791">
              <w:rPr>
                <w:smallCaps w:val="0"/>
                <w:sz w:val="20"/>
                <w:szCs w:val="20"/>
                <w:lang w:val="fr-CA"/>
              </w:rPr>
              <w:noBreakHyphen/>
              <w:t>1991, art. 2226, 2227.</w:t>
            </w:r>
          </w:p>
          <w:p w:rsidR="00786E63" w:rsidRPr="00625791" w:rsidRDefault="00786E63" w:rsidP="00786E63">
            <w:pPr>
              <w:rPr>
                <w:lang w:val="fr-CA"/>
              </w:rPr>
            </w:pPr>
          </w:p>
        </w:tc>
      </w:tr>
    </w:tbl>
    <w:p w:rsidR="00786E63" w:rsidRPr="00625791" w:rsidRDefault="00786E63">
      <w:pPr>
        <w:rPr>
          <w:lang w:val="fr-CA"/>
        </w:rPr>
      </w:pPr>
      <w:r w:rsidRPr="0062579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0D1B" w:rsidRPr="00366BFA" w:rsidTr="00786E63">
        <w:tc>
          <w:tcPr>
            <w:tcW w:w="5000" w:type="pct"/>
            <w:gridSpan w:val="3"/>
          </w:tcPr>
          <w:p w:rsidR="006E0D1B" w:rsidRPr="00625791" w:rsidRDefault="006E0D1B" w:rsidP="00786E63">
            <w:pPr>
              <w:jc w:val="both"/>
              <w:rPr>
                <w:sz w:val="20"/>
                <w:lang w:val="fr-CA"/>
              </w:rPr>
            </w:pPr>
            <w:r w:rsidRPr="00625791">
              <w:rPr>
                <w:sz w:val="20"/>
                <w:lang w:val="fr-CA"/>
              </w:rPr>
              <w:lastRenderedPageBreak/>
              <w:t>En 2001, le demandeur intente une action par laquelle il recherche le rachat de ses parts dans l’entreprise familiale. Il fait cession de ses biens en 2010 et le syndic refuse de reprendre l’instance, de sorte que son action est rejetée en 2012. La société 9149</w:t>
            </w:r>
            <w:r w:rsidRPr="00625791">
              <w:rPr>
                <w:sz w:val="20"/>
                <w:lang w:val="fr-CA"/>
              </w:rPr>
              <w:noBreakHyphen/>
              <w:t xml:space="preserve">1811 Québec inc. obtient du registraire à la faillite l’autorisation d’intenter en son propre nom les procédures afin de réaliser les actifs du demandeur. Elle présente en 2017 une nouvelle demande contre les intimées dans le but de récupérer la valeur des parts sociales du demandeur dans l’entreprise familiale dont il serait réputé avoir aussitôt disposé au moment de sa faillite. En première instance, le juge accueille la requête en irrecevabilité et en rejet des intimées, rejetant ainsi l’action au motif que le recours exercé vise un droit d’action qui est clairement prescrit et qui a déjà fait l’objet d’un jugement en 2012. Le pourvoi en rétractation de jugement du demandeur est déclaré irrecevable et rejeté par la Cour supérieure qui conclut en outre à son caractère abusif. La Cour d’appel accueille la requête en rejet d’appel des intimées et rejette l’appel du demandeur aux motifs qu’il a été formé hors du délai de rigueur et qu’il ne présente aucune chance raisonnable de succès. </w:t>
            </w:r>
          </w:p>
        </w:tc>
      </w:tr>
      <w:tr w:rsidR="006E0D1B" w:rsidRPr="00366BFA" w:rsidTr="00786E63">
        <w:tc>
          <w:tcPr>
            <w:tcW w:w="5000" w:type="pct"/>
            <w:gridSpan w:val="3"/>
          </w:tcPr>
          <w:p w:rsidR="006E0D1B" w:rsidRPr="00625791" w:rsidRDefault="006E0D1B" w:rsidP="00786E63">
            <w:pPr>
              <w:jc w:val="both"/>
              <w:rPr>
                <w:sz w:val="20"/>
                <w:lang w:val="fr-CA"/>
              </w:rPr>
            </w:pPr>
          </w:p>
        </w:tc>
      </w:tr>
      <w:tr w:rsidR="006E0D1B" w:rsidRPr="00366BFA" w:rsidTr="00786E63">
        <w:tc>
          <w:tcPr>
            <w:tcW w:w="2427" w:type="pct"/>
          </w:tcPr>
          <w:p w:rsidR="006E0D1B" w:rsidRPr="00625791" w:rsidRDefault="006E0D1B" w:rsidP="00786E63">
            <w:pPr>
              <w:jc w:val="both"/>
              <w:rPr>
                <w:sz w:val="20"/>
                <w:lang w:val="fr-CA"/>
              </w:rPr>
            </w:pPr>
            <w:r w:rsidRPr="00625791">
              <w:rPr>
                <w:sz w:val="20"/>
                <w:lang w:val="fr-CA"/>
              </w:rPr>
              <w:t>Le 18 mai 2018</w:t>
            </w:r>
          </w:p>
          <w:p w:rsidR="006E0D1B" w:rsidRPr="00625791" w:rsidRDefault="006E0D1B" w:rsidP="00786E63">
            <w:pPr>
              <w:jc w:val="both"/>
              <w:rPr>
                <w:sz w:val="20"/>
                <w:lang w:val="fr-CA"/>
              </w:rPr>
            </w:pPr>
            <w:r w:rsidRPr="00625791">
              <w:rPr>
                <w:sz w:val="20"/>
                <w:lang w:val="fr-CA"/>
              </w:rPr>
              <w:t>Cour supérieure du Québec</w:t>
            </w:r>
          </w:p>
          <w:p w:rsidR="006E0D1B" w:rsidRPr="00625791" w:rsidRDefault="006E0D1B" w:rsidP="00786E63">
            <w:pPr>
              <w:jc w:val="both"/>
              <w:rPr>
                <w:sz w:val="20"/>
              </w:rPr>
            </w:pPr>
            <w:r w:rsidRPr="00625791">
              <w:rPr>
                <w:sz w:val="20"/>
              </w:rPr>
              <w:t>(Le juge Pinsonnault)</w:t>
            </w:r>
          </w:p>
          <w:p w:rsidR="006E0D1B" w:rsidRPr="00625791" w:rsidRDefault="006E0D1B" w:rsidP="00786E63">
            <w:pPr>
              <w:jc w:val="both"/>
              <w:rPr>
                <w:sz w:val="20"/>
              </w:rPr>
            </w:pPr>
            <w:r w:rsidRPr="00625791">
              <w:rPr>
                <w:sz w:val="20"/>
              </w:rPr>
              <w:t>500</w:t>
            </w:r>
            <w:r w:rsidRPr="00625791">
              <w:rPr>
                <w:sz w:val="20"/>
              </w:rPr>
              <w:noBreakHyphen/>
              <w:t>11</w:t>
            </w:r>
            <w:r w:rsidRPr="00625791">
              <w:rPr>
                <w:sz w:val="20"/>
              </w:rPr>
              <w:noBreakHyphen/>
              <w:t>040879</w:t>
            </w:r>
            <w:r w:rsidRPr="00625791">
              <w:rPr>
                <w:sz w:val="20"/>
              </w:rPr>
              <w:noBreakHyphen/>
              <w:t xml:space="preserve">112 </w:t>
            </w:r>
          </w:p>
          <w:p w:rsidR="006E0D1B" w:rsidRPr="00625791" w:rsidRDefault="00366BFA" w:rsidP="00786E63">
            <w:pPr>
              <w:jc w:val="both"/>
              <w:rPr>
                <w:sz w:val="20"/>
              </w:rPr>
            </w:pPr>
            <w:hyperlink r:id="rId30" w:history="1">
              <w:r w:rsidR="006E0D1B" w:rsidRPr="00625791">
                <w:rPr>
                  <w:rStyle w:val="Hyperlink"/>
                  <w:sz w:val="20"/>
                </w:rPr>
                <w:t>2018 QCCS 2119</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Requête en irrecevabilité, rejet d’action et radiation d’allégations accueillie en partie; action déclarée irrecevable et rejetée, avec frais.</w:t>
            </w:r>
          </w:p>
        </w:tc>
      </w:tr>
      <w:tr w:rsidR="006E0D1B" w:rsidRPr="00366BFA" w:rsidTr="00786E63">
        <w:tc>
          <w:tcPr>
            <w:tcW w:w="2427" w:type="pct"/>
          </w:tcPr>
          <w:p w:rsidR="006E0D1B" w:rsidRPr="00625791" w:rsidRDefault="006E0D1B" w:rsidP="00786E63">
            <w:pPr>
              <w:jc w:val="both"/>
              <w:rPr>
                <w:sz w:val="20"/>
                <w:lang w:val="fr-CA"/>
              </w:rPr>
            </w:pPr>
            <w:r w:rsidRPr="00625791">
              <w:rPr>
                <w:sz w:val="20"/>
                <w:lang w:val="fr-CA"/>
              </w:rPr>
              <w:t>Le 24 septembre 2019</w:t>
            </w:r>
          </w:p>
          <w:p w:rsidR="006E0D1B" w:rsidRPr="00625791" w:rsidRDefault="006E0D1B" w:rsidP="00786E63">
            <w:pPr>
              <w:jc w:val="both"/>
              <w:rPr>
                <w:sz w:val="20"/>
                <w:lang w:val="fr-CA"/>
              </w:rPr>
            </w:pPr>
            <w:r w:rsidRPr="00625791">
              <w:rPr>
                <w:sz w:val="20"/>
                <w:lang w:val="fr-CA"/>
              </w:rPr>
              <w:t>Cour supérieure du Québec</w:t>
            </w:r>
          </w:p>
          <w:p w:rsidR="006E0D1B" w:rsidRPr="00625791" w:rsidRDefault="006E0D1B" w:rsidP="00786E63">
            <w:pPr>
              <w:jc w:val="both"/>
              <w:rPr>
                <w:sz w:val="20"/>
              </w:rPr>
            </w:pPr>
            <w:r w:rsidRPr="00625791">
              <w:rPr>
                <w:sz w:val="20"/>
              </w:rPr>
              <w:t>(La juge Paquette)</w:t>
            </w:r>
          </w:p>
          <w:p w:rsidR="006E0D1B" w:rsidRPr="00625791" w:rsidRDefault="006E0D1B" w:rsidP="00786E63">
            <w:pPr>
              <w:jc w:val="both"/>
              <w:rPr>
                <w:sz w:val="20"/>
              </w:rPr>
            </w:pPr>
            <w:r w:rsidRPr="00625791">
              <w:rPr>
                <w:sz w:val="20"/>
              </w:rPr>
              <w:t>500</w:t>
            </w:r>
            <w:r w:rsidRPr="00625791">
              <w:rPr>
                <w:sz w:val="20"/>
              </w:rPr>
              <w:noBreakHyphen/>
              <w:t>11</w:t>
            </w:r>
            <w:r w:rsidRPr="00625791">
              <w:rPr>
                <w:sz w:val="20"/>
              </w:rPr>
              <w:noBreakHyphen/>
              <w:t>040879</w:t>
            </w:r>
            <w:r w:rsidRPr="00625791">
              <w:rPr>
                <w:sz w:val="20"/>
              </w:rPr>
              <w:noBreakHyphen/>
              <w:t xml:space="preserve">112 </w:t>
            </w:r>
          </w:p>
          <w:p w:rsidR="006E0D1B" w:rsidRPr="00625791" w:rsidRDefault="00366BFA" w:rsidP="00786E63">
            <w:pPr>
              <w:jc w:val="both"/>
              <w:rPr>
                <w:sz w:val="20"/>
              </w:rPr>
            </w:pPr>
            <w:hyperlink r:id="rId31" w:history="1">
              <w:r w:rsidR="006E0D1B" w:rsidRPr="00625791">
                <w:rPr>
                  <w:rStyle w:val="Hyperlink"/>
                  <w:sz w:val="20"/>
                </w:rPr>
                <w:t>2019 QCCS 4166</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Demandes en irrecevabilité et en rejet accueillies, pourvois en rétractation de jugement rejetés et déclarés abusifs, avec frais.</w:t>
            </w:r>
          </w:p>
        </w:tc>
      </w:tr>
      <w:tr w:rsidR="006E0D1B" w:rsidRPr="00366BFA" w:rsidTr="00786E63">
        <w:tc>
          <w:tcPr>
            <w:tcW w:w="2427" w:type="pct"/>
          </w:tcPr>
          <w:p w:rsidR="006E0D1B" w:rsidRPr="00625791" w:rsidRDefault="006E0D1B" w:rsidP="00786E63">
            <w:pPr>
              <w:jc w:val="both"/>
              <w:rPr>
                <w:sz w:val="20"/>
                <w:lang w:val="fr-CA"/>
              </w:rPr>
            </w:pPr>
            <w:r w:rsidRPr="00625791">
              <w:rPr>
                <w:sz w:val="20"/>
                <w:lang w:val="fr-CA"/>
              </w:rPr>
              <w:t>Le 24 janvier 2020</w:t>
            </w:r>
          </w:p>
          <w:p w:rsidR="006E0D1B" w:rsidRPr="00625791" w:rsidRDefault="006E0D1B" w:rsidP="00786E63">
            <w:pPr>
              <w:jc w:val="both"/>
              <w:rPr>
                <w:sz w:val="20"/>
                <w:lang w:val="fr-CA"/>
              </w:rPr>
            </w:pPr>
            <w:r w:rsidRPr="00625791">
              <w:rPr>
                <w:sz w:val="20"/>
                <w:lang w:val="fr-CA"/>
              </w:rPr>
              <w:t>Cour d’appel du Québec (Montréal)</w:t>
            </w:r>
          </w:p>
          <w:p w:rsidR="006E0D1B" w:rsidRPr="00625791" w:rsidRDefault="006E0D1B" w:rsidP="00786E63">
            <w:pPr>
              <w:jc w:val="both"/>
              <w:rPr>
                <w:sz w:val="20"/>
              </w:rPr>
            </w:pPr>
            <w:r w:rsidRPr="00625791">
              <w:rPr>
                <w:sz w:val="20"/>
              </w:rPr>
              <w:t>(La juge Savard)</w:t>
            </w:r>
          </w:p>
          <w:p w:rsidR="006E0D1B" w:rsidRPr="00625791" w:rsidRDefault="006E0D1B" w:rsidP="00786E63">
            <w:pPr>
              <w:jc w:val="both"/>
              <w:rPr>
                <w:sz w:val="20"/>
              </w:rPr>
            </w:pPr>
            <w:r w:rsidRPr="00625791">
              <w:rPr>
                <w:sz w:val="20"/>
              </w:rPr>
              <w:t>500</w:t>
            </w:r>
            <w:r w:rsidRPr="00625791">
              <w:rPr>
                <w:sz w:val="20"/>
              </w:rPr>
              <w:noBreakHyphen/>
              <w:t>09</w:t>
            </w:r>
            <w:r w:rsidRPr="00625791">
              <w:rPr>
                <w:sz w:val="20"/>
              </w:rPr>
              <w:noBreakHyphen/>
              <w:t>028642</w:t>
            </w:r>
            <w:r w:rsidRPr="00625791">
              <w:rPr>
                <w:sz w:val="20"/>
              </w:rPr>
              <w:noBreakHyphen/>
              <w:t xml:space="preserve">197 </w:t>
            </w:r>
          </w:p>
          <w:p w:rsidR="006E0D1B" w:rsidRPr="00625791" w:rsidRDefault="00366BFA" w:rsidP="00786E63">
            <w:pPr>
              <w:jc w:val="both"/>
              <w:rPr>
                <w:sz w:val="20"/>
              </w:rPr>
            </w:pPr>
            <w:hyperlink r:id="rId32" w:history="1">
              <w:r w:rsidR="006E0D1B" w:rsidRPr="00625791">
                <w:rPr>
                  <w:rStyle w:val="Hyperlink"/>
                  <w:sz w:val="20"/>
                </w:rPr>
                <w:t>2020 QCCA 154</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 xml:space="preserve">Requête pour permission d’appeler rejetée. </w:t>
            </w:r>
          </w:p>
        </w:tc>
      </w:tr>
      <w:tr w:rsidR="006E0D1B" w:rsidRPr="00366BFA" w:rsidTr="00786E63">
        <w:tc>
          <w:tcPr>
            <w:tcW w:w="2427" w:type="pct"/>
          </w:tcPr>
          <w:p w:rsidR="006E0D1B" w:rsidRPr="00625791" w:rsidRDefault="006E0D1B" w:rsidP="00786E63">
            <w:pPr>
              <w:jc w:val="both"/>
              <w:rPr>
                <w:sz w:val="20"/>
                <w:lang w:val="fr-CA"/>
              </w:rPr>
            </w:pPr>
            <w:r w:rsidRPr="00625791">
              <w:rPr>
                <w:sz w:val="20"/>
                <w:lang w:val="fr-CA"/>
              </w:rPr>
              <w:t>Le 26 mars 2020</w:t>
            </w:r>
          </w:p>
          <w:p w:rsidR="006E0D1B" w:rsidRPr="00625791" w:rsidRDefault="006E0D1B" w:rsidP="00786E63">
            <w:pPr>
              <w:jc w:val="both"/>
              <w:rPr>
                <w:sz w:val="20"/>
                <w:lang w:val="fr-CA"/>
              </w:rPr>
            </w:pPr>
            <w:r w:rsidRPr="00625791">
              <w:rPr>
                <w:sz w:val="20"/>
                <w:lang w:val="fr-CA"/>
              </w:rPr>
              <w:t>Cour d’appel du Québec (Montréal)</w:t>
            </w:r>
          </w:p>
          <w:p w:rsidR="006E0D1B" w:rsidRPr="00625791" w:rsidRDefault="006E0D1B" w:rsidP="00786E63">
            <w:pPr>
              <w:jc w:val="both"/>
              <w:rPr>
                <w:sz w:val="20"/>
                <w:lang w:val="fr-CA"/>
              </w:rPr>
            </w:pPr>
            <w:r w:rsidRPr="00625791">
              <w:rPr>
                <w:sz w:val="20"/>
                <w:lang w:val="fr-CA"/>
              </w:rPr>
              <w:t>(Les juges Chamberland, Hilton et Moore)</w:t>
            </w:r>
          </w:p>
          <w:p w:rsidR="006E0D1B" w:rsidRPr="00625791" w:rsidRDefault="006E0D1B" w:rsidP="00786E63">
            <w:pPr>
              <w:jc w:val="both"/>
              <w:rPr>
                <w:sz w:val="20"/>
              </w:rPr>
            </w:pPr>
            <w:r w:rsidRPr="00625791">
              <w:rPr>
                <w:sz w:val="20"/>
              </w:rPr>
              <w:t>500</w:t>
            </w:r>
            <w:r w:rsidRPr="00625791">
              <w:rPr>
                <w:sz w:val="20"/>
              </w:rPr>
              <w:noBreakHyphen/>
              <w:t>09</w:t>
            </w:r>
            <w:r w:rsidRPr="00625791">
              <w:rPr>
                <w:sz w:val="20"/>
              </w:rPr>
              <w:noBreakHyphen/>
              <w:t>028642</w:t>
            </w:r>
            <w:r w:rsidRPr="00625791">
              <w:rPr>
                <w:sz w:val="20"/>
              </w:rPr>
              <w:noBreakHyphen/>
              <w:t xml:space="preserve">197 </w:t>
            </w:r>
          </w:p>
          <w:p w:rsidR="006E0D1B" w:rsidRPr="00625791" w:rsidRDefault="00366BFA" w:rsidP="00786E63">
            <w:pPr>
              <w:jc w:val="both"/>
              <w:rPr>
                <w:sz w:val="20"/>
              </w:rPr>
            </w:pPr>
            <w:hyperlink r:id="rId33" w:history="1">
              <w:r w:rsidR="006E0D1B" w:rsidRPr="00625791">
                <w:rPr>
                  <w:rStyle w:val="Hyperlink"/>
                  <w:sz w:val="20"/>
                </w:rPr>
                <w:t>2020 QCCA 483</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lang w:val="fr-CA"/>
              </w:rPr>
            </w:pPr>
            <w:r w:rsidRPr="00625791">
              <w:rPr>
                <w:sz w:val="20"/>
                <w:lang w:val="fr-CA"/>
              </w:rPr>
              <w:t>Requête en rejet d’appel accueillie, appel et requête pour permission d’appeler hors délai rejetés, avec frais.</w:t>
            </w:r>
          </w:p>
          <w:p w:rsidR="006E0D1B" w:rsidRPr="00625791" w:rsidRDefault="006E0D1B" w:rsidP="00786E63">
            <w:pPr>
              <w:jc w:val="both"/>
              <w:rPr>
                <w:sz w:val="20"/>
                <w:lang w:val="fr-CA"/>
              </w:rPr>
            </w:pPr>
          </w:p>
        </w:tc>
      </w:tr>
      <w:tr w:rsidR="006E0D1B" w:rsidRPr="00625791" w:rsidTr="00786E63">
        <w:tc>
          <w:tcPr>
            <w:tcW w:w="2427" w:type="pct"/>
          </w:tcPr>
          <w:p w:rsidR="006E0D1B" w:rsidRPr="00625791" w:rsidRDefault="006E0D1B" w:rsidP="00786E63">
            <w:pPr>
              <w:jc w:val="both"/>
              <w:rPr>
                <w:sz w:val="20"/>
                <w:lang w:val="fr-CA"/>
              </w:rPr>
            </w:pPr>
            <w:r w:rsidRPr="00625791">
              <w:rPr>
                <w:sz w:val="20"/>
                <w:lang w:val="fr-CA"/>
              </w:rPr>
              <w:t>Le 22 mai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rPr>
            </w:pPr>
            <w:r w:rsidRPr="00625791">
              <w:rPr>
                <w:sz w:val="20"/>
              </w:rPr>
              <w:t>Demande d’autorisation d’appel déposée.</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38"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39180</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Church of Atheism of Central Canada v. Minister of National Revenue</w:t>
            </w:r>
          </w:p>
          <w:p w:rsidR="006E0D1B" w:rsidRPr="00625791" w:rsidRDefault="006E0D1B" w:rsidP="00786E63">
            <w:pPr>
              <w:jc w:val="both"/>
              <w:rPr>
                <w:sz w:val="20"/>
              </w:rPr>
            </w:pPr>
            <w:r w:rsidRPr="00625791">
              <w:rPr>
                <w:sz w:val="20"/>
              </w:rPr>
              <w:t>(F.C.) (Civil) (By Leave)</w:t>
            </w:r>
          </w:p>
        </w:tc>
      </w:tr>
      <w:tr w:rsidR="006E0D1B" w:rsidRPr="00625791" w:rsidTr="00786E63">
        <w:tc>
          <w:tcPr>
            <w:tcW w:w="5000" w:type="pct"/>
            <w:gridSpan w:val="4"/>
          </w:tcPr>
          <w:p w:rsidR="00DC195B" w:rsidRPr="00625791" w:rsidRDefault="00DC195B" w:rsidP="00DC195B">
            <w:pPr>
              <w:jc w:val="both"/>
              <w:rPr>
                <w:sz w:val="20"/>
                <w:szCs w:val="20"/>
              </w:rPr>
            </w:pPr>
            <w:r w:rsidRPr="00625791">
              <w:rPr>
                <w:sz w:val="20"/>
                <w:szCs w:val="20"/>
              </w:rPr>
              <w:t>The application for leave to appeal from the judgment of the Federal Court of Appeal, Number A-85-19, 2019 FCA 296, dated November 29, 2019, is dismissed with costs.</w:t>
            </w:r>
          </w:p>
          <w:p w:rsidR="006E0D1B" w:rsidRPr="00625791" w:rsidRDefault="006E0D1B" w:rsidP="00DC195B">
            <w:pPr>
              <w:tabs>
                <w:tab w:val="left" w:pos="1206"/>
              </w:tabs>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i/>
                <w:sz w:val="20"/>
              </w:rPr>
              <w:t>Charter of Rights</w:t>
            </w:r>
            <w:r w:rsidRPr="00625791">
              <w:rPr>
                <w:sz w:val="20"/>
              </w:rPr>
              <w:t xml:space="preserve"> — Right to equality — Discrimination based on religion — Taxation —Charitable status — Canada Revenue Agency determining that Atheism was not a religion in the legal sense and denying applicant charitable registration — Whether the state has an obligation of religious neutrality — Whether the failure to register the applicant as a charity was contrary to ss. 2(a) and 15, as interpreted by s. 27, of the </w:t>
            </w:r>
            <w:r w:rsidRPr="00625791">
              <w:rPr>
                <w:i/>
                <w:sz w:val="20"/>
              </w:rPr>
              <w:t>Charter</w:t>
            </w:r>
            <w:r w:rsidRPr="00625791">
              <w:rPr>
                <w:sz w:val="20"/>
              </w:rPr>
              <w:t>.</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rStyle w:val="Emphasis"/>
                <w:sz w:val="20"/>
                <w:lang w:val="en"/>
              </w:rPr>
            </w:pPr>
            <w:r w:rsidRPr="00625791">
              <w:rPr>
                <w:sz w:val="20"/>
              </w:rPr>
              <w:lastRenderedPageBreak/>
              <w:t>T</w:t>
            </w:r>
            <w:r w:rsidRPr="00625791">
              <w:rPr>
                <w:sz w:val="20"/>
                <w:lang w:val="en"/>
              </w:rPr>
              <w:t xml:space="preserve">he Church of Atheism of Central Canada is a corporation incorporated under the </w:t>
            </w:r>
            <w:hyperlink r:id="rId34" w:history="1">
              <w:r w:rsidRPr="00625791">
                <w:rPr>
                  <w:rStyle w:val="Emphasis"/>
                  <w:sz w:val="20"/>
                  <w:lang w:val="en"/>
                </w:rPr>
                <w:t>Canada Not</w:t>
              </w:r>
              <w:r w:rsidRPr="00625791">
                <w:rPr>
                  <w:rStyle w:val="Emphasis"/>
                  <w:sz w:val="20"/>
                  <w:lang w:val="en"/>
                </w:rPr>
                <w:noBreakHyphen/>
                <w:t>for</w:t>
              </w:r>
              <w:r w:rsidRPr="00625791">
                <w:rPr>
                  <w:rStyle w:val="Emphasis"/>
                  <w:sz w:val="20"/>
                  <w:lang w:val="en"/>
                </w:rPr>
                <w:noBreakHyphen/>
                <w:t>profit Corporations Act</w:t>
              </w:r>
              <w:r w:rsidRPr="00625791">
                <w:rPr>
                  <w:rStyle w:val="Hyperlink"/>
                  <w:rFonts w:eastAsiaTheme="majorEastAsia"/>
                  <w:sz w:val="20"/>
                  <w:lang w:val="en"/>
                </w:rPr>
                <w:t>, S.C. 2009, c. 23</w:t>
              </w:r>
            </w:hyperlink>
            <w:r w:rsidRPr="00625791">
              <w:rPr>
                <w:sz w:val="20"/>
                <w:lang w:val="en"/>
              </w:rPr>
              <w:t xml:space="preserve">, with a stated purpose “to preach Atheism through charitable activities...” </w:t>
            </w:r>
            <w:bookmarkStart w:id="4" w:name="par2"/>
            <w:bookmarkEnd w:id="4"/>
            <w:r w:rsidRPr="00625791">
              <w:rPr>
                <w:sz w:val="20"/>
                <w:lang w:val="en"/>
              </w:rPr>
              <w:t xml:space="preserve">In 2015, it applied for charitable registration under the </w:t>
            </w:r>
            <w:hyperlink r:id="rId35" w:history="1">
              <w:r w:rsidRPr="00625791">
                <w:rPr>
                  <w:rStyle w:val="Emphasis"/>
                  <w:sz w:val="20"/>
                  <w:lang w:val="en"/>
                </w:rPr>
                <w:t>Income Tax Act</w:t>
              </w:r>
              <w:r w:rsidRPr="00625791">
                <w:rPr>
                  <w:rStyle w:val="Hyperlink"/>
                  <w:rFonts w:eastAsiaTheme="majorEastAsia"/>
                  <w:sz w:val="20"/>
                  <w:lang w:val="en"/>
                </w:rPr>
                <w:t>, R.S.C. 1985, c. 1 (5th Supp</w:t>
              </w:r>
            </w:hyperlink>
            <w:r w:rsidRPr="00625791">
              <w:rPr>
                <w:sz w:val="20"/>
                <w:lang w:val="en"/>
              </w:rPr>
              <w:t>.), but the Minister of National Revenue denied its application in 2017. The applicant’s objection was denied and the refusal of registration was confirmed by the Minister in 2018. The Church of Atheism appealed that decision, rais</w:t>
            </w:r>
            <w:bookmarkStart w:id="5" w:name="par3"/>
            <w:bookmarkEnd w:id="5"/>
            <w:r w:rsidRPr="00625791">
              <w:rPr>
                <w:sz w:val="20"/>
                <w:lang w:val="en"/>
              </w:rPr>
              <w:t>ing</w:t>
            </w:r>
            <w:r w:rsidRPr="00625791">
              <w:rPr>
                <w:i/>
                <w:sz w:val="20"/>
                <w:lang w:val="en"/>
              </w:rPr>
              <w:t xml:space="preserve"> Charter</w:t>
            </w:r>
            <w:r w:rsidRPr="00625791">
              <w:rPr>
                <w:sz w:val="20"/>
                <w:lang w:val="en"/>
              </w:rPr>
              <w:t xml:space="preserve"> arguments. It submitted that the common law test governing the advancement of religion as a head of charity was invalid as contrary to </w:t>
            </w:r>
            <w:hyperlink r:id="rId36" w:anchor="sec2_smooth" w:history="1">
              <w:r w:rsidRPr="00625791">
                <w:rPr>
                  <w:rStyle w:val="Hyperlink"/>
                  <w:rFonts w:eastAsiaTheme="majorEastAsia"/>
                  <w:sz w:val="20"/>
                  <w:lang w:val="en"/>
                </w:rPr>
                <w:t>sections 2</w:t>
              </w:r>
            </w:hyperlink>
            <w:r w:rsidRPr="00625791">
              <w:rPr>
                <w:sz w:val="20"/>
                <w:lang w:val="en"/>
              </w:rPr>
              <w:t xml:space="preserve">, </w:t>
            </w:r>
            <w:hyperlink r:id="rId37" w:anchor="sec15_smooth" w:history="1">
              <w:r w:rsidRPr="00625791">
                <w:rPr>
                  <w:rStyle w:val="Hyperlink"/>
                  <w:rFonts w:eastAsiaTheme="majorEastAsia"/>
                  <w:sz w:val="20"/>
                  <w:lang w:val="en"/>
                </w:rPr>
                <w:t>15</w:t>
              </w:r>
            </w:hyperlink>
            <w:r w:rsidRPr="00625791">
              <w:rPr>
                <w:sz w:val="20"/>
                <w:lang w:val="en"/>
              </w:rPr>
              <w:t xml:space="preserve"> and</w:t>
            </w:r>
            <w:hyperlink r:id="rId38" w:anchor="sec27_smooth" w:history="1">
              <w:r w:rsidRPr="00625791">
                <w:rPr>
                  <w:rStyle w:val="Hyperlink"/>
                  <w:rFonts w:eastAsiaTheme="majorEastAsia"/>
                  <w:sz w:val="20"/>
                  <w:lang w:val="en"/>
                </w:rPr>
                <w:t xml:space="preserve"> 27</w:t>
              </w:r>
            </w:hyperlink>
            <w:r w:rsidRPr="00625791">
              <w:rPr>
                <w:sz w:val="20"/>
                <w:lang w:val="en"/>
              </w:rPr>
              <w:t xml:space="preserve"> of the </w:t>
            </w:r>
            <w:r w:rsidRPr="00625791">
              <w:rPr>
                <w:i/>
                <w:sz w:val="20"/>
                <w:lang w:val="en"/>
              </w:rPr>
              <w:t>Charter</w:t>
            </w:r>
            <w:r w:rsidRPr="00625791">
              <w:rPr>
                <w:sz w:val="20"/>
                <w:lang w:val="en"/>
              </w:rPr>
              <w:t xml:space="preserve">. </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August 31, 2017</w:t>
            </w:r>
          </w:p>
          <w:p w:rsidR="006E0D1B" w:rsidRPr="00625791" w:rsidRDefault="006E0D1B" w:rsidP="00786E63">
            <w:pPr>
              <w:jc w:val="both"/>
              <w:rPr>
                <w:sz w:val="20"/>
              </w:rPr>
            </w:pPr>
            <w:r w:rsidRPr="00625791">
              <w:rPr>
                <w:sz w:val="20"/>
              </w:rPr>
              <w:t>Canada Revenue Agency</w:t>
            </w:r>
          </w:p>
          <w:p w:rsidR="006E0D1B" w:rsidRPr="00625791" w:rsidRDefault="006E0D1B" w:rsidP="00786E63">
            <w:pPr>
              <w:jc w:val="both"/>
              <w:rPr>
                <w:sz w:val="20"/>
              </w:rPr>
            </w:pPr>
            <w:r w:rsidRPr="00625791">
              <w:rPr>
                <w:sz w:val="20"/>
              </w:rPr>
              <w:t>(Manconi, Assistant Director)</w:t>
            </w:r>
          </w:p>
          <w:p w:rsidR="006E0D1B" w:rsidRPr="00625791" w:rsidRDefault="006E0D1B" w:rsidP="00786E63">
            <w:pPr>
              <w:jc w:val="both"/>
              <w:rPr>
                <w:sz w:val="20"/>
              </w:rPr>
            </w:pPr>
            <w:r w:rsidRPr="00625791">
              <w:rPr>
                <w:sz w:val="20"/>
              </w:rPr>
              <w:t>Unreported</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Canada Revenue Agency issuing Notice of Refusal of Registration to applicant that it did not qualify for charitable registration</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November 29, 2019</w:t>
            </w:r>
          </w:p>
          <w:p w:rsidR="006E0D1B" w:rsidRPr="00625791" w:rsidRDefault="006E0D1B" w:rsidP="00786E63">
            <w:pPr>
              <w:jc w:val="both"/>
              <w:rPr>
                <w:sz w:val="20"/>
              </w:rPr>
            </w:pPr>
            <w:r w:rsidRPr="00625791">
              <w:rPr>
                <w:sz w:val="20"/>
              </w:rPr>
              <w:t>Federal Court of Appeal</w:t>
            </w:r>
          </w:p>
          <w:p w:rsidR="006E0D1B" w:rsidRPr="00625791" w:rsidRDefault="006E0D1B" w:rsidP="00786E63">
            <w:pPr>
              <w:jc w:val="both"/>
              <w:rPr>
                <w:sz w:val="20"/>
              </w:rPr>
            </w:pPr>
            <w:r w:rsidRPr="00625791">
              <w:rPr>
                <w:sz w:val="20"/>
              </w:rPr>
              <w:t>(Nadon, Rennie and Rivoalen JJ.A.)</w:t>
            </w:r>
          </w:p>
          <w:p w:rsidR="006E0D1B" w:rsidRPr="00625791" w:rsidRDefault="00366BFA" w:rsidP="00786E63">
            <w:pPr>
              <w:jc w:val="both"/>
              <w:rPr>
                <w:sz w:val="20"/>
              </w:rPr>
            </w:pPr>
            <w:hyperlink r:id="rId39" w:history="1">
              <w:r w:rsidR="006E0D1B" w:rsidRPr="00625791">
                <w:rPr>
                  <w:rStyle w:val="Hyperlink"/>
                  <w:sz w:val="20"/>
                </w:rPr>
                <w:t>2019 FCA 296</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Applicant’s appeal dismissed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January 27,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39"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366BFA"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t>39180</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Church of Atheism of Central Canada c. Ministre du Revenu national</w:t>
            </w:r>
          </w:p>
          <w:p w:rsidR="006E0D1B" w:rsidRPr="00625791" w:rsidRDefault="006E0D1B" w:rsidP="00786E63">
            <w:pPr>
              <w:jc w:val="both"/>
              <w:rPr>
                <w:sz w:val="20"/>
                <w:lang w:val="fr-CA"/>
              </w:rPr>
            </w:pPr>
            <w:r w:rsidRPr="00625791">
              <w:rPr>
                <w:sz w:val="20"/>
                <w:lang w:val="fr-CA"/>
              </w:rPr>
              <w:t>(C.F.) (Civile) (Sur autorisation)</w:t>
            </w:r>
          </w:p>
        </w:tc>
      </w:tr>
      <w:tr w:rsidR="006E0D1B" w:rsidRPr="00366BFA" w:rsidTr="00786E63">
        <w:tc>
          <w:tcPr>
            <w:tcW w:w="5000" w:type="pct"/>
            <w:gridSpan w:val="4"/>
          </w:tcPr>
          <w:p w:rsidR="006E0D1B" w:rsidRPr="00625791" w:rsidRDefault="00DC195B" w:rsidP="00786E63">
            <w:pPr>
              <w:jc w:val="both"/>
              <w:rPr>
                <w:sz w:val="20"/>
                <w:szCs w:val="20"/>
                <w:lang w:val="fr-CA"/>
              </w:rPr>
            </w:pPr>
            <w:r w:rsidRPr="00625791">
              <w:rPr>
                <w:sz w:val="20"/>
                <w:szCs w:val="20"/>
                <w:lang w:val="fr-CA"/>
              </w:rPr>
              <w:t>La demande d’autorisation d’appel de l’arrêt de la Cour d’appel fédérale, numéro A-85-19, 2019 CAF 296, daté du 29 novembre 2019, est rejetée avec dépens.</w:t>
            </w:r>
          </w:p>
          <w:p w:rsidR="00DC195B" w:rsidRPr="00625791" w:rsidRDefault="00DC195B"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i/>
                <w:sz w:val="20"/>
                <w:lang w:val="fr-CA"/>
              </w:rPr>
              <w:t>Charte des droits</w:t>
            </w:r>
            <w:r w:rsidRPr="00625791">
              <w:rPr>
                <w:sz w:val="20"/>
                <w:lang w:val="fr-CA"/>
              </w:rPr>
              <w:t xml:space="preserve"> — Droit à l’égalité — Discrimination fondée sur la religion — Fiscalité — Statut d’organisme de bienfaisance — L’Agence du revenu du Canada a conclu que l’athéisme n’est pas une religion au sens juridique et a refusé d’accorder l’enregistrement de la demanderesse à titre d’organisme de bienfaisance — Une obligation de neutralité religieuse incombe</w:t>
            </w:r>
            <w:r w:rsidRPr="00625791">
              <w:rPr>
                <w:sz w:val="20"/>
                <w:lang w:val="fr-CA"/>
              </w:rPr>
              <w:noBreakHyphen/>
              <w:t>t</w:t>
            </w:r>
            <w:r w:rsidRPr="00625791">
              <w:rPr>
                <w:sz w:val="20"/>
                <w:lang w:val="fr-CA"/>
              </w:rPr>
              <w:noBreakHyphen/>
              <w:t>elle à l’État ? — Le refus d’enregistrer la demanderesse à titre d’organisme de bienfaisance était-il contraire à l’al. 2</w:t>
            </w:r>
            <w:r w:rsidRPr="00625791">
              <w:rPr>
                <w:i/>
                <w:sz w:val="20"/>
                <w:lang w:val="fr-CA"/>
              </w:rPr>
              <w:t>a</w:t>
            </w:r>
            <w:r w:rsidRPr="00625791">
              <w:rPr>
                <w:sz w:val="20"/>
                <w:lang w:val="fr-CA"/>
              </w:rPr>
              <w:t xml:space="preserve">) et à l’art. 15 de la </w:t>
            </w:r>
            <w:r w:rsidRPr="00625791">
              <w:rPr>
                <w:i/>
                <w:sz w:val="20"/>
                <w:lang w:val="fr-CA"/>
              </w:rPr>
              <w:t>Charte</w:t>
            </w:r>
            <w:r w:rsidRPr="00625791">
              <w:rPr>
                <w:sz w:val="20"/>
                <w:lang w:val="fr-CA"/>
              </w:rPr>
              <w:t xml:space="preserve">, suivant l’interprétation de l’art. 27 de la </w:t>
            </w:r>
            <w:r w:rsidRPr="00625791">
              <w:rPr>
                <w:i/>
                <w:sz w:val="20"/>
                <w:lang w:val="fr-CA"/>
              </w:rPr>
              <w:t>Charte ?</w:t>
            </w:r>
          </w:p>
        </w:tc>
      </w:tr>
      <w:tr w:rsidR="006E0D1B" w:rsidRPr="00366BFA" w:rsidTr="00786E63">
        <w:tc>
          <w:tcPr>
            <w:tcW w:w="5000" w:type="pct"/>
            <w:gridSpan w:val="4"/>
          </w:tcPr>
          <w:p w:rsidR="006E0D1B" w:rsidRPr="00625791" w:rsidRDefault="006E0D1B"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rStyle w:val="Emphasis"/>
                <w:sz w:val="20"/>
                <w:lang w:val="fr-CA"/>
              </w:rPr>
            </w:pPr>
            <w:r w:rsidRPr="00625791">
              <w:rPr>
                <w:sz w:val="20"/>
                <w:lang w:val="fr-CA"/>
              </w:rPr>
              <w:t>La Church of Atheism of Central Canada est une société</w:t>
            </w:r>
            <w:r w:rsidRPr="00625791">
              <w:rPr>
                <w:sz w:val="20"/>
                <w:lang w:val="fr-FR"/>
              </w:rPr>
              <w:t xml:space="preserve"> constituée aux termes de la </w:t>
            </w:r>
            <w:r w:rsidRPr="00625791">
              <w:rPr>
                <w:i/>
                <w:sz w:val="20"/>
                <w:lang w:val="fr-FR"/>
              </w:rPr>
              <w:t>Loi canadienne sur les organisations à but non lucratif</w:t>
            </w:r>
            <w:r w:rsidRPr="00625791">
              <w:rPr>
                <w:sz w:val="20"/>
                <w:lang w:val="fr-FR"/>
              </w:rPr>
              <w:t>, L.C. 2009, ch. 23, aux fins déclarées [</w:t>
            </w:r>
            <w:r w:rsidRPr="00625791">
              <w:rPr>
                <w:smallCaps/>
                <w:sz w:val="20"/>
                <w:lang w:val="fr-FR"/>
              </w:rPr>
              <w:t>traduction</w:t>
            </w:r>
            <w:r w:rsidRPr="00625791">
              <w:rPr>
                <w:sz w:val="20"/>
                <w:lang w:val="fr-FR"/>
              </w:rPr>
              <w:t>] « de prêcher l’athéisme au moyen d’activités de bienfaisance [. . .] ».</w:t>
            </w:r>
            <w:r w:rsidRPr="00625791">
              <w:rPr>
                <w:sz w:val="20"/>
                <w:lang w:val="fr-CA"/>
              </w:rPr>
              <w:t xml:space="preserve"> En 2015, elle a présenté une demande d’enregistrement à titre d’organisme de bienfaisance sous le régime de la</w:t>
            </w:r>
            <w:r w:rsidRPr="00625791">
              <w:rPr>
                <w:i/>
                <w:sz w:val="20"/>
                <w:lang w:val="fr-FR"/>
              </w:rPr>
              <w:t xml:space="preserve"> </w:t>
            </w:r>
            <w:hyperlink r:id="rId40" w:history="1">
              <w:r w:rsidRPr="00625791">
                <w:rPr>
                  <w:rStyle w:val="Hyperlink"/>
                  <w:i/>
                  <w:sz w:val="20"/>
                  <w:lang w:val="fr-FR"/>
                </w:rPr>
                <w:t>Loi de l’impôt sur le revenu</w:t>
              </w:r>
              <w:r w:rsidRPr="00625791">
                <w:rPr>
                  <w:rStyle w:val="Hyperlink"/>
                  <w:sz w:val="20"/>
                  <w:lang w:val="fr-FR"/>
                </w:rPr>
                <w:t>, L.R.C. 1985, ch. 1 (5</w:t>
              </w:r>
              <w:r w:rsidRPr="00625791">
                <w:rPr>
                  <w:rStyle w:val="Hyperlink"/>
                  <w:sz w:val="20"/>
                  <w:vertAlign w:val="superscript"/>
                  <w:lang w:val="fr-FR"/>
                </w:rPr>
                <w:t>e</w:t>
              </w:r>
              <w:r w:rsidRPr="00625791">
                <w:rPr>
                  <w:rStyle w:val="Hyperlink"/>
                  <w:sz w:val="20"/>
                  <w:lang w:val="fr-FR"/>
                </w:rPr>
                <w:t> suppl</w:t>
              </w:r>
            </w:hyperlink>
            <w:r w:rsidRPr="00625791">
              <w:rPr>
                <w:sz w:val="20"/>
                <w:lang w:val="fr-FR"/>
              </w:rPr>
              <w:t>.)</w:t>
            </w:r>
            <w:r w:rsidRPr="00625791">
              <w:rPr>
                <w:sz w:val="20"/>
                <w:lang w:val="fr-CA"/>
              </w:rPr>
              <w:t xml:space="preserve">, mais le ministre du Revenu national a rejeté sa demande en 2017. L’opposition de la demanderesse a été rejetée et le refus de l’enregistrement a été confirmé par le ministre en 2018. La Church of Atheism a fait appel de la décision, invoquant des arguments fondés sur la </w:t>
            </w:r>
            <w:r w:rsidRPr="00625791">
              <w:rPr>
                <w:i/>
                <w:sz w:val="20"/>
                <w:lang w:val="fr-CA"/>
              </w:rPr>
              <w:t>Charte</w:t>
            </w:r>
            <w:r w:rsidRPr="00625791">
              <w:rPr>
                <w:sz w:val="20"/>
                <w:lang w:val="fr-CA"/>
              </w:rPr>
              <w:t xml:space="preserve">. Elle a fait valoir que le critère de common law </w:t>
            </w:r>
            <w:r w:rsidRPr="00625791">
              <w:rPr>
                <w:sz w:val="20"/>
                <w:lang w:val="fr-FR"/>
              </w:rPr>
              <w:t>qui sert à déterminer ce qui appartient à la catégorie de bienfaisance applicable à la promotion de la religion est invalide, car il contrevient aux articles</w:t>
            </w:r>
            <w:hyperlink r:id="rId41" w:anchor="sec2_smooth" w:history="1">
              <w:r w:rsidRPr="00625791">
                <w:rPr>
                  <w:rStyle w:val="Hyperlink"/>
                  <w:rFonts w:eastAsiaTheme="majorEastAsia"/>
                  <w:sz w:val="20"/>
                  <w:lang w:val="fr-CA"/>
                </w:rPr>
                <w:t xml:space="preserve"> 2</w:t>
              </w:r>
            </w:hyperlink>
            <w:r w:rsidRPr="00625791">
              <w:rPr>
                <w:sz w:val="20"/>
                <w:lang w:val="fr-CA"/>
              </w:rPr>
              <w:t xml:space="preserve">, </w:t>
            </w:r>
            <w:hyperlink r:id="rId42" w:anchor="sec15_smooth" w:history="1">
              <w:r w:rsidRPr="00625791">
                <w:rPr>
                  <w:rStyle w:val="Hyperlink"/>
                  <w:rFonts w:eastAsiaTheme="majorEastAsia"/>
                  <w:sz w:val="20"/>
                  <w:lang w:val="fr-CA"/>
                </w:rPr>
                <w:t>15</w:t>
              </w:r>
            </w:hyperlink>
            <w:r w:rsidRPr="00625791">
              <w:rPr>
                <w:sz w:val="20"/>
                <w:lang w:val="fr-CA"/>
              </w:rPr>
              <w:t xml:space="preserve"> et</w:t>
            </w:r>
            <w:hyperlink r:id="rId43" w:anchor="sec27_smooth" w:history="1">
              <w:r w:rsidRPr="00625791">
                <w:rPr>
                  <w:rStyle w:val="Hyperlink"/>
                  <w:rFonts w:eastAsiaTheme="majorEastAsia"/>
                  <w:sz w:val="20"/>
                  <w:lang w:val="fr-CA"/>
                </w:rPr>
                <w:t xml:space="preserve"> 27</w:t>
              </w:r>
            </w:hyperlink>
            <w:r w:rsidRPr="00625791">
              <w:rPr>
                <w:sz w:val="20"/>
                <w:lang w:val="fr-CA"/>
              </w:rPr>
              <w:t xml:space="preserve"> de la </w:t>
            </w:r>
            <w:r w:rsidRPr="00625791">
              <w:rPr>
                <w:i/>
                <w:sz w:val="20"/>
                <w:lang w:val="fr-CA"/>
              </w:rPr>
              <w:t>Charte</w:t>
            </w:r>
            <w:r w:rsidRPr="00625791">
              <w:rPr>
                <w:sz w:val="20"/>
                <w:lang w:val="fr-CA"/>
              </w:rPr>
              <w:t xml:space="preserve">. </w:t>
            </w: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31 août 2017</w:t>
            </w:r>
          </w:p>
          <w:p w:rsidR="006E0D1B" w:rsidRPr="00625791" w:rsidRDefault="006E0D1B" w:rsidP="00786E63">
            <w:pPr>
              <w:jc w:val="both"/>
              <w:rPr>
                <w:sz w:val="20"/>
                <w:lang w:val="fr-CA"/>
              </w:rPr>
            </w:pPr>
            <w:r w:rsidRPr="00625791">
              <w:rPr>
                <w:sz w:val="20"/>
                <w:lang w:val="fr-CA"/>
              </w:rPr>
              <w:t>Agence du revenu du Canada</w:t>
            </w:r>
          </w:p>
          <w:p w:rsidR="006E0D1B" w:rsidRPr="00625791" w:rsidRDefault="006E0D1B" w:rsidP="00786E63">
            <w:pPr>
              <w:jc w:val="both"/>
              <w:rPr>
                <w:sz w:val="20"/>
                <w:lang w:val="fr-CA"/>
              </w:rPr>
            </w:pPr>
            <w:r w:rsidRPr="00625791">
              <w:rPr>
                <w:sz w:val="20"/>
                <w:lang w:val="fr-CA"/>
              </w:rPr>
              <w:t>(Mme Manconi, directrice adjointe)</w:t>
            </w:r>
          </w:p>
          <w:p w:rsidR="006E0D1B" w:rsidRPr="00625791" w:rsidRDefault="006E0D1B" w:rsidP="00786E63">
            <w:pPr>
              <w:jc w:val="both"/>
              <w:rPr>
                <w:sz w:val="20"/>
                <w:lang w:val="fr-CA"/>
              </w:rPr>
            </w:pPr>
            <w:r w:rsidRPr="00625791">
              <w:rPr>
                <w:sz w:val="20"/>
                <w:lang w:val="fr-CA"/>
              </w:rPr>
              <w:t>Non publié</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L’Agence du revenu du Canada délivre l’avis de refus d’enregistrement à titre d’organisme de bienfaisance à la demanderesse au motif qu’elle ne remplissait pas les conditions requises.</w:t>
            </w: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29 novembre 2019</w:t>
            </w:r>
          </w:p>
          <w:p w:rsidR="006E0D1B" w:rsidRPr="00625791" w:rsidRDefault="006E0D1B" w:rsidP="00786E63">
            <w:pPr>
              <w:jc w:val="both"/>
              <w:rPr>
                <w:sz w:val="20"/>
                <w:lang w:val="fr-CA"/>
              </w:rPr>
            </w:pPr>
            <w:r w:rsidRPr="00625791">
              <w:rPr>
                <w:sz w:val="20"/>
                <w:lang w:val="fr-CA"/>
              </w:rPr>
              <w:t>Cour d’appel fédéral</w:t>
            </w:r>
          </w:p>
          <w:p w:rsidR="006E0D1B" w:rsidRPr="00625791" w:rsidRDefault="006E0D1B" w:rsidP="00786E63">
            <w:pPr>
              <w:jc w:val="both"/>
              <w:rPr>
                <w:sz w:val="20"/>
                <w:lang w:val="fr-CA"/>
              </w:rPr>
            </w:pPr>
            <w:r w:rsidRPr="00625791">
              <w:rPr>
                <w:sz w:val="20"/>
                <w:lang w:val="fr-CA"/>
              </w:rPr>
              <w:t>(Juges Nadon, Rennie et Rivoalen)</w:t>
            </w:r>
          </w:p>
          <w:p w:rsidR="006E0D1B" w:rsidRPr="00625791" w:rsidRDefault="00366BFA" w:rsidP="00786E63">
            <w:pPr>
              <w:jc w:val="both"/>
              <w:rPr>
                <w:sz w:val="20"/>
                <w:lang w:val="fr-CA"/>
              </w:rPr>
            </w:pPr>
            <w:hyperlink r:id="rId44" w:history="1">
              <w:r w:rsidR="006E0D1B" w:rsidRPr="00625791">
                <w:rPr>
                  <w:rStyle w:val="Hyperlink"/>
                  <w:sz w:val="20"/>
                  <w:lang w:val="fr-CA"/>
                </w:rPr>
                <w:t>2019 CAF 296</w:t>
              </w:r>
            </w:hyperlink>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Rejet de l’appel de la demanderesse.</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27 janvier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 d’autorisation d’appel présentée.</w:t>
            </w:r>
          </w:p>
          <w:p w:rsidR="006E0D1B" w:rsidRPr="00625791" w:rsidRDefault="006E0D1B" w:rsidP="00786E63">
            <w:pPr>
              <w:jc w:val="both"/>
              <w:rPr>
                <w:sz w:val="20"/>
                <w:lang w:val="fr-CA"/>
              </w:rPr>
            </w:pPr>
          </w:p>
        </w:tc>
      </w:tr>
    </w:tbl>
    <w:p w:rsidR="006E0D1B" w:rsidRPr="00625791" w:rsidRDefault="006E0D1B" w:rsidP="006E0D1B">
      <w:pPr>
        <w:jc w:val="both"/>
        <w:rPr>
          <w:sz w:val="20"/>
          <w:lang w:val="fr-CA"/>
        </w:rPr>
      </w:pPr>
    </w:p>
    <w:p w:rsidR="006E0D1B" w:rsidRPr="00625791" w:rsidRDefault="00366BFA" w:rsidP="006E0D1B">
      <w:pPr>
        <w:jc w:val="both"/>
        <w:rPr>
          <w:sz w:val="20"/>
          <w:lang w:val="fr-CA"/>
        </w:rPr>
      </w:pPr>
      <w:r>
        <w:rPr>
          <w:sz w:val="20"/>
        </w:rPr>
        <w:pict>
          <v:rect id="_x0000_i1040"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39252</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Aijun Sun v. Chartered Professional Accountants of Alberta</w:t>
            </w:r>
          </w:p>
          <w:p w:rsidR="006E0D1B" w:rsidRPr="00625791" w:rsidRDefault="006E0D1B" w:rsidP="00786E63">
            <w:pPr>
              <w:jc w:val="both"/>
              <w:rPr>
                <w:sz w:val="20"/>
              </w:rPr>
            </w:pPr>
            <w:r w:rsidRPr="00625791">
              <w:rPr>
                <w:sz w:val="20"/>
              </w:rPr>
              <w:t>(Alta.) (Civil) (By Leave)</w:t>
            </w:r>
          </w:p>
        </w:tc>
      </w:tr>
      <w:tr w:rsidR="006E0D1B" w:rsidRPr="00625791" w:rsidTr="00786E63">
        <w:tc>
          <w:tcPr>
            <w:tcW w:w="5000" w:type="pct"/>
            <w:gridSpan w:val="4"/>
          </w:tcPr>
          <w:p w:rsidR="002466D3" w:rsidRPr="00625791" w:rsidRDefault="002466D3" w:rsidP="002466D3">
            <w:pPr>
              <w:jc w:val="both"/>
              <w:rPr>
                <w:sz w:val="20"/>
                <w:szCs w:val="20"/>
              </w:rPr>
            </w:pPr>
            <w:r w:rsidRPr="00625791">
              <w:rPr>
                <w:sz w:val="20"/>
                <w:szCs w:val="20"/>
              </w:rPr>
              <w:t>The application for leave to appeal from the judgment of the Court of Appeal of Alberta (Edmonton), Number 1903-0169-AC, 2019 ABCA 495, dated December 13, 2019, is dismissed with costs.</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Law of professions — Accountants — Administrative law — Appeals — Standard of review –— Who the attestor is to verify whether a candidate student’s working experience is at professional level or not — Why Chartered Professional Accountants of Alberta (CPA Alberta) passes the verification and attestation power to the employers under the situation that CPA Alberta does not trust CPA employer’s attestation — Whether CPA Alberta has rules and procedures to check whether CPA employer’s attestation is true or false and ensure that all the employers’ attestations are true — Why other CPA’s review results are more trustable than that of the applicant’s four CPA employers — How the other six CPAs review results can turn over the applicant’s four CPA employers’ attestation — Whether candidate students’ employers are the right party to attest candidates’ working experience — The motivation for employers to verify and attest their candidate employees’ working experience — The kind of standard of review which should be used to review administrative decisions — Who is eligible to attest candidate students’ working experience and the rules and procedures to determine whether a candidate student’s working experience is at professional level or not — Whether there are any mistakes in the current attestation rules and procedures for some people to take advantage for their personal benefit and which sacrifice the interest of Canadians at large — Who has the rights to supervise CPA Alberta’s administrative decisions regarding who is qualified for CPA certificates</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 xml:space="preserve">In 2018, the Registrar of the respondent Chartered Professional Accountants of Alberta wrote to the applicant Ms. Sun advising her that her registration as a Certified General Accountant candidate was cancelled. The letter explained that Ms. Sun has failed to complete the practical experience requirements of her program by the deadline set out in new legislation. Ms. Sun appealed the decision of the Registrar to the Appeal Tribunal. </w:t>
            </w:r>
          </w:p>
          <w:p w:rsidR="006E0D1B" w:rsidRPr="00625791" w:rsidRDefault="006E0D1B" w:rsidP="00786E63">
            <w:pPr>
              <w:jc w:val="both"/>
              <w:rPr>
                <w:sz w:val="20"/>
              </w:rPr>
            </w:pPr>
          </w:p>
          <w:p w:rsidR="006E0D1B" w:rsidRPr="00625791" w:rsidRDefault="006E0D1B" w:rsidP="00786E63">
            <w:pPr>
              <w:jc w:val="both"/>
              <w:rPr>
                <w:sz w:val="20"/>
              </w:rPr>
            </w:pPr>
            <w:r w:rsidRPr="00625791">
              <w:rPr>
                <w:sz w:val="20"/>
              </w:rPr>
              <w:t xml:space="preserve">The Appeal Tribunal indicated that the Registrar’s decision should be assessed using the reasonableness standard of review. In the Tribunal’s view, the Registrar’s decision was reasonable. No errors in the assessments of Ms. Sun’s experience could be identified. The Registrar’s decision was confirmed and the appeal was dismissed. Ms. Sun appealed this decision, and in response, Chartered Professional Accountants of Alberta applied for a summary dismissal of the appeal on the basis that the Court of Appeal did not have jurisdiction. The Court of Appeal granted the application to dismiss. </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June 11, 2019</w:t>
            </w:r>
          </w:p>
          <w:p w:rsidR="006E0D1B" w:rsidRPr="00625791" w:rsidRDefault="006E0D1B" w:rsidP="00786E63">
            <w:pPr>
              <w:jc w:val="both"/>
              <w:rPr>
                <w:sz w:val="20"/>
              </w:rPr>
            </w:pPr>
            <w:r w:rsidRPr="00625791">
              <w:rPr>
                <w:sz w:val="20"/>
              </w:rPr>
              <w:t>Appeal Tribunal</w:t>
            </w:r>
          </w:p>
          <w:p w:rsidR="006E0D1B" w:rsidRPr="00625791" w:rsidRDefault="006E0D1B" w:rsidP="00786E63">
            <w:pPr>
              <w:jc w:val="both"/>
              <w:rPr>
                <w:sz w:val="20"/>
              </w:rPr>
            </w:pPr>
            <w:r w:rsidRPr="00625791">
              <w:rPr>
                <w:sz w:val="20"/>
              </w:rPr>
              <w:t>(G. Leblanc, Appeal Tribunal Chair)</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Applicant’s appeal dismissed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December 13, 2019</w:t>
            </w:r>
          </w:p>
          <w:p w:rsidR="006E0D1B" w:rsidRPr="00625791" w:rsidRDefault="006E0D1B" w:rsidP="00786E63">
            <w:pPr>
              <w:jc w:val="both"/>
              <w:rPr>
                <w:sz w:val="20"/>
              </w:rPr>
            </w:pPr>
            <w:r w:rsidRPr="00625791">
              <w:rPr>
                <w:sz w:val="20"/>
              </w:rPr>
              <w:t>Court of Appeal of Alberta (Edmonton)</w:t>
            </w:r>
          </w:p>
          <w:p w:rsidR="006E0D1B" w:rsidRPr="00625791" w:rsidRDefault="006E0D1B" w:rsidP="00786E63">
            <w:pPr>
              <w:jc w:val="both"/>
              <w:rPr>
                <w:sz w:val="20"/>
              </w:rPr>
            </w:pPr>
            <w:r w:rsidRPr="00625791">
              <w:rPr>
                <w:sz w:val="20"/>
              </w:rPr>
              <w:t>(Costigan, Greckol and Pentelechuk JJ.A.)</w:t>
            </w:r>
          </w:p>
          <w:p w:rsidR="006E0D1B" w:rsidRPr="00625791" w:rsidRDefault="00366BFA" w:rsidP="00786E63">
            <w:pPr>
              <w:jc w:val="both"/>
              <w:rPr>
                <w:sz w:val="20"/>
              </w:rPr>
            </w:pPr>
            <w:hyperlink r:id="rId45" w:history="1">
              <w:r w:rsidR="006E0D1B" w:rsidRPr="00625791">
                <w:rPr>
                  <w:rStyle w:val="Hyperlink"/>
                  <w:sz w:val="20"/>
                </w:rPr>
                <w:t>2019 ABCA 495</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to dismiss applicant’s appeal granted</w:t>
            </w:r>
          </w:p>
          <w:p w:rsidR="006E0D1B" w:rsidRPr="00625791" w:rsidRDefault="006E0D1B" w:rsidP="00786E63">
            <w:pPr>
              <w:jc w:val="both"/>
              <w:rPr>
                <w:sz w:val="20"/>
              </w:rPr>
            </w:pP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February 6,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41"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t>39252</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Aijun Sun c. Chartered Professional Accountants of Alberta</w:t>
            </w:r>
          </w:p>
          <w:p w:rsidR="006E0D1B" w:rsidRPr="00625791" w:rsidRDefault="006E0D1B" w:rsidP="00786E63">
            <w:pPr>
              <w:jc w:val="both"/>
              <w:rPr>
                <w:sz w:val="20"/>
                <w:lang w:val="fr-CA"/>
              </w:rPr>
            </w:pPr>
            <w:r w:rsidRPr="00625791">
              <w:rPr>
                <w:sz w:val="20"/>
                <w:lang w:val="fr-CA"/>
              </w:rPr>
              <w:t>(Alb.) (Civile) (Sur autorisation)</w:t>
            </w:r>
          </w:p>
        </w:tc>
      </w:tr>
      <w:tr w:rsidR="006E0D1B" w:rsidRPr="00366BFA" w:rsidTr="00786E63">
        <w:tc>
          <w:tcPr>
            <w:tcW w:w="5000" w:type="pct"/>
            <w:gridSpan w:val="4"/>
          </w:tcPr>
          <w:p w:rsidR="006E0D1B" w:rsidRPr="00625791" w:rsidRDefault="002466D3" w:rsidP="00786E63">
            <w:pPr>
              <w:jc w:val="both"/>
              <w:rPr>
                <w:sz w:val="20"/>
                <w:szCs w:val="20"/>
                <w:lang w:val="fr-CA"/>
              </w:rPr>
            </w:pPr>
            <w:r w:rsidRPr="00625791">
              <w:rPr>
                <w:sz w:val="20"/>
                <w:szCs w:val="20"/>
                <w:lang w:val="fr-CA"/>
              </w:rPr>
              <w:t>La demande d’autorisation d’appel de l’arrêt de la Cour d’appel de l’Alberta (Edmonton), numéro 1903-0169-AC, 2019 ABCA 495, daté du 13 décembre 2019, est rejetée avec dépens.</w:t>
            </w:r>
          </w:p>
          <w:p w:rsidR="002466D3" w:rsidRPr="00625791" w:rsidRDefault="002466D3"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t>Droit des professions — Comptables — Droit administratif — Appels — Norme de contrôle — À qui reviennent les fonctions de certificateur afin de vérifier si l’expérience de travail d’un étudiant candidat au titre de comptable général accrédité (CGA) est de niveau professionnel ou non ? — Pourquoi Chartered Professional Accountants of Alberta (CPA Alberta) relègue</w:t>
            </w:r>
            <w:r w:rsidRPr="00625791">
              <w:rPr>
                <w:sz w:val="20"/>
                <w:lang w:val="fr-CA"/>
              </w:rPr>
              <w:noBreakHyphen/>
              <w:t>t</w:t>
            </w:r>
            <w:r w:rsidRPr="00625791">
              <w:rPr>
                <w:sz w:val="20"/>
                <w:lang w:val="fr-CA"/>
              </w:rPr>
              <w:noBreakHyphen/>
              <w:t>elle les pouvoirs de vérification et de certification aux employeurs compte tenu du fait que CPA Alberta ne fait pas confiance à la certification donnée par les employeurs de CGA ? — Existe</w:t>
            </w:r>
            <w:r w:rsidRPr="00625791">
              <w:rPr>
                <w:sz w:val="20"/>
                <w:lang w:val="fr-CA"/>
              </w:rPr>
              <w:noBreakHyphen/>
              <w:t>t</w:t>
            </w:r>
            <w:r w:rsidRPr="00625791">
              <w:rPr>
                <w:sz w:val="20"/>
                <w:lang w:val="fr-CA"/>
              </w:rPr>
              <w:noBreakHyphen/>
              <w:t>il des règles et des procédures à suivre par CPA Alberta afin de vérifier si les certifications données par les employeurs de CGA sont véridiques ou non et pour s’assurer que celles</w:t>
            </w:r>
            <w:r w:rsidRPr="00625791">
              <w:rPr>
                <w:sz w:val="20"/>
                <w:lang w:val="fr-CA"/>
              </w:rPr>
              <w:noBreakHyphen/>
              <w:t>ci soient toutes véridiques ? — Pourquoi les résultats d’examens d’autres CGA sont-ils plus fiables que ceux des quatre employeurs de CGA de la demanderesse ? — Comment les résultats d’examens de six autres CGA peuvent</w:t>
            </w:r>
            <w:r w:rsidRPr="00625791">
              <w:rPr>
                <w:sz w:val="20"/>
                <w:lang w:val="fr-CA"/>
              </w:rPr>
              <w:noBreakHyphen/>
              <w:t>ils renverser la certification des quatre employeurs de CGA de la demanderesse ? — Les employeurs d’étudiants candidats au titre de CGA sont</w:t>
            </w:r>
            <w:r w:rsidRPr="00625791">
              <w:rPr>
                <w:sz w:val="20"/>
                <w:lang w:val="fr-CA"/>
              </w:rPr>
              <w:noBreakHyphen/>
              <w:t>ils les mieux placés pour certifier l’expérience de travail des candidats ? — Les motifs des employeurs quant à la vérification et la certification de l’expérience de travail des employés candidats au titre de CGA — La norme de contrôle qui devrait être adoptée dans le cadre du contrôle des décisions administratives — Qui peut certifier l’expérience de travail des étudiants candidats et quelles sont les règles et les procédures à suivre afin de déterminer si cette expérience de travail est de niveau professionnel ou non ? — Existerait</w:t>
            </w:r>
            <w:r w:rsidRPr="00625791">
              <w:rPr>
                <w:sz w:val="20"/>
                <w:lang w:val="fr-CA"/>
              </w:rPr>
              <w:noBreakHyphen/>
              <w:t>il des erreurs dans les règles et procédures de certification qui permettrait à certains d’en tirer avantage à des fins personnelles au détriment des intérêts de tout le peuple canadien ? — À qui revient le droit de superviser les décisions administratives de CPA Alberta portant sur les qualifications requises pour obtenir un certificat de CGA ?</w:t>
            </w:r>
          </w:p>
        </w:tc>
      </w:tr>
      <w:tr w:rsidR="006E0D1B" w:rsidRPr="00366BFA" w:rsidTr="00786E63">
        <w:tc>
          <w:tcPr>
            <w:tcW w:w="5000" w:type="pct"/>
            <w:gridSpan w:val="4"/>
          </w:tcPr>
          <w:p w:rsidR="006E0D1B" w:rsidRPr="00625791" w:rsidRDefault="006E0D1B"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t xml:space="preserve">En 2018, le registraire de l’intimée, Chartered Professional Accountants of Alberta, a adressé une lettre à la demanderesse, Mme Sun, l’avisant que son inscription comme candidate au titre de comptable générale accréditée était annulée. Dans la lettre, il est expliqué que Mme Sun n’avait pas complété l’expérience de travail requise par le programme avant la date limite prévue par la nouvelle loi. Mme Sun a fait appel de la décision du registraire au Tribunal d’appel. </w:t>
            </w:r>
          </w:p>
          <w:p w:rsidR="006E0D1B" w:rsidRPr="00625791" w:rsidRDefault="006E0D1B" w:rsidP="00786E63">
            <w:pPr>
              <w:jc w:val="both"/>
              <w:rPr>
                <w:sz w:val="20"/>
                <w:lang w:val="fr-CA"/>
              </w:rPr>
            </w:pPr>
          </w:p>
          <w:p w:rsidR="006E0D1B" w:rsidRPr="00625791" w:rsidRDefault="006E0D1B" w:rsidP="00786E63">
            <w:pPr>
              <w:jc w:val="both"/>
              <w:rPr>
                <w:sz w:val="20"/>
                <w:lang w:val="fr-CA"/>
              </w:rPr>
            </w:pPr>
            <w:r w:rsidRPr="00625791">
              <w:rPr>
                <w:sz w:val="20"/>
                <w:lang w:val="fr-CA"/>
              </w:rPr>
              <w:t xml:space="preserve">Le Tribunal d’appel a indiqué que la décision du registraire devait être examinée suivant la norme de contrôle du caractère raisonnable de la décision. Selon le Tribunal, la décision du registraire était raisonnable. Aucune erreur n’a été décelée dans les évaluations qui avaient été faites de l’expérience de travail de Mme Sun. La décision du registraire a été confirmée et l’appel a été rejeté. Mme Sun a appelé de la décision, et en réponse, Chartered Professional Accountants of Alberta a demandé le rejet sommaire de l’appel au motif que la Cour d’appel n’avait pas la compétence requise pour entendre l’appel. La Cour d’appel a accueilli la demande en rejet sommaire. </w:t>
            </w: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11 juin 2019</w:t>
            </w:r>
          </w:p>
          <w:p w:rsidR="006E0D1B" w:rsidRPr="00625791" w:rsidRDefault="006E0D1B" w:rsidP="00786E63">
            <w:pPr>
              <w:jc w:val="both"/>
              <w:rPr>
                <w:sz w:val="20"/>
                <w:lang w:val="fr-CA"/>
              </w:rPr>
            </w:pPr>
            <w:r w:rsidRPr="00625791">
              <w:rPr>
                <w:sz w:val="20"/>
                <w:lang w:val="fr-CA"/>
              </w:rPr>
              <w:t>Tribunal d’appel</w:t>
            </w:r>
          </w:p>
          <w:p w:rsidR="006E0D1B" w:rsidRPr="00625791" w:rsidRDefault="006E0D1B" w:rsidP="00786E63">
            <w:pPr>
              <w:jc w:val="both"/>
              <w:rPr>
                <w:sz w:val="20"/>
                <w:lang w:val="fr-CA"/>
              </w:rPr>
            </w:pPr>
            <w:r w:rsidRPr="00625791">
              <w:rPr>
                <w:sz w:val="20"/>
                <w:lang w:val="fr-CA"/>
              </w:rPr>
              <w:t>(G. Leblanc, président du Tribunal d’appel)</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Appel de la demanderesse rejeté.</w:t>
            </w: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13 décembre 2019</w:t>
            </w:r>
          </w:p>
          <w:p w:rsidR="006E0D1B" w:rsidRPr="00625791" w:rsidRDefault="006E0D1B" w:rsidP="00786E63">
            <w:pPr>
              <w:jc w:val="both"/>
              <w:rPr>
                <w:sz w:val="20"/>
                <w:lang w:val="fr-CA"/>
              </w:rPr>
            </w:pPr>
            <w:r w:rsidRPr="00625791">
              <w:rPr>
                <w:sz w:val="20"/>
                <w:lang w:val="fr-CA"/>
              </w:rPr>
              <w:t>Cour d’appel de l’Alberta (Edmonton)</w:t>
            </w:r>
          </w:p>
          <w:p w:rsidR="006E0D1B" w:rsidRPr="00625791" w:rsidRDefault="006E0D1B" w:rsidP="00786E63">
            <w:pPr>
              <w:jc w:val="both"/>
              <w:rPr>
                <w:sz w:val="20"/>
                <w:lang w:val="fr-CA"/>
              </w:rPr>
            </w:pPr>
            <w:r w:rsidRPr="00625791">
              <w:rPr>
                <w:sz w:val="20"/>
                <w:lang w:val="fr-CA"/>
              </w:rPr>
              <w:t>(Juges Costigan, Greckol et Pentelechuk)</w:t>
            </w:r>
          </w:p>
          <w:p w:rsidR="006E0D1B" w:rsidRPr="00625791" w:rsidRDefault="00366BFA" w:rsidP="00786E63">
            <w:pPr>
              <w:jc w:val="both"/>
              <w:rPr>
                <w:sz w:val="20"/>
                <w:lang w:val="fr-CA"/>
              </w:rPr>
            </w:pPr>
            <w:hyperlink r:id="rId46" w:history="1">
              <w:r w:rsidR="006E0D1B" w:rsidRPr="00625791">
                <w:rPr>
                  <w:rStyle w:val="Hyperlink"/>
                  <w:sz w:val="20"/>
                  <w:lang w:val="fr-CA"/>
                </w:rPr>
                <w:t>2019 ABCA 495</w:t>
              </w:r>
            </w:hyperlink>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 en rejet de l’appel de la demanderesse accueillie.</w:t>
            </w:r>
          </w:p>
          <w:p w:rsidR="006E0D1B" w:rsidRPr="00625791" w:rsidRDefault="006E0D1B" w:rsidP="00786E63">
            <w:pPr>
              <w:jc w:val="both"/>
              <w:rPr>
                <w:sz w:val="20"/>
                <w:lang w:val="fr-CA"/>
              </w:rPr>
            </w:pP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6 février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Demande d’autorisation d’appel présentée. </w:t>
            </w:r>
          </w:p>
        </w:tc>
      </w:tr>
    </w:tbl>
    <w:p w:rsidR="006E0D1B" w:rsidRPr="00625791" w:rsidRDefault="006E0D1B" w:rsidP="006E0D1B">
      <w:pPr>
        <w:jc w:val="both"/>
        <w:rPr>
          <w:sz w:val="20"/>
          <w:lang w:val="fr-CA"/>
        </w:rPr>
      </w:pPr>
    </w:p>
    <w:p w:rsidR="006E0D1B" w:rsidRPr="00625791" w:rsidRDefault="00366BFA" w:rsidP="006E0D1B">
      <w:pPr>
        <w:widowControl w:val="0"/>
        <w:jc w:val="both"/>
        <w:rPr>
          <w:sz w:val="20"/>
          <w:lang w:val="fr-CA"/>
        </w:rPr>
      </w:pPr>
      <w:r>
        <w:rPr>
          <w:sz w:val="20"/>
        </w:rPr>
        <w:pict>
          <v:rect id="_x0000_i1042"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lastRenderedPageBreak/>
              <w:t>39231</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Daniel John Kupchik v. Her Majesty the Queen</w:t>
            </w:r>
          </w:p>
          <w:p w:rsidR="006E0D1B" w:rsidRPr="00625791" w:rsidRDefault="006E0D1B" w:rsidP="00786E63">
            <w:pPr>
              <w:jc w:val="both"/>
              <w:rPr>
                <w:sz w:val="20"/>
              </w:rPr>
            </w:pPr>
            <w:r w:rsidRPr="00625791">
              <w:rPr>
                <w:sz w:val="20"/>
              </w:rPr>
              <w:t>(Man.) (Criminal) (By Leave)</w:t>
            </w:r>
          </w:p>
        </w:tc>
      </w:tr>
      <w:tr w:rsidR="006E0D1B" w:rsidRPr="00625791" w:rsidTr="00786E63">
        <w:tc>
          <w:tcPr>
            <w:tcW w:w="5000" w:type="pct"/>
            <w:gridSpan w:val="4"/>
          </w:tcPr>
          <w:p w:rsidR="006E0D1B" w:rsidRPr="00625791" w:rsidRDefault="002466D3" w:rsidP="00786E63">
            <w:pPr>
              <w:jc w:val="both"/>
              <w:rPr>
                <w:sz w:val="20"/>
                <w:szCs w:val="20"/>
              </w:rPr>
            </w:pPr>
            <w:r w:rsidRPr="00625791">
              <w:rPr>
                <w:sz w:val="20"/>
                <w:szCs w:val="20"/>
              </w:rPr>
              <w:t>The motion for an extension of time to serve and file the application for leave to appeal is granted. The application for leave to appeal from the judgment of the Court of Appeal of Manitoba, Number AR19-30-09222, 2020 MBCA 26, dated February 25, 2020, is dismissed.</w:t>
            </w:r>
          </w:p>
          <w:p w:rsidR="002466D3" w:rsidRPr="00625791" w:rsidRDefault="002466D3"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i/>
                <w:sz w:val="20"/>
              </w:rPr>
              <w:t>Charter of Rights and Freedoms</w:t>
            </w:r>
            <w:r w:rsidRPr="00625791">
              <w:rPr>
                <w:sz w:val="20"/>
              </w:rPr>
              <w:t xml:space="preserve"> — Search and seizure — Police corroboration of informant’s tip — Whether the rise of social media and the introduction of vast amounts of personal information about Canadians into the public domain has altered the nature of the corroboration required to issue a search warrant solely based upon an informer’s allegation — Whether stale and/or unproven propensity evidence can serve as corroboration of an informer’s allegation? </w:t>
            </w:r>
          </w:p>
        </w:tc>
      </w:tr>
      <w:tr w:rsidR="006E0D1B" w:rsidRPr="00625791" w:rsidTr="00786E63">
        <w:tc>
          <w:tcPr>
            <w:tcW w:w="5000" w:type="pct"/>
            <w:gridSpan w:val="4"/>
          </w:tcPr>
          <w:p w:rsidR="006E0D1B" w:rsidRPr="00625791" w:rsidRDefault="006E0D1B" w:rsidP="00786E63">
            <w:pPr>
              <w:jc w:val="both"/>
              <w:rPr>
                <w:sz w:val="20"/>
              </w:rPr>
            </w:pPr>
          </w:p>
          <w:p w:rsidR="006E0D1B" w:rsidRPr="00625791" w:rsidRDefault="006E0D1B" w:rsidP="00786E63">
            <w:pPr>
              <w:jc w:val="both"/>
              <w:rPr>
                <w:sz w:val="20"/>
              </w:rPr>
            </w:pPr>
            <w:r w:rsidRPr="00625791">
              <w:rPr>
                <w:sz w:val="20"/>
              </w:rPr>
              <w:t xml:space="preserve">A confidential informant tipped police that Mr. Kupchik was dealing marihuana from his home and was in possession of several pounds of marihuana. The police obtained a warrant, searched Mr. Kupchik’s residence and garage, and found </w:t>
            </w:r>
            <w:r w:rsidRPr="00625791">
              <w:rPr>
                <w:sz w:val="20"/>
                <w:lang w:val="en"/>
              </w:rPr>
              <w:t>81.75 pounds of cannabis, drug trafficking paraphernalia</w:t>
            </w:r>
            <w:r w:rsidRPr="00625791">
              <w:rPr>
                <w:sz w:val="20"/>
              </w:rPr>
              <w:t>, firearms</w:t>
            </w:r>
            <w:r w:rsidRPr="00625791">
              <w:rPr>
                <w:sz w:val="20"/>
                <w:lang w:val="en"/>
              </w:rPr>
              <w:t xml:space="preserve"> and other weapons</w:t>
            </w:r>
            <w:r w:rsidRPr="00625791">
              <w:rPr>
                <w:sz w:val="20"/>
              </w:rPr>
              <w:t xml:space="preserve">. Mr. Kupchik </w:t>
            </w:r>
            <w:r w:rsidRPr="00625791">
              <w:rPr>
                <w:spacing w:val="-6"/>
                <w:sz w:val="20"/>
              </w:rPr>
              <w:t>challenged the search warrant.</w:t>
            </w:r>
            <w:r w:rsidRPr="00625791">
              <w:rPr>
                <w:sz w:val="20"/>
              </w:rPr>
              <w:t xml:space="preserve"> The trial judge dismissed the challenge, admitted the evidence, and convicted Mr. Kupchik of possession of cannabis for the purposes of trafficking and other offences. The Court of Appeal dismissed an appeal.</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July 14, 2019</w:t>
            </w:r>
          </w:p>
          <w:p w:rsidR="006E0D1B" w:rsidRPr="00625791" w:rsidRDefault="006E0D1B" w:rsidP="00786E63">
            <w:pPr>
              <w:jc w:val="both"/>
              <w:rPr>
                <w:sz w:val="20"/>
              </w:rPr>
            </w:pPr>
            <w:r w:rsidRPr="00625791">
              <w:rPr>
                <w:sz w:val="20"/>
              </w:rPr>
              <w:t>Court of Queen’s Bench of Manitoba</w:t>
            </w:r>
          </w:p>
          <w:p w:rsidR="006E0D1B" w:rsidRPr="00625791" w:rsidRDefault="006E0D1B" w:rsidP="00786E63">
            <w:pPr>
              <w:jc w:val="both"/>
              <w:rPr>
                <w:sz w:val="20"/>
              </w:rPr>
            </w:pPr>
            <w:r w:rsidRPr="00625791">
              <w:rPr>
                <w:sz w:val="20"/>
              </w:rPr>
              <w:t>(Saull J.)(Unreported)</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C</w:t>
            </w:r>
            <w:r w:rsidRPr="00625791">
              <w:rPr>
                <w:sz w:val="20"/>
                <w:lang w:val="en"/>
              </w:rPr>
              <w:t>onviction for possession of cannabis for the purpose of trafficking</w:t>
            </w:r>
            <w:r w:rsidRPr="00625791">
              <w:rPr>
                <w:sz w:val="20"/>
              </w:rPr>
              <w:t xml:space="preserve"> </w:t>
            </w:r>
          </w:p>
        </w:tc>
      </w:tr>
      <w:tr w:rsidR="006E0D1B" w:rsidRPr="00625791" w:rsidTr="00786E63">
        <w:tc>
          <w:tcPr>
            <w:tcW w:w="2427" w:type="pct"/>
            <w:gridSpan w:val="2"/>
          </w:tcPr>
          <w:p w:rsidR="006E0D1B" w:rsidRPr="00625791" w:rsidRDefault="006E0D1B" w:rsidP="00786E63">
            <w:pPr>
              <w:jc w:val="both"/>
              <w:rPr>
                <w:sz w:val="20"/>
              </w:rPr>
            </w:pPr>
            <w:r w:rsidRPr="00625791">
              <w:rPr>
                <w:sz w:val="20"/>
              </w:rPr>
              <w:t>February 25, 2020</w:t>
            </w:r>
          </w:p>
          <w:p w:rsidR="006E0D1B" w:rsidRPr="00625791" w:rsidRDefault="006E0D1B" w:rsidP="00786E63">
            <w:pPr>
              <w:jc w:val="both"/>
              <w:rPr>
                <w:sz w:val="20"/>
              </w:rPr>
            </w:pPr>
            <w:r w:rsidRPr="00625791">
              <w:rPr>
                <w:sz w:val="20"/>
              </w:rPr>
              <w:t>Court of Appeal of Manitoba</w:t>
            </w:r>
          </w:p>
          <w:p w:rsidR="006E0D1B" w:rsidRPr="00625791" w:rsidRDefault="006E0D1B" w:rsidP="00786E63">
            <w:pPr>
              <w:jc w:val="both"/>
              <w:rPr>
                <w:sz w:val="20"/>
                <w:lang w:val="fr-FR"/>
              </w:rPr>
            </w:pPr>
            <w:r w:rsidRPr="00625791">
              <w:rPr>
                <w:sz w:val="20"/>
                <w:lang w:val="fr-FR"/>
              </w:rPr>
              <w:t>(Steel Freda, Mainella, leMaistre JJ.A.)</w:t>
            </w:r>
          </w:p>
          <w:p w:rsidR="006E0D1B" w:rsidRPr="00625791" w:rsidRDefault="00366BFA" w:rsidP="00786E63">
            <w:pPr>
              <w:jc w:val="both"/>
              <w:rPr>
                <w:sz w:val="20"/>
                <w:lang w:val="en"/>
              </w:rPr>
            </w:pPr>
            <w:hyperlink r:id="rId47" w:history="1">
              <w:r w:rsidR="006E0D1B" w:rsidRPr="00625791">
                <w:rPr>
                  <w:rStyle w:val="Hyperlink"/>
                  <w:sz w:val="20"/>
                </w:rPr>
                <w:t>2020 MBCA 26</w:t>
              </w:r>
            </w:hyperlink>
            <w:r w:rsidR="006E0D1B" w:rsidRPr="00625791">
              <w:rPr>
                <w:sz w:val="20"/>
              </w:rPr>
              <w:t xml:space="preserve">; </w:t>
            </w:r>
            <w:r w:rsidR="006E0D1B" w:rsidRPr="00625791">
              <w:rPr>
                <w:sz w:val="20"/>
                <w:lang w:val="en"/>
              </w:rPr>
              <w:t>AR19</w:t>
            </w:r>
            <w:r w:rsidR="006E0D1B" w:rsidRPr="00625791">
              <w:rPr>
                <w:sz w:val="20"/>
                <w:lang w:val="en"/>
              </w:rPr>
              <w:noBreakHyphen/>
              <w:t>30</w:t>
            </w:r>
            <w:r w:rsidR="006E0D1B" w:rsidRPr="00625791">
              <w:rPr>
                <w:sz w:val="20"/>
                <w:lang w:val="en"/>
              </w:rPr>
              <w:noBreakHyphen/>
              <w:t>09222</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Appeal dismissed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June 23,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43"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t>39231</w:t>
            </w:r>
          </w:p>
        </w:tc>
        <w:tc>
          <w:tcPr>
            <w:tcW w:w="4457" w:type="pct"/>
            <w:gridSpan w:val="3"/>
          </w:tcPr>
          <w:p w:rsidR="006E0D1B" w:rsidRPr="00625791" w:rsidRDefault="006E0D1B" w:rsidP="00786E63">
            <w:pPr>
              <w:pStyle w:val="SCCLsocParty"/>
              <w:jc w:val="both"/>
              <w:rPr>
                <w:b/>
                <w:sz w:val="20"/>
                <w:szCs w:val="20"/>
              </w:rPr>
            </w:pPr>
            <w:r w:rsidRPr="00625791">
              <w:rPr>
                <w:b/>
                <w:sz w:val="20"/>
                <w:szCs w:val="20"/>
              </w:rPr>
              <w:t>Daniel John Kupchik c. Sa Majesté la Reine</w:t>
            </w:r>
          </w:p>
          <w:p w:rsidR="006E0D1B" w:rsidRPr="00625791" w:rsidRDefault="006E0D1B" w:rsidP="00786E63">
            <w:pPr>
              <w:jc w:val="both"/>
              <w:rPr>
                <w:sz w:val="20"/>
                <w:lang w:val="fr-CA"/>
              </w:rPr>
            </w:pPr>
            <w:r w:rsidRPr="00625791">
              <w:rPr>
                <w:sz w:val="20"/>
                <w:lang w:val="fr-CA"/>
              </w:rPr>
              <w:t>(Man.) (Criminelle) (Sur autorisation)</w:t>
            </w:r>
          </w:p>
        </w:tc>
      </w:tr>
      <w:tr w:rsidR="006E0D1B" w:rsidRPr="00366BFA" w:rsidTr="00786E63">
        <w:tc>
          <w:tcPr>
            <w:tcW w:w="5000" w:type="pct"/>
            <w:gridSpan w:val="4"/>
          </w:tcPr>
          <w:p w:rsidR="006E0D1B" w:rsidRPr="00625791" w:rsidRDefault="002466D3" w:rsidP="00786E63">
            <w:pPr>
              <w:jc w:val="both"/>
              <w:rPr>
                <w:sz w:val="20"/>
                <w:szCs w:val="20"/>
                <w:lang w:val="fr-CA"/>
              </w:rPr>
            </w:pPr>
            <w:r w:rsidRPr="00625791">
              <w:rPr>
                <w:color w:val="000000"/>
                <w:sz w:val="20"/>
                <w:szCs w:val="20"/>
                <w:lang w:val="fr-CA"/>
              </w:rPr>
              <w:t>La requête en prorogation du délai de signification et de dépôt de la demande d’autorisation d’appel est accueillie.</w:t>
            </w:r>
            <w:r w:rsidRPr="00625791">
              <w:rPr>
                <w:sz w:val="20"/>
                <w:szCs w:val="20"/>
                <w:lang w:val="fr-CA"/>
              </w:rPr>
              <w:t xml:space="preserve"> La demande d’autorisation d’appel de l’arrêt de la Cour d’appel du Manitoba, numéro AR19-30-09222, 2020 MBCA 26, daté du 25 février 2020, est rejetée.</w:t>
            </w:r>
          </w:p>
          <w:p w:rsidR="002466D3" w:rsidRPr="00625791" w:rsidRDefault="002466D3"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i/>
                <w:sz w:val="20"/>
                <w:lang w:val="fr-CA"/>
              </w:rPr>
              <w:t>Charte des droits et libertés</w:t>
            </w:r>
            <w:r w:rsidRPr="00625791">
              <w:rPr>
                <w:sz w:val="20"/>
                <w:lang w:val="fr-CA"/>
              </w:rPr>
              <w:t xml:space="preserve"> — </w:t>
            </w:r>
            <w:r w:rsidRPr="00625791">
              <w:rPr>
                <w:iCs/>
                <w:sz w:val="20"/>
                <w:lang w:val="fr-CA"/>
              </w:rPr>
              <w:t>Fouilles, perquisitions et saisies</w:t>
            </w:r>
            <w:r w:rsidRPr="00625791">
              <w:rPr>
                <w:sz w:val="20"/>
                <w:lang w:val="fr-CA"/>
              </w:rPr>
              <w:t xml:space="preserve"> — Corroboration par la police de renseignements communiqués par un indicateur — L’avènement des médias sociaux et l’introduction de grandes quantités de renseignements personnels sur les Canadiens dans le domaine public ont</w:t>
            </w:r>
            <w:r w:rsidRPr="00625791">
              <w:rPr>
                <w:sz w:val="20"/>
                <w:lang w:val="fr-CA"/>
              </w:rPr>
              <w:noBreakHyphen/>
              <w:t>ils modifié la nature de la corroboration requise pour pouvoir décerner un mandat de perquisition fondé uniquement sur une allégation provenant d’un indicateur ? — Des éléments de preuve de propension qui sont périmés ou n’ont pas été établis, ou les deux, peuvent</w:t>
            </w:r>
            <w:r w:rsidRPr="00625791">
              <w:rPr>
                <w:sz w:val="20"/>
                <w:lang w:val="fr-CA"/>
              </w:rPr>
              <w:noBreakHyphen/>
              <w:t xml:space="preserve">ils servir à titre de corroboration d’une allégation d’un indicateur ? </w:t>
            </w:r>
          </w:p>
        </w:tc>
      </w:tr>
      <w:tr w:rsidR="006E0D1B" w:rsidRPr="00625791" w:rsidTr="00786E63">
        <w:tc>
          <w:tcPr>
            <w:tcW w:w="5000" w:type="pct"/>
            <w:gridSpan w:val="4"/>
          </w:tcPr>
          <w:p w:rsidR="006E0D1B" w:rsidRPr="00625791" w:rsidRDefault="006E0D1B" w:rsidP="00786E63">
            <w:pPr>
              <w:jc w:val="both"/>
              <w:rPr>
                <w:sz w:val="20"/>
                <w:lang w:val="fr-CA"/>
              </w:rPr>
            </w:pPr>
          </w:p>
          <w:p w:rsidR="006E0D1B" w:rsidRPr="00625791" w:rsidRDefault="006E0D1B" w:rsidP="00786E63">
            <w:pPr>
              <w:jc w:val="both"/>
              <w:rPr>
                <w:sz w:val="20"/>
                <w:lang w:val="fr-CA"/>
              </w:rPr>
            </w:pPr>
            <w:r w:rsidRPr="00625791">
              <w:rPr>
                <w:sz w:val="20"/>
                <w:lang w:val="fr-CA"/>
              </w:rPr>
              <w:t>Un indicateur anonyme a fait savoir à la police que M. Kupchik faisait le trafic de marihuana de chez lui et était en possession de plusieurs livres de marihuana. La police a obtenu un mandat de perquisition, a fouillé la résidence et le garage de M. Kupchik, et a trouvé 81,75 livres de cannabis, des accessoires utilisés pour le trafic de drogues, des armes à feu et d’autres armes. Mr. Kupchik a contesté le mandat de perquisition</w:t>
            </w:r>
            <w:r w:rsidRPr="00625791">
              <w:rPr>
                <w:spacing w:val="-6"/>
                <w:sz w:val="20"/>
                <w:lang w:val="fr-CA"/>
              </w:rPr>
              <w:t>.</w:t>
            </w:r>
            <w:r w:rsidRPr="00625791">
              <w:rPr>
                <w:sz w:val="20"/>
                <w:lang w:val="fr-CA"/>
              </w:rPr>
              <w:t xml:space="preserve"> Le juge de première instance a rejeté la contestation, admis la preuve et déclaré M. Kupchik coupable de possession de cannabis en vue d’en faire le trafic et d’autres infractions. La Cour d’appel a rejeté l’appel.</w:t>
            </w:r>
          </w:p>
        </w:tc>
      </w:tr>
      <w:tr w:rsidR="006E0D1B" w:rsidRPr="00625791" w:rsidTr="00786E63">
        <w:tc>
          <w:tcPr>
            <w:tcW w:w="5000" w:type="pct"/>
            <w:gridSpan w:val="4"/>
          </w:tcPr>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14 juillet 2019</w:t>
            </w:r>
          </w:p>
          <w:p w:rsidR="006E0D1B" w:rsidRPr="00625791" w:rsidRDefault="006E0D1B" w:rsidP="00786E63">
            <w:pPr>
              <w:jc w:val="both"/>
              <w:rPr>
                <w:sz w:val="20"/>
                <w:lang w:val="fr-CA"/>
              </w:rPr>
            </w:pPr>
            <w:r w:rsidRPr="00625791">
              <w:rPr>
                <w:sz w:val="20"/>
                <w:lang w:val="fr-CA"/>
              </w:rPr>
              <w:t>Cour du Banc de la Reine du Manitoba</w:t>
            </w:r>
          </w:p>
          <w:p w:rsidR="006E0D1B" w:rsidRPr="00625791" w:rsidRDefault="006E0D1B" w:rsidP="00786E63">
            <w:pPr>
              <w:jc w:val="both"/>
              <w:rPr>
                <w:sz w:val="20"/>
                <w:lang w:val="fr-CA"/>
              </w:rPr>
            </w:pPr>
            <w:r w:rsidRPr="00625791">
              <w:rPr>
                <w:sz w:val="20"/>
                <w:lang w:val="fr-CA"/>
              </w:rPr>
              <w:t>(Juge Saull) (non publié)</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Condamnation pour possession de cannabis en vue d’en faire le trafic. </w:t>
            </w: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25 février 2020</w:t>
            </w:r>
          </w:p>
          <w:p w:rsidR="006E0D1B" w:rsidRPr="00625791" w:rsidRDefault="006E0D1B" w:rsidP="00786E63">
            <w:pPr>
              <w:jc w:val="both"/>
              <w:rPr>
                <w:sz w:val="20"/>
                <w:lang w:val="fr-CA"/>
              </w:rPr>
            </w:pPr>
            <w:r w:rsidRPr="00625791">
              <w:rPr>
                <w:sz w:val="20"/>
                <w:lang w:val="fr-CA"/>
              </w:rPr>
              <w:t>Cour d’appel du Manitoba</w:t>
            </w:r>
          </w:p>
          <w:p w:rsidR="006E0D1B" w:rsidRPr="00625791" w:rsidRDefault="006E0D1B" w:rsidP="00786E63">
            <w:pPr>
              <w:jc w:val="both"/>
              <w:rPr>
                <w:sz w:val="20"/>
                <w:lang w:val="fr-CA"/>
              </w:rPr>
            </w:pPr>
            <w:r w:rsidRPr="00625791">
              <w:rPr>
                <w:sz w:val="20"/>
                <w:lang w:val="fr-CA"/>
              </w:rPr>
              <w:t>(Juges Steel, Mainella, leMaistre)</w:t>
            </w:r>
          </w:p>
          <w:p w:rsidR="006E0D1B" w:rsidRPr="00625791" w:rsidRDefault="00366BFA" w:rsidP="00786E63">
            <w:pPr>
              <w:jc w:val="both"/>
              <w:rPr>
                <w:sz w:val="20"/>
                <w:lang w:val="fr-CA"/>
              </w:rPr>
            </w:pPr>
            <w:hyperlink r:id="rId48" w:history="1">
              <w:r w:rsidR="006E0D1B" w:rsidRPr="00625791">
                <w:rPr>
                  <w:rStyle w:val="Hyperlink"/>
                  <w:sz w:val="20"/>
                  <w:lang w:val="fr-CA"/>
                </w:rPr>
                <w:t>2020 MBCA 26</w:t>
              </w:r>
            </w:hyperlink>
            <w:r w:rsidR="006E0D1B" w:rsidRPr="00625791">
              <w:rPr>
                <w:sz w:val="20"/>
                <w:lang w:val="fr-CA"/>
              </w:rPr>
              <w:t>; AR19</w:t>
            </w:r>
            <w:r w:rsidR="006E0D1B" w:rsidRPr="00625791">
              <w:rPr>
                <w:sz w:val="20"/>
                <w:lang w:val="fr-CA"/>
              </w:rPr>
              <w:noBreakHyphen/>
              <w:t>30</w:t>
            </w:r>
            <w:r w:rsidR="006E0D1B" w:rsidRPr="00625791">
              <w:rPr>
                <w:sz w:val="20"/>
                <w:lang w:val="fr-CA"/>
              </w:rPr>
              <w:noBreakHyphen/>
              <w:t>09222</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Appel rejeté.</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23 juin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 d’autorisation d’appel présentée.</w:t>
            </w:r>
          </w:p>
        </w:tc>
      </w:tr>
    </w:tbl>
    <w:p w:rsidR="006E0D1B" w:rsidRPr="00625791" w:rsidRDefault="006E0D1B" w:rsidP="006E0D1B">
      <w:pPr>
        <w:jc w:val="both"/>
        <w:rPr>
          <w:sz w:val="20"/>
          <w:lang w:val="fr-CA"/>
        </w:rPr>
      </w:pPr>
    </w:p>
    <w:p w:rsidR="006E0D1B" w:rsidRPr="00625791" w:rsidRDefault="00366BFA" w:rsidP="006E0D1B">
      <w:pPr>
        <w:widowControl w:val="0"/>
        <w:jc w:val="both"/>
        <w:rPr>
          <w:sz w:val="20"/>
          <w:lang w:val="fr-CA"/>
        </w:rPr>
      </w:pPr>
      <w:r>
        <w:rPr>
          <w:sz w:val="20"/>
        </w:rPr>
        <w:pict>
          <v:rect id="_x0000_i1044"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39229</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Ahmed Bouragba v. Ontario College of Teachers</w:t>
            </w:r>
          </w:p>
          <w:p w:rsidR="006E0D1B" w:rsidRPr="00625791" w:rsidRDefault="006E0D1B" w:rsidP="00786E63">
            <w:pPr>
              <w:jc w:val="both"/>
              <w:rPr>
                <w:sz w:val="20"/>
              </w:rPr>
            </w:pPr>
            <w:r w:rsidRPr="00625791">
              <w:rPr>
                <w:sz w:val="20"/>
              </w:rPr>
              <w:t>(Ont.) (Civil) (By Leave)</w:t>
            </w:r>
          </w:p>
        </w:tc>
      </w:tr>
      <w:tr w:rsidR="006E0D1B" w:rsidRPr="00625791" w:rsidTr="00786E63">
        <w:tc>
          <w:tcPr>
            <w:tcW w:w="5000" w:type="pct"/>
            <w:gridSpan w:val="4"/>
          </w:tcPr>
          <w:p w:rsidR="0037527A" w:rsidRPr="00625791" w:rsidRDefault="0037527A" w:rsidP="0037527A">
            <w:pPr>
              <w:jc w:val="both"/>
              <w:rPr>
                <w:sz w:val="20"/>
                <w:szCs w:val="20"/>
              </w:rPr>
            </w:pPr>
            <w:r w:rsidRPr="00625791">
              <w:rPr>
                <w:sz w:val="20"/>
                <w:szCs w:val="20"/>
              </w:rPr>
              <w:t>The application for leave to appeal from the judgment of the Court of Appeal for Ontario, Number C66080, 2019 ONCA 1028, dated December 31, 2019, is dismissed with costs.</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Civil procedure — Costs — Applicant successful on appeal but not awarded costs — Whether Canadian individuals or unrepresented people have equal rights to receive their costs and to sue without getting attacked by strategic vexatious defamation actions due to the absolute privilege behind legitimate pleadings — Whether it was unjust not to award costs</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pStyle w:val="aparanumbering"/>
              <w:jc w:val="both"/>
              <w:rPr>
                <w:sz w:val="20"/>
                <w:szCs w:val="20"/>
              </w:rPr>
            </w:pPr>
            <w:r w:rsidRPr="00625791">
              <w:rPr>
                <w:sz w:val="20"/>
                <w:szCs w:val="20"/>
                <w:lang w:val="en"/>
              </w:rPr>
              <w:t xml:space="preserve">Mr. Bouragba brought a motion under </w:t>
            </w:r>
            <w:hyperlink r:id="rId49" w:anchor="sec137.1_smooth" w:history="1">
              <w:r w:rsidRPr="00625791">
                <w:rPr>
                  <w:rStyle w:val="Hyperlink"/>
                  <w:rFonts w:eastAsiaTheme="majorEastAsia"/>
                  <w:sz w:val="20"/>
                  <w:szCs w:val="20"/>
                  <w:lang w:val="en"/>
                </w:rPr>
                <w:t>s. 137.1</w:t>
              </w:r>
            </w:hyperlink>
            <w:r w:rsidRPr="00625791">
              <w:rPr>
                <w:sz w:val="20"/>
                <w:szCs w:val="20"/>
                <w:lang w:val="en"/>
              </w:rPr>
              <w:t xml:space="preserve"> of the </w:t>
            </w:r>
            <w:hyperlink r:id="rId50" w:history="1">
              <w:r w:rsidRPr="00625791">
                <w:rPr>
                  <w:rStyle w:val="Emphasis"/>
                  <w:sz w:val="20"/>
                  <w:szCs w:val="20"/>
                  <w:lang w:val="en"/>
                </w:rPr>
                <w:t>Courts of Justice Act</w:t>
              </w:r>
            </w:hyperlink>
            <w:r w:rsidRPr="00625791">
              <w:rPr>
                <w:sz w:val="20"/>
                <w:szCs w:val="20"/>
              </w:rPr>
              <w:t>, R.S.O. 1990, c. C.43,</w:t>
            </w:r>
            <w:r w:rsidRPr="00625791">
              <w:rPr>
                <w:sz w:val="20"/>
                <w:szCs w:val="20"/>
                <w:lang w:val="en"/>
              </w:rPr>
              <w:t xml:space="preserve"> to dismiss the defamation lawsuit brought against him by the Ontario College of Teachers. This provision permits judicial scrutiny of lawsuits allegedly brought to silence or financially punish critics who have spoken out on matters of public interest, known as Strategic Lawsuits Against Public Participation, or SLAPP. Mr. Bouragba is a member of the College and had been a member of the College’s Council. Mr. Bouragba sent several communications to past and present members of the Council, the Attorney General of Ontario, and the Minister of Education. In some of the communications he advocated for a public inquiry into a wide range of alleged misconduct on the part of the College and people affiliated with it. The motion judge denied Mr. Bouragba’s motion to dismiss the College’s defamation action on the ground that it was a SLAPP. Mr. Bouragba’s appeal was allowed and the matter was remitted to a different motion judge for reconsideration in accordance with s. 137.1. No costs were awarded.</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September 26, 2018</w:t>
            </w:r>
          </w:p>
          <w:p w:rsidR="006E0D1B" w:rsidRPr="00625791" w:rsidRDefault="006E0D1B" w:rsidP="00786E63">
            <w:pPr>
              <w:jc w:val="both"/>
              <w:rPr>
                <w:sz w:val="20"/>
              </w:rPr>
            </w:pPr>
            <w:r w:rsidRPr="00625791">
              <w:rPr>
                <w:sz w:val="20"/>
              </w:rPr>
              <w:t>Ontario Superior Court of Justice</w:t>
            </w:r>
          </w:p>
          <w:p w:rsidR="006E0D1B" w:rsidRPr="00625791" w:rsidRDefault="006E0D1B" w:rsidP="00786E63">
            <w:pPr>
              <w:jc w:val="both"/>
              <w:rPr>
                <w:sz w:val="20"/>
              </w:rPr>
            </w:pPr>
            <w:r w:rsidRPr="00625791">
              <w:rPr>
                <w:sz w:val="20"/>
              </w:rPr>
              <w:t>(Pollak J.)</w:t>
            </w:r>
          </w:p>
          <w:p w:rsidR="006E0D1B" w:rsidRPr="00625791" w:rsidRDefault="006E0D1B" w:rsidP="00786E63">
            <w:pPr>
              <w:jc w:val="both"/>
              <w:rPr>
                <w:sz w:val="20"/>
              </w:rPr>
            </w:pPr>
            <w:r w:rsidRPr="00625791">
              <w:rPr>
                <w:sz w:val="20"/>
              </w:rPr>
              <w:t>2018 ONSC 4069</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 xml:space="preserve">Applicant’s motion under section 137.1 of the </w:t>
            </w:r>
            <w:r w:rsidRPr="00625791">
              <w:rPr>
                <w:i/>
                <w:sz w:val="20"/>
              </w:rPr>
              <w:t>Courts of Justice Act</w:t>
            </w:r>
            <w:r w:rsidRPr="00625791">
              <w:rPr>
                <w:sz w:val="20"/>
              </w:rPr>
              <w:t>, R.S.O. 1990, c. C.43 to dismiss defamation action filed by respondent dismissed. Costs of $10,000 awarded to respondent</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December 31, 2019</w:t>
            </w:r>
          </w:p>
          <w:p w:rsidR="006E0D1B" w:rsidRPr="00625791" w:rsidRDefault="006E0D1B" w:rsidP="00786E63">
            <w:pPr>
              <w:jc w:val="both"/>
              <w:rPr>
                <w:sz w:val="20"/>
              </w:rPr>
            </w:pPr>
            <w:r w:rsidRPr="00625791">
              <w:rPr>
                <w:sz w:val="20"/>
              </w:rPr>
              <w:t>Court of Appeal for Ontario</w:t>
            </w:r>
          </w:p>
          <w:p w:rsidR="006E0D1B" w:rsidRPr="00625791" w:rsidRDefault="006E0D1B" w:rsidP="00786E63">
            <w:pPr>
              <w:jc w:val="both"/>
              <w:rPr>
                <w:sz w:val="20"/>
              </w:rPr>
            </w:pPr>
            <w:r w:rsidRPr="00625791">
              <w:rPr>
                <w:sz w:val="20"/>
              </w:rPr>
              <w:t>(Lauwers, Fairburn and Zarnett JJ.A.)</w:t>
            </w:r>
          </w:p>
          <w:p w:rsidR="006E0D1B" w:rsidRPr="00625791" w:rsidRDefault="00366BFA" w:rsidP="00786E63">
            <w:pPr>
              <w:jc w:val="both"/>
              <w:rPr>
                <w:sz w:val="20"/>
              </w:rPr>
            </w:pPr>
            <w:hyperlink r:id="rId51" w:history="1">
              <w:r w:rsidR="006E0D1B" w:rsidRPr="00625791">
                <w:rPr>
                  <w:rStyle w:val="Hyperlink"/>
                  <w:sz w:val="20"/>
                </w:rPr>
                <w:t>2019 ONCA 1028</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Applicant’s appeal allowed; order for costs set aside and applicant’s motion remitted to Superior Court to be heard by a different judge. No costs awarded.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March 2,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45"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lastRenderedPageBreak/>
              <w:t>39229</w:t>
            </w:r>
          </w:p>
        </w:tc>
        <w:tc>
          <w:tcPr>
            <w:tcW w:w="4457" w:type="pct"/>
            <w:gridSpan w:val="3"/>
          </w:tcPr>
          <w:p w:rsidR="006E0D1B" w:rsidRPr="00625791" w:rsidRDefault="006E0D1B" w:rsidP="00786E63">
            <w:pPr>
              <w:pStyle w:val="SCCLsocParty"/>
              <w:jc w:val="both"/>
              <w:rPr>
                <w:b/>
                <w:sz w:val="20"/>
                <w:szCs w:val="20"/>
              </w:rPr>
            </w:pPr>
            <w:r w:rsidRPr="00625791">
              <w:rPr>
                <w:b/>
                <w:sz w:val="20"/>
                <w:szCs w:val="20"/>
              </w:rPr>
              <w:t>Ahmed Bouragba c. Ordre des enseignantes et des enseignants de l’Ontario</w:t>
            </w:r>
          </w:p>
          <w:p w:rsidR="006E0D1B" w:rsidRPr="00625791" w:rsidRDefault="006E0D1B" w:rsidP="00786E63">
            <w:pPr>
              <w:jc w:val="both"/>
              <w:rPr>
                <w:sz w:val="20"/>
                <w:lang w:val="fr-CA"/>
              </w:rPr>
            </w:pPr>
            <w:r w:rsidRPr="00625791">
              <w:rPr>
                <w:sz w:val="20"/>
                <w:lang w:val="fr-CA"/>
              </w:rPr>
              <w:t>(Ont.) (Civile) (Sur autorisation)</w:t>
            </w:r>
          </w:p>
        </w:tc>
      </w:tr>
      <w:tr w:rsidR="006E0D1B" w:rsidRPr="00366BFA" w:rsidTr="00786E63">
        <w:tc>
          <w:tcPr>
            <w:tcW w:w="5000" w:type="pct"/>
            <w:gridSpan w:val="4"/>
          </w:tcPr>
          <w:p w:rsidR="006E0D1B" w:rsidRPr="00625791" w:rsidRDefault="0037527A" w:rsidP="00786E63">
            <w:pPr>
              <w:jc w:val="both"/>
              <w:rPr>
                <w:sz w:val="20"/>
                <w:szCs w:val="20"/>
                <w:lang w:val="fr-CA"/>
              </w:rPr>
            </w:pPr>
            <w:r w:rsidRPr="00625791">
              <w:rPr>
                <w:sz w:val="20"/>
                <w:szCs w:val="20"/>
                <w:lang w:val="fr-CA"/>
              </w:rPr>
              <w:t>La demande d’autorisation d’appel de l’arrêt de la Cour d’appel de l’Ontario, numéro C66080, 2019 ONCA 1028, daté du 31 décembre 2019, est rejetée avec dépens.</w:t>
            </w:r>
          </w:p>
          <w:p w:rsidR="0037527A" w:rsidRPr="00625791" w:rsidRDefault="0037527A"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t>Procédure civile — Dépens — Le demandeur a eu gain de cause en appel, mais n’a pas eu droit à ses dépens — Les personnes canadiennes ou non représentées ont</w:t>
            </w:r>
            <w:r w:rsidRPr="00625791">
              <w:rPr>
                <w:sz w:val="20"/>
                <w:lang w:val="fr-CA"/>
              </w:rPr>
              <w:noBreakHyphen/>
              <w:t>elles un droit égal de se voir accorder des dépens et d’intenter une poursuite sans qu’une action en diffamation vexatoire et stratégique soit intentée à leur encontre en raison de l’immunité absolue sous</w:t>
            </w:r>
            <w:r w:rsidRPr="00625791">
              <w:rPr>
                <w:sz w:val="20"/>
                <w:lang w:val="fr-CA"/>
              </w:rPr>
              <w:noBreakHyphen/>
              <w:t>tendant les actes de procédures légitimes ? — Était</w:t>
            </w:r>
            <w:r w:rsidRPr="00625791">
              <w:rPr>
                <w:sz w:val="20"/>
                <w:lang w:val="fr-CA"/>
              </w:rPr>
              <w:noBreakHyphen/>
              <w:t>il injuste de ne pas accorder de dépens ?</w:t>
            </w:r>
          </w:p>
          <w:p w:rsidR="006E0D1B" w:rsidRPr="00625791" w:rsidRDefault="006E0D1B" w:rsidP="00786E63">
            <w:pPr>
              <w:jc w:val="both"/>
              <w:rPr>
                <w:sz w:val="20"/>
                <w:lang w:val="fr-CA"/>
              </w:rPr>
            </w:pPr>
          </w:p>
        </w:tc>
      </w:tr>
      <w:tr w:rsidR="006E0D1B" w:rsidRPr="00625791" w:rsidTr="00786E63">
        <w:tc>
          <w:tcPr>
            <w:tcW w:w="5000" w:type="pct"/>
            <w:gridSpan w:val="4"/>
          </w:tcPr>
          <w:p w:rsidR="006E0D1B" w:rsidRPr="00625791" w:rsidRDefault="006E0D1B" w:rsidP="00786E63">
            <w:pPr>
              <w:pStyle w:val="aparanumbering"/>
              <w:jc w:val="both"/>
              <w:rPr>
                <w:sz w:val="20"/>
                <w:szCs w:val="20"/>
                <w:lang w:val="fr-CA"/>
              </w:rPr>
            </w:pPr>
            <w:r w:rsidRPr="00625791">
              <w:rPr>
                <w:sz w:val="20"/>
                <w:szCs w:val="20"/>
                <w:lang w:val="fr-CA"/>
              </w:rPr>
              <w:t>M. Bouragba a présenté, aux termes de l’</w:t>
            </w:r>
            <w:hyperlink r:id="rId52" w:anchor="art137.1_smooth" w:history="1">
              <w:r w:rsidRPr="00625791">
                <w:rPr>
                  <w:rStyle w:val="Hyperlink"/>
                  <w:sz w:val="20"/>
                  <w:szCs w:val="20"/>
                  <w:lang w:val="fr-CA"/>
                </w:rPr>
                <w:t>art</w:t>
              </w:r>
              <w:r w:rsidRPr="00625791">
                <w:rPr>
                  <w:rStyle w:val="Hyperlink"/>
                  <w:rFonts w:eastAsiaTheme="majorEastAsia"/>
                  <w:sz w:val="20"/>
                  <w:szCs w:val="20"/>
                  <w:lang w:val="fr-CA"/>
                </w:rPr>
                <w:t>. 137.1</w:t>
              </w:r>
            </w:hyperlink>
            <w:r w:rsidRPr="00625791">
              <w:rPr>
                <w:sz w:val="20"/>
                <w:szCs w:val="20"/>
                <w:lang w:val="fr-CA"/>
              </w:rPr>
              <w:t xml:space="preserve"> de la </w:t>
            </w:r>
            <w:hyperlink r:id="rId53" w:history="1">
              <w:r w:rsidRPr="00625791">
                <w:rPr>
                  <w:rStyle w:val="Hyperlink"/>
                  <w:i/>
                  <w:sz w:val="20"/>
                  <w:szCs w:val="20"/>
                  <w:lang w:val="fr-CA"/>
                </w:rPr>
                <w:t>Loi sur les tribunaux judiciaires</w:t>
              </w:r>
            </w:hyperlink>
            <w:r w:rsidRPr="00625791">
              <w:rPr>
                <w:sz w:val="20"/>
                <w:szCs w:val="20"/>
                <w:lang w:val="fr-CA"/>
              </w:rPr>
              <w:t>, L.R.O. 1990, c. C.43 (Loi), une motion en rejet de la poursuite en diffamation intentée contre lui par</w:t>
            </w:r>
            <w:r w:rsidRPr="00625791">
              <w:rPr>
                <w:rFonts w:eastAsiaTheme="minorHAnsi" w:cstheme="minorBidi"/>
                <w:sz w:val="20"/>
                <w:szCs w:val="20"/>
                <w:lang w:val="fr-CA"/>
              </w:rPr>
              <w:t xml:space="preserve"> l’</w:t>
            </w:r>
            <w:r w:rsidRPr="00625791">
              <w:rPr>
                <w:sz w:val="20"/>
                <w:szCs w:val="20"/>
                <w:lang w:val="fr-CA"/>
              </w:rPr>
              <w:t>Ordre des enseignantes et des enseignants de l’Ontario. Cette disposition permet l’examen par les tribunaux de poursuites qui auraient été intentées afin de réduire au silence les personnes ayant critiqué ouvertement des affaires d’intérêt public ou de leur imposer une sanction financière; ce genre de poursuite est connu sous le nom de</w:t>
            </w:r>
            <w:r w:rsidRPr="00625791">
              <w:rPr>
                <w:rFonts w:eastAsiaTheme="minorHAnsi" w:cstheme="minorBidi"/>
                <w:i/>
                <w:iCs/>
                <w:sz w:val="20"/>
                <w:szCs w:val="20"/>
                <w:lang w:val="fr-FR"/>
              </w:rPr>
              <w:t xml:space="preserve"> </w:t>
            </w:r>
            <w:r w:rsidRPr="00625791">
              <w:rPr>
                <w:iCs/>
                <w:sz w:val="20"/>
                <w:szCs w:val="20"/>
                <w:lang w:val="fr-FR"/>
              </w:rPr>
              <w:t>poursuite stratégique contre la mobilisation publique (poursuite</w:t>
            </w:r>
            <w:r w:rsidRPr="00625791">
              <w:rPr>
                <w:iCs/>
                <w:sz w:val="20"/>
                <w:szCs w:val="20"/>
                <w:lang w:val="fr-FR"/>
              </w:rPr>
              <w:noBreakHyphen/>
              <w:t>bâillon ou SLAPP)</w:t>
            </w:r>
            <w:r w:rsidRPr="00625791">
              <w:rPr>
                <w:sz w:val="20"/>
                <w:szCs w:val="20"/>
                <w:lang w:val="fr-CA"/>
              </w:rPr>
              <w:t>. M. Bouragba est membre de l’Ordre et a auparavant été membre du conseil de l’Ordre. M. Bouragba a envoyé de nombreuses communications à des membres et anciens membres du conseil, au procureur général de l’Ontario, et au ministre de l’Éducation. Dans certaines des communications, il demandait qu’une enquête publique soit menée au sujet de tout un éventail d’inconduites prétendues de la part de l’Ordre et de gens qui y sont affiliés. La juge des motions a rejeté la motion de M. Bouragba en rejet de l’action en diffamation intentée par l’Ordre au motif qu’il s’agissait d’une poursuite</w:t>
            </w:r>
            <w:r w:rsidRPr="00625791">
              <w:rPr>
                <w:sz w:val="20"/>
                <w:szCs w:val="20"/>
                <w:lang w:val="fr-CA"/>
              </w:rPr>
              <w:noBreakHyphen/>
              <w:t>bâillon. L’appel de M. Bouragba a été accueilli et l’affaire a été renvoyée à un juge des motions différent pour qu’elle soit réexaminée à la lumière de l’art. 137.1. Aucuns dépens n’ont été accordés.</w:t>
            </w:r>
          </w:p>
        </w:tc>
      </w:tr>
      <w:tr w:rsidR="006E0D1B" w:rsidRPr="00625791" w:rsidTr="00786E63">
        <w:tc>
          <w:tcPr>
            <w:tcW w:w="5000" w:type="pct"/>
            <w:gridSpan w:val="4"/>
          </w:tcPr>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26 septembre 2018</w:t>
            </w:r>
          </w:p>
          <w:p w:rsidR="006E0D1B" w:rsidRPr="00625791" w:rsidRDefault="006E0D1B" w:rsidP="00786E63">
            <w:pPr>
              <w:jc w:val="both"/>
              <w:rPr>
                <w:sz w:val="20"/>
                <w:lang w:val="fr-CA"/>
              </w:rPr>
            </w:pPr>
            <w:r w:rsidRPr="00625791">
              <w:rPr>
                <w:sz w:val="20"/>
                <w:lang w:val="fr-CA"/>
              </w:rPr>
              <w:t>Cour supérieure de justice de l’Ontario</w:t>
            </w:r>
          </w:p>
          <w:p w:rsidR="006E0D1B" w:rsidRPr="00625791" w:rsidRDefault="006E0D1B" w:rsidP="00786E63">
            <w:pPr>
              <w:jc w:val="both"/>
              <w:rPr>
                <w:sz w:val="20"/>
                <w:lang w:val="fr-CA"/>
              </w:rPr>
            </w:pPr>
            <w:r w:rsidRPr="00625791">
              <w:rPr>
                <w:sz w:val="20"/>
                <w:lang w:val="fr-CA"/>
              </w:rPr>
              <w:t>(Juge Pollak)</w:t>
            </w:r>
          </w:p>
          <w:p w:rsidR="006E0D1B" w:rsidRPr="00625791" w:rsidRDefault="006E0D1B" w:rsidP="00786E63">
            <w:pPr>
              <w:jc w:val="both"/>
              <w:rPr>
                <w:sz w:val="20"/>
                <w:lang w:val="fr-CA"/>
              </w:rPr>
            </w:pPr>
            <w:r w:rsidRPr="00625791">
              <w:rPr>
                <w:sz w:val="20"/>
                <w:lang w:val="fr-CA"/>
              </w:rPr>
              <w:t>2018 ONSC 4069</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La motion du demandeur en rejet de l’action en diffamation intentée par l’intimé aux termes de l’article 137.1 de la Loi est rejetée. Des dépens de 10 000 $ sont accordés à l’intimé.</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31 décembre 2019</w:t>
            </w:r>
          </w:p>
          <w:p w:rsidR="006E0D1B" w:rsidRPr="00625791" w:rsidRDefault="006E0D1B" w:rsidP="00786E63">
            <w:pPr>
              <w:jc w:val="both"/>
              <w:rPr>
                <w:sz w:val="20"/>
                <w:lang w:val="fr-CA"/>
              </w:rPr>
            </w:pPr>
            <w:r w:rsidRPr="00625791">
              <w:rPr>
                <w:sz w:val="20"/>
                <w:lang w:val="fr-CA"/>
              </w:rPr>
              <w:t>Cour d’appel de l’Ontario</w:t>
            </w:r>
          </w:p>
          <w:p w:rsidR="006E0D1B" w:rsidRPr="00625791" w:rsidRDefault="006E0D1B" w:rsidP="00786E63">
            <w:pPr>
              <w:jc w:val="both"/>
              <w:rPr>
                <w:sz w:val="20"/>
                <w:lang w:val="fr-CA"/>
              </w:rPr>
            </w:pPr>
            <w:r w:rsidRPr="00625791">
              <w:rPr>
                <w:sz w:val="20"/>
                <w:lang w:val="fr-CA"/>
              </w:rPr>
              <w:t>(Juges Lauwers, Fairburn et Zarnett)</w:t>
            </w:r>
          </w:p>
          <w:p w:rsidR="006E0D1B" w:rsidRPr="00625791" w:rsidRDefault="00366BFA" w:rsidP="00786E63">
            <w:pPr>
              <w:jc w:val="both"/>
              <w:rPr>
                <w:sz w:val="20"/>
                <w:lang w:val="fr-CA"/>
              </w:rPr>
            </w:pPr>
            <w:hyperlink r:id="rId54" w:history="1">
              <w:r w:rsidR="006E0D1B" w:rsidRPr="00625791">
                <w:rPr>
                  <w:rStyle w:val="Hyperlink"/>
                  <w:sz w:val="20"/>
                  <w:lang w:val="fr-CA"/>
                </w:rPr>
                <w:t>2019 ONCA 1028</w:t>
              </w:r>
            </w:hyperlink>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L’appel du demandeur est accueilli; l’ordonnance de dépens est annulée et la motion du demandeur est renvoyée à la Cour supérieure afin d’être entendue par un juge différent. Aucuns dépens ne sont accordés.</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2 mars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 d’autorisation d’appel présentée.</w:t>
            </w:r>
          </w:p>
        </w:tc>
      </w:tr>
    </w:tbl>
    <w:p w:rsidR="006E0D1B" w:rsidRPr="00625791" w:rsidRDefault="006E0D1B" w:rsidP="006E0D1B">
      <w:pPr>
        <w:jc w:val="both"/>
        <w:rPr>
          <w:sz w:val="20"/>
          <w:lang w:val="fr-CA"/>
        </w:rPr>
      </w:pPr>
    </w:p>
    <w:p w:rsidR="006E0D1B" w:rsidRPr="00625791" w:rsidRDefault="00366BFA" w:rsidP="006E0D1B">
      <w:pPr>
        <w:jc w:val="both"/>
        <w:rPr>
          <w:sz w:val="20"/>
          <w:lang w:val="fr-CA"/>
        </w:rPr>
      </w:pPr>
      <w:r>
        <w:rPr>
          <w:sz w:val="20"/>
        </w:rPr>
        <w:pict>
          <v:rect id="_x0000_i1046"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39220</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Her Majesty the Queen v. Loblaw Financial Holdings Inc.</w:t>
            </w:r>
          </w:p>
          <w:p w:rsidR="006E0D1B" w:rsidRPr="00625791" w:rsidRDefault="006E0D1B" w:rsidP="00786E63">
            <w:pPr>
              <w:jc w:val="both"/>
              <w:rPr>
                <w:sz w:val="20"/>
              </w:rPr>
            </w:pPr>
            <w:r w:rsidRPr="00625791">
              <w:rPr>
                <w:sz w:val="20"/>
              </w:rPr>
              <w:t>(F.C.) (Civil) (By Leave)</w:t>
            </w:r>
          </w:p>
        </w:tc>
      </w:tr>
      <w:tr w:rsidR="006E0D1B" w:rsidRPr="00625791" w:rsidTr="00786E63">
        <w:tc>
          <w:tcPr>
            <w:tcW w:w="5000" w:type="pct"/>
            <w:gridSpan w:val="4"/>
          </w:tcPr>
          <w:p w:rsidR="0037527A" w:rsidRPr="00625791" w:rsidRDefault="0037527A" w:rsidP="0037527A">
            <w:pPr>
              <w:jc w:val="both"/>
              <w:rPr>
                <w:rFonts w:eastAsia="Times New Roman"/>
                <w:color w:val="000000"/>
                <w:sz w:val="20"/>
                <w:szCs w:val="20"/>
              </w:rPr>
            </w:pPr>
            <w:r w:rsidRPr="00625791">
              <w:rPr>
                <w:sz w:val="20"/>
                <w:szCs w:val="20"/>
              </w:rPr>
              <w:t xml:space="preserve">The application for leave to appeal from the judgment of the Federal Court of Appeal, Number A-321-18, 2020 FCA 79, dated April 23, 2020, is </w:t>
            </w:r>
            <w:r w:rsidRPr="00625791">
              <w:rPr>
                <w:rFonts w:eastAsia="Times New Roman"/>
                <w:color w:val="000000"/>
                <w:sz w:val="20"/>
                <w:szCs w:val="20"/>
              </w:rPr>
              <w:t>granted with costs in the cause.</w:t>
            </w:r>
          </w:p>
          <w:p w:rsidR="0037527A" w:rsidRPr="00625791" w:rsidRDefault="0037527A" w:rsidP="0037527A">
            <w:pPr>
              <w:jc w:val="both"/>
              <w:rPr>
                <w:rFonts w:eastAsia="Times New Roman"/>
                <w:color w:val="000000"/>
                <w:sz w:val="20"/>
                <w:szCs w:val="20"/>
              </w:rPr>
            </w:pPr>
          </w:p>
          <w:p w:rsidR="0037527A" w:rsidRPr="00625791" w:rsidRDefault="0037527A" w:rsidP="0037527A">
            <w:pPr>
              <w:jc w:val="both"/>
              <w:rPr>
                <w:sz w:val="20"/>
                <w:szCs w:val="20"/>
              </w:rPr>
            </w:pPr>
            <w:r w:rsidRPr="00625791">
              <w:rPr>
                <w:sz w:val="20"/>
                <w:szCs w:val="20"/>
              </w:rPr>
              <w:t>Rowe J. took no part in the judgment.</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Taxation — Income tax — Tax avoidance — Legislation — Interpretation — Interpretation of foreign accrual property income provisions — Whether the business of the respondent’s foreign affiliate as a foreign bank was conducted principally with persons with whom it does not deal at arm’s length —Did the appellate court err in its interpretation of the foreign accrual property income regime and the interpretation of the definition of “investment business” —</w:t>
            </w:r>
            <w:r w:rsidRPr="00625791">
              <w:rPr>
                <w:i/>
                <w:sz w:val="20"/>
              </w:rPr>
              <w:t xml:space="preserve"> Income Tax Act</w:t>
            </w:r>
            <w:r w:rsidRPr="00625791">
              <w:rPr>
                <w:sz w:val="20"/>
              </w:rPr>
              <w:t>, R.S.C. 1985, c. 1 (5</w:t>
            </w:r>
            <w:r w:rsidRPr="00625791">
              <w:rPr>
                <w:sz w:val="20"/>
                <w:vertAlign w:val="superscript"/>
              </w:rPr>
              <w:t>th</w:t>
            </w:r>
            <w:r w:rsidRPr="00625791">
              <w:rPr>
                <w:sz w:val="20"/>
              </w:rPr>
              <w:t xml:space="preserve"> Supp) ss. 91 and 95.</w:t>
            </w:r>
          </w:p>
          <w:p w:rsidR="006E0D1B" w:rsidRPr="00625791" w:rsidRDefault="006E0D1B" w:rsidP="00786E63">
            <w:pPr>
              <w:pStyle w:val="SCCBanSummary0"/>
              <w:rPr>
                <w:sz w:val="20"/>
                <w:szCs w:val="20"/>
              </w:rPr>
            </w:pPr>
          </w:p>
          <w:p w:rsidR="006E0D1B" w:rsidRPr="00625791" w:rsidRDefault="006E0D1B" w:rsidP="00786E63">
            <w:pPr>
              <w:jc w:val="both"/>
              <w:rPr>
                <w:sz w:val="20"/>
              </w:rPr>
            </w:pPr>
            <w:r w:rsidRPr="00625791">
              <w:rPr>
                <w:sz w:val="20"/>
              </w:rPr>
              <w:lastRenderedPageBreak/>
              <w:t xml:space="preserve">The issue in dispute is whether, during the 2001 to 2005 and 2008 and 2010 taxation years, the income of Glenhuron Bank Limited (GBL), a bank licenced in Barbados, was foreign accrual property income (FAPI) pursuant to ss. 91 and 95 of the </w:t>
            </w:r>
            <w:r w:rsidRPr="00625791">
              <w:rPr>
                <w:i/>
                <w:sz w:val="20"/>
              </w:rPr>
              <w:t>Act</w:t>
            </w:r>
            <w:r w:rsidRPr="00625791">
              <w:rPr>
                <w:sz w:val="20"/>
              </w:rPr>
              <w:t xml:space="preserve">. If so, the respondent’s </w:t>
            </w:r>
            <w:r w:rsidRPr="00625791">
              <w:rPr>
                <w:sz w:val="20"/>
                <w:lang w:val="en"/>
              </w:rPr>
              <w:t xml:space="preserve">taxable income in Canada must include a percentage of its affiliate’s FAPI equivalent to the participating percentage of the </w:t>
            </w:r>
            <w:r w:rsidRPr="00625791">
              <w:rPr>
                <w:sz w:val="20"/>
              </w:rPr>
              <w:t>respondent</w:t>
            </w:r>
            <w:r w:rsidRPr="00625791">
              <w:rPr>
                <w:sz w:val="20"/>
                <w:lang w:val="en"/>
              </w:rPr>
              <w:t>’s shares in GBL.</w:t>
            </w:r>
            <w:r w:rsidRPr="00625791">
              <w:rPr>
                <w:sz w:val="20"/>
              </w:rPr>
              <w:t xml:space="preserve"> FAPI includes income from an investment business. The definition of investment business in s. 95(1) of the </w:t>
            </w:r>
            <w:r w:rsidRPr="00625791">
              <w:rPr>
                <w:i/>
                <w:sz w:val="20"/>
              </w:rPr>
              <w:t xml:space="preserve">Act </w:t>
            </w:r>
            <w:r w:rsidRPr="00625791">
              <w:rPr>
                <w:sz w:val="20"/>
              </w:rPr>
              <w:t>exempts a business, other than a business conducted principally with non</w:t>
            </w:r>
            <w:r w:rsidRPr="00625791">
              <w:rPr>
                <w:sz w:val="20"/>
              </w:rPr>
              <w:noBreakHyphen/>
              <w:t>arm’s length persons, of a regulated foreign bank with greater than five full-time employees. The respondent appealed its tax reassessments on the basis that as GBL was a regulated foreign bank that met the added conditions, its income for the taxation years in question was not FAPI. The applicant argued that GBL was not a foreign bank, did not have greater that five full time employees and was not conducting business principally with non</w:t>
            </w:r>
            <w:r w:rsidRPr="00625791">
              <w:rPr>
                <w:sz w:val="20"/>
              </w:rPr>
              <w:noBreakHyphen/>
              <w:t>arm’s length persons, since it was not in competition with anyone. The Crown also argued that the general anti</w:t>
            </w:r>
            <w:r w:rsidRPr="00625791">
              <w:rPr>
                <w:sz w:val="20"/>
              </w:rPr>
              <w:noBreakHyphen/>
              <w:t>avoidance rule applied to a series of transactions by the respondent and GBL to give the appearance of compliance with the “</w:t>
            </w:r>
            <w:r w:rsidR="0037527A" w:rsidRPr="00625791">
              <w:rPr>
                <w:sz w:val="20"/>
              </w:rPr>
              <w:t>investment business” exception.</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lang w:val="en"/>
              </w:rPr>
              <w:lastRenderedPageBreak/>
              <w:t xml:space="preserve">The Tax Court allowed the respondent’s appeals in part, holding that the foreign exchange gains or losses arising on GBL’s investment in short term securities should be on income account. However, the Court determined that while GBL is a regulated foreign bank with more than the equivalent of five full time employees, it was conducting business principally with related persons and therefore could not benefit from the financial institution exemption from investment business. It found, in </w:t>
            </w:r>
            <w:r w:rsidRPr="00625791">
              <w:rPr>
                <w:i/>
                <w:sz w:val="20"/>
                <w:lang w:val="en"/>
              </w:rPr>
              <w:t>obiter</w:t>
            </w:r>
            <w:r w:rsidRPr="00625791">
              <w:rPr>
                <w:sz w:val="20"/>
                <w:lang w:val="en"/>
              </w:rPr>
              <w:t>, that there had been no tax avoidance transactions. The Federal Court of Appeal allowed the respondent’s appeal, set aside the decision of the Tax Court, and referred the reassessment back to the Minister for reconsideration and reassessment on the basis that GBL’s FAPI consists only of income from investment management services provided to non</w:t>
            </w:r>
            <w:r w:rsidRPr="00625791">
              <w:rPr>
                <w:sz w:val="20"/>
                <w:lang w:val="en"/>
              </w:rPr>
              <w:noBreakHyphen/>
              <w:t>arm’s length parties. In its view, the receipts side of banking should not be considered when determining whether the investment business was conducted principally with non-arm’s length parties.</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September 7, 2018</w:t>
            </w:r>
          </w:p>
          <w:p w:rsidR="006E0D1B" w:rsidRPr="00625791" w:rsidRDefault="006E0D1B" w:rsidP="00786E63">
            <w:pPr>
              <w:jc w:val="both"/>
              <w:rPr>
                <w:sz w:val="20"/>
              </w:rPr>
            </w:pPr>
            <w:r w:rsidRPr="00625791">
              <w:rPr>
                <w:sz w:val="20"/>
              </w:rPr>
              <w:t>Tax Court of Canada</w:t>
            </w:r>
          </w:p>
          <w:p w:rsidR="006E0D1B" w:rsidRPr="00625791" w:rsidRDefault="006E0D1B" w:rsidP="00786E63">
            <w:pPr>
              <w:jc w:val="both"/>
              <w:rPr>
                <w:sz w:val="20"/>
              </w:rPr>
            </w:pPr>
            <w:r w:rsidRPr="00625791">
              <w:rPr>
                <w:sz w:val="20"/>
              </w:rPr>
              <w:t>(Miller J.)</w:t>
            </w:r>
          </w:p>
          <w:p w:rsidR="006E0D1B" w:rsidRPr="00625791" w:rsidRDefault="00366BFA" w:rsidP="00786E63">
            <w:pPr>
              <w:jc w:val="both"/>
              <w:rPr>
                <w:sz w:val="20"/>
              </w:rPr>
            </w:pPr>
            <w:hyperlink r:id="rId55" w:history="1">
              <w:r w:rsidR="006E0D1B" w:rsidRPr="00625791">
                <w:rPr>
                  <w:rStyle w:val="Hyperlink"/>
                  <w:sz w:val="20"/>
                </w:rPr>
                <w:t>2018 TCC 182</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lang w:val="en"/>
              </w:rPr>
              <w:t>Respondent’s appeals of its reassessments for 2001 — 2005, 2008 and 2010 taxation years allowed in part</w:t>
            </w:r>
            <w:r w:rsidRPr="00625791">
              <w:rPr>
                <w:sz w:val="20"/>
              </w:rPr>
              <w:t>.</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April 23, 2020</w:t>
            </w:r>
          </w:p>
          <w:p w:rsidR="006E0D1B" w:rsidRPr="00625791" w:rsidRDefault="006E0D1B" w:rsidP="00786E63">
            <w:pPr>
              <w:jc w:val="both"/>
              <w:rPr>
                <w:sz w:val="20"/>
              </w:rPr>
            </w:pPr>
            <w:r w:rsidRPr="00625791">
              <w:rPr>
                <w:sz w:val="20"/>
              </w:rPr>
              <w:t>Federal Court of Appeal</w:t>
            </w:r>
          </w:p>
          <w:p w:rsidR="006E0D1B" w:rsidRPr="00625791" w:rsidRDefault="006E0D1B" w:rsidP="00786E63">
            <w:pPr>
              <w:jc w:val="both"/>
              <w:rPr>
                <w:sz w:val="20"/>
              </w:rPr>
            </w:pPr>
            <w:r w:rsidRPr="00625791">
              <w:rPr>
                <w:sz w:val="20"/>
              </w:rPr>
              <w:t>(Woods, Laskin and Mactavish JJ.A.)</w:t>
            </w:r>
          </w:p>
          <w:p w:rsidR="006E0D1B" w:rsidRPr="00625791" w:rsidRDefault="00366BFA" w:rsidP="00786E63">
            <w:pPr>
              <w:jc w:val="both"/>
              <w:rPr>
                <w:sz w:val="20"/>
              </w:rPr>
            </w:pPr>
            <w:hyperlink r:id="rId56" w:history="1">
              <w:r w:rsidR="006E0D1B" w:rsidRPr="00625791">
                <w:rPr>
                  <w:rStyle w:val="Hyperlink"/>
                  <w:sz w:val="20"/>
                </w:rPr>
                <w:t>2020 FCA 79</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 xml:space="preserve">Respondent’s appeal allowed, TCC decision set aside; Appeal of reassessments allowed and referred back to Minister for reconsideration and reassessment. </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June 19,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47"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366BFA"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t>39220</w:t>
            </w:r>
          </w:p>
        </w:tc>
        <w:tc>
          <w:tcPr>
            <w:tcW w:w="4457" w:type="pct"/>
            <w:gridSpan w:val="3"/>
          </w:tcPr>
          <w:p w:rsidR="006E0D1B" w:rsidRPr="00625791" w:rsidRDefault="006E0D1B" w:rsidP="00786E63">
            <w:pPr>
              <w:pStyle w:val="SCCLsocParty"/>
              <w:jc w:val="both"/>
              <w:rPr>
                <w:b/>
                <w:sz w:val="20"/>
                <w:szCs w:val="20"/>
              </w:rPr>
            </w:pPr>
            <w:r w:rsidRPr="00625791">
              <w:rPr>
                <w:b/>
                <w:sz w:val="20"/>
                <w:szCs w:val="20"/>
              </w:rPr>
              <w:t>Sa Majesté la Reine c. Loblaw Financial Holdings Inc.</w:t>
            </w:r>
          </w:p>
          <w:p w:rsidR="006E0D1B" w:rsidRPr="00625791" w:rsidRDefault="006E0D1B" w:rsidP="00786E63">
            <w:pPr>
              <w:jc w:val="both"/>
              <w:rPr>
                <w:sz w:val="20"/>
                <w:lang w:val="fr-CA"/>
              </w:rPr>
            </w:pPr>
            <w:r w:rsidRPr="00625791">
              <w:rPr>
                <w:sz w:val="20"/>
                <w:lang w:val="fr-CA"/>
              </w:rPr>
              <w:t>(C.F.) (Civile) (Sur autorisation)</w:t>
            </w:r>
          </w:p>
        </w:tc>
      </w:tr>
      <w:tr w:rsidR="006E0D1B" w:rsidRPr="00366BFA" w:rsidTr="00786E63">
        <w:tc>
          <w:tcPr>
            <w:tcW w:w="5000" w:type="pct"/>
            <w:gridSpan w:val="4"/>
          </w:tcPr>
          <w:p w:rsidR="0037527A" w:rsidRPr="00625791" w:rsidRDefault="0037527A" w:rsidP="0037527A">
            <w:pPr>
              <w:jc w:val="both"/>
              <w:rPr>
                <w:sz w:val="20"/>
                <w:szCs w:val="20"/>
                <w:lang w:val="fr-CA"/>
              </w:rPr>
            </w:pPr>
            <w:r w:rsidRPr="00625791">
              <w:rPr>
                <w:sz w:val="20"/>
                <w:szCs w:val="20"/>
                <w:lang w:val="fr-CA"/>
              </w:rPr>
              <w:t>La demande d’autorisation d’appel de l’arrêt de la Cour d’appel fédérale, numéro A-321-18, 2020 FCA 79, daté du 23 avril 2020, est accueillie avec dépens suivant l’issue de la cause.</w:t>
            </w:r>
          </w:p>
          <w:p w:rsidR="0037527A" w:rsidRPr="00625791" w:rsidRDefault="0037527A" w:rsidP="0037527A">
            <w:pPr>
              <w:jc w:val="both"/>
              <w:rPr>
                <w:sz w:val="20"/>
                <w:szCs w:val="20"/>
                <w:lang w:val="fr-CA"/>
              </w:rPr>
            </w:pPr>
          </w:p>
          <w:p w:rsidR="006E0D1B" w:rsidRPr="00625791" w:rsidRDefault="0037527A" w:rsidP="0037527A">
            <w:pPr>
              <w:jc w:val="both"/>
              <w:rPr>
                <w:sz w:val="20"/>
                <w:szCs w:val="20"/>
                <w:lang w:val="fr-CA"/>
              </w:rPr>
            </w:pPr>
            <w:r w:rsidRPr="00625791">
              <w:rPr>
                <w:sz w:val="20"/>
                <w:szCs w:val="20"/>
                <w:lang w:val="fr-CA"/>
              </w:rPr>
              <w:t>Le juge Rowe n’a pas participé au jugement.</w:t>
            </w:r>
          </w:p>
          <w:p w:rsidR="0037527A" w:rsidRPr="00625791" w:rsidRDefault="0037527A" w:rsidP="0037527A">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t xml:space="preserve">Fiscalité — </w:t>
            </w:r>
            <w:r w:rsidRPr="00625791">
              <w:rPr>
                <w:iCs/>
                <w:sz w:val="20"/>
                <w:lang w:val="fr-CA"/>
              </w:rPr>
              <w:t>Impôt sur le revenu</w:t>
            </w:r>
            <w:r w:rsidRPr="00625791">
              <w:rPr>
                <w:sz w:val="20"/>
                <w:lang w:val="fr-CA"/>
              </w:rPr>
              <w:t xml:space="preserve"> — Évitement fiscal — Législation — Interprétation — Interprétation des dispositions sur le revenu étranger accumulé tiré de biens — L’entreprise de la société étrangère affiliée de l’intimée à titre de banque étrangère était</w:t>
            </w:r>
            <w:r w:rsidRPr="00625791">
              <w:rPr>
                <w:sz w:val="20"/>
                <w:lang w:val="fr-CA"/>
              </w:rPr>
              <w:noBreakHyphen/>
              <w:t>elle principalement menée avec des personnes avec lesquelles elle a un lien de dépendance ? — La Cour d’appel a</w:t>
            </w:r>
            <w:r w:rsidRPr="00625791">
              <w:rPr>
                <w:sz w:val="20"/>
                <w:lang w:val="fr-CA"/>
              </w:rPr>
              <w:noBreakHyphen/>
              <w:t>t</w:t>
            </w:r>
            <w:r w:rsidRPr="00625791">
              <w:rPr>
                <w:sz w:val="20"/>
                <w:lang w:val="fr-CA"/>
              </w:rPr>
              <w:noBreakHyphen/>
              <w:t>elle mal interprété le régime de revenu étranger accumulé tiré de biens et la définition d’« entreprise de placement » ? —</w:t>
            </w:r>
            <w:r w:rsidRPr="00625791">
              <w:rPr>
                <w:i/>
                <w:sz w:val="20"/>
                <w:lang w:val="fr-CA"/>
              </w:rPr>
              <w:t xml:space="preserve"> Loi de l’impôt sur le revenu</w:t>
            </w:r>
            <w:r w:rsidRPr="00625791">
              <w:rPr>
                <w:sz w:val="20"/>
                <w:lang w:val="fr-CA"/>
              </w:rPr>
              <w:t>, L.R.C. 1985, ch. 1 (5</w:t>
            </w:r>
            <w:r w:rsidRPr="00625791">
              <w:rPr>
                <w:sz w:val="20"/>
                <w:vertAlign w:val="superscript"/>
                <w:lang w:val="fr-CA"/>
              </w:rPr>
              <w:t>e</w:t>
            </w:r>
            <w:r w:rsidRPr="00625791">
              <w:rPr>
                <w:sz w:val="20"/>
                <w:lang w:val="fr-CA"/>
              </w:rPr>
              <w:t xml:space="preserve"> suppl.) art. 91 et 95.</w:t>
            </w:r>
          </w:p>
          <w:p w:rsidR="006E0D1B" w:rsidRPr="00625791" w:rsidRDefault="006E0D1B" w:rsidP="00786E63">
            <w:pPr>
              <w:pStyle w:val="SCCBanSummary0"/>
              <w:rPr>
                <w:sz w:val="20"/>
                <w:szCs w:val="20"/>
                <w:lang w:val="fr-CA"/>
              </w:rPr>
            </w:pPr>
          </w:p>
          <w:p w:rsidR="006E0D1B" w:rsidRPr="00625791" w:rsidRDefault="006E0D1B" w:rsidP="00786E63">
            <w:pPr>
              <w:jc w:val="both"/>
              <w:rPr>
                <w:sz w:val="20"/>
                <w:lang w:val="fr-CA"/>
              </w:rPr>
            </w:pPr>
            <w:r w:rsidRPr="00625791">
              <w:rPr>
                <w:sz w:val="20"/>
                <w:lang w:val="fr-CA"/>
              </w:rPr>
              <w:lastRenderedPageBreak/>
              <w:t xml:space="preserve">La question en litige est de savoir si, au cours des années d’imposition 2001 à 2005, 2008 et 2010, le revenu de Glenhuron Bank Limited (GBL), une banque autorisée à exercer ses activités à la Barbade, était un revenu étranger accumulé tiré de biens (REATB) au sens de l’art. 91 et de l’art. 95 de la </w:t>
            </w:r>
            <w:r w:rsidRPr="00625791">
              <w:rPr>
                <w:i/>
                <w:sz w:val="20"/>
                <w:lang w:val="fr-CA"/>
              </w:rPr>
              <w:t>Loi</w:t>
            </w:r>
            <w:r w:rsidRPr="00625791">
              <w:rPr>
                <w:sz w:val="20"/>
                <w:lang w:val="fr-CA"/>
              </w:rPr>
              <w:t xml:space="preserve">. Si tel est le cas, le revenu imposable au Canada de l’intimée doit inclure un pourcentage du REATB de la société affiliée qui équivaut au pourcentage de participation des actions de l’intimée dans GBL. Le REATB comprend le revenu d’une entreprise de placement. Selon la définition d’entreprise de placement au par. 95(1) de la </w:t>
            </w:r>
            <w:r w:rsidRPr="00625791">
              <w:rPr>
                <w:i/>
                <w:sz w:val="20"/>
                <w:lang w:val="fr-CA"/>
              </w:rPr>
              <w:t>Loi</w:t>
            </w:r>
            <w:r w:rsidRPr="00625791">
              <w:rPr>
                <w:sz w:val="20"/>
                <w:lang w:val="fr-CA"/>
              </w:rPr>
              <w:t>,</w:t>
            </w:r>
            <w:r w:rsidRPr="00625791">
              <w:rPr>
                <w:i/>
                <w:sz w:val="20"/>
                <w:lang w:val="fr-CA"/>
              </w:rPr>
              <w:t xml:space="preserve"> </w:t>
            </w:r>
            <w:r w:rsidRPr="00625791">
              <w:rPr>
                <w:sz w:val="20"/>
                <w:lang w:val="fr-CA"/>
              </w:rPr>
              <w:t>est exemptée une entreprise, sauf celle menée principalement avec des personnes avec lesquelles il y a un lien de dépendance, d’une banque étrangère réglementée ayant plus de cinq employés à temps plein. L’intimée a porté en appel ses nouvelles cotisations de l’impôt au motif que GBL était une banque étrangère réglementée qui respectait les conditions additionnelles, son revenu au cours des années d’imposition en question n’étant pas un REATB. La demanderesse a soutenu que GBL n’était pas une banque étrangère, n’avait pas plus de cinq employés à temps plein et ne menait pas d’entreprise principalement avec des personnes avec lesquelles il y a un lien de dépendance, car elle n’était en concurrence avec personne. Le ministère public a, en outre, fait valoir que la disposition générale anti</w:t>
            </w:r>
            <w:r w:rsidRPr="00625791">
              <w:rPr>
                <w:sz w:val="20"/>
                <w:lang w:val="fr-CA"/>
              </w:rPr>
              <w:noBreakHyphen/>
              <w:t xml:space="preserve">évitement s’appliquait à une série d’opérations effectuées par l’intimée et GBL afin de donner l’impression qu’elles respectaient l’exception relative à l’ « entreprise de placement ». </w:t>
            </w:r>
          </w:p>
          <w:p w:rsidR="006E0D1B" w:rsidRPr="00625791" w:rsidRDefault="006E0D1B" w:rsidP="00786E63">
            <w:pPr>
              <w:jc w:val="both"/>
              <w:rPr>
                <w:sz w:val="20"/>
                <w:lang w:val="fr-CA"/>
              </w:rPr>
            </w:pPr>
          </w:p>
        </w:tc>
      </w:tr>
      <w:tr w:rsidR="006E0D1B" w:rsidRPr="00366BFA" w:rsidTr="00786E63">
        <w:tc>
          <w:tcPr>
            <w:tcW w:w="5000" w:type="pct"/>
            <w:gridSpan w:val="4"/>
          </w:tcPr>
          <w:p w:rsidR="006E0D1B" w:rsidRPr="00625791" w:rsidRDefault="006E0D1B" w:rsidP="00786E63">
            <w:pPr>
              <w:jc w:val="both"/>
              <w:rPr>
                <w:sz w:val="20"/>
                <w:lang w:val="fr-CA"/>
              </w:rPr>
            </w:pPr>
            <w:r w:rsidRPr="00625791">
              <w:rPr>
                <w:sz w:val="20"/>
                <w:lang w:val="fr-CA"/>
              </w:rPr>
              <w:lastRenderedPageBreak/>
              <w:t>La Cour canadienne de l’impôt a accueilli l’appel de l’intimée en partie, concluant que les gains ou les pertes sur change découlant du placement de GBL dans des titres à court terme doivent être imputés au compte de revenu. Toutefois, la Cour a déterminé que même si GBL est une banque étrangère réglementée ayant plus que l'équivalent de cinq employés à plein temps, elle menait des activités principalement avec des personnes liées et, par conséquent, ne pouvait pas se prévaloir de l’exonération relative à l’entreprise de placement qui s’applique aux institutions financières. Elle a conclu, à titre incident, qu’aucune opération d’évitement fiscal n’avait eu lieu. La Cour d’appel fédérale a accueilli l’appel de l’intimée, annulé la décision de la Cour canadienne de l’impôt et renvoyé la question au ministre pour réexamen et nouvelle cotisation au motif que le REATB de GBL comprend seulement le revenu provenant de services de gestion des placements fournis à des parties avec lesquelles il y a un lien de dépendance. À son avis, il ne faut pas tenir compte de l’aspect des activités bancaires relatif à la réception de fonds pour déterminer si l’entreprise de placement a été menée principalement avec des parties avec lesquelles elle</w:t>
            </w:r>
            <w:r w:rsidRPr="00625791">
              <w:rPr>
                <w:sz w:val="20"/>
                <w:lang w:val="fr-FR"/>
              </w:rPr>
              <w:t xml:space="preserve"> a un lien de dépendance</w:t>
            </w:r>
            <w:r w:rsidRPr="00625791">
              <w:rPr>
                <w:sz w:val="20"/>
                <w:lang w:val="fr-CA"/>
              </w:rPr>
              <w:t>.</w:t>
            </w:r>
          </w:p>
        </w:tc>
      </w:tr>
      <w:tr w:rsidR="006E0D1B" w:rsidRPr="00366BFA" w:rsidTr="00786E63">
        <w:tc>
          <w:tcPr>
            <w:tcW w:w="5000" w:type="pct"/>
            <w:gridSpan w:val="4"/>
          </w:tcPr>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7 septembre 2018</w:t>
            </w:r>
          </w:p>
          <w:p w:rsidR="006E0D1B" w:rsidRPr="00625791" w:rsidRDefault="006E0D1B" w:rsidP="00786E63">
            <w:pPr>
              <w:jc w:val="both"/>
              <w:rPr>
                <w:sz w:val="20"/>
                <w:lang w:val="fr-CA"/>
              </w:rPr>
            </w:pPr>
            <w:r w:rsidRPr="00625791">
              <w:rPr>
                <w:sz w:val="20"/>
                <w:lang w:val="fr-CA"/>
              </w:rPr>
              <w:t>Cour canadienne de l’impôt</w:t>
            </w:r>
          </w:p>
          <w:p w:rsidR="006E0D1B" w:rsidRPr="00625791" w:rsidRDefault="006E0D1B" w:rsidP="00786E63">
            <w:pPr>
              <w:jc w:val="both"/>
              <w:rPr>
                <w:sz w:val="20"/>
                <w:lang w:val="fr-CA"/>
              </w:rPr>
            </w:pPr>
            <w:r w:rsidRPr="00625791">
              <w:rPr>
                <w:sz w:val="20"/>
                <w:lang w:val="fr-CA"/>
              </w:rPr>
              <w:t>(Juge Miller)</w:t>
            </w:r>
          </w:p>
          <w:p w:rsidR="006E0D1B" w:rsidRPr="00625791" w:rsidRDefault="00366BFA" w:rsidP="00786E63">
            <w:pPr>
              <w:jc w:val="both"/>
              <w:rPr>
                <w:sz w:val="20"/>
                <w:lang w:val="fr-CA"/>
              </w:rPr>
            </w:pPr>
            <w:hyperlink r:id="rId57" w:history="1">
              <w:r w:rsidR="006E0D1B" w:rsidRPr="00625791">
                <w:rPr>
                  <w:rStyle w:val="Hyperlink"/>
                  <w:sz w:val="20"/>
                  <w:lang w:val="fr-CA"/>
                </w:rPr>
                <w:t>2018 CCI 182</w:t>
              </w:r>
            </w:hyperlink>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L’appel de l’intimée à l’égard des nouvelles cotisations visant les années d’imposition de 2001 à 2005, de 2008 et de 2010 est en partie accueilli.</w:t>
            </w:r>
          </w:p>
          <w:p w:rsidR="006E0D1B" w:rsidRPr="00625791" w:rsidRDefault="006E0D1B" w:rsidP="00786E63">
            <w:pPr>
              <w:jc w:val="both"/>
              <w:rPr>
                <w:sz w:val="20"/>
                <w:lang w:val="fr-CA"/>
              </w:rPr>
            </w:pPr>
          </w:p>
        </w:tc>
      </w:tr>
      <w:tr w:rsidR="006E0D1B" w:rsidRPr="00366BFA" w:rsidTr="00786E63">
        <w:tc>
          <w:tcPr>
            <w:tcW w:w="2427" w:type="pct"/>
            <w:gridSpan w:val="2"/>
          </w:tcPr>
          <w:p w:rsidR="006E0D1B" w:rsidRPr="00625791" w:rsidRDefault="006E0D1B" w:rsidP="00786E63">
            <w:pPr>
              <w:jc w:val="both"/>
              <w:rPr>
                <w:sz w:val="20"/>
                <w:lang w:val="fr-CA"/>
              </w:rPr>
            </w:pPr>
            <w:r w:rsidRPr="00625791">
              <w:rPr>
                <w:sz w:val="20"/>
                <w:lang w:val="fr-CA"/>
              </w:rPr>
              <w:t>23 avril 2020</w:t>
            </w:r>
          </w:p>
          <w:p w:rsidR="006E0D1B" w:rsidRPr="00625791" w:rsidRDefault="006E0D1B" w:rsidP="00786E63">
            <w:pPr>
              <w:jc w:val="both"/>
              <w:rPr>
                <w:sz w:val="20"/>
                <w:lang w:val="fr-CA"/>
              </w:rPr>
            </w:pPr>
            <w:r w:rsidRPr="00625791">
              <w:rPr>
                <w:sz w:val="20"/>
                <w:lang w:val="fr-CA"/>
              </w:rPr>
              <w:t>Cour fédérale d’appel</w:t>
            </w:r>
          </w:p>
          <w:p w:rsidR="006E0D1B" w:rsidRPr="00625791" w:rsidRDefault="006E0D1B" w:rsidP="00786E63">
            <w:pPr>
              <w:jc w:val="both"/>
              <w:rPr>
                <w:sz w:val="20"/>
                <w:lang w:val="fr-CA"/>
              </w:rPr>
            </w:pPr>
            <w:r w:rsidRPr="00625791">
              <w:rPr>
                <w:sz w:val="20"/>
                <w:lang w:val="fr-CA"/>
              </w:rPr>
              <w:t>(Juges Woods, Laskin et Mactavish)</w:t>
            </w:r>
          </w:p>
          <w:p w:rsidR="006E0D1B" w:rsidRPr="00625791" w:rsidRDefault="00366BFA" w:rsidP="00786E63">
            <w:pPr>
              <w:jc w:val="both"/>
              <w:rPr>
                <w:sz w:val="20"/>
                <w:lang w:val="fr-CA"/>
              </w:rPr>
            </w:pPr>
            <w:hyperlink r:id="rId58" w:history="1">
              <w:r w:rsidR="006E0D1B" w:rsidRPr="00625791">
                <w:rPr>
                  <w:rStyle w:val="Hyperlink"/>
                  <w:sz w:val="20"/>
                  <w:lang w:val="fr-CA"/>
                </w:rPr>
                <w:t>2020 FCA 79</w:t>
              </w:r>
            </w:hyperlink>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L’appel de l’intimée est accueilli, la décision de la CCI est annulée; l’appel à l’égard des nouvelles cotisations est accueilli et la question est renvoyée au ministre pour réexamen et nouvelle cotisation. </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19 juin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 d’autorisation d’appel présentée.</w:t>
            </w:r>
          </w:p>
          <w:p w:rsidR="006E0D1B" w:rsidRPr="00625791" w:rsidRDefault="006E0D1B" w:rsidP="00786E63">
            <w:pPr>
              <w:jc w:val="both"/>
              <w:rPr>
                <w:sz w:val="20"/>
                <w:lang w:val="fr-CA"/>
              </w:rPr>
            </w:pPr>
          </w:p>
        </w:tc>
      </w:tr>
    </w:tbl>
    <w:p w:rsidR="006E0D1B" w:rsidRPr="00625791" w:rsidRDefault="006E0D1B" w:rsidP="006E0D1B">
      <w:pPr>
        <w:jc w:val="both"/>
        <w:rPr>
          <w:sz w:val="20"/>
          <w:lang w:val="fr-CA"/>
        </w:rPr>
      </w:pPr>
    </w:p>
    <w:p w:rsidR="006E0D1B" w:rsidRPr="00625791" w:rsidRDefault="00366BFA" w:rsidP="006E0D1B">
      <w:pPr>
        <w:jc w:val="both"/>
        <w:rPr>
          <w:sz w:val="20"/>
          <w:lang w:val="fr-CA"/>
        </w:rPr>
      </w:pPr>
      <w:r>
        <w:rPr>
          <w:sz w:val="20"/>
        </w:rPr>
        <w:pict>
          <v:rect id="_x0000_i1048"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39215</w:t>
            </w:r>
          </w:p>
        </w:tc>
        <w:tc>
          <w:tcPr>
            <w:tcW w:w="4457" w:type="pct"/>
          </w:tcPr>
          <w:p w:rsidR="006E0D1B" w:rsidRPr="00625791" w:rsidRDefault="006E0D1B" w:rsidP="00786E63">
            <w:pPr>
              <w:pStyle w:val="SCCLsocParty"/>
              <w:jc w:val="both"/>
              <w:rPr>
                <w:b/>
                <w:sz w:val="20"/>
                <w:szCs w:val="20"/>
                <w:lang w:val="en-US"/>
              </w:rPr>
            </w:pPr>
            <w:r w:rsidRPr="00625791">
              <w:rPr>
                <w:b/>
                <w:sz w:val="20"/>
                <w:szCs w:val="20"/>
                <w:lang w:val="en-US"/>
              </w:rPr>
              <w:t>Akash Ghotra v. Her Majesty the Queen</w:t>
            </w:r>
          </w:p>
          <w:p w:rsidR="006E0D1B" w:rsidRPr="00625791" w:rsidRDefault="006E0D1B" w:rsidP="00786E63">
            <w:pPr>
              <w:jc w:val="both"/>
              <w:rPr>
                <w:sz w:val="20"/>
              </w:rPr>
            </w:pPr>
            <w:r w:rsidRPr="00625791">
              <w:rPr>
                <w:sz w:val="20"/>
              </w:rPr>
              <w:t>(Ont.) (Criminal) (By Leave)</w:t>
            </w:r>
          </w:p>
        </w:tc>
      </w:tr>
      <w:tr w:rsidR="006E0D1B" w:rsidRPr="00625791" w:rsidTr="00786E63">
        <w:tc>
          <w:tcPr>
            <w:tcW w:w="5000" w:type="pct"/>
            <w:gridSpan w:val="2"/>
          </w:tcPr>
          <w:p w:rsidR="00B446B3" w:rsidRPr="00625791" w:rsidRDefault="00B446B3" w:rsidP="00B446B3">
            <w:pPr>
              <w:jc w:val="both"/>
              <w:rPr>
                <w:sz w:val="20"/>
                <w:szCs w:val="20"/>
              </w:rPr>
            </w:pPr>
            <w:r w:rsidRPr="00625791">
              <w:rPr>
                <w:sz w:val="20"/>
                <w:szCs w:val="20"/>
              </w:rPr>
              <w:t>The application for leave to appeal from the judgment of the Court of Appeal for Ontario, Number C64911, 2020 ONCA 373, dated June 12, 2020, is dismissed.</w:t>
            </w:r>
          </w:p>
          <w:p w:rsidR="006E0D1B" w:rsidRPr="00625791" w:rsidRDefault="006E0D1B" w:rsidP="00786E63">
            <w:pPr>
              <w:jc w:val="both"/>
              <w:rPr>
                <w:sz w:val="20"/>
              </w:rPr>
            </w:pPr>
          </w:p>
        </w:tc>
      </w:tr>
    </w:tbl>
    <w:p w:rsidR="00B446B3" w:rsidRPr="00625791" w:rsidRDefault="00B446B3">
      <w:r w:rsidRPr="00625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0D1B" w:rsidRPr="00625791" w:rsidTr="00786E63">
        <w:tc>
          <w:tcPr>
            <w:tcW w:w="5000" w:type="pct"/>
            <w:gridSpan w:val="3"/>
          </w:tcPr>
          <w:p w:rsidR="006E0D1B" w:rsidRPr="00625791" w:rsidRDefault="006E0D1B" w:rsidP="00786E63">
            <w:pPr>
              <w:jc w:val="both"/>
              <w:rPr>
                <w:sz w:val="20"/>
              </w:rPr>
            </w:pPr>
            <w:r w:rsidRPr="00625791">
              <w:rPr>
                <w:i/>
                <w:sz w:val="20"/>
              </w:rPr>
              <w:lastRenderedPageBreak/>
              <w:t>Charter of rights</w:t>
            </w:r>
            <w:r w:rsidRPr="00625791">
              <w:rPr>
                <w:sz w:val="20"/>
              </w:rPr>
              <w:t xml:space="preserve"> — Right to counsel — How is the right to counsel integrated within s. 10(b) of the </w:t>
            </w:r>
            <w:r w:rsidRPr="00625791">
              <w:rPr>
                <w:i/>
                <w:sz w:val="20"/>
              </w:rPr>
              <w:t>Canadian Charter of Rights and Freedom</w:t>
            </w:r>
            <w:r w:rsidRPr="00625791">
              <w:rPr>
                <w:sz w:val="20"/>
              </w:rPr>
              <w:t>’s requirements at the point of arrest (or detention) and specifically in the situation where an arrestee has no particular known lawyer in mind, and (i) must the police provide resources for an arrestee to locate a lawyer of choice, (ii) to what extent, if any, must the police announce or make the arrestee aware of such resources and their right to access them? — To what extent does accessing Legal Aid duty counsel exhaust an arrestee’s right to counsel and does the arrestee maintain the right to consult resources to locate a lawyer of his choice, especially if he was only informed of that option by duty counsel during their conversation? — To what extent is police “steering” of arrestees to Legal Aid duty counsel of the exercise of their right to counsel permissible? — Whether the informational component of s. 10(b) requires the inclusion of wording as a necessary prophylactic measure against the inevitable systemic police favouritism for the convenience and accessibility of Legal Aid duty counsel over counsel of choice.</w:t>
            </w:r>
          </w:p>
          <w:p w:rsidR="006E0D1B" w:rsidRPr="00625791" w:rsidRDefault="006E0D1B" w:rsidP="00786E63">
            <w:pPr>
              <w:jc w:val="both"/>
              <w:rPr>
                <w:sz w:val="20"/>
              </w:rPr>
            </w:pPr>
          </w:p>
        </w:tc>
      </w:tr>
      <w:tr w:rsidR="006E0D1B" w:rsidRPr="00625791" w:rsidTr="00786E63">
        <w:tc>
          <w:tcPr>
            <w:tcW w:w="5000" w:type="pct"/>
            <w:gridSpan w:val="3"/>
          </w:tcPr>
          <w:p w:rsidR="006E0D1B" w:rsidRPr="00625791" w:rsidRDefault="006E0D1B" w:rsidP="00786E63">
            <w:pPr>
              <w:jc w:val="both"/>
              <w:rPr>
                <w:sz w:val="20"/>
              </w:rPr>
            </w:pPr>
            <w:r w:rsidRPr="00625791">
              <w:rPr>
                <w:sz w:val="20"/>
              </w:rPr>
              <w:t xml:space="preserve">At trial, the applicant, Mr. Ghotra, was convicted of internet child luring, contrary to s. 172.1(1)(b) of the </w:t>
            </w:r>
            <w:r w:rsidRPr="00625791">
              <w:rPr>
                <w:i/>
                <w:sz w:val="20"/>
              </w:rPr>
              <w:t>Criminal Code</w:t>
            </w:r>
            <w:r w:rsidRPr="00625791">
              <w:rPr>
                <w:sz w:val="20"/>
              </w:rPr>
              <w:t>, R.S.C. 1985, c. C-46, after communicating with an officer posing as a 14</w:t>
            </w:r>
            <w:r w:rsidRPr="00625791">
              <w:rPr>
                <w:sz w:val="20"/>
              </w:rPr>
              <w:noBreakHyphen/>
              <w:t>year</w:t>
            </w:r>
            <w:r w:rsidRPr="00625791">
              <w:rPr>
                <w:sz w:val="20"/>
              </w:rPr>
              <w:noBreakHyphen/>
              <w:t xml:space="preserve">old girl in an internet chat room and attending at an agreed meeting place where he was arrested. Upon his arrest, the officer initially gave the applicant an abbreviated instruction of his s. 10(b) </w:t>
            </w:r>
            <w:r w:rsidRPr="00625791">
              <w:rPr>
                <w:i/>
                <w:sz w:val="20"/>
              </w:rPr>
              <w:t xml:space="preserve">Charter </w:t>
            </w:r>
            <w:r w:rsidRPr="00625791">
              <w:rPr>
                <w:sz w:val="20"/>
              </w:rPr>
              <w:t xml:space="preserve">rights, advising him that if he did not have his own lawyer, police would call duty counsel for him. Minutes later, another officer read the applicant the standard caution, informing him he could speak with any lawyer of his choosing. The applicant then spoke with duty counsel and, shortly thereafter, gave police a statement in a videotaped interview. </w:t>
            </w:r>
          </w:p>
          <w:p w:rsidR="006E0D1B" w:rsidRPr="00625791" w:rsidRDefault="006E0D1B" w:rsidP="00786E63">
            <w:pPr>
              <w:jc w:val="both"/>
              <w:rPr>
                <w:sz w:val="20"/>
              </w:rPr>
            </w:pPr>
          </w:p>
          <w:p w:rsidR="006E0D1B" w:rsidRPr="00625791" w:rsidRDefault="006E0D1B" w:rsidP="00786E63">
            <w:pPr>
              <w:jc w:val="both"/>
              <w:rPr>
                <w:sz w:val="20"/>
              </w:rPr>
            </w:pPr>
            <w:r w:rsidRPr="00625791">
              <w:rPr>
                <w:sz w:val="20"/>
              </w:rPr>
              <w:t>In a pre</w:t>
            </w:r>
            <w:r w:rsidRPr="00625791">
              <w:rPr>
                <w:sz w:val="20"/>
              </w:rPr>
              <w:noBreakHyphen/>
              <w:t xml:space="preserve">trial </w:t>
            </w:r>
            <w:r w:rsidRPr="00625791">
              <w:rPr>
                <w:i/>
                <w:sz w:val="20"/>
              </w:rPr>
              <w:t>voir dire</w:t>
            </w:r>
            <w:r w:rsidRPr="00625791">
              <w:rPr>
                <w:sz w:val="20"/>
              </w:rPr>
              <w:t xml:space="preserve">, the trial judge found the police statement to be admissible under s. 24(2) of the </w:t>
            </w:r>
            <w:r w:rsidRPr="00625791">
              <w:rPr>
                <w:i/>
                <w:sz w:val="20"/>
              </w:rPr>
              <w:t>Charter</w:t>
            </w:r>
            <w:r w:rsidRPr="00625791">
              <w:rPr>
                <w:sz w:val="20"/>
              </w:rPr>
              <w:t>, dismissing almost all of the applicant’s arguments that the statement was involuntary or proffered in breach of his rights under ss. 10(a) and (b) of the</w:t>
            </w:r>
            <w:r w:rsidRPr="00625791">
              <w:rPr>
                <w:i/>
                <w:sz w:val="20"/>
              </w:rPr>
              <w:t xml:space="preserve"> Charter</w:t>
            </w:r>
            <w:r w:rsidRPr="00625791">
              <w:rPr>
                <w:sz w:val="20"/>
              </w:rPr>
              <w:t xml:space="preserve">. The trial judge agreed that the advice the applicant initially received was incorrect because it omitted that in addition to duty counsel, he had the option of searching for a lawyer of his choosing. The judge nonetheless concluded that the advice received minutes later from the other officer remedied this defect and properly conveyed the applicant his rights. At the close of trial, following his conviction, the applicant applied for a stay on the basis of entrapment. The application was denied. </w:t>
            </w:r>
          </w:p>
          <w:p w:rsidR="006E0D1B" w:rsidRPr="00625791" w:rsidRDefault="006E0D1B" w:rsidP="00786E63">
            <w:pPr>
              <w:jc w:val="both"/>
              <w:rPr>
                <w:sz w:val="20"/>
              </w:rPr>
            </w:pPr>
          </w:p>
          <w:p w:rsidR="006E0D1B" w:rsidRPr="00625791" w:rsidRDefault="006E0D1B" w:rsidP="00786E63">
            <w:pPr>
              <w:jc w:val="both"/>
              <w:rPr>
                <w:sz w:val="20"/>
              </w:rPr>
            </w:pPr>
            <w:r w:rsidRPr="00625791">
              <w:rPr>
                <w:sz w:val="20"/>
              </w:rPr>
              <w:t xml:space="preserve">The applicant appealed against his conviction on the bases of entrapment and a violation of s. 10(b) of the </w:t>
            </w:r>
            <w:r w:rsidRPr="00625791">
              <w:rPr>
                <w:i/>
                <w:sz w:val="20"/>
              </w:rPr>
              <w:t>Charter</w:t>
            </w:r>
            <w:r w:rsidRPr="00625791">
              <w:rPr>
                <w:sz w:val="20"/>
              </w:rPr>
              <w:t>. A majority of the Court of Appeal dismissed the appeal. On the issue of whether the applicant’s s. 10(b) right was infringed, the majority held that the trial judge did not err in finding that the police had satisfied the informational component of the s. 10(b) right. In dissent, Nordheimer J.A. would have allowed the appeal, set aside the conviction, and entered a stay of proceedings due to the entrapment issue but he agreed with the majority’s conclusion regarding the s. 10(b) issue.</w:t>
            </w:r>
          </w:p>
        </w:tc>
      </w:tr>
      <w:tr w:rsidR="006E0D1B" w:rsidRPr="00625791" w:rsidTr="00786E63">
        <w:trPr>
          <w:trHeight w:val="121"/>
        </w:trPr>
        <w:tc>
          <w:tcPr>
            <w:tcW w:w="5000" w:type="pct"/>
            <w:gridSpan w:val="3"/>
          </w:tcPr>
          <w:p w:rsidR="006E0D1B" w:rsidRPr="00625791" w:rsidRDefault="006E0D1B" w:rsidP="00786E63">
            <w:pPr>
              <w:widowControl w:val="0"/>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March 16, 2015</w:t>
            </w:r>
          </w:p>
          <w:p w:rsidR="006E0D1B" w:rsidRPr="00625791" w:rsidRDefault="006E0D1B" w:rsidP="00786E63">
            <w:pPr>
              <w:jc w:val="both"/>
              <w:rPr>
                <w:sz w:val="20"/>
              </w:rPr>
            </w:pPr>
            <w:r w:rsidRPr="00625791">
              <w:rPr>
                <w:sz w:val="20"/>
              </w:rPr>
              <w:t>Ontario Superior Court of Justice</w:t>
            </w:r>
          </w:p>
          <w:p w:rsidR="006E0D1B" w:rsidRPr="00625791" w:rsidRDefault="006E0D1B" w:rsidP="00786E63">
            <w:pPr>
              <w:jc w:val="both"/>
              <w:rPr>
                <w:sz w:val="20"/>
              </w:rPr>
            </w:pPr>
            <w:r w:rsidRPr="00625791">
              <w:rPr>
                <w:sz w:val="20"/>
              </w:rPr>
              <w:t>(Durno J.)</w:t>
            </w:r>
          </w:p>
          <w:p w:rsidR="006E0D1B" w:rsidRPr="00625791" w:rsidRDefault="006E0D1B" w:rsidP="00786E63">
            <w:pPr>
              <w:jc w:val="both"/>
              <w:rPr>
                <w:sz w:val="20"/>
              </w:rPr>
            </w:pPr>
            <w:r w:rsidRPr="00625791">
              <w:rPr>
                <w:sz w:val="20"/>
              </w:rPr>
              <w:t>[2015] O.J. No. 7328</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 xml:space="preserve">Application to exclude statement pursuant to s. 24(2) of the </w:t>
            </w:r>
            <w:r w:rsidRPr="00625791">
              <w:rPr>
                <w:i/>
                <w:sz w:val="20"/>
              </w:rPr>
              <w:t>Charter</w:t>
            </w:r>
            <w:r w:rsidRPr="00625791">
              <w:rPr>
                <w:sz w:val="20"/>
              </w:rPr>
              <w:t xml:space="preserve"> for violation of s. 10(a) and (b) of the </w:t>
            </w:r>
            <w:r w:rsidRPr="00625791">
              <w:rPr>
                <w:i/>
                <w:sz w:val="20"/>
              </w:rPr>
              <w:t>Charter</w:t>
            </w:r>
            <w:r w:rsidRPr="00625791">
              <w:rPr>
                <w:sz w:val="20"/>
              </w:rPr>
              <w:t xml:space="preserve"> denied</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May 3, 2016</w:t>
            </w:r>
          </w:p>
          <w:p w:rsidR="006E0D1B" w:rsidRPr="00625791" w:rsidRDefault="006E0D1B" w:rsidP="00786E63">
            <w:pPr>
              <w:jc w:val="both"/>
              <w:rPr>
                <w:sz w:val="20"/>
              </w:rPr>
            </w:pPr>
            <w:r w:rsidRPr="00625791">
              <w:rPr>
                <w:sz w:val="20"/>
              </w:rPr>
              <w:t>Ontario Superior Court of Justice</w:t>
            </w:r>
          </w:p>
          <w:p w:rsidR="006E0D1B" w:rsidRPr="00625791" w:rsidRDefault="006E0D1B" w:rsidP="00786E63">
            <w:pPr>
              <w:jc w:val="both"/>
              <w:rPr>
                <w:sz w:val="20"/>
              </w:rPr>
            </w:pPr>
            <w:r w:rsidRPr="00625791">
              <w:rPr>
                <w:sz w:val="20"/>
              </w:rPr>
              <w:t>(Durno J.)</w:t>
            </w:r>
          </w:p>
          <w:p w:rsidR="006E0D1B" w:rsidRDefault="006E0D1B" w:rsidP="00786E63">
            <w:pPr>
              <w:jc w:val="both"/>
              <w:rPr>
                <w:sz w:val="20"/>
              </w:rPr>
            </w:pPr>
            <w:r w:rsidRPr="00625791">
              <w:rPr>
                <w:sz w:val="20"/>
              </w:rPr>
              <w:t xml:space="preserve">[2016] O.J. No. 7161 </w:t>
            </w:r>
          </w:p>
          <w:p w:rsidR="00366BFA" w:rsidRPr="00625791" w:rsidRDefault="00366BFA" w:rsidP="00786E63">
            <w:pPr>
              <w:jc w:val="both"/>
              <w:rPr>
                <w:sz w:val="20"/>
              </w:rPr>
            </w:pPr>
            <w:bookmarkStart w:id="6" w:name="_GoBack"/>
            <w:bookmarkEnd w:id="6"/>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 xml:space="preserve">Conviction for internet child luring, contrary to s. 172.1(1)(b) of the </w:t>
            </w:r>
            <w:r w:rsidRPr="00625791">
              <w:rPr>
                <w:i/>
                <w:sz w:val="20"/>
              </w:rPr>
              <w:t>Criminal Code</w:t>
            </w:r>
          </w:p>
        </w:tc>
      </w:tr>
      <w:tr w:rsidR="006E0D1B" w:rsidRPr="00625791" w:rsidTr="00786E63">
        <w:tc>
          <w:tcPr>
            <w:tcW w:w="2427" w:type="pct"/>
          </w:tcPr>
          <w:p w:rsidR="006E0D1B" w:rsidRPr="00625791" w:rsidRDefault="006E0D1B" w:rsidP="00786E63">
            <w:pPr>
              <w:jc w:val="both"/>
              <w:rPr>
                <w:sz w:val="20"/>
              </w:rPr>
            </w:pPr>
            <w:r w:rsidRPr="00625791">
              <w:rPr>
                <w:sz w:val="20"/>
              </w:rPr>
              <w:t>September 13, 2016</w:t>
            </w:r>
          </w:p>
          <w:p w:rsidR="006E0D1B" w:rsidRPr="00625791" w:rsidRDefault="006E0D1B" w:rsidP="00786E63">
            <w:pPr>
              <w:jc w:val="both"/>
              <w:rPr>
                <w:sz w:val="20"/>
              </w:rPr>
            </w:pPr>
            <w:r w:rsidRPr="00625791">
              <w:rPr>
                <w:sz w:val="20"/>
              </w:rPr>
              <w:t>Ontario Superior Court of Justice</w:t>
            </w:r>
          </w:p>
          <w:p w:rsidR="006E0D1B" w:rsidRPr="00625791" w:rsidRDefault="006E0D1B" w:rsidP="00786E63">
            <w:pPr>
              <w:jc w:val="both"/>
              <w:rPr>
                <w:sz w:val="20"/>
              </w:rPr>
            </w:pPr>
            <w:r w:rsidRPr="00625791">
              <w:rPr>
                <w:sz w:val="20"/>
              </w:rPr>
              <w:t>(Durno J.)</w:t>
            </w:r>
          </w:p>
          <w:p w:rsidR="006E0D1B" w:rsidRPr="00625791" w:rsidRDefault="00366BFA" w:rsidP="00786E63">
            <w:pPr>
              <w:jc w:val="both"/>
              <w:rPr>
                <w:sz w:val="20"/>
              </w:rPr>
            </w:pPr>
            <w:hyperlink r:id="rId59" w:history="1">
              <w:r w:rsidR="006E0D1B" w:rsidRPr="00625791">
                <w:rPr>
                  <w:rStyle w:val="Hyperlink"/>
                  <w:sz w:val="20"/>
                </w:rPr>
                <w:t>2016 ONSC 5675</w:t>
              </w:r>
            </w:hyperlink>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stay of proceedings based on entrapment dismissed</w:t>
            </w:r>
          </w:p>
        </w:tc>
      </w:tr>
      <w:tr w:rsidR="006E0D1B" w:rsidRPr="00625791" w:rsidTr="00786E63">
        <w:tc>
          <w:tcPr>
            <w:tcW w:w="2427" w:type="pct"/>
          </w:tcPr>
          <w:p w:rsidR="006E0D1B" w:rsidRPr="00625791" w:rsidRDefault="006E0D1B" w:rsidP="00786E63">
            <w:pPr>
              <w:jc w:val="both"/>
              <w:rPr>
                <w:sz w:val="20"/>
              </w:rPr>
            </w:pPr>
            <w:r w:rsidRPr="00625791">
              <w:rPr>
                <w:sz w:val="20"/>
              </w:rPr>
              <w:t>June 12, 2020</w:t>
            </w:r>
          </w:p>
          <w:p w:rsidR="006E0D1B" w:rsidRPr="00625791" w:rsidRDefault="006E0D1B" w:rsidP="00786E63">
            <w:pPr>
              <w:jc w:val="both"/>
              <w:rPr>
                <w:sz w:val="20"/>
              </w:rPr>
            </w:pPr>
            <w:r w:rsidRPr="00625791">
              <w:rPr>
                <w:sz w:val="20"/>
              </w:rPr>
              <w:t>Court of Appeal for Ontario</w:t>
            </w:r>
          </w:p>
          <w:p w:rsidR="006E0D1B" w:rsidRPr="00625791" w:rsidRDefault="006E0D1B" w:rsidP="00786E63">
            <w:pPr>
              <w:jc w:val="both"/>
              <w:rPr>
                <w:sz w:val="20"/>
              </w:rPr>
            </w:pPr>
            <w:r w:rsidRPr="00625791">
              <w:rPr>
                <w:sz w:val="20"/>
              </w:rPr>
              <w:t>(Hourigan, Miller and Nordheimer JJ.A.)</w:t>
            </w:r>
          </w:p>
          <w:p w:rsidR="006E0D1B" w:rsidRPr="00625791" w:rsidRDefault="00366BFA" w:rsidP="00786E63">
            <w:pPr>
              <w:jc w:val="both"/>
              <w:rPr>
                <w:sz w:val="20"/>
              </w:rPr>
            </w:pPr>
            <w:hyperlink r:id="rId60" w:history="1">
              <w:r w:rsidR="006E0D1B" w:rsidRPr="00625791">
                <w:rPr>
                  <w:rStyle w:val="Hyperlink"/>
                  <w:sz w:val="20"/>
                </w:rPr>
                <w:t>2020 ONCA 373</w:t>
              </w:r>
            </w:hyperlink>
            <w:r w:rsidR="006E0D1B" w:rsidRPr="00625791">
              <w:rPr>
                <w:sz w:val="20"/>
              </w:rPr>
              <w:t>; C64911</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Appeal dismissed</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June 15, 2020</w:t>
            </w:r>
          </w:p>
          <w:p w:rsidR="006E0D1B" w:rsidRPr="00625791" w:rsidRDefault="006E0D1B" w:rsidP="00786E63">
            <w:pPr>
              <w:jc w:val="both"/>
              <w:rPr>
                <w:sz w:val="20"/>
              </w:rPr>
            </w:pPr>
            <w:r w:rsidRPr="00625791">
              <w:rPr>
                <w:sz w:val="20"/>
              </w:rPr>
              <w:t>Supreme Court of Canada</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Notice of appeal filed</w:t>
            </w:r>
          </w:p>
          <w:p w:rsidR="006E0D1B" w:rsidRPr="00625791" w:rsidRDefault="006E0D1B" w:rsidP="00786E63">
            <w:pPr>
              <w:jc w:val="both"/>
              <w:rPr>
                <w:sz w:val="20"/>
              </w:rPr>
            </w:pPr>
          </w:p>
        </w:tc>
      </w:tr>
      <w:tr w:rsidR="006E0D1B" w:rsidRPr="00625791" w:rsidTr="00786E63">
        <w:tc>
          <w:tcPr>
            <w:tcW w:w="2427" w:type="pct"/>
          </w:tcPr>
          <w:p w:rsidR="006E0D1B" w:rsidRPr="00625791" w:rsidRDefault="006E0D1B" w:rsidP="00786E63">
            <w:pPr>
              <w:jc w:val="both"/>
              <w:rPr>
                <w:sz w:val="20"/>
              </w:rPr>
            </w:pPr>
            <w:r w:rsidRPr="00625791">
              <w:rPr>
                <w:sz w:val="20"/>
              </w:rPr>
              <w:t>July 10,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49"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E0D1B" w:rsidRPr="00625791"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t>39215</w:t>
            </w:r>
          </w:p>
        </w:tc>
        <w:tc>
          <w:tcPr>
            <w:tcW w:w="4457" w:type="pct"/>
          </w:tcPr>
          <w:p w:rsidR="006E0D1B" w:rsidRPr="00625791" w:rsidRDefault="006E0D1B" w:rsidP="00786E63">
            <w:pPr>
              <w:pStyle w:val="SCCLsocParty"/>
              <w:jc w:val="both"/>
              <w:rPr>
                <w:b/>
                <w:sz w:val="20"/>
                <w:szCs w:val="20"/>
              </w:rPr>
            </w:pPr>
            <w:r w:rsidRPr="00625791">
              <w:rPr>
                <w:b/>
                <w:sz w:val="20"/>
                <w:szCs w:val="20"/>
              </w:rPr>
              <w:t>Akash Ghotra c. Sa Majesté la Reine</w:t>
            </w:r>
          </w:p>
          <w:p w:rsidR="006E0D1B" w:rsidRPr="00625791" w:rsidRDefault="006E0D1B" w:rsidP="00786E63">
            <w:pPr>
              <w:jc w:val="both"/>
              <w:rPr>
                <w:sz w:val="20"/>
                <w:lang w:val="fr-CA"/>
              </w:rPr>
            </w:pPr>
            <w:r w:rsidRPr="00625791">
              <w:rPr>
                <w:sz w:val="20"/>
                <w:lang w:val="fr-CA"/>
              </w:rPr>
              <w:t>(Ont.) (Criminelle) (Sur autorisation)</w:t>
            </w:r>
          </w:p>
        </w:tc>
      </w:tr>
      <w:tr w:rsidR="006E0D1B" w:rsidRPr="00366BFA" w:rsidTr="00786E63">
        <w:tc>
          <w:tcPr>
            <w:tcW w:w="5000" w:type="pct"/>
            <w:gridSpan w:val="2"/>
          </w:tcPr>
          <w:p w:rsidR="006E0D1B" w:rsidRPr="00625791" w:rsidRDefault="00B446B3" w:rsidP="00786E63">
            <w:pPr>
              <w:jc w:val="both"/>
              <w:rPr>
                <w:sz w:val="20"/>
                <w:szCs w:val="20"/>
                <w:lang w:val="fr-CA"/>
              </w:rPr>
            </w:pPr>
            <w:r w:rsidRPr="00625791">
              <w:rPr>
                <w:sz w:val="20"/>
                <w:szCs w:val="20"/>
                <w:lang w:val="fr-CA"/>
              </w:rPr>
              <w:t>La demande d’autorisation d’appel de l’arrêt de la Cour d’appel de l’Ontario, numéro C64911, 2020 ONCA 373, daté du 12 juin 2020, est rejetée.</w:t>
            </w:r>
          </w:p>
          <w:p w:rsidR="00B446B3" w:rsidRPr="00625791" w:rsidRDefault="00B446B3" w:rsidP="00786E63">
            <w:pPr>
              <w:jc w:val="both"/>
              <w:rPr>
                <w:sz w:val="20"/>
                <w:lang w:val="fr-CA"/>
              </w:rPr>
            </w:pPr>
          </w:p>
        </w:tc>
      </w:tr>
      <w:tr w:rsidR="006E0D1B" w:rsidRPr="00366BFA" w:rsidTr="00786E63">
        <w:tc>
          <w:tcPr>
            <w:tcW w:w="5000" w:type="pct"/>
            <w:gridSpan w:val="2"/>
          </w:tcPr>
          <w:p w:rsidR="006E0D1B" w:rsidRPr="00625791" w:rsidRDefault="006E0D1B" w:rsidP="00786E63">
            <w:pPr>
              <w:jc w:val="both"/>
              <w:rPr>
                <w:sz w:val="20"/>
                <w:lang w:val="fr-CA"/>
              </w:rPr>
            </w:pPr>
            <w:r w:rsidRPr="00625791">
              <w:rPr>
                <w:i/>
                <w:sz w:val="20"/>
                <w:lang w:val="fr-CA"/>
              </w:rPr>
              <w:t xml:space="preserve">Charte des droits </w:t>
            </w:r>
            <w:r w:rsidRPr="00625791">
              <w:rPr>
                <w:sz w:val="20"/>
                <w:lang w:val="fr-CA"/>
              </w:rPr>
              <w:t xml:space="preserve">— </w:t>
            </w:r>
            <w:r w:rsidRPr="00625791">
              <w:rPr>
                <w:iCs/>
                <w:sz w:val="20"/>
                <w:lang w:val="fr-CA"/>
              </w:rPr>
              <w:t>Droit à l’assistance d’un avocat</w:t>
            </w:r>
            <w:r w:rsidRPr="00625791">
              <w:rPr>
                <w:sz w:val="20"/>
                <w:lang w:val="fr-CA"/>
              </w:rPr>
              <w:t xml:space="preserve"> — De quelle manière le d</w:t>
            </w:r>
            <w:r w:rsidRPr="00625791">
              <w:rPr>
                <w:iCs/>
                <w:sz w:val="20"/>
                <w:lang w:val="fr-CA"/>
              </w:rPr>
              <w:t>roit à l’assistance d’un avocat</w:t>
            </w:r>
            <w:r w:rsidRPr="00625791">
              <w:rPr>
                <w:sz w:val="20"/>
                <w:lang w:val="fr-CA"/>
              </w:rPr>
              <w:t xml:space="preserve"> est</w:t>
            </w:r>
            <w:r w:rsidRPr="00625791">
              <w:rPr>
                <w:sz w:val="20"/>
                <w:lang w:val="fr-CA"/>
              </w:rPr>
              <w:noBreakHyphen/>
              <w:t>il intégré aux exigences de l’al. 10</w:t>
            </w:r>
            <w:r w:rsidRPr="00625791">
              <w:rPr>
                <w:i/>
                <w:sz w:val="20"/>
                <w:lang w:val="fr-CA"/>
              </w:rPr>
              <w:t>b</w:t>
            </w:r>
            <w:r w:rsidRPr="00625791">
              <w:rPr>
                <w:sz w:val="20"/>
                <w:lang w:val="fr-CA"/>
              </w:rPr>
              <w:t xml:space="preserve">) de la </w:t>
            </w:r>
            <w:r w:rsidRPr="00625791">
              <w:rPr>
                <w:i/>
                <w:sz w:val="20"/>
                <w:lang w:val="fr-CA"/>
              </w:rPr>
              <w:t>Charte des droits et libertés</w:t>
            </w:r>
            <w:r w:rsidRPr="00625791">
              <w:rPr>
                <w:sz w:val="20"/>
                <w:lang w:val="fr-CA"/>
              </w:rPr>
              <w:t xml:space="preserve"> sur les lieux de l’arrestation (ou de la détention) et, de façon plus particulière, dans le cas où la personne arrêtée n’a pas d’avocat précis en tête ? De plus, (i) la police est</w:t>
            </w:r>
            <w:r w:rsidRPr="00625791">
              <w:rPr>
                <w:sz w:val="20"/>
                <w:lang w:val="fr-CA"/>
              </w:rPr>
              <w:noBreakHyphen/>
              <w:t>elle tenue de mettre des ressources à la disposition de la personne arrêtée pour qu’elle puisse se trouver un avocat de son choix, et (ii) dans quelle mesure, le cas échéant, la police est</w:t>
            </w:r>
            <w:r w:rsidRPr="00625791">
              <w:rPr>
                <w:sz w:val="20"/>
                <w:lang w:val="fr-CA"/>
              </w:rPr>
              <w:noBreakHyphen/>
              <w:t>elle tenue de porter de telles ressources à l’attention de la personne arrêtée et de l’informer de celles</w:t>
            </w:r>
            <w:r w:rsidRPr="00625791">
              <w:rPr>
                <w:sz w:val="20"/>
                <w:lang w:val="fr-CA"/>
              </w:rPr>
              <w:noBreakHyphen/>
              <w:t xml:space="preserve">ci et de son droit d’y accéder ? — Dans quelle mesure le droit d’une </w:t>
            </w:r>
            <w:r w:rsidRPr="00625791">
              <w:rPr>
                <w:iCs/>
                <w:sz w:val="20"/>
                <w:lang w:val="fr-CA"/>
              </w:rPr>
              <w:t>personne arrêtée à l’assistance d’un avocat est</w:t>
            </w:r>
            <w:r w:rsidRPr="00625791">
              <w:rPr>
                <w:iCs/>
                <w:sz w:val="20"/>
                <w:lang w:val="fr-CA"/>
              </w:rPr>
              <w:noBreakHyphen/>
              <w:t xml:space="preserve">il respecté si elle consulte </w:t>
            </w:r>
            <w:r w:rsidRPr="00625791">
              <w:rPr>
                <w:sz w:val="20"/>
                <w:lang w:val="fr-CA"/>
              </w:rPr>
              <w:t>l’</w:t>
            </w:r>
            <w:r w:rsidRPr="00625791">
              <w:rPr>
                <w:sz w:val="20"/>
                <w:lang w:val="fr-FR"/>
              </w:rPr>
              <w:t>avocat de garde de l’aide juridique</w:t>
            </w:r>
            <w:r w:rsidRPr="00625791">
              <w:rPr>
                <w:iCs/>
                <w:sz w:val="20"/>
                <w:lang w:val="fr-CA"/>
              </w:rPr>
              <w:t>,</w:t>
            </w:r>
            <w:r w:rsidRPr="00625791">
              <w:rPr>
                <w:sz w:val="20"/>
                <w:lang w:val="fr-CA"/>
              </w:rPr>
              <w:t xml:space="preserve"> et est</w:t>
            </w:r>
            <w:r w:rsidRPr="00625791">
              <w:rPr>
                <w:sz w:val="20"/>
                <w:lang w:val="fr-CA"/>
              </w:rPr>
              <w:noBreakHyphen/>
              <w:t>ce que cette personne conserve encore le droit d’utiliser des ressources pour se trouver un avocat de son choix, spécialement si elle a été informée de cette possibilité uniquement lorsqu’elle a parlé à l’avocat de garde ? — Dans quelle mesure est</w:t>
            </w:r>
            <w:r w:rsidRPr="00625791">
              <w:rPr>
                <w:sz w:val="20"/>
                <w:lang w:val="fr-CA"/>
              </w:rPr>
              <w:noBreakHyphen/>
              <w:t xml:space="preserve">il permis à la police de « diriger » la personne arrêtée vers un </w:t>
            </w:r>
            <w:r w:rsidRPr="00625791">
              <w:rPr>
                <w:sz w:val="20"/>
                <w:lang w:val="fr-FR"/>
              </w:rPr>
              <w:t>avocat de garde de l’aide juridique</w:t>
            </w:r>
            <w:r w:rsidRPr="00625791">
              <w:rPr>
                <w:sz w:val="20"/>
                <w:lang w:val="fr-CA"/>
              </w:rPr>
              <w:t xml:space="preserve"> dans l’exercice de son droit à </w:t>
            </w:r>
            <w:r w:rsidRPr="00625791">
              <w:rPr>
                <w:iCs/>
                <w:sz w:val="20"/>
                <w:lang w:val="fr-CA"/>
              </w:rPr>
              <w:t>l’assistance d’</w:t>
            </w:r>
            <w:r w:rsidRPr="00625791">
              <w:rPr>
                <w:sz w:val="20"/>
                <w:lang w:val="fr-CA"/>
              </w:rPr>
              <w:t>un avocat ? — Le volet informationnel de l’al. 10</w:t>
            </w:r>
            <w:r w:rsidRPr="00625791">
              <w:rPr>
                <w:i/>
                <w:sz w:val="20"/>
                <w:lang w:val="fr-CA"/>
              </w:rPr>
              <w:t>b</w:t>
            </w:r>
            <w:r w:rsidRPr="00625791">
              <w:rPr>
                <w:sz w:val="20"/>
                <w:lang w:val="fr-CA"/>
              </w:rPr>
              <w:t>) requiert</w:t>
            </w:r>
            <w:r w:rsidRPr="00625791">
              <w:rPr>
                <w:sz w:val="20"/>
                <w:lang w:val="fr-CA"/>
              </w:rPr>
              <w:noBreakHyphen/>
              <w:t>il l’emploi d’une formule précise afin de parer à la préférence systémique manifestée par la police pour la consultation de l’</w:t>
            </w:r>
            <w:r w:rsidRPr="00625791">
              <w:rPr>
                <w:sz w:val="20"/>
                <w:lang w:val="fr-FR"/>
              </w:rPr>
              <w:t>avocat de garde de l’aide juridique</w:t>
            </w:r>
            <w:r w:rsidRPr="00625791">
              <w:rPr>
                <w:sz w:val="20"/>
                <w:lang w:val="fr-CA"/>
              </w:rPr>
              <w:t>, pour des raisons de commodité et de facilité d’accès, par rapport à la consultation d’un avocat choisi par la personne arrêtée   ?</w:t>
            </w:r>
          </w:p>
          <w:p w:rsidR="006E0D1B" w:rsidRPr="00625791" w:rsidRDefault="006E0D1B" w:rsidP="00786E63">
            <w:pPr>
              <w:jc w:val="both"/>
              <w:rPr>
                <w:sz w:val="20"/>
                <w:lang w:val="fr-CA"/>
              </w:rPr>
            </w:pPr>
          </w:p>
        </w:tc>
      </w:tr>
      <w:tr w:rsidR="00B446B3" w:rsidRPr="00625791" w:rsidTr="00786E63">
        <w:tc>
          <w:tcPr>
            <w:tcW w:w="5000" w:type="pct"/>
            <w:gridSpan w:val="2"/>
          </w:tcPr>
          <w:p w:rsidR="00B446B3" w:rsidRPr="00625791" w:rsidRDefault="00B446B3" w:rsidP="00B446B3">
            <w:pPr>
              <w:jc w:val="both"/>
              <w:rPr>
                <w:sz w:val="20"/>
                <w:lang w:val="fr-CA"/>
              </w:rPr>
            </w:pPr>
            <w:r w:rsidRPr="00625791">
              <w:rPr>
                <w:sz w:val="20"/>
                <w:lang w:val="fr-CA"/>
              </w:rPr>
              <w:t xml:space="preserve">Lors du procès, le demandeur, M. Ghotra, a été déclaré coupable de leurre d’enfants par Internet, en contravention de l’al. 172.1(1)b) du </w:t>
            </w:r>
            <w:r w:rsidRPr="00625791">
              <w:rPr>
                <w:i/>
                <w:sz w:val="20"/>
                <w:lang w:val="fr-CA"/>
              </w:rPr>
              <w:t>Code criminel</w:t>
            </w:r>
            <w:r w:rsidRPr="00625791">
              <w:rPr>
                <w:sz w:val="20"/>
                <w:lang w:val="fr-CA"/>
              </w:rPr>
              <w:t>, R.S.C. 1985, c. C</w:t>
            </w:r>
            <w:r w:rsidRPr="00625791">
              <w:rPr>
                <w:sz w:val="20"/>
                <w:lang w:val="fr-CA"/>
              </w:rPr>
              <w:noBreakHyphen/>
              <w:t>46, après être entré en communication avec une policière se faisant passer pour une fille de 14 ans dans un salon de cyber bavardage et s’être présenté au lieu de rencontre convenu, où il s’est fait arrêter. Lors de son arrestation, un policier a d’abord avisé le demandeur de ses droits en vertu de l’al. 10</w:t>
            </w:r>
            <w:r w:rsidRPr="00625791">
              <w:rPr>
                <w:i/>
                <w:sz w:val="20"/>
                <w:lang w:val="fr-CA"/>
              </w:rPr>
              <w:t>b</w:t>
            </w:r>
            <w:r w:rsidRPr="00625791">
              <w:rPr>
                <w:sz w:val="20"/>
                <w:lang w:val="fr-CA"/>
              </w:rPr>
              <w:t xml:space="preserve">) de la </w:t>
            </w:r>
            <w:r w:rsidRPr="00625791">
              <w:rPr>
                <w:i/>
                <w:sz w:val="20"/>
                <w:lang w:val="fr-CA"/>
              </w:rPr>
              <w:t>Charte</w:t>
            </w:r>
            <w:r w:rsidRPr="00625791">
              <w:rPr>
                <w:sz w:val="20"/>
                <w:lang w:val="fr-CA"/>
              </w:rPr>
              <w:t xml:space="preserve">, de manière abrégée, en lui disant que, s’il n’avait pas d’avocat, la police appellerait un </w:t>
            </w:r>
            <w:r w:rsidRPr="00625791">
              <w:rPr>
                <w:sz w:val="20"/>
                <w:lang w:val="fr-FR"/>
              </w:rPr>
              <w:t>avocat de garde pour lui.</w:t>
            </w:r>
            <w:r w:rsidRPr="00625791">
              <w:rPr>
                <w:sz w:val="20"/>
                <w:lang w:val="fr-CA"/>
              </w:rPr>
              <w:t xml:space="preserve"> Quelques minutes plus tard, un autre policier a lu la mise en garde habituelle au demandeur, l’informant qu’il pouvait parler à tout avocat de son choix. Le demandeur a ensuite parlé à l’avocat de garde et, peu de temps après, a fait une déclaration à la police enregistrée sur bande vidéo.</w:t>
            </w:r>
          </w:p>
          <w:p w:rsidR="00B446B3" w:rsidRPr="00625791" w:rsidRDefault="00B446B3" w:rsidP="00B446B3">
            <w:pPr>
              <w:jc w:val="both"/>
              <w:rPr>
                <w:sz w:val="20"/>
                <w:lang w:val="fr-CA"/>
              </w:rPr>
            </w:pPr>
          </w:p>
          <w:p w:rsidR="00B446B3" w:rsidRPr="00625791" w:rsidRDefault="00B446B3" w:rsidP="00B446B3">
            <w:pPr>
              <w:jc w:val="both"/>
              <w:rPr>
                <w:sz w:val="20"/>
                <w:lang w:val="fr-CA"/>
              </w:rPr>
            </w:pPr>
            <w:r w:rsidRPr="00625791">
              <w:rPr>
                <w:sz w:val="20"/>
                <w:lang w:val="fr-CA"/>
              </w:rPr>
              <w:t>Lors d'un voir</w:t>
            </w:r>
            <w:r w:rsidRPr="00625791">
              <w:rPr>
                <w:sz w:val="20"/>
                <w:lang w:val="fr-CA"/>
              </w:rPr>
              <w:noBreakHyphen/>
              <w:t xml:space="preserve">dire préalable au procès, le juge de première instance a conclu que la déclaration à la police était admissible en vertu du par. 24(2) de la </w:t>
            </w:r>
            <w:r w:rsidRPr="00625791">
              <w:rPr>
                <w:i/>
                <w:sz w:val="20"/>
                <w:lang w:val="fr-CA"/>
              </w:rPr>
              <w:t>Charte</w:t>
            </w:r>
            <w:r w:rsidRPr="00625791">
              <w:rPr>
                <w:sz w:val="20"/>
                <w:lang w:val="fr-CA"/>
              </w:rPr>
              <w:t>, rejetant presque tous les arguments du demandeur portant que la déclaration était involontaire ou avait été faite en violation des droits conférés par l’al. 10</w:t>
            </w:r>
            <w:r w:rsidRPr="00625791">
              <w:rPr>
                <w:i/>
                <w:sz w:val="20"/>
                <w:lang w:val="fr-CA"/>
              </w:rPr>
              <w:t>a</w:t>
            </w:r>
            <w:r w:rsidRPr="00625791">
              <w:rPr>
                <w:sz w:val="20"/>
                <w:lang w:val="fr-CA"/>
              </w:rPr>
              <w:t>) et l’al. 10</w:t>
            </w:r>
            <w:r w:rsidRPr="00625791">
              <w:rPr>
                <w:i/>
                <w:sz w:val="20"/>
                <w:lang w:val="fr-CA"/>
              </w:rPr>
              <w:t>b</w:t>
            </w:r>
            <w:r w:rsidRPr="00625791">
              <w:rPr>
                <w:sz w:val="20"/>
                <w:lang w:val="fr-CA"/>
              </w:rPr>
              <w:t>) de la</w:t>
            </w:r>
            <w:r w:rsidRPr="00625791">
              <w:rPr>
                <w:i/>
                <w:sz w:val="20"/>
                <w:lang w:val="fr-CA"/>
              </w:rPr>
              <w:t xml:space="preserve"> Charte</w:t>
            </w:r>
            <w:r w:rsidRPr="00625791">
              <w:rPr>
                <w:sz w:val="20"/>
                <w:lang w:val="fr-CA"/>
              </w:rPr>
              <w:t>. Le juge de première instance a reconnu que les conseils initialement donnés au demandeur étaient incorrects, car le policier avait omis de lui dire que, outre l’avocat de garde, il avait aussi la possibilité de consulter un avocat de son choix. Néanmoins, le juge a conclu que les conseils que le demandeur a reçus quelques minutes plus tard de l’autre policier avaient remédié à cette lacune et l’avaient informé adéquatement de ses droits. À l’issue du procès, à la suite de sa condamnation, le demandeur a cherché à obtenir l’arrêt des procédures, invoquant la provocation policière. La demande a été rejetée.</w:t>
            </w:r>
          </w:p>
          <w:p w:rsidR="00B446B3" w:rsidRPr="00625791" w:rsidRDefault="00B446B3" w:rsidP="00786E63">
            <w:pPr>
              <w:jc w:val="both"/>
              <w:rPr>
                <w:sz w:val="20"/>
                <w:lang w:val="fr-CA"/>
              </w:rPr>
            </w:pPr>
          </w:p>
        </w:tc>
      </w:tr>
    </w:tbl>
    <w:p w:rsidR="00B446B3" w:rsidRPr="00625791" w:rsidRDefault="00B446B3">
      <w:r w:rsidRPr="0062579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0D1B" w:rsidRPr="00366BFA" w:rsidTr="00786E63">
        <w:tc>
          <w:tcPr>
            <w:tcW w:w="5000" w:type="pct"/>
            <w:gridSpan w:val="3"/>
          </w:tcPr>
          <w:p w:rsidR="006E0D1B" w:rsidRPr="00625791" w:rsidRDefault="006E0D1B" w:rsidP="00786E63">
            <w:pPr>
              <w:jc w:val="both"/>
              <w:rPr>
                <w:sz w:val="20"/>
                <w:lang w:val="fr-CA"/>
              </w:rPr>
            </w:pPr>
            <w:r w:rsidRPr="00625791">
              <w:rPr>
                <w:sz w:val="20"/>
                <w:lang w:val="fr-CA"/>
              </w:rPr>
              <w:lastRenderedPageBreak/>
              <w:t>Le demandeur a fait appel de sa condamnation au motif de provocation policière et d’une violation de l’al. 10</w:t>
            </w:r>
            <w:r w:rsidRPr="00625791">
              <w:rPr>
                <w:i/>
                <w:sz w:val="20"/>
                <w:lang w:val="fr-CA"/>
              </w:rPr>
              <w:t>b</w:t>
            </w:r>
            <w:r w:rsidRPr="00625791">
              <w:rPr>
                <w:sz w:val="20"/>
                <w:lang w:val="fr-CA"/>
              </w:rPr>
              <w:t xml:space="preserve">) de la </w:t>
            </w:r>
            <w:r w:rsidRPr="00625791">
              <w:rPr>
                <w:i/>
                <w:sz w:val="20"/>
                <w:lang w:val="fr-CA"/>
              </w:rPr>
              <w:t>Charte</w:t>
            </w:r>
            <w:r w:rsidRPr="00625791">
              <w:rPr>
                <w:sz w:val="20"/>
                <w:lang w:val="fr-CA"/>
              </w:rPr>
              <w:t>. Les juges majoritaires de la Cour d’appel ont rejeté l’appel. Quant à la question de savoir si le droit du demandeur en vertu de l’al. 10</w:t>
            </w:r>
            <w:r w:rsidRPr="00625791">
              <w:rPr>
                <w:i/>
                <w:sz w:val="20"/>
                <w:lang w:val="fr-CA"/>
              </w:rPr>
              <w:t>b</w:t>
            </w:r>
            <w:r w:rsidRPr="00625791">
              <w:rPr>
                <w:sz w:val="20"/>
                <w:lang w:val="fr-CA"/>
              </w:rPr>
              <w:t>) avait été brimé, ceux-ci ont conclu que le juge de première instance n’avait pas fait erreur lorsqu’il a conclu que la police avait satisfait au volet informationnel du droit prévu à l’al. 10</w:t>
            </w:r>
            <w:r w:rsidRPr="00625791">
              <w:rPr>
                <w:i/>
                <w:sz w:val="20"/>
                <w:lang w:val="fr-CA"/>
              </w:rPr>
              <w:t>b</w:t>
            </w:r>
            <w:r w:rsidRPr="00625791">
              <w:rPr>
                <w:sz w:val="20"/>
                <w:lang w:val="fr-CA"/>
              </w:rPr>
              <w:t>). Dans ses motifs dissidents, le juge Nordheimer aurait accueilli l’appel, annulé la condamnation et aurait prononcé un arrêt des procédures en raison de la question de provocation policière, mais il s’est dit d’accord avec la conclusion des juges majoritaires concernant la question de l’al. 10</w:t>
            </w:r>
            <w:r w:rsidRPr="00625791">
              <w:rPr>
                <w:i/>
                <w:sz w:val="20"/>
                <w:lang w:val="fr-CA"/>
              </w:rPr>
              <w:t>b</w:t>
            </w:r>
            <w:r w:rsidRPr="00625791">
              <w:rPr>
                <w:sz w:val="20"/>
                <w:lang w:val="fr-CA"/>
              </w:rPr>
              <w:t>).</w:t>
            </w:r>
          </w:p>
        </w:tc>
      </w:tr>
      <w:tr w:rsidR="006E0D1B" w:rsidRPr="00366BFA" w:rsidTr="00786E63">
        <w:tc>
          <w:tcPr>
            <w:tcW w:w="5000" w:type="pct"/>
            <w:gridSpan w:val="3"/>
          </w:tcPr>
          <w:p w:rsidR="006E0D1B" w:rsidRPr="00625791" w:rsidRDefault="006E0D1B" w:rsidP="00786E63">
            <w:pPr>
              <w:widowControl w:val="0"/>
              <w:jc w:val="both"/>
              <w:rPr>
                <w:sz w:val="20"/>
                <w:lang w:val="fr-CA"/>
              </w:rPr>
            </w:pPr>
          </w:p>
        </w:tc>
      </w:tr>
      <w:tr w:rsidR="006E0D1B" w:rsidRPr="00366BFA" w:rsidTr="00786E63">
        <w:tc>
          <w:tcPr>
            <w:tcW w:w="2427" w:type="pct"/>
          </w:tcPr>
          <w:p w:rsidR="006E0D1B" w:rsidRPr="00625791" w:rsidRDefault="006E0D1B" w:rsidP="00786E63">
            <w:pPr>
              <w:mirrorIndents/>
              <w:jc w:val="both"/>
              <w:rPr>
                <w:sz w:val="20"/>
                <w:lang w:val="fr-CA"/>
              </w:rPr>
            </w:pPr>
            <w:r w:rsidRPr="00625791">
              <w:rPr>
                <w:sz w:val="20"/>
                <w:lang w:val="fr-CA"/>
              </w:rPr>
              <w:t>16 mars 2015</w:t>
            </w:r>
          </w:p>
          <w:p w:rsidR="006E0D1B" w:rsidRPr="00625791" w:rsidRDefault="006E0D1B" w:rsidP="00786E63">
            <w:pPr>
              <w:mirrorIndents/>
              <w:jc w:val="both"/>
              <w:rPr>
                <w:sz w:val="20"/>
                <w:lang w:val="fr-CA"/>
              </w:rPr>
            </w:pPr>
            <w:r w:rsidRPr="00625791">
              <w:rPr>
                <w:sz w:val="20"/>
                <w:lang w:val="fr-CA"/>
              </w:rPr>
              <w:t>Cour supérieure de justice de l’Ontario</w:t>
            </w:r>
          </w:p>
          <w:p w:rsidR="006E0D1B" w:rsidRPr="00625791" w:rsidRDefault="006E0D1B" w:rsidP="00786E63">
            <w:pPr>
              <w:mirrorIndents/>
              <w:jc w:val="both"/>
              <w:rPr>
                <w:sz w:val="20"/>
                <w:lang w:val="fr-CA"/>
              </w:rPr>
            </w:pPr>
            <w:r w:rsidRPr="00625791">
              <w:rPr>
                <w:sz w:val="20"/>
                <w:lang w:val="fr-CA"/>
              </w:rPr>
              <w:t>(Juge Durno)</w:t>
            </w:r>
          </w:p>
          <w:p w:rsidR="006E0D1B" w:rsidRPr="00625791" w:rsidRDefault="006E0D1B" w:rsidP="00786E63">
            <w:pPr>
              <w:mirrorIndents/>
              <w:jc w:val="both"/>
              <w:rPr>
                <w:sz w:val="20"/>
                <w:lang w:val="fr-CA"/>
              </w:rPr>
            </w:pPr>
            <w:r w:rsidRPr="00625791">
              <w:rPr>
                <w:sz w:val="20"/>
                <w:lang w:val="fr-CA"/>
              </w:rPr>
              <w:t>[2015] O.J. No. 7328</w:t>
            </w:r>
          </w:p>
          <w:p w:rsidR="006E0D1B" w:rsidRPr="00625791" w:rsidRDefault="006E0D1B" w:rsidP="00786E63">
            <w:pPr>
              <w:contextualSpacing/>
              <w:mirrorIndents/>
              <w:jc w:val="both"/>
              <w:rPr>
                <w:sz w:val="20"/>
                <w:lang w:val="fr-CA"/>
              </w:rPr>
            </w:pPr>
          </w:p>
        </w:tc>
        <w:tc>
          <w:tcPr>
            <w:tcW w:w="243" w:type="pct"/>
          </w:tcPr>
          <w:p w:rsidR="006E0D1B" w:rsidRPr="00625791" w:rsidRDefault="006E0D1B" w:rsidP="00786E63">
            <w:pPr>
              <w:contextualSpacing/>
              <w:mirrorIndents/>
              <w:jc w:val="both"/>
              <w:rPr>
                <w:sz w:val="20"/>
                <w:lang w:val="fr-CA"/>
              </w:rPr>
            </w:pPr>
          </w:p>
        </w:tc>
        <w:tc>
          <w:tcPr>
            <w:tcW w:w="2330" w:type="pct"/>
          </w:tcPr>
          <w:p w:rsidR="006E0D1B" w:rsidRPr="00625791" w:rsidRDefault="006E0D1B" w:rsidP="00786E63">
            <w:pPr>
              <w:mirrorIndents/>
              <w:jc w:val="both"/>
              <w:rPr>
                <w:sz w:val="20"/>
                <w:lang w:val="fr-CA"/>
              </w:rPr>
            </w:pPr>
            <w:r w:rsidRPr="00625791">
              <w:rPr>
                <w:sz w:val="20"/>
                <w:lang w:val="fr-CA"/>
              </w:rPr>
              <w:t xml:space="preserve">Demande visant l’exclusion de la déclaration en application du par. 24(2) de la </w:t>
            </w:r>
            <w:r w:rsidRPr="00625791">
              <w:rPr>
                <w:i/>
                <w:sz w:val="20"/>
                <w:lang w:val="fr-CA"/>
              </w:rPr>
              <w:t>Charte</w:t>
            </w:r>
            <w:r w:rsidRPr="00625791">
              <w:rPr>
                <w:sz w:val="20"/>
                <w:lang w:val="fr-CA"/>
              </w:rPr>
              <w:t xml:space="preserve"> pour cause de violation de l’al. 10</w:t>
            </w:r>
            <w:r w:rsidRPr="00625791">
              <w:rPr>
                <w:i/>
                <w:sz w:val="20"/>
                <w:lang w:val="fr-CA"/>
              </w:rPr>
              <w:t>a</w:t>
            </w:r>
            <w:r w:rsidRPr="00625791">
              <w:rPr>
                <w:sz w:val="20"/>
                <w:lang w:val="fr-CA"/>
              </w:rPr>
              <w:t>) et 10</w:t>
            </w:r>
            <w:r w:rsidRPr="00625791">
              <w:rPr>
                <w:i/>
                <w:sz w:val="20"/>
                <w:lang w:val="fr-CA"/>
              </w:rPr>
              <w:t>b</w:t>
            </w:r>
            <w:r w:rsidRPr="00625791">
              <w:rPr>
                <w:sz w:val="20"/>
                <w:lang w:val="fr-CA"/>
              </w:rPr>
              <w:t xml:space="preserve">) de la </w:t>
            </w:r>
            <w:r w:rsidRPr="00625791">
              <w:rPr>
                <w:i/>
                <w:sz w:val="20"/>
                <w:lang w:val="fr-CA"/>
              </w:rPr>
              <w:t xml:space="preserve">Charte </w:t>
            </w:r>
            <w:r w:rsidRPr="00625791">
              <w:rPr>
                <w:sz w:val="20"/>
                <w:lang w:val="fr-CA"/>
              </w:rPr>
              <w:t>rejetée.</w:t>
            </w:r>
          </w:p>
          <w:p w:rsidR="006E0D1B" w:rsidRPr="00625791" w:rsidRDefault="006E0D1B" w:rsidP="00786E63">
            <w:pPr>
              <w:contextualSpacing/>
              <w:mirrorIndents/>
              <w:jc w:val="both"/>
              <w:rPr>
                <w:sz w:val="20"/>
                <w:lang w:val="fr-CA"/>
              </w:rPr>
            </w:pPr>
          </w:p>
        </w:tc>
      </w:tr>
      <w:tr w:rsidR="006E0D1B" w:rsidRPr="00366BFA" w:rsidTr="00786E63">
        <w:tc>
          <w:tcPr>
            <w:tcW w:w="2427" w:type="pct"/>
          </w:tcPr>
          <w:p w:rsidR="006E0D1B" w:rsidRPr="00625791" w:rsidRDefault="006E0D1B" w:rsidP="00786E63">
            <w:pPr>
              <w:mirrorIndents/>
              <w:jc w:val="both"/>
              <w:rPr>
                <w:sz w:val="20"/>
                <w:lang w:val="fr-CA"/>
              </w:rPr>
            </w:pPr>
            <w:r w:rsidRPr="00625791">
              <w:rPr>
                <w:sz w:val="20"/>
                <w:lang w:val="fr-CA"/>
              </w:rPr>
              <w:t>3 mai 2016</w:t>
            </w:r>
          </w:p>
          <w:p w:rsidR="006E0D1B" w:rsidRPr="00625791" w:rsidRDefault="006E0D1B" w:rsidP="00786E63">
            <w:pPr>
              <w:mirrorIndents/>
              <w:jc w:val="both"/>
              <w:rPr>
                <w:sz w:val="20"/>
                <w:lang w:val="fr-CA"/>
              </w:rPr>
            </w:pPr>
            <w:r w:rsidRPr="00625791">
              <w:rPr>
                <w:sz w:val="20"/>
                <w:lang w:val="fr-CA"/>
              </w:rPr>
              <w:t>Cour supérieure de justice de l’Ontario</w:t>
            </w:r>
          </w:p>
          <w:p w:rsidR="006E0D1B" w:rsidRPr="00625791" w:rsidRDefault="006E0D1B" w:rsidP="00786E63">
            <w:pPr>
              <w:mirrorIndents/>
              <w:jc w:val="both"/>
              <w:rPr>
                <w:sz w:val="20"/>
                <w:lang w:val="fr-CA"/>
              </w:rPr>
            </w:pPr>
            <w:r w:rsidRPr="00625791">
              <w:rPr>
                <w:sz w:val="20"/>
                <w:lang w:val="fr-CA"/>
              </w:rPr>
              <w:t>(Juge Durno)</w:t>
            </w:r>
          </w:p>
          <w:p w:rsidR="006E0D1B" w:rsidRPr="00625791" w:rsidRDefault="006E0D1B" w:rsidP="00786E63">
            <w:pPr>
              <w:mirrorIndents/>
              <w:jc w:val="both"/>
              <w:rPr>
                <w:sz w:val="20"/>
                <w:lang w:val="fr-CA"/>
              </w:rPr>
            </w:pPr>
            <w:r w:rsidRPr="00625791">
              <w:rPr>
                <w:sz w:val="20"/>
                <w:lang w:val="fr-CA"/>
              </w:rPr>
              <w:t>[2016] O.J. No. 7161</w:t>
            </w:r>
          </w:p>
          <w:p w:rsidR="006E0D1B" w:rsidRPr="00625791" w:rsidRDefault="006E0D1B" w:rsidP="00786E63">
            <w:pPr>
              <w:mirrorIndents/>
              <w:jc w:val="both"/>
              <w:rPr>
                <w:sz w:val="20"/>
                <w:lang w:val="fr-CA"/>
              </w:rPr>
            </w:pPr>
          </w:p>
        </w:tc>
        <w:tc>
          <w:tcPr>
            <w:tcW w:w="243" w:type="pct"/>
          </w:tcPr>
          <w:p w:rsidR="006E0D1B" w:rsidRPr="00625791" w:rsidRDefault="006E0D1B" w:rsidP="00786E63">
            <w:pPr>
              <w:contextualSpacing/>
              <w:mirrorIndents/>
              <w:jc w:val="both"/>
              <w:rPr>
                <w:sz w:val="20"/>
                <w:lang w:val="fr-CA"/>
              </w:rPr>
            </w:pPr>
          </w:p>
        </w:tc>
        <w:tc>
          <w:tcPr>
            <w:tcW w:w="2330" w:type="pct"/>
          </w:tcPr>
          <w:p w:rsidR="006E0D1B" w:rsidRPr="00625791" w:rsidRDefault="006E0D1B" w:rsidP="00786E63">
            <w:pPr>
              <w:mirrorIndents/>
              <w:jc w:val="both"/>
              <w:rPr>
                <w:sz w:val="20"/>
                <w:lang w:val="fr-CA"/>
              </w:rPr>
            </w:pPr>
            <w:r w:rsidRPr="00625791">
              <w:rPr>
                <w:sz w:val="20"/>
                <w:lang w:val="fr-CA"/>
              </w:rPr>
              <w:t xml:space="preserve">Déclaration de culpabilité pour leurre d’enfants par Internet, en contravention de l’al. 172.1(1)b) du </w:t>
            </w:r>
            <w:r w:rsidRPr="00625791">
              <w:rPr>
                <w:i/>
                <w:sz w:val="20"/>
                <w:lang w:val="fr-CA"/>
              </w:rPr>
              <w:t>Code criminel</w:t>
            </w:r>
            <w:r w:rsidRPr="00625791">
              <w:rPr>
                <w:sz w:val="20"/>
                <w:lang w:val="fr-CA"/>
              </w:rPr>
              <w:t>.</w:t>
            </w:r>
          </w:p>
        </w:tc>
      </w:tr>
      <w:tr w:rsidR="006E0D1B" w:rsidRPr="00366BFA" w:rsidTr="00786E63">
        <w:tc>
          <w:tcPr>
            <w:tcW w:w="2427" w:type="pct"/>
          </w:tcPr>
          <w:p w:rsidR="006E0D1B" w:rsidRPr="00625791" w:rsidRDefault="006E0D1B" w:rsidP="00786E63">
            <w:pPr>
              <w:mirrorIndents/>
              <w:jc w:val="both"/>
              <w:rPr>
                <w:sz w:val="20"/>
                <w:lang w:val="fr-CA"/>
              </w:rPr>
            </w:pPr>
            <w:r w:rsidRPr="00625791">
              <w:rPr>
                <w:sz w:val="20"/>
                <w:lang w:val="fr-CA"/>
              </w:rPr>
              <w:t>13 septembre 2016</w:t>
            </w:r>
          </w:p>
          <w:p w:rsidR="006E0D1B" w:rsidRPr="00625791" w:rsidRDefault="006E0D1B" w:rsidP="00786E63">
            <w:pPr>
              <w:mirrorIndents/>
              <w:jc w:val="both"/>
              <w:rPr>
                <w:sz w:val="20"/>
                <w:lang w:val="fr-CA"/>
              </w:rPr>
            </w:pPr>
            <w:r w:rsidRPr="00625791">
              <w:rPr>
                <w:sz w:val="20"/>
                <w:lang w:val="fr-CA"/>
              </w:rPr>
              <w:t>Cour supérieure de justice de l’Ontario</w:t>
            </w:r>
          </w:p>
          <w:p w:rsidR="006E0D1B" w:rsidRPr="00625791" w:rsidRDefault="006E0D1B" w:rsidP="00786E63">
            <w:pPr>
              <w:mirrorIndents/>
              <w:jc w:val="both"/>
              <w:rPr>
                <w:sz w:val="20"/>
                <w:lang w:val="fr-CA"/>
              </w:rPr>
            </w:pPr>
            <w:r w:rsidRPr="00625791">
              <w:rPr>
                <w:sz w:val="20"/>
                <w:lang w:val="fr-CA"/>
              </w:rPr>
              <w:t>(Juge Durno)</w:t>
            </w:r>
          </w:p>
          <w:p w:rsidR="006E0D1B" w:rsidRPr="00625791" w:rsidRDefault="00366BFA" w:rsidP="00786E63">
            <w:pPr>
              <w:mirrorIndents/>
              <w:jc w:val="both"/>
              <w:rPr>
                <w:sz w:val="20"/>
                <w:lang w:val="fr-CA"/>
              </w:rPr>
            </w:pPr>
            <w:hyperlink r:id="rId61" w:history="1">
              <w:r w:rsidR="006E0D1B" w:rsidRPr="00625791">
                <w:rPr>
                  <w:rStyle w:val="Hyperlink"/>
                  <w:sz w:val="20"/>
                  <w:lang w:val="fr-CA"/>
                </w:rPr>
                <w:t>2016 ONSC 5675</w:t>
              </w:r>
            </w:hyperlink>
          </w:p>
          <w:p w:rsidR="006E0D1B" w:rsidRPr="00625791" w:rsidRDefault="006E0D1B" w:rsidP="00786E63">
            <w:pPr>
              <w:contextualSpacing/>
              <w:mirrorIndents/>
              <w:jc w:val="both"/>
              <w:rPr>
                <w:sz w:val="20"/>
                <w:lang w:val="fr-CA"/>
              </w:rPr>
            </w:pPr>
          </w:p>
        </w:tc>
        <w:tc>
          <w:tcPr>
            <w:tcW w:w="243" w:type="pct"/>
          </w:tcPr>
          <w:p w:rsidR="006E0D1B" w:rsidRPr="00625791" w:rsidRDefault="006E0D1B" w:rsidP="00786E63">
            <w:pPr>
              <w:contextualSpacing/>
              <w:mirrorIndents/>
              <w:jc w:val="both"/>
              <w:rPr>
                <w:sz w:val="20"/>
                <w:lang w:val="fr-CA"/>
              </w:rPr>
            </w:pPr>
          </w:p>
        </w:tc>
        <w:tc>
          <w:tcPr>
            <w:tcW w:w="2330" w:type="pct"/>
          </w:tcPr>
          <w:p w:rsidR="006E0D1B" w:rsidRPr="00625791" w:rsidRDefault="006E0D1B" w:rsidP="00786E63">
            <w:pPr>
              <w:mirrorIndents/>
              <w:jc w:val="both"/>
              <w:rPr>
                <w:sz w:val="20"/>
                <w:lang w:val="fr-CA"/>
              </w:rPr>
            </w:pPr>
            <w:r w:rsidRPr="00625791">
              <w:rPr>
                <w:sz w:val="20"/>
                <w:lang w:val="fr-CA"/>
              </w:rPr>
              <w:t>Demande d’arrêt des procédures fondée sur la provocation policière rejetée.</w:t>
            </w:r>
          </w:p>
        </w:tc>
      </w:tr>
      <w:tr w:rsidR="006E0D1B" w:rsidRPr="00625791" w:rsidTr="00786E63">
        <w:tc>
          <w:tcPr>
            <w:tcW w:w="2427" w:type="pct"/>
          </w:tcPr>
          <w:p w:rsidR="006E0D1B" w:rsidRPr="00625791" w:rsidRDefault="006E0D1B" w:rsidP="00786E63">
            <w:pPr>
              <w:mirrorIndents/>
              <w:jc w:val="both"/>
              <w:rPr>
                <w:sz w:val="20"/>
                <w:lang w:val="fr-CA"/>
              </w:rPr>
            </w:pPr>
            <w:r w:rsidRPr="00625791">
              <w:rPr>
                <w:sz w:val="20"/>
                <w:lang w:val="fr-CA"/>
              </w:rPr>
              <w:t>12 juin 2020</w:t>
            </w:r>
          </w:p>
          <w:p w:rsidR="006E0D1B" w:rsidRPr="00625791" w:rsidRDefault="006E0D1B" w:rsidP="00786E63">
            <w:pPr>
              <w:mirrorIndents/>
              <w:jc w:val="both"/>
              <w:rPr>
                <w:sz w:val="20"/>
                <w:lang w:val="fr-CA"/>
              </w:rPr>
            </w:pPr>
            <w:r w:rsidRPr="00625791">
              <w:rPr>
                <w:sz w:val="20"/>
                <w:lang w:val="fr-CA"/>
              </w:rPr>
              <w:t>Cour d’appel de l’Ontario</w:t>
            </w:r>
          </w:p>
          <w:p w:rsidR="006E0D1B" w:rsidRPr="00625791" w:rsidRDefault="006E0D1B" w:rsidP="00786E63">
            <w:pPr>
              <w:mirrorIndents/>
              <w:jc w:val="both"/>
              <w:rPr>
                <w:sz w:val="20"/>
                <w:lang w:val="fr-CA"/>
              </w:rPr>
            </w:pPr>
            <w:r w:rsidRPr="00625791">
              <w:rPr>
                <w:sz w:val="20"/>
                <w:lang w:val="fr-CA"/>
              </w:rPr>
              <w:t>(Juges Hourigan, Miller et Nordheimer)</w:t>
            </w:r>
          </w:p>
          <w:p w:rsidR="006E0D1B" w:rsidRPr="00625791" w:rsidRDefault="00366BFA" w:rsidP="00786E63">
            <w:pPr>
              <w:mirrorIndents/>
              <w:jc w:val="both"/>
              <w:rPr>
                <w:sz w:val="20"/>
                <w:lang w:val="fr-CA"/>
              </w:rPr>
            </w:pPr>
            <w:hyperlink r:id="rId62" w:history="1">
              <w:r w:rsidR="006E0D1B" w:rsidRPr="00625791">
                <w:rPr>
                  <w:rStyle w:val="Hyperlink"/>
                  <w:sz w:val="20"/>
                  <w:lang w:val="fr-CA"/>
                </w:rPr>
                <w:t>2020 ONCA 373</w:t>
              </w:r>
            </w:hyperlink>
            <w:r w:rsidR="006E0D1B" w:rsidRPr="00625791">
              <w:rPr>
                <w:sz w:val="20"/>
                <w:lang w:val="fr-CA"/>
              </w:rPr>
              <w:t>; C64911</w:t>
            </w:r>
          </w:p>
          <w:p w:rsidR="006E0D1B" w:rsidRPr="00625791" w:rsidRDefault="006E0D1B" w:rsidP="00786E63">
            <w:pPr>
              <w:contextualSpacing/>
              <w:mirrorIndents/>
              <w:jc w:val="both"/>
              <w:rPr>
                <w:sz w:val="20"/>
                <w:lang w:val="fr-CA"/>
              </w:rPr>
            </w:pPr>
          </w:p>
        </w:tc>
        <w:tc>
          <w:tcPr>
            <w:tcW w:w="243" w:type="pct"/>
          </w:tcPr>
          <w:p w:rsidR="006E0D1B" w:rsidRPr="00625791" w:rsidRDefault="006E0D1B" w:rsidP="00786E63">
            <w:pPr>
              <w:contextualSpacing/>
              <w:mirrorIndents/>
              <w:jc w:val="both"/>
              <w:rPr>
                <w:sz w:val="20"/>
                <w:lang w:val="fr-CA"/>
              </w:rPr>
            </w:pPr>
          </w:p>
        </w:tc>
        <w:tc>
          <w:tcPr>
            <w:tcW w:w="2330" w:type="pct"/>
          </w:tcPr>
          <w:p w:rsidR="006E0D1B" w:rsidRPr="00625791" w:rsidRDefault="006E0D1B" w:rsidP="00786E63">
            <w:pPr>
              <w:mirrorIndents/>
              <w:jc w:val="both"/>
              <w:rPr>
                <w:sz w:val="20"/>
                <w:lang w:val="fr-CA"/>
              </w:rPr>
            </w:pPr>
            <w:r w:rsidRPr="00625791">
              <w:rPr>
                <w:sz w:val="20"/>
                <w:lang w:val="fr-CA"/>
              </w:rPr>
              <w:t>Appel rejeté.</w:t>
            </w:r>
          </w:p>
          <w:p w:rsidR="006E0D1B" w:rsidRPr="00625791" w:rsidRDefault="006E0D1B" w:rsidP="00786E63">
            <w:pPr>
              <w:contextualSpacing/>
              <w:mirrorIndents/>
              <w:jc w:val="both"/>
              <w:rPr>
                <w:sz w:val="20"/>
                <w:lang w:val="fr-CA"/>
              </w:rPr>
            </w:pPr>
          </w:p>
        </w:tc>
      </w:tr>
      <w:tr w:rsidR="006E0D1B" w:rsidRPr="00625791" w:rsidTr="00786E63">
        <w:tc>
          <w:tcPr>
            <w:tcW w:w="2427" w:type="pct"/>
          </w:tcPr>
          <w:p w:rsidR="006E0D1B" w:rsidRPr="00625791" w:rsidRDefault="006E0D1B" w:rsidP="00786E63">
            <w:pPr>
              <w:mirrorIndents/>
              <w:jc w:val="both"/>
              <w:rPr>
                <w:sz w:val="20"/>
                <w:lang w:val="fr-CA"/>
              </w:rPr>
            </w:pPr>
            <w:r w:rsidRPr="00625791">
              <w:rPr>
                <w:sz w:val="20"/>
                <w:lang w:val="fr-CA"/>
              </w:rPr>
              <w:t>15 juin 2020</w:t>
            </w:r>
          </w:p>
          <w:p w:rsidR="006E0D1B" w:rsidRPr="00625791" w:rsidRDefault="006E0D1B" w:rsidP="00786E63">
            <w:pPr>
              <w:mirrorIndents/>
              <w:jc w:val="both"/>
              <w:rPr>
                <w:sz w:val="20"/>
                <w:lang w:val="fr-CA"/>
              </w:rPr>
            </w:pPr>
            <w:r w:rsidRPr="00625791">
              <w:rPr>
                <w:sz w:val="20"/>
                <w:lang w:val="fr-CA"/>
              </w:rPr>
              <w:t>Cour suprême du Canada</w:t>
            </w:r>
          </w:p>
          <w:p w:rsidR="006E0D1B" w:rsidRPr="00625791" w:rsidRDefault="006E0D1B" w:rsidP="00786E63">
            <w:pPr>
              <w:contextualSpacing/>
              <w:mirrorIndents/>
              <w:jc w:val="both"/>
              <w:rPr>
                <w:sz w:val="20"/>
                <w:lang w:val="fr-CA"/>
              </w:rPr>
            </w:pPr>
          </w:p>
        </w:tc>
        <w:tc>
          <w:tcPr>
            <w:tcW w:w="243" w:type="pct"/>
          </w:tcPr>
          <w:p w:rsidR="006E0D1B" w:rsidRPr="00625791" w:rsidRDefault="006E0D1B" w:rsidP="00786E63">
            <w:pPr>
              <w:contextualSpacing/>
              <w:mirrorIndents/>
              <w:jc w:val="both"/>
              <w:rPr>
                <w:sz w:val="20"/>
                <w:lang w:val="fr-CA"/>
              </w:rPr>
            </w:pPr>
          </w:p>
        </w:tc>
        <w:tc>
          <w:tcPr>
            <w:tcW w:w="2330" w:type="pct"/>
          </w:tcPr>
          <w:p w:rsidR="006E0D1B" w:rsidRPr="00625791" w:rsidRDefault="006E0D1B" w:rsidP="00786E63">
            <w:pPr>
              <w:mirrorIndents/>
              <w:jc w:val="both"/>
              <w:rPr>
                <w:sz w:val="20"/>
                <w:lang w:val="fr-CA"/>
              </w:rPr>
            </w:pPr>
            <w:r w:rsidRPr="00625791">
              <w:rPr>
                <w:sz w:val="20"/>
                <w:lang w:val="fr-CA"/>
              </w:rPr>
              <w:t>Avis d’appel déposé.</w:t>
            </w:r>
          </w:p>
          <w:p w:rsidR="006E0D1B" w:rsidRPr="00625791" w:rsidRDefault="006E0D1B" w:rsidP="00786E63">
            <w:pPr>
              <w:contextualSpacing/>
              <w:mirrorIndents/>
              <w:jc w:val="both"/>
              <w:rPr>
                <w:sz w:val="20"/>
                <w:lang w:val="fr-CA"/>
              </w:rPr>
            </w:pPr>
          </w:p>
        </w:tc>
      </w:tr>
      <w:tr w:rsidR="006E0D1B" w:rsidRPr="00625791" w:rsidTr="00786E63">
        <w:tc>
          <w:tcPr>
            <w:tcW w:w="2427" w:type="pct"/>
          </w:tcPr>
          <w:p w:rsidR="006E0D1B" w:rsidRPr="00625791" w:rsidRDefault="006E0D1B" w:rsidP="00786E63">
            <w:pPr>
              <w:mirrorIndents/>
              <w:jc w:val="both"/>
              <w:rPr>
                <w:sz w:val="20"/>
                <w:lang w:val="fr-CA"/>
              </w:rPr>
            </w:pPr>
            <w:r w:rsidRPr="00625791">
              <w:rPr>
                <w:sz w:val="20"/>
                <w:lang w:val="fr-CA"/>
              </w:rPr>
              <w:t>10 juillet 2020</w:t>
            </w:r>
          </w:p>
          <w:p w:rsidR="006E0D1B" w:rsidRPr="00625791" w:rsidRDefault="006E0D1B" w:rsidP="00870098">
            <w:pPr>
              <w:mirrorIndents/>
              <w:jc w:val="both"/>
              <w:rPr>
                <w:sz w:val="20"/>
                <w:lang w:val="fr-CA"/>
              </w:rPr>
            </w:pPr>
            <w:r w:rsidRPr="00625791">
              <w:rPr>
                <w:sz w:val="20"/>
                <w:lang w:val="fr-CA"/>
              </w:rPr>
              <w:t>Cour suprême du Canada</w:t>
            </w:r>
          </w:p>
        </w:tc>
        <w:tc>
          <w:tcPr>
            <w:tcW w:w="243" w:type="pct"/>
          </w:tcPr>
          <w:p w:rsidR="006E0D1B" w:rsidRPr="00625791" w:rsidRDefault="006E0D1B" w:rsidP="00786E63">
            <w:pPr>
              <w:contextualSpacing/>
              <w:mirrorIndents/>
              <w:jc w:val="both"/>
              <w:rPr>
                <w:sz w:val="20"/>
                <w:lang w:val="fr-CA"/>
              </w:rPr>
            </w:pPr>
          </w:p>
        </w:tc>
        <w:tc>
          <w:tcPr>
            <w:tcW w:w="2330" w:type="pct"/>
          </w:tcPr>
          <w:p w:rsidR="006E0D1B" w:rsidRPr="00625791" w:rsidRDefault="006E0D1B" w:rsidP="00786E63">
            <w:pPr>
              <w:mirrorIndents/>
              <w:jc w:val="both"/>
              <w:rPr>
                <w:sz w:val="20"/>
                <w:lang w:val="fr-CA"/>
              </w:rPr>
            </w:pPr>
            <w:r w:rsidRPr="00625791">
              <w:rPr>
                <w:sz w:val="20"/>
                <w:lang w:val="fr-CA"/>
              </w:rPr>
              <w:t xml:space="preserve">Demande d’autorisation d’appel présentée. </w:t>
            </w:r>
          </w:p>
          <w:p w:rsidR="006E0D1B" w:rsidRPr="00625791" w:rsidRDefault="006E0D1B" w:rsidP="00786E63">
            <w:pPr>
              <w:contextualSpacing/>
              <w:mirrorIndents/>
              <w:jc w:val="both"/>
              <w:rPr>
                <w:sz w:val="20"/>
                <w:lang w:val="fr-CA"/>
              </w:rPr>
            </w:pPr>
          </w:p>
        </w:tc>
      </w:tr>
    </w:tbl>
    <w:p w:rsidR="006E0D1B" w:rsidRPr="00625791" w:rsidRDefault="006E0D1B" w:rsidP="006E0D1B">
      <w:pPr>
        <w:contextualSpacing/>
        <w:mirrorIndents/>
        <w:jc w:val="both"/>
        <w:rPr>
          <w:sz w:val="20"/>
          <w:lang w:val="fr-CA"/>
        </w:rPr>
      </w:pPr>
    </w:p>
    <w:p w:rsidR="006E0D1B" w:rsidRPr="00625791" w:rsidRDefault="00366BFA" w:rsidP="006E0D1B">
      <w:pPr>
        <w:widowControl w:val="0"/>
        <w:jc w:val="both"/>
        <w:rPr>
          <w:sz w:val="20"/>
          <w:lang w:val="fr-CA"/>
        </w:rPr>
      </w:pPr>
      <w:r>
        <w:rPr>
          <w:sz w:val="20"/>
        </w:rPr>
        <w:pict>
          <v:rect id="_x0000_i1050"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39228</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 xml:space="preserve">Rosemary Anne Hood v. </w:t>
            </w:r>
            <w:r w:rsidR="00283348" w:rsidRPr="00625791">
              <w:rPr>
                <w:b/>
                <w:sz w:val="20"/>
                <w:szCs w:val="20"/>
                <w:lang w:val="en-US"/>
              </w:rPr>
              <w:t>Attorney General of Canada, Canadian Food Inspection Agency, Public Health Agency of Canada and Employment and Skills Development Canada - Labour</w:t>
            </w:r>
          </w:p>
          <w:p w:rsidR="006E0D1B" w:rsidRPr="00625791" w:rsidRDefault="006E0D1B" w:rsidP="00786E63">
            <w:pPr>
              <w:jc w:val="both"/>
              <w:rPr>
                <w:sz w:val="20"/>
              </w:rPr>
            </w:pPr>
            <w:r w:rsidRPr="00625791">
              <w:rPr>
                <w:sz w:val="20"/>
              </w:rPr>
              <w:t>(F.C.) (Civil) (By Leave)</w:t>
            </w:r>
          </w:p>
        </w:tc>
      </w:tr>
      <w:tr w:rsidR="006E0D1B" w:rsidRPr="00625791" w:rsidTr="00786E63">
        <w:tc>
          <w:tcPr>
            <w:tcW w:w="5000" w:type="pct"/>
            <w:gridSpan w:val="4"/>
          </w:tcPr>
          <w:p w:rsidR="00283348" w:rsidRPr="00625791" w:rsidRDefault="00283348" w:rsidP="00283348">
            <w:pPr>
              <w:jc w:val="both"/>
              <w:rPr>
                <w:sz w:val="20"/>
                <w:szCs w:val="20"/>
              </w:rPr>
            </w:pPr>
            <w:r w:rsidRPr="00625791">
              <w:rPr>
                <w:sz w:val="20"/>
                <w:szCs w:val="20"/>
              </w:rPr>
              <w:t>The application for leave to appeal from the judgment of the Federal Court of Appeal, Number A-346-18, 2019 FCA 302, dated December 5, 2019, is dismissed without costs.</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jc w:val="both"/>
              <w:rPr>
                <w:sz w:val="20"/>
              </w:rPr>
            </w:pPr>
            <w:r w:rsidRPr="00625791">
              <w:rPr>
                <w:sz w:val="20"/>
              </w:rPr>
              <w:t>Human rights — Employment law — Whether Canadian Food Inspection Agency managers hold unbridled power over an employee’s collective agreement’s discretionary other leave — The human resources Canadian Food Inspection Agency administrative standard for doctor’s notes — Whether the memorandum of settlement is equivalent to a non-disclosure agreement — Whether the administrative rule of law is mindful of the repeated use of the collective agreement where there is a pattern of harassment, discrimination and psychological violence in the workplace by management — Whether it is by Crown right for managers to declare an emergency and new conditions for a site in the public interest</w:t>
            </w:r>
          </w:p>
        </w:tc>
      </w:tr>
      <w:tr w:rsidR="006E0D1B" w:rsidRPr="00625791" w:rsidTr="00786E63">
        <w:tc>
          <w:tcPr>
            <w:tcW w:w="5000" w:type="pct"/>
            <w:gridSpan w:val="4"/>
          </w:tcPr>
          <w:p w:rsidR="006E0D1B" w:rsidRPr="00625791" w:rsidRDefault="006E0D1B" w:rsidP="00786E63">
            <w:pPr>
              <w:jc w:val="both"/>
              <w:rPr>
                <w:sz w:val="20"/>
              </w:rPr>
            </w:pPr>
          </w:p>
          <w:p w:rsidR="006E0D1B" w:rsidRPr="00625791" w:rsidRDefault="006E0D1B" w:rsidP="00786E63">
            <w:pPr>
              <w:jc w:val="both"/>
              <w:rPr>
                <w:sz w:val="20"/>
              </w:rPr>
            </w:pPr>
            <w:r w:rsidRPr="00625791">
              <w:rPr>
                <w:sz w:val="20"/>
              </w:rPr>
              <w:lastRenderedPageBreak/>
              <w:t>The applicant Ms. Hood was employed at the Canadian Food Inspection Agency until 2010. In 2014, she filed a complaint with the Canadian Human Rights Commission alleging that the Canadian Food Inspection Agency had discriminated against her. The Commission decided that an inquiry into Ms. Hood’s complaint was not warranted. Ms. Hood sought judicial review of the Commission’s decision.</w:t>
            </w:r>
          </w:p>
          <w:p w:rsidR="006E0D1B" w:rsidRPr="00625791" w:rsidRDefault="006E0D1B" w:rsidP="00786E63">
            <w:pPr>
              <w:jc w:val="both"/>
              <w:rPr>
                <w:sz w:val="20"/>
              </w:rPr>
            </w:pPr>
          </w:p>
          <w:p w:rsidR="006E0D1B" w:rsidRPr="00625791" w:rsidRDefault="006E0D1B" w:rsidP="00786E63">
            <w:pPr>
              <w:jc w:val="both"/>
              <w:rPr>
                <w:sz w:val="20"/>
              </w:rPr>
            </w:pPr>
            <w:r w:rsidRPr="00625791">
              <w:rPr>
                <w:sz w:val="20"/>
              </w:rPr>
              <w:t>The Federal Court dismissed the application. It found that the Commission had not treated Ms. Hood unfairly, and that in light of the evidence before it, its decision was reasonable. The Federal Court of Appeal unanimously dismissed the appeal. In its view, the Commission’s decision was reasonable and no basis to intervene had been shown.</w:t>
            </w:r>
          </w:p>
        </w:tc>
      </w:tr>
      <w:tr w:rsidR="006E0D1B" w:rsidRPr="00625791" w:rsidTr="00786E63">
        <w:tc>
          <w:tcPr>
            <w:tcW w:w="5000" w:type="pct"/>
            <w:gridSpan w:val="4"/>
          </w:tcPr>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September 27, 2018</w:t>
            </w:r>
          </w:p>
          <w:p w:rsidR="006E0D1B" w:rsidRPr="00625791" w:rsidRDefault="006E0D1B" w:rsidP="00786E63">
            <w:pPr>
              <w:jc w:val="both"/>
              <w:rPr>
                <w:sz w:val="20"/>
              </w:rPr>
            </w:pPr>
            <w:r w:rsidRPr="00625791">
              <w:rPr>
                <w:sz w:val="20"/>
              </w:rPr>
              <w:t>Federal Court</w:t>
            </w:r>
          </w:p>
          <w:p w:rsidR="006E0D1B" w:rsidRPr="00625791" w:rsidRDefault="006E0D1B" w:rsidP="00786E63">
            <w:pPr>
              <w:jc w:val="both"/>
              <w:rPr>
                <w:sz w:val="20"/>
              </w:rPr>
            </w:pPr>
            <w:r w:rsidRPr="00625791">
              <w:rPr>
                <w:sz w:val="20"/>
              </w:rPr>
              <w:t>(O'Reilly J.)</w:t>
            </w:r>
          </w:p>
          <w:p w:rsidR="006E0D1B" w:rsidRPr="00625791" w:rsidRDefault="00366BFA" w:rsidP="00786E63">
            <w:pPr>
              <w:jc w:val="both"/>
              <w:rPr>
                <w:sz w:val="20"/>
              </w:rPr>
            </w:pPr>
            <w:hyperlink r:id="rId63" w:history="1">
              <w:r w:rsidR="006E0D1B" w:rsidRPr="00625791">
                <w:rPr>
                  <w:rStyle w:val="Hyperlink"/>
                  <w:sz w:val="20"/>
                </w:rPr>
                <w:t>2018 FC 958</w:t>
              </w:r>
            </w:hyperlink>
            <w:r w:rsidR="006E0D1B" w:rsidRPr="00625791">
              <w:rPr>
                <w:sz w:val="20"/>
              </w:rPr>
              <w:t xml:space="preserve"> </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Applicant’s application for judicial review dismissed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December 5, 2019</w:t>
            </w:r>
          </w:p>
          <w:p w:rsidR="006E0D1B" w:rsidRPr="00625791" w:rsidRDefault="006E0D1B" w:rsidP="00786E63">
            <w:pPr>
              <w:jc w:val="both"/>
              <w:rPr>
                <w:sz w:val="20"/>
              </w:rPr>
            </w:pPr>
            <w:r w:rsidRPr="00625791">
              <w:rPr>
                <w:sz w:val="20"/>
              </w:rPr>
              <w:t>Federal Court of Appeal</w:t>
            </w:r>
          </w:p>
          <w:p w:rsidR="006E0D1B" w:rsidRPr="00625791" w:rsidRDefault="006E0D1B" w:rsidP="00786E63">
            <w:pPr>
              <w:jc w:val="both"/>
              <w:rPr>
                <w:sz w:val="20"/>
              </w:rPr>
            </w:pPr>
            <w:r w:rsidRPr="00625791">
              <w:rPr>
                <w:sz w:val="20"/>
              </w:rPr>
              <w:t>(Near, Laskin and Mactavish JJ.A.)</w:t>
            </w:r>
          </w:p>
          <w:p w:rsidR="006E0D1B" w:rsidRPr="00625791" w:rsidRDefault="00366BFA" w:rsidP="00786E63">
            <w:pPr>
              <w:jc w:val="both"/>
              <w:rPr>
                <w:sz w:val="20"/>
              </w:rPr>
            </w:pPr>
            <w:hyperlink r:id="rId64" w:history="1">
              <w:r w:rsidR="006E0D1B" w:rsidRPr="00625791">
                <w:rPr>
                  <w:rStyle w:val="Hyperlink"/>
                  <w:sz w:val="20"/>
                </w:rPr>
                <w:t>2019 CAF 302</w:t>
              </w:r>
            </w:hyperlink>
            <w:r w:rsidR="006E0D1B" w:rsidRPr="00625791">
              <w:rPr>
                <w:sz w:val="20"/>
              </w:rPr>
              <w:t xml:space="preserve"> </w:t>
            </w:r>
          </w:p>
          <w:p w:rsidR="006E0D1B" w:rsidRPr="00625791" w:rsidRDefault="006E0D1B"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Appeal dismissed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February 3,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51"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870098"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t>39228</w:t>
            </w:r>
          </w:p>
        </w:tc>
        <w:tc>
          <w:tcPr>
            <w:tcW w:w="4457" w:type="pct"/>
            <w:gridSpan w:val="3"/>
          </w:tcPr>
          <w:p w:rsidR="006E0D1B" w:rsidRPr="00625791" w:rsidRDefault="006E0D1B" w:rsidP="00786E63">
            <w:pPr>
              <w:pStyle w:val="SCCLsocParty"/>
              <w:jc w:val="both"/>
              <w:rPr>
                <w:b/>
                <w:sz w:val="20"/>
                <w:szCs w:val="20"/>
              </w:rPr>
            </w:pPr>
            <w:r w:rsidRPr="00625791">
              <w:rPr>
                <w:b/>
                <w:sz w:val="20"/>
                <w:szCs w:val="20"/>
              </w:rPr>
              <w:t xml:space="preserve">Rosemary Anne Hood c. </w:t>
            </w:r>
            <w:r w:rsidR="00283348" w:rsidRPr="00625791">
              <w:rPr>
                <w:b/>
                <w:sz w:val="20"/>
                <w:szCs w:val="20"/>
              </w:rPr>
              <w:t>Procureur général du Canada, Agence canadienne d’inspection des aliments, Agence de la santé publique du Canada et Emploi et Développement des compétences Canada – main d’œuvre</w:t>
            </w:r>
          </w:p>
          <w:p w:rsidR="006E0D1B" w:rsidRPr="00625791" w:rsidRDefault="006E0D1B" w:rsidP="00786E63">
            <w:pPr>
              <w:jc w:val="both"/>
              <w:rPr>
                <w:sz w:val="20"/>
                <w:lang w:val="fr-CA"/>
              </w:rPr>
            </w:pPr>
            <w:r w:rsidRPr="00625791">
              <w:rPr>
                <w:sz w:val="20"/>
                <w:lang w:val="fr-CA"/>
              </w:rPr>
              <w:t>(C.F.) (Civile) (Sur autorisation)</w:t>
            </w:r>
          </w:p>
        </w:tc>
      </w:tr>
      <w:tr w:rsidR="006E0D1B" w:rsidRPr="00870098" w:rsidTr="00786E63">
        <w:tc>
          <w:tcPr>
            <w:tcW w:w="5000" w:type="pct"/>
            <w:gridSpan w:val="4"/>
          </w:tcPr>
          <w:p w:rsidR="006E0D1B" w:rsidRPr="00625791" w:rsidRDefault="00283348" w:rsidP="00786E63">
            <w:pPr>
              <w:jc w:val="both"/>
              <w:rPr>
                <w:sz w:val="20"/>
                <w:szCs w:val="20"/>
                <w:lang w:val="fr-CA"/>
              </w:rPr>
            </w:pPr>
            <w:r w:rsidRPr="00625791">
              <w:rPr>
                <w:sz w:val="20"/>
                <w:szCs w:val="20"/>
                <w:lang w:val="fr-CA"/>
              </w:rPr>
              <w:t>La demande d’autorisation d’appel de l’arrêt de la Cour d’appel fédérale, numéro A-346-18, 2019 CAF 302, daté du 5 décembre 2019, est rejetée sans dépens.</w:t>
            </w:r>
          </w:p>
          <w:p w:rsidR="00283348" w:rsidRPr="00625791" w:rsidRDefault="00283348" w:rsidP="00786E63">
            <w:pPr>
              <w:jc w:val="both"/>
              <w:rPr>
                <w:sz w:val="20"/>
                <w:lang w:val="fr-CA"/>
              </w:rPr>
            </w:pPr>
          </w:p>
        </w:tc>
      </w:tr>
      <w:tr w:rsidR="006E0D1B" w:rsidRPr="00870098" w:rsidTr="00786E63">
        <w:tc>
          <w:tcPr>
            <w:tcW w:w="5000" w:type="pct"/>
            <w:gridSpan w:val="4"/>
          </w:tcPr>
          <w:p w:rsidR="006E0D1B" w:rsidRPr="00625791" w:rsidRDefault="006E0D1B" w:rsidP="00786E63">
            <w:pPr>
              <w:jc w:val="both"/>
              <w:rPr>
                <w:sz w:val="20"/>
                <w:lang w:val="fr-CA"/>
              </w:rPr>
            </w:pPr>
            <w:r w:rsidRPr="00625791">
              <w:rPr>
                <w:sz w:val="20"/>
                <w:lang w:val="fr-CA"/>
              </w:rPr>
              <w:t>Droits de la personne — Droit de l’emploi — Les gestionnaires de l’Agence canadienne d'inspection des aliments ont</w:t>
            </w:r>
            <w:r w:rsidRPr="00625791">
              <w:rPr>
                <w:sz w:val="20"/>
                <w:lang w:val="fr-CA"/>
              </w:rPr>
              <w:noBreakHyphen/>
              <w:t>ils un pouvoir absolu quant aux « autres congés » discrétionnaires d’un employé prévus par la convention collective ? — La norme administrative des ressources humaines de l’Agence canadienne d'inspection des aliments quant aux billets du médecin — Le mémoire d’entente est</w:t>
            </w:r>
            <w:r w:rsidRPr="00625791">
              <w:rPr>
                <w:sz w:val="20"/>
                <w:lang w:val="fr-CA"/>
              </w:rPr>
              <w:noBreakHyphen/>
              <w:t>il l’équivalent d’un accord de non-divulgation ? — La primauté du droit en matière administrative tient</w:t>
            </w:r>
            <w:r w:rsidRPr="00625791">
              <w:rPr>
                <w:sz w:val="20"/>
                <w:lang w:val="fr-CA"/>
              </w:rPr>
              <w:noBreakHyphen/>
              <w:t>elle compte du recours à la convention collective à maintes reprises lorsqu’il existe, de la part de la gestion, une tendance au harcèlement, à la discrimination et à la violence psychologique en milieu de travail ? — Le fait pour les gestionnaires de déclarer une situation d’urgence et de nouvelles conditions relativement à un site dans l’intérêt public relève</w:t>
            </w:r>
            <w:r w:rsidRPr="00625791">
              <w:rPr>
                <w:sz w:val="20"/>
                <w:lang w:val="fr-CA"/>
              </w:rPr>
              <w:noBreakHyphen/>
              <w:t>t</w:t>
            </w:r>
            <w:r w:rsidRPr="00625791">
              <w:rPr>
                <w:sz w:val="20"/>
                <w:lang w:val="fr-CA"/>
              </w:rPr>
              <w:noBreakHyphen/>
              <w:t>il d’un droit de la Couronne ?</w:t>
            </w:r>
          </w:p>
        </w:tc>
      </w:tr>
      <w:tr w:rsidR="006E0D1B" w:rsidRPr="00870098" w:rsidTr="00786E63">
        <w:tc>
          <w:tcPr>
            <w:tcW w:w="5000" w:type="pct"/>
            <w:gridSpan w:val="4"/>
          </w:tcPr>
          <w:p w:rsidR="006E0D1B" w:rsidRPr="00625791" w:rsidRDefault="006E0D1B" w:rsidP="00786E63">
            <w:pPr>
              <w:jc w:val="both"/>
              <w:rPr>
                <w:sz w:val="20"/>
                <w:lang w:val="fr-CA"/>
              </w:rPr>
            </w:pPr>
          </w:p>
          <w:p w:rsidR="006E0D1B" w:rsidRPr="00625791" w:rsidRDefault="006E0D1B" w:rsidP="00786E63">
            <w:pPr>
              <w:jc w:val="both"/>
              <w:rPr>
                <w:sz w:val="20"/>
                <w:lang w:val="fr-FR"/>
              </w:rPr>
            </w:pPr>
            <w:r w:rsidRPr="00625791">
              <w:rPr>
                <w:sz w:val="20"/>
                <w:lang w:val="fr-CA"/>
              </w:rPr>
              <w:t>La demanderesse, Mme Hood, a travaillé à l’Agence canadienne d'inspection des aliments jusqu’en 2010. En 2014, elle a déposé une plainte auprès de la Commission canadienne des droits de la personne, alléguant que l’Agence canadienne d'inspection des aliments avait fait preuve de discrimination à son endroit. La Commission</w:t>
            </w:r>
            <w:r w:rsidRPr="00625791">
              <w:rPr>
                <w:sz w:val="20"/>
                <w:lang w:val="fr-FR"/>
              </w:rPr>
              <w:t xml:space="preserve"> a conclu qu’il n’était pas justifié d’enquêter sur la plainte de Mme Hood</w:t>
            </w:r>
            <w:r w:rsidRPr="00625791">
              <w:rPr>
                <w:sz w:val="20"/>
                <w:lang w:val="fr-CA"/>
              </w:rPr>
              <w:t xml:space="preserve">. Cette dernière a présenté une </w:t>
            </w:r>
            <w:r w:rsidRPr="00625791">
              <w:rPr>
                <w:sz w:val="20"/>
                <w:lang w:val="fr-FR"/>
              </w:rPr>
              <w:t>demande de contrôle judiciaire de la décision rendue par la Commission</w:t>
            </w:r>
            <w:r w:rsidRPr="00625791">
              <w:rPr>
                <w:sz w:val="20"/>
                <w:lang w:val="fr-CA"/>
              </w:rPr>
              <w:t>.</w:t>
            </w:r>
          </w:p>
          <w:p w:rsidR="006E0D1B" w:rsidRPr="00625791" w:rsidRDefault="006E0D1B" w:rsidP="00786E63">
            <w:pPr>
              <w:jc w:val="both"/>
              <w:rPr>
                <w:sz w:val="20"/>
                <w:lang w:val="fr-CA"/>
              </w:rPr>
            </w:pPr>
          </w:p>
          <w:p w:rsidR="006E0D1B" w:rsidRPr="00625791" w:rsidRDefault="006E0D1B" w:rsidP="00786E63">
            <w:pPr>
              <w:jc w:val="both"/>
              <w:rPr>
                <w:sz w:val="20"/>
                <w:lang w:val="fr-CA"/>
              </w:rPr>
            </w:pPr>
            <w:r w:rsidRPr="00625791">
              <w:rPr>
                <w:sz w:val="20"/>
                <w:lang w:val="fr-CA"/>
              </w:rPr>
              <w:t xml:space="preserve">La Cour fédérale a rejeté la demande. Elle a conclu que la </w:t>
            </w:r>
            <w:r w:rsidRPr="00625791">
              <w:rPr>
                <w:sz w:val="20"/>
                <w:lang w:val="fr-FR"/>
              </w:rPr>
              <w:t>Commission n’avait pas traité Mme Hood de façon inéquitable</w:t>
            </w:r>
            <w:r w:rsidRPr="00625791">
              <w:rPr>
                <w:sz w:val="20"/>
                <w:lang w:val="fr-CA"/>
              </w:rPr>
              <w:t>, et qu’à</w:t>
            </w:r>
            <w:r w:rsidRPr="00625791">
              <w:rPr>
                <w:sz w:val="20"/>
                <w:lang w:val="fr-FR"/>
              </w:rPr>
              <w:t xml:space="preserve"> la lumière des éléments de preuve qui lui ont été présentés, la décision de la Commission n’était pas déraisonnable</w:t>
            </w:r>
            <w:r w:rsidRPr="00625791">
              <w:rPr>
                <w:sz w:val="20"/>
                <w:lang w:val="fr-CA"/>
              </w:rPr>
              <w:t xml:space="preserve">. La Cour d’appel fédérale a rejeté l’appel, à l’unanimité. À son avis, </w:t>
            </w:r>
            <w:r w:rsidRPr="00625791">
              <w:rPr>
                <w:sz w:val="20"/>
                <w:lang w:val="fr-FR"/>
              </w:rPr>
              <w:t>la décision de la Commission était raisonnable et il n’y avait aucune raison que la Cour intervienne</w:t>
            </w:r>
            <w:r w:rsidRPr="00625791">
              <w:rPr>
                <w:sz w:val="20"/>
                <w:lang w:val="fr-CA"/>
              </w:rPr>
              <w:t>.</w:t>
            </w:r>
          </w:p>
        </w:tc>
      </w:tr>
      <w:tr w:rsidR="006E0D1B" w:rsidRPr="00870098" w:rsidTr="00786E63">
        <w:tc>
          <w:tcPr>
            <w:tcW w:w="5000" w:type="pct"/>
            <w:gridSpan w:val="4"/>
          </w:tcPr>
          <w:p w:rsidR="006E0D1B" w:rsidRPr="00625791" w:rsidRDefault="006E0D1B" w:rsidP="00786E63">
            <w:pPr>
              <w:jc w:val="both"/>
              <w:rPr>
                <w:sz w:val="20"/>
                <w:lang w:val="fr-CA"/>
              </w:rPr>
            </w:pPr>
          </w:p>
        </w:tc>
      </w:tr>
      <w:tr w:rsidR="006E0D1B" w:rsidRPr="00870098" w:rsidTr="00786E63">
        <w:tc>
          <w:tcPr>
            <w:tcW w:w="2427" w:type="pct"/>
            <w:gridSpan w:val="2"/>
          </w:tcPr>
          <w:p w:rsidR="006E0D1B" w:rsidRPr="00625791" w:rsidRDefault="006E0D1B" w:rsidP="00786E63">
            <w:pPr>
              <w:jc w:val="both"/>
              <w:rPr>
                <w:sz w:val="20"/>
                <w:lang w:val="fr-CA"/>
              </w:rPr>
            </w:pPr>
            <w:r w:rsidRPr="00625791">
              <w:rPr>
                <w:sz w:val="20"/>
                <w:lang w:val="fr-CA"/>
              </w:rPr>
              <w:lastRenderedPageBreak/>
              <w:t>27 septembre 2018</w:t>
            </w:r>
          </w:p>
          <w:p w:rsidR="006E0D1B" w:rsidRPr="00625791" w:rsidRDefault="006E0D1B" w:rsidP="00786E63">
            <w:pPr>
              <w:jc w:val="both"/>
              <w:rPr>
                <w:sz w:val="20"/>
                <w:lang w:val="fr-CA"/>
              </w:rPr>
            </w:pPr>
            <w:r w:rsidRPr="00625791">
              <w:rPr>
                <w:sz w:val="20"/>
                <w:lang w:val="fr-CA"/>
              </w:rPr>
              <w:t>Cour fédérale</w:t>
            </w:r>
          </w:p>
          <w:p w:rsidR="006E0D1B" w:rsidRPr="00625791" w:rsidRDefault="006E0D1B" w:rsidP="00786E63">
            <w:pPr>
              <w:jc w:val="both"/>
              <w:rPr>
                <w:sz w:val="20"/>
                <w:lang w:val="fr-CA"/>
              </w:rPr>
            </w:pPr>
            <w:r w:rsidRPr="00625791">
              <w:rPr>
                <w:sz w:val="20"/>
                <w:lang w:val="fr-CA"/>
              </w:rPr>
              <w:t>(Juge O'Reilly)</w:t>
            </w:r>
          </w:p>
          <w:p w:rsidR="006E0D1B" w:rsidRPr="00625791" w:rsidRDefault="00366BFA" w:rsidP="00786E63">
            <w:pPr>
              <w:jc w:val="both"/>
              <w:rPr>
                <w:sz w:val="20"/>
                <w:lang w:val="fr-CA"/>
              </w:rPr>
            </w:pPr>
            <w:hyperlink r:id="rId65" w:history="1">
              <w:r w:rsidR="006E0D1B" w:rsidRPr="00625791">
                <w:rPr>
                  <w:rStyle w:val="Hyperlink"/>
                  <w:sz w:val="20"/>
                  <w:lang w:val="fr-CA"/>
                </w:rPr>
                <w:t>2018 CF 958</w:t>
              </w:r>
            </w:hyperlink>
            <w:r w:rsidR="006E0D1B" w:rsidRPr="00625791">
              <w:rPr>
                <w:sz w:val="20"/>
                <w:lang w:val="fr-CA"/>
              </w:rPr>
              <w:t xml:space="preserve"> </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 de contrôle judiciaire de la demanderesse rejetée.</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5 décembre 2019</w:t>
            </w:r>
          </w:p>
          <w:p w:rsidR="006E0D1B" w:rsidRPr="00625791" w:rsidRDefault="006E0D1B" w:rsidP="00786E63">
            <w:pPr>
              <w:jc w:val="both"/>
              <w:rPr>
                <w:sz w:val="20"/>
                <w:lang w:val="fr-CA"/>
              </w:rPr>
            </w:pPr>
            <w:r w:rsidRPr="00625791">
              <w:rPr>
                <w:sz w:val="20"/>
                <w:lang w:val="fr-CA"/>
              </w:rPr>
              <w:t>Cour d’appel fédérale</w:t>
            </w:r>
          </w:p>
          <w:p w:rsidR="006E0D1B" w:rsidRPr="00625791" w:rsidRDefault="006E0D1B" w:rsidP="00786E63">
            <w:pPr>
              <w:jc w:val="both"/>
              <w:rPr>
                <w:sz w:val="20"/>
                <w:lang w:val="fr-CA"/>
              </w:rPr>
            </w:pPr>
            <w:r w:rsidRPr="00625791">
              <w:rPr>
                <w:sz w:val="20"/>
                <w:lang w:val="fr-CA"/>
              </w:rPr>
              <w:t>(Juges Near, Laskin et Mactavish)</w:t>
            </w:r>
          </w:p>
          <w:p w:rsidR="006E0D1B" w:rsidRPr="00625791" w:rsidRDefault="00366BFA" w:rsidP="00786E63">
            <w:pPr>
              <w:jc w:val="both"/>
              <w:rPr>
                <w:sz w:val="20"/>
                <w:lang w:val="fr-CA"/>
              </w:rPr>
            </w:pPr>
            <w:hyperlink r:id="rId66" w:history="1">
              <w:r w:rsidR="006E0D1B" w:rsidRPr="00625791">
                <w:rPr>
                  <w:rStyle w:val="Hyperlink"/>
                  <w:sz w:val="20"/>
                  <w:lang w:val="fr-CA"/>
                </w:rPr>
                <w:t>2019 CAF 302</w:t>
              </w:r>
            </w:hyperlink>
            <w:r w:rsidR="006E0D1B" w:rsidRPr="00625791">
              <w:rPr>
                <w:sz w:val="20"/>
                <w:lang w:val="fr-CA"/>
              </w:rPr>
              <w:t xml:space="preserve"> </w:t>
            </w:r>
          </w:p>
          <w:p w:rsidR="006E0D1B" w:rsidRPr="00625791" w:rsidRDefault="006E0D1B" w:rsidP="00786E63">
            <w:pPr>
              <w:jc w:val="both"/>
              <w:rPr>
                <w:sz w:val="20"/>
                <w:lang w:val="fr-CA"/>
              </w:rPr>
            </w:pP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Appel rejeté.</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3 février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Demande d’autorisation d’appel présentée. </w:t>
            </w:r>
          </w:p>
        </w:tc>
      </w:tr>
    </w:tbl>
    <w:p w:rsidR="006E0D1B" w:rsidRPr="00625791" w:rsidRDefault="006E0D1B" w:rsidP="006E0D1B">
      <w:pPr>
        <w:jc w:val="both"/>
        <w:rPr>
          <w:sz w:val="20"/>
          <w:lang w:val="fr-CA"/>
        </w:rPr>
      </w:pPr>
    </w:p>
    <w:p w:rsidR="006E0D1B" w:rsidRPr="00625791" w:rsidRDefault="00366BFA" w:rsidP="006E0D1B">
      <w:pPr>
        <w:jc w:val="both"/>
        <w:rPr>
          <w:sz w:val="20"/>
          <w:lang w:val="fr-CA"/>
        </w:rPr>
      </w:pPr>
      <w:r>
        <w:rPr>
          <w:sz w:val="20"/>
        </w:rPr>
        <w:pict>
          <v:rect id="_x0000_i1052"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hideMark/>
          </w:tcPr>
          <w:p w:rsidR="006E0D1B" w:rsidRPr="00625791" w:rsidRDefault="006E0D1B" w:rsidP="00786E63">
            <w:pPr>
              <w:spacing w:line="256" w:lineRule="auto"/>
              <w:jc w:val="both"/>
              <w:rPr>
                <w:sz w:val="20"/>
              </w:rPr>
            </w:pPr>
            <w:r w:rsidRPr="00625791">
              <w:rPr>
                <w:rStyle w:val="SCCFileNumberChar"/>
                <w:sz w:val="20"/>
                <w:szCs w:val="20"/>
              </w:rPr>
              <w:t>39088</w:t>
            </w:r>
          </w:p>
        </w:tc>
        <w:tc>
          <w:tcPr>
            <w:tcW w:w="4457" w:type="pct"/>
            <w:gridSpan w:val="3"/>
            <w:hideMark/>
          </w:tcPr>
          <w:p w:rsidR="006E0D1B" w:rsidRPr="00625791" w:rsidRDefault="006E0D1B" w:rsidP="00A96071">
            <w:pPr>
              <w:pStyle w:val="SCCLsocParty"/>
              <w:spacing w:line="256" w:lineRule="auto"/>
              <w:jc w:val="both"/>
              <w:rPr>
                <w:b/>
                <w:sz w:val="20"/>
                <w:szCs w:val="20"/>
                <w:lang w:val="en-US"/>
              </w:rPr>
            </w:pPr>
            <w:r w:rsidRPr="00625791">
              <w:rPr>
                <w:b/>
                <w:sz w:val="20"/>
                <w:szCs w:val="20"/>
                <w:lang w:val="en-US"/>
              </w:rPr>
              <w:t xml:space="preserve">Wal-Mart Canada Corp. v. </w:t>
            </w:r>
            <w:r w:rsidR="00A96071" w:rsidRPr="00625791">
              <w:rPr>
                <w:b/>
                <w:sz w:val="20"/>
                <w:szCs w:val="20"/>
                <w:lang w:val="en-US"/>
              </w:rPr>
              <w:t>Hello Baby Equipment Inc., Bank of Montreal, Bank of Nova Scotia, Canadian Imperial Bank of Commerce, Mastercard International Incorporated, National Bank of Canada Inc., Royal Bank of Canada, Toronto-Dominion Bank, Visa Canada Corporation and Home Depot of Canada Inc.</w:t>
            </w:r>
          </w:p>
          <w:p w:rsidR="006E0D1B" w:rsidRPr="00625791" w:rsidRDefault="006E0D1B" w:rsidP="00786E63">
            <w:pPr>
              <w:pStyle w:val="SCCLsocSubfileSeparator0"/>
              <w:spacing w:line="256" w:lineRule="auto"/>
              <w:rPr>
                <w:sz w:val="20"/>
                <w:szCs w:val="20"/>
              </w:rPr>
            </w:pPr>
            <w:r w:rsidRPr="00625791">
              <w:rPr>
                <w:sz w:val="20"/>
                <w:szCs w:val="20"/>
              </w:rPr>
              <w:t>- and between -</w:t>
            </w:r>
          </w:p>
          <w:p w:rsidR="006E0D1B" w:rsidRPr="00625791" w:rsidRDefault="00A96071" w:rsidP="00786E63">
            <w:pPr>
              <w:pStyle w:val="SCCLsocParty"/>
              <w:spacing w:line="256" w:lineRule="auto"/>
              <w:jc w:val="both"/>
              <w:rPr>
                <w:b/>
                <w:sz w:val="20"/>
                <w:szCs w:val="20"/>
                <w:lang w:val="en-US"/>
              </w:rPr>
            </w:pPr>
            <w:r w:rsidRPr="00625791">
              <w:rPr>
                <w:b/>
                <w:sz w:val="20"/>
                <w:szCs w:val="20"/>
                <w:lang w:val="en-US"/>
              </w:rPr>
              <w:t>Wal-Mart Canada Corp. v. Hello Baby Equipment Inc., Bank of Montreal, Bank of Nova Scotia, Canadian Imperial Bank of Commerce, Mastercard International Incorporated, National Bank of Canada Inc., Royal Bank of Canada, Toronto-Dominion Bank and Visa Canada Corporation</w:t>
            </w:r>
          </w:p>
          <w:p w:rsidR="006E0D1B" w:rsidRPr="00625791" w:rsidRDefault="006E0D1B" w:rsidP="00786E63">
            <w:pPr>
              <w:spacing w:line="256" w:lineRule="auto"/>
              <w:jc w:val="both"/>
              <w:rPr>
                <w:sz w:val="20"/>
              </w:rPr>
            </w:pPr>
            <w:r w:rsidRPr="00625791">
              <w:rPr>
                <w:sz w:val="20"/>
              </w:rPr>
              <w:t>(Sask.) (Civil) (By Leave)</w:t>
            </w:r>
          </w:p>
        </w:tc>
      </w:tr>
      <w:tr w:rsidR="006E0D1B" w:rsidRPr="00625791" w:rsidTr="00786E63">
        <w:tc>
          <w:tcPr>
            <w:tcW w:w="5000" w:type="pct"/>
            <w:gridSpan w:val="4"/>
          </w:tcPr>
          <w:p w:rsidR="00A96071" w:rsidRPr="00625791" w:rsidRDefault="00A96071" w:rsidP="00A96071">
            <w:pPr>
              <w:jc w:val="both"/>
              <w:rPr>
                <w:sz w:val="20"/>
                <w:szCs w:val="20"/>
              </w:rPr>
            </w:pPr>
            <w:r w:rsidRPr="00625791">
              <w:rPr>
                <w:sz w:val="20"/>
                <w:szCs w:val="20"/>
              </w:rPr>
              <w:t xml:space="preserve">The application for leave to appeal from the judgment of the Court of Appeal for Saskatchewan, Numbers CACV3332 and CACV3325, 2020 SKCA 7, dated January 14, 2020, is dismissed </w:t>
            </w:r>
            <w:r w:rsidRPr="00625791">
              <w:rPr>
                <w:sz w:val="20"/>
                <w:szCs w:val="20"/>
                <w:lang w:val="en-US"/>
              </w:rPr>
              <w:t>with costs to the respondents, Hello Baby Equipment Inc., National Bank of Canada Inc., Visa Canada Corporation and Mastercard International Incorporated.</w:t>
            </w:r>
          </w:p>
          <w:p w:rsidR="006E0D1B" w:rsidRPr="00625791" w:rsidRDefault="006E0D1B" w:rsidP="00786E63">
            <w:pPr>
              <w:spacing w:line="256" w:lineRule="auto"/>
              <w:jc w:val="both"/>
              <w:rPr>
                <w:sz w:val="20"/>
              </w:rPr>
            </w:pPr>
          </w:p>
        </w:tc>
      </w:tr>
      <w:tr w:rsidR="006E0D1B" w:rsidRPr="00625791" w:rsidTr="00786E63">
        <w:tc>
          <w:tcPr>
            <w:tcW w:w="5000" w:type="pct"/>
            <w:gridSpan w:val="4"/>
          </w:tcPr>
          <w:p w:rsidR="006E0D1B" w:rsidRPr="00625791" w:rsidRDefault="006E0D1B" w:rsidP="00786E63">
            <w:pPr>
              <w:spacing w:line="256" w:lineRule="auto"/>
              <w:jc w:val="both"/>
              <w:rPr>
                <w:sz w:val="20"/>
              </w:rPr>
            </w:pPr>
            <w:r w:rsidRPr="00625791">
              <w:rPr>
                <w:sz w:val="20"/>
              </w:rPr>
              <w:t>Civil procedure — Class actions — Appeals — Legislation — Interpretation — Courts — Jurisdiction — Are orders made by a judge of a court at first instance approving a settlement agreement in a class proceeding subject to appeal — If so, do class members who objected at the motion for settlement approval have a right to appeal, with or without leave.</w:t>
            </w:r>
          </w:p>
        </w:tc>
      </w:tr>
      <w:tr w:rsidR="006E0D1B" w:rsidRPr="00625791" w:rsidTr="00786E63">
        <w:tc>
          <w:tcPr>
            <w:tcW w:w="5000" w:type="pct"/>
            <w:gridSpan w:val="4"/>
          </w:tcPr>
          <w:p w:rsidR="006E0D1B" w:rsidRPr="00625791" w:rsidRDefault="006E0D1B" w:rsidP="00786E63">
            <w:pPr>
              <w:spacing w:line="256" w:lineRule="auto"/>
              <w:jc w:val="both"/>
              <w:rPr>
                <w:sz w:val="20"/>
              </w:rPr>
            </w:pPr>
          </w:p>
          <w:p w:rsidR="006E0D1B" w:rsidRPr="00625791" w:rsidRDefault="006E0D1B" w:rsidP="00786E63">
            <w:pPr>
              <w:spacing w:line="256" w:lineRule="auto"/>
              <w:jc w:val="both"/>
              <w:rPr>
                <w:sz w:val="20"/>
              </w:rPr>
            </w:pPr>
            <w:r w:rsidRPr="00625791">
              <w:rPr>
                <w:sz w:val="20"/>
              </w:rPr>
              <w:t>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w:t>
            </w:r>
            <w:r w:rsidRPr="00625791">
              <w:rPr>
                <w:sz w:val="20"/>
              </w:rPr>
              <w:noBreakHyphen/>
              <w:t xml:space="preserve">competitive rules permitting them to fix and inflate the price of interchange fees imposed on merchants accepting payment by those credit cards. The claims were framed as breaches of the </w:t>
            </w:r>
            <w:r w:rsidRPr="00625791">
              <w:rPr>
                <w:i/>
                <w:sz w:val="20"/>
              </w:rPr>
              <w:t>Competition Act</w:t>
            </w:r>
            <w:r w:rsidRPr="00625791">
              <w:rPr>
                <w:sz w:val="20"/>
              </w:rPr>
              <w:t>, R.S.C., 1985, c. C</w:t>
            </w:r>
            <w:r w:rsidRPr="00625791">
              <w:rPr>
                <w:sz w:val="20"/>
              </w:rPr>
              <w:noBreakHyphen/>
              <w:t>34, civil conspiracy to injure, unjust enrichment and waiver of tort. When representative plaintiffs sought court approval of settlement agreements with National Bank, Visa and MasterCard, class members Wal</w:t>
            </w:r>
            <w:r w:rsidRPr="00625791">
              <w:rPr>
                <w:sz w:val="20"/>
              </w:rPr>
              <w:noBreakHyphen/>
              <w:t>Mart and Home Depot opposed the settlement agreements on the basis that they contained broad releases giving carte blanche to future anticompetitive conduct. As such, they were illegal contracts in restraint of trade, contrary to public policy, and a confiscation of future access to justice. When superior courts granted orders approving the settlements, Wal</w:t>
            </w:r>
            <w:r w:rsidRPr="00625791">
              <w:rPr>
                <w:sz w:val="20"/>
              </w:rPr>
              <w:noBreakHyphen/>
              <w:t>Mart and Home Depot sought to appeal.  The appellate courts in B.C., Ontario and Saskatchewan held that members of the class do not have standing or right to appeal court settlement approvals. In Quebec, Wal</w:t>
            </w:r>
            <w:r w:rsidRPr="00625791">
              <w:rPr>
                <w:sz w:val="20"/>
              </w:rPr>
              <w:noBreakHyphen/>
              <w:t>Mart and Home Depot were not class members and therefore lacked the requisite interest to appeal.</w:t>
            </w:r>
          </w:p>
        </w:tc>
      </w:tr>
      <w:tr w:rsidR="006E0D1B" w:rsidRPr="00625791" w:rsidTr="00786E63">
        <w:tc>
          <w:tcPr>
            <w:tcW w:w="5000" w:type="pct"/>
            <w:gridSpan w:val="4"/>
          </w:tcPr>
          <w:p w:rsidR="006E0D1B" w:rsidRPr="00625791" w:rsidRDefault="006E0D1B" w:rsidP="00786E63">
            <w:pPr>
              <w:spacing w:line="256" w:lineRule="auto"/>
              <w:jc w:val="both"/>
              <w:rPr>
                <w:sz w:val="20"/>
              </w:rPr>
            </w:pPr>
          </w:p>
        </w:tc>
      </w:tr>
      <w:tr w:rsidR="006E0D1B" w:rsidRPr="00625791" w:rsidTr="00786E63">
        <w:tc>
          <w:tcPr>
            <w:tcW w:w="2427" w:type="pct"/>
            <w:gridSpan w:val="2"/>
            <w:hideMark/>
          </w:tcPr>
          <w:p w:rsidR="006E0D1B" w:rsidRPr="00625791" w:rsidRDefault="006E0D1B" w:rsidP="00786E63">
            <w:pPr>
              <w:spacing w:line="256" w:lineRule="auto"/>
              <w:jc w:val="both"/>
              <w:rPr>
                <w:sz w:val="20"/>
              </w:rPr>
            </w:pPr>
            <w:r w:rsidRPr="00625791">
              <w:rPr>
                <w:sz w:val="20"/>
              </w:rPr>
              <w:t>October 11, 2018</w:t>
            </w:r>
          </w:p>
          <w:p w:rsidR="006E0D1B" w:rsidRPr="00625791" w:rsidRDefault="006E0D1B" w:rsidP="00786E63">
            <w:pPr>
              <w:spacing w:line="256" w:lineRule="auto"/>
              <w:jc w:val="both"/>
              <w:rPr>
                <w:sz w:val="20"/>
              </w:rPr>
            </w:pPr>
            <w:r w:rsidRPr="00625791">
              <w:rPr>
                <w:sz w:val="20"/>
              </w:rPr>
              <w:t>Court of Queen’s Bench of Saskatchewan</w:t>
            </w:r>
          </w:p>
          <w:p w:rsidR="006E0D1B" w:rsidRPr="00625791" w:rsidRDefault="006E0D1B" w:rsidP="00786E63">
            <w:pPr>
              <w:spacing w:line="256" w:lineRule="auto"/>
              <w:jc w:val="both"/>
              <w:rPr>
                <w:sz w:val="20"/>
              </w:rPr>
            </w:pPr>
            <w:r w:rsidRPr="00625791">
              <w:rPr>
                <w:sz w:val="20"/>
              </w:rPr>
              <w:t>(Barrington</w:t>
            </w:r>
            <w:r w:rsidRPr="00625791">
              <w:rPr>
                <w:sz w:val="20"/>
              </w:rPr>
              <w:noBreakHyphen/>
              <w:t>Foote J.)</w:t>
            </w:r>
          </w:p>
          <w:p w:rsidR="006E0D1B" w:rsidRPr="00625791" w:rsidRDefault="00366BFA" w:rsidP="00786E63">
            <w:pPr>
              <w:spacing w:line="256" w:lineRule="auto"/>
              <w:jc w:val="both"/>
              <w:rPr>
                <w:rStyle w:val="Hyperlink"/>
                <w:sz w:val="20"/>
                <w:u w:val="none"/>
              </w:rPr>
            </w:pPr>
            <w:hyperlink r:id="rId67" w:history="1">
              <w:r w:rsidR="006E0D1B" w:rsidRPr="00625791">
                <w:rPr>
                  <w:rStyle w:val="Hyperlink"/>
                  <w:sz w:val="20"/>
                </w:rPr>
                <w:t>2018 SKQB 276</w:t>
              </w:r>
            </w:hyperlink>
          </w:p>
          <w:p w:rsidR="00A96071" w:rsidRPr="00625791" w:rsidRDefault="00A96071" w:rsidP="00786E63">
            <w:pPr>
              <w:spacing w:line="256" w:lineRule="auto"/>
              <w:jc w:val="both"/>
              <w:rPr>
                <w:sz w:val="20"/>
              </w:rPr>
            </w:pPr>
          </w:p>
        </w:tc>
        <w:tc>
          <w:tcPr>
            <w:tcW w:w="243" w:type="pct"/>
          </w:tcPr>
          <w:p w:rsidR="006E0D1B" w:rsidRPr="00625791" w:rsidRDefault="006E0D1B" w:rsidP="00786E63">
            <w:pPr>
              <w:spacing w:line="256" w:lineRule="auto"/>
              <w:jc w:val="both"/>
              <w:rPr>
                <w:sz w:val="20"/>
              </w:rPr>
            </w:pPr>
          </w:p>
        </w:tc>
        <w:tc>
          <w:tcPr>
            <w:tcW w:w="2330" w:type="pct"/>
          </w:tcPr>
          <w:p w:rsidR="006E0D1B" w:rsidRPr="00625791" w:rsidRDefault="006E0D1B" w:rsidP="00786E63">
            <w:pPr>
              <w:spacing w:line="256" w:lineRule="auto"/>
              <w:jc w:val="both"/>
              <w:rPr>
                <w:sz w:val="20"/>
              </w:rPr>
            </w:pPr>
            <w:r w:rsidRPr="00625791">
              <w:rPr>
                <w:sz w:val="20"/>
              </w:rPr>
              <w:t>Order approving settlement of class action against Mastercard International Incorporated, Visa Canada Corporation and National Bank</w:t>
            </w:r>
          </w:p>
          <w:p w:rsidR="006E0D1B" w:rsidRPr="00625791" w:rsidRDefault="006E0D1B" w:rsidP="00786E63">
            <w:pPr>
              <w:spacing w:line="256" w:lineRule="auto"/>
              <w:jc w:val="both"/>
              <w:rPr>
                <w:sz w:val="20"/>
              </w:rPr>
            </w:pPr>
          </w:p>
        </w:tc>
      </w:tr>
      <w:tr w:rsidR="006E0D1B" w:rsidRPr="00625791" w:rsidTr="00786E63">
        <w:tc>
          <w:tcPr>
            <w:tcW w:w="2427" w:type="pct"/>
            <w:gridSpan w:val="2"/>
          </w:tcPr>
          <w:p w:rsidR="006E0D1B" w:rsidRPr="00625791" w:rsidRDefault="006E0D1B" w:rsidP="00786E63">
            <w:pPr>
              <w:spacing w:line="256" w:lineRule="auto"/>
              <w:jc w:val="both"/>
              <w:rPr>
                <w:sz w:val="20"/>
              </w:rPr>
            </w:pPr>
            <w:r w:rsidRPr="00625791">
              <w:rPr>
                <w:sz w:val="20"/>
              </w:rPr>
              <w:t>January 14, 2020</w:t>
            </w:r>
          </w:p>
          <w:p w:rsidR="006E0D1B" w:rsidRPr="00625791" w:rsidRDefault="006E0D1B" w:rsidP="00786E63">
            <w:pPr>
              <w:spacing w:line="256" w:lineRule="auto"/>
              <w:jc w:val="both"/>
              <w:rPr>
                <w:sz w:val="20"/>
              </w:rPr>
            </w:pPr>
            <w:r w:rsidRPr="00625791">
              <w:rPr>
                <w:sz w:val="20"/>
              </w:rPr>
              <w:t>Court of Appeal for Saskatchewan</w:t>
            </w:r>
          </w:p>
          <w:p w:rsidR="006E0D1B" w:rsidRPr="00625791" w:rsidRDefault="006E0D1B" w:rsidP="00786E63">
            <w:pPr>
              <w:spacing w:line="256" w:lineRule="auto"/>
              <w:jc w:val="both"/>
              <w:rPr>
                <w:sz w:val="20"/>
              </w:rPr>
            </w:pPr>
            <w:r w:rsidRPr="00625791">
              <w:rPr>
                <w:sz w:val="20"/>
              </w:rPr>
              <w:t xml:space="preserve">(Richards C.J.S., Schwann and Kalmakoff </w:t>
            </w:r>
          </w:p>
          <w:p w:rsidR="006E0D1B" w:rsidRPr="00625791" w:rsidRDefault="006E0D1B" w:rsidP="00786E63">
            <w:pPr>
              <w:spacing w:line="256" w:lineRule="auto"/>
              <w:jc w:val="both"/>
              <w:rPr>
                <w:sz w:val="20"/>
              </w:rPr>
            </w:pPr>
            <w:r w:rsidRPr="00625791">
              <w:rPr>
                <w:sz w:val="20"/>
              </w:rPr>
              <w:t>JJ.A.)</w:t>
            </w:r>
          </w:p>
          <w:p w:rsidR="006E0D1B" w:rsidRPr="00625791" w:rsidRDefault="00366BFA" w:rsidP="00786E63">
            <w:pPr>
              <w:spacing w:line="256" w:lineRule="auto"/>
              <w:jc w:val="both"/>
              <w:rPr>
                <w:rStyle w:val="Hyperlink"/>
                <w:sz w:val="20"/>
              </w:rPr>
            </w:pPr>
            <w:hyperlink r:id="rId68" w:history="1">
              <w:r w:rsidR="006E0D1B" w:rsidRPr="00625791">
                <w:rPr>
                  <w:rStyle w:val="Hyperlink"/>
                  <w:sz w:val="20"/>
                </w:rPr>
                <w:t>2020 SKCA 7</w:t>
              </w:r>
            </w:hyperlink>
          </w:p>
          <w:p w:rsidR="006E0D1B" w:rsidRPr="00625791" w:rsidRDefault="006E0D1B" w:rsidP="00786E63">
            <w:pPr>
              <w:spacing w:line="256" w:lineRule="auto"/>
              <w:jc w:val="both"/>
              <w:rPr>
                <w:sz w:val="20"/>
              </w:rPr>
            </w:pPr>
          </w:p>
        </w:tc>
        <w:tc>
          <w:tcPr>
            <w:tcW w:w="243" w:type="pct"/>
          </w:tcPr>
          <w:p w:rsidR="006E0D1B" w:rsidRPr="00625791" w:rsidRDefault="006E0D1B" w:rsidP="00786E63">
            <w:pPr>
              <w:spacing w:line="256" w:lineRule="auto"/>
              <w:jc w:val="both"/>
              <w:rPr>
                <w:sz w:val="20"/>
              </w:rPr>
            </w:pPr>
          </w:p>
        </w:tc>
        <w:tc>
          <w:tcPr>
            <w:tcW w:w="2330" w:type="pct"/>
          </w:tcPr>
          <w:p w:rsidR="006E0D1B" w:rsidRPr="00625791" w:rsidRDefault="006E0D1B" w:rsidP="00786E63">
            <w:pPr>
              <w:spacing w:line="256" w:lineRule="auto"/>
              <w:jc w:val="both"/>
              <w:rPr>
                <w:sz w:val="20"/>
              </w:rPr>
            </w:pPr>
            <w:r w:rsidRPr="00625791">
              <w:rPr>
                <w:sz w:val="20"/>
              </w:rPr>
              <w:t>Applications to quash appeals by Wal-Mart and Home Depot granted; Applications by Wal</w:t>
            </w:r>
            <w:r w:rsidRPr="00625791">
              <w:rPr>
                <w:sz w:val="20"/>
              </w:rPr>
              <w:noBreakHyphen/>
              <w:t>Mart and Home Depot for leave to appeal and appointment as representative plaintiffs, dismissed.</w:t>
            </w:r>
          </w:p>
        </w:tc>
      </w:tr>
      <w:tr w:rsidR="006E0D1B" w:rsidRPr="00625791" w:rsidTr="00786E63">
        <w:tc>
          <w:tcPr>
            <w:tcW w:w="2427" w:type="pct"/>
            <w:gridSpan w:val="2"/>
            <w:hideMark/>
          </w:tcPr>
          <w:p w:rsidR="006E0D1B" w:rsidRPr="00625791" w:rsidRDefault="006E0D1B" w:rsidP="00786E63">
            <w:pPr>
              <w:spacing w:line="256" w:lineRule="auto"/>
              <w:jc w:val="both"/>
              <w:rPr>
                <w:sz w:val="20"/>
              </w:rPr>
            </w:pPr>
            <w:r w:rsidRPr="00625791">
              <w:rPr>
                <w:sz w:val="20"/>
              </w:rPr>
              <w:t>March 13, 2020</w:t>
            </w:r>
          </w:p>
          <w:p w:rsidR="006E0D1B" w:rsidRPr="00625791" w:rsidRDefault="006E0D1B" w:rsidP="00786E63">
            <w:pPr>
              <w:spacing w:line="256" w:lineRule="auto"/>
              <w:jc w:val="both"/>
              <w:rPr>
                <w:sz w:val="20"/>
              </w:rPr>
            </w:pPr>
            <w:r w:rsidRPr="00625791">
              <w:rPr>
                <w:sz w:val="20"/>
              </w:rPr>
              <w:t>Supreme Court of Canada</w:t>
            </w:r>
          </w:p>
        </w:tc>
        <w:tc>
          <w:tcPr>
            <w:tcW w:w="243" w:type="pct"/>
          </w:tcPr>
          <w:p w:rsidR="006E0D1B" w:rsidRPr="00625791" w:rsidRDefault="006E0D1B" w:rsidP="00786E63">
            <w:pPr>
              <w:spacing w:line="256" w:lineRule="auto"/>
              <w:jc w:val="both"/>
              <w:rPr>
                <w:sz w:val="20"/>
              </w:rPr>
            </w:pPr>
          </w:p>
        </w:tc>
        <w:tc>
          <w:tcPr>
            <w:tcW w:w="2330" w:type="pct"/>
            <w:hideMark/>
          </w:tcPr>
          <w:p w:rsidR="006E0D1B" w:rsidRPr="00625791" w:rsidRDefault="006E0D1B" w:rsidP="00786E63">
            <w:pPr>
              <w:spacing w:line="256" w:lineRule="auto"/>
              <w:jc w:val="both"/>
              <w:rPr>
                <w:sz w:val="20"/>
              </w:rPr>
            </w:pPr>
            <w:r w:rsidRPr="00625791">
              <w:rPr>
                <w:sz w:val="20"/>
              </w:rPr>
              <w:t>Application for leave to appeal filed</w:t>
            </w: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53" style="width:2in;height:1pt" o:hrpct="0" o:hralign="center" o:hrstd="t" o:hrnoshade="t" o:hr="t" fillcolor="black [3213]" stroked="f"/>
        </w:pict>
      </w:r>
    </w:p>
    <w:p w:rsidR="006E0D1B" w:rsidRPr="00625791" w:rsidRDefault="006E0D1B" w:rsidP="006E0D1B">
      <w:pPr>
        <w:jc w:val="both"/>
        <w:rPr>
          <w:sz w:val="20"/>
        </w:rPr>
      </w:pPr>
    </w:p>
    <w:tbl>
      <w:tblPr>
        <w:tblW w:w="4952" w:type="pct"/>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hideMark/>
          </w:tcPr>
          <w:p w:rsidR="006E0D1B" w:rsidRPr="00625791" w:rsidRDefault="006E0D1B" w:rsidP="00786E63">
            <w:pPr>
              <w:spacing w:line="256" w:lineRule="auto"/>
              <w:jc w:val="both"/>
              <w:rPr>
                <w:sz w:val="20"/>
                <w:lang w:val="fr-CA"/>
              </w:rPr>
            </w:pPr>
            <w:r w:rsidRPr="00625791">
              <w:rPr>
                <w:rStyle w:val="SCCFileNumberChar"/>
                <w:sz w:val="20"/>
                <w:szCs w:val="20"/>
                <w:lang w:val="fr-CA"/>
              </w:rPr>
              <w:t>39088</w:t>
            </w:r>
          </w:p>
        </w:tc>
        <w:tc>
          <w:tcPr>
            <w:tcW w:w="4457" w:type="pct"/>
            <w:gridSpan w:val="3"/>
            <w:hideMark/>
          </w:tcPr>
          <w:p w:rsidR="006E0D1B" w:rsidRPr="00625791" w:rsidRDefault="00A96071" w:rsidP="00786E63">
            <w:pPr>
              <w:pStyle w:val="SCCLsocParty"/>
              <w:spacing w:line="256" w:lineRule="auto"/>
              <w:jc w:val="both"/>
              <w:rPr>
                <w:b/>
                <w:sz w:val="20"/>
                <w:szCs w:val="20"/>
              </w:rPr>
            </w:pPr>
            <w:r w:rsidRPr="00625791">
              <w:rPr>
                <w:b/>
                <w:sz w:val="20"/>
                <w:szCs w:val="20"/>
              </w:rPr>
              <w:t>Compagnie Wal-Mart du Canada</w:t>
            </w:r>
            <w:r w:rsidR="006E0D1B" w:rsidRPr="00625791">
              <w:rPr>
                <w:b/>
                <w:sz w:val="20"/>
                <w:szCs w:val="20"/>
              </w:rPr>
              <w:t xml:space="preserve"> c. </w:t>
            </w:r>
            <w:r w:rsidRPr="00625791">
              <w:rPr>
                <w:b/>
                <w:sz w:val="20"/>
                <w:szCs w:val="20"/>
              </w:rPr>
              <w:t>Hello Baby Equipment Inc., Banque de Montréal, Banque de Nouvelle-Écosse, Banque Canadienne Impériale de Commerce, Mastercard International Incorporated, Banque Nationale du Canada Inc., Banque Royale du Canada, Banque Toronto-Dominion, Corporation Visa Canada et Home Dépôt du Canada Inc.</w:t>
            </w:r>
          </w:p>
          <w:p w:rsidR="006E0D1B" w:rsidRPr="00625791" w:rsidRDefault="006E0D1B" w:rsidP="00786E63">
            <w:pPr>
              <w:pStyle w:val="SCCLsocSubfileSeparator0"/>
              <w:spacing w:line="256" w:lineRule="auto"/>
              <w:rPr>
                <w:sz w:val="20"/>
                <w:szCs w:val="20"/>
                <w:lang w:val="fr-CA"/>
              </w:rPr>
            </w:pPr>
            <w:r w:rsidRPr="00625791">
              <w:rPr>
                <w:sz w:val="20"/>
                <w:szCs w:val="20"/>
                <w:lang w:val="fr-CA"/>
              </w:rPr>
              <w:t>- et entre -</w:t>
            </w:r>
          </w:p>
          <w:p w:rsidR="006E0D1B" w:rsidRPr="00625791" w:rsidRDefault="00A96071" w:rsidP="00786E63">
            <w:pPr>
              <w:pStyle w:val="SCCLsocParty"/>
              <w:spacing w:line="256" w:lineRule="auto"/>
              <w:jc w:val="both"/>
              <w:rPr>
                <w:b/>
                <w:sz w:val="20"/>
                <w:szCs w:val="20"/>
              </w:rPr>
            </w:pPr>
            <w:r w:rsidRPr="00625791">
              <w:rPr>
                <w:b/>
                <w:sz w:val="20"/>
                <w:szCs w:val="20"/>
              </w:rPr>
              <w:t>Compagnie Wal-Mart du Canada</w:t>
            </w:r>
            <w:r w:rsidR="006E0D1B" w:rsidRPr="00625791">
              <w:rPr>
                <w:b/>
                <w:sz w:val="20"/>
                <w:szCs w:val="20"/>
              </w:rPr>
              <w:t xml:space="preserve"> c. </w:t>
            </w:r>
            <w:r w:rsidRPr="00625791">
              <w:rPr>
                <w:b/>
                <w:sz w:val="20"/>
                <w:szCs w:val="20"/>
              </w:rPr>
              <w:t>Hello Baby Equipment Inc., Banque de Montréal, Banque de Nouvelle-Écosse, Banque Canadienne Impériale de Commerce, Mastercard International Incorporated, Banque Nationale du Canada Inc., Banque Royale du Canada, Banque Toronto-Dominion et Corporation Visa Canada</w:t>
            </w:r>
          </w:p>
          <w:p w:rsidR="006E0D1B" w:rsidRPr="00625791" w:rsidRDefault="006E0D1B" w:rsidP="00786E63">
            <w:pPr>
              <w:spacing w:line="256" w:lineRule="auto"/>
              <w:jc w:val="both"/>
              <w:rPr>
                <w:sz w:val="20"/>
                <w:lang w:val="fr-CA"/>
              </w:rPr>
            </w:pPr>
            <w:r w:rsidRPr="00625791">
              <w:rPr>
                <w:sz w:val="20"/>
                <w:lang w:val="fr-CA"/>
              </w:rPr>
              <w:t>(Sask.) (Civile) (Sur autorisation)</w:t>
            </w:r>
          </w:p>
        </w:tc>
      </w:tr>
      <w:tr w:rsidR="006E0D1B" w:rsidRPr="00870098" w:rsidTr="00786E63">
        <w:tc>
          <w:tcPr>
            <w:tcW w:w="5000" w:type="pct"/>
            <w:gridSpan w:val="4"/>
          </w:tcPr>
          <w:p w:rsidR="006E0D1B" w:rsidRPr="00625791" w:rsidRDefault="00A96071" w:rsidP="00786E63">
            <w:pPr>
              <w:spacing w:line="256" w:lineRule="auto"/>
              <w:jc w:val="both"/>
              <w:rPr>
                <w:sz w:val="20"/>
                <w:szCs w:val="20"/>
                <w:lang w:val="fr-CA"/>
              </w:rPr>
            </w:pPr>
            <w:r w:rsidRPr="00625791">
              <w:rPr>
                <w:sz w:val="20"/>
                <w:szCs w:val="20"/>
                <w:lang w:val="fr-CA"/>
              </w:rPr>
              <w:t>La demande d’autorisation d’appel de l’arrêt de la Cour d’appel de la Saskatchewan, numéros CACV3332 et CACV3325, 2020 SKCA 7, daté du 14 janvier 2020, est rejetée avec dépens en faveur des intimées, Hello Baby Equipment Inc., Banque Nationale du Canada Inc., Corporation Visa Canada et Mastercard International Incorporated.</w:t>
            </w:r>
          </w:p>
          <w:p w:rsidR="00A96071" w:rsidRPr="00625791" w:rsidRDefault="00A96071" w:rsidP="00786E63">
            <w:pPr>
              <w:spacing w:line="256" w:lineRule="auto"/>
              <w:jc w:val="both"/>
              <w:rPr>
                <w:sz w:val="20"/>
                <w:lang w:val="fr-CA"/>
              </w:rPr>
            </w:pPr>
          </w:p>
        </w:tc>
      </w:tr>
      <w:tr w:rsidR="006E0D1B" w:rsidRPr="00870098" w:rsidTr="00786E63">
        <w:tc>
          <w:tcPr>
            <w:tcW w:w="5000" w:type="pct"/>
            <w:gridSpan w:val="4"/>
          </w:tcPr>
          <w:p w:rsidR="006E0D1B" w:rsidRPr="00625791" w:rsidRDefault="006E0D1B" w:rsidP="00786E63">
            <w:pPr>
              <w:spacing w:line="256" w:lineRule="auto"/>
              <w:jc w:val="both"/>
              <w:rPr>
                <w:sz w:val="20"/>
                <w:lang w:val="fr-CA"/>
              </w:rPr>
            </w:pPr>
            <w:r w:rsidRPr="00625791">
              <w:rPr>
                <w:sz w:val="20"/>
                <w:lang w:val="fr-CA"/>
              </w:rPr>
              <w:t>Procédure civile — Recours collectifs — Appels — Législation — Interprétation — Tribunaux — Compétence — Les ordonnances rendues par le juge d’un tribunal de première instance approuvant une entente de règlement dans une instance collective peuvent</w:t>
            </w:r>
            <w:r w:rsidRPr="00625791">
              <w:rPr>
                <w:sz w:val="20"/>
                <w:lang w:val="fr-CA"/>
              </w:rPr>
              <w:noBreakHyphen/>
              <w:t>elles être portées en appel ? — Dans l’affirmative, les membres du groupe qui se sont opposés à la requête en approbation du règlement ont</w:t>
            </w:r>
            <w:r w:rsidRPr="00625791">
              <w:rPr>
                <w:sz w:val="20"/>
                <w:lang w:val="fr-CA"/>
              </w:rPr>
              <w:noBreakHyphen/>
              <w:t>ils un droit d’appel, avec ou sans autorisation?</w:t>
            </w:r>
          </w:p>
        </w:tc>
      </w:tr>
      <w:tr w:rsidR="006E0D1B" w:rsidRPr="00870098" w:rsidTr="00786E63">
        <w:trPr>
          <w:trHeight w:val="711"/>
        </w:trPr>
        <w:tc>
          <w:tcPr>
            <w:tcW w:w="5000" w:type="pct"/>
            <w:gridSpan w:val="4"/>
          </w:tcPr>
          <w:tbl>
            <w:tblPr>
              <w:tblW w:w="4952" w:type="pct"/>
              <w:tblCellMar>
                <w:left w:w="0" w:type="dxa"/>
                <w:right w:w="0" w:type="dxa"/>
              </w:tblCellMar>
              <w:tblLook w:val="04A0" w:firstRow="1" w:lastRow="0" w:firstColumn="1" w:lastColumn="0" w:noHBand="0" w:noVBand="1"/>
            </w:tblPr>
            <w:tblGrid>
              <w:gridCol w:w="9436"/>
            </w:tblGrid>
            <w:tr w:rsidR="006E0D1B" w:rsidRPr="00870098" w:rsidTr="00786E63">
              <w:tc>
                <w:tcPr>
                  <w:tcW w:w="5000" w:type="pct"/>
                  <w:tcMar>
                    <w:top w:w="0" w:type="dxa"/>
                    <w:left w:w="0" w:type="dxa"/>
                    <w:bottom w:w="99" w:type="dxa"/>
                    <w:right w:w="0" w:type="dxa"/>
                  </w:tcMar>
                  <w:hideMark/>
                </w:tcPr>
                <w:p w:rsidR="006E0D1B" w:rsidRPr="00625791" w:rsidRDefault="006E0D1B" w:rsidP="00786E63">
                  <w:pPr>
                    <w:jc w:val="both"/>
                    <w:rPr>
                      <w:sz w:val="20"/>
                      <w:lang w:val="fr-CA"/>
                    </w:rPr>
                  </w:pPr>
                </w:p>
              </w:tc>
            </w:tr>
            <w:tr w:rsidR="006E0D1B" w:rsidRPr="00870098" w:rsidTr="00786E63">
              <w:tc>
                <w:tcPr>
                  <w:tcW w:w="5000" w:type="pct"/>
                  <w:tcMar>
                    <w:top w:w="0" w:type="dxa"/>
                    <w:left w:w="0" w:type="dxa"/>
                    <w:bottom w:w="99" w:type="dxa"/>
                    <w:right w:w="0" w:type="dxa"/>
                  </w:tcMar>
                  <w:hideMark/>
                </w:tcPr>
                <w:p w:rsidR="006E0D1B" w:rsidRPr="00625791" w:rsidRDefault="006E0D1B" w:rsidP="00786E63">
                  <w:pPr>
                    <w:jc w:val="both"/>
                    <w:rPr>
                      <w:sz w:val="20"/>
                      <w:lang w:val="fr-CA"/>
                    </w:rPr>
                  </w:pPr>
                  <w:r w:rsidRPr="00625791">
                    <w:rPr>
                      <w:sz w:val="20"/>
                      <w:lang w:val="fr-CA"/>
                    </w:rPr>
                    <w:t>Les représentants des demandeurs en Colombie</w:t>
                  </w:r>
                  <w:r w:rsidRPr="00625791">
                    <w:rPr>
                      <w:sz w:val="20"/>
                      <w:lang w:val="fr-CA"/>
                    </w:rPr>
                    <w:noBreakHyphen/>
                    <w:t xml:space="preserve">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d’interchange imposés aux marchands qui acceptaient le paiement par ces cartes de crédit. Les réclamations étaient formulées en tant que violations de la </w:t>
                  </w:r>
                  <w:r w:rsidRPr="00625791">
                    <w:rPr>
                      <w:i/>
                      <w:iCs/>
                      <w:sz w:val="20"/>
                      <w:lang w:val="fr-CA"/>
                    </w:rPr>
                    <w:t>Loi sur la concurrence</w:t>
                  </w:r>
                  <w:r w:rsidRPr="00625791">
                    <w:rPr>
                      <w:sz w:val="20"/>
                      <w:lang w:val="fr-CA"/>
                    </w:rPr>
                    <w:t>, L.R.C., 1985, ch. C</w:t>
                  </w:r>
                  <w:r w:rsidRPr="00625791">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625791">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625791">
                    <w:rPr>
                      <w:sz w:val="20"/>
                      <w:lang w:val="fr-CA"/>
                    </w:rPr>
                    <w:noBreakHyphen/>
                    <w:t>Mart et Home Depot ont interjeté appel. Les cours d’appel en Colombie</w:t>
                  </w:r>
                  <w:r w:rsidRPr="00625791">
                    <w:rPr>
                      <w:sz w:val="20"/>
                      <w:lang w:val="fr-CA"/>
                    </w:rPr>
                    <w:noBreakHyphen/>
                    <w:t>Britannique, en Ontario et en Saskatchewan ont statué que les membres du groupe n’avaient pas qualité pour interjeter appel des approbations d’ententes de règlement. Au Québec, Wal</w:t>
                  </w:r>
                  <w:r w:rsidRPr="00625791">
                    <w:rPr>
                      <w:sz w:val="20"/>
                      <w:lang w:val="fr-CA"/>
                    </w:rPr>
                    <w:noBreakHyphen/>
                    <w:t>Mart et Home Depot n’étaient pas membres du groupe, si bien qu’elles n’avaient pas qualité pour interjeter appel.</w:t>
                  </w:r>
                </w:p>
              </w:tc>
            </w:tr>
          </w:tbl>
          <w:p w:rsidR="006E0D1B" w:rsidRPr="00625791" w:rsidRDefault="006E0D1B" w:rsidP="00786E63">
            <w:pPr>
              <w:spacing w:line="256" w:lineRule="auto"/>
              <w:jc w:val="both"/>
              <w:rPr>
                <w:sz w:val="20"/>
                <w:lang w:val="fr-CA"/>
              </w:rPr>
            </w:pPr>
          </w:p>
        </w:tc>
      </w:tr>
      <w:tr w:rsidR="006E0D1B" w:rsidRPr="00870098" w:rsidTr="00786E63">
        <w:tc>
          <w:tcPr>
            <w:tcW w:w="5000" w:type="pct"/>
            <w:gridSpan w:val="4"/>
          </w:tcPr>
          <w:p w:rsidR="006E0D1B" w:rsidRPr="00625791" w:rsidRDefault="006E0D1B" w:rsidP="00786E63">
            <w:pPr>
              <w:spacing w:line="256" w:lineRule="auto"/>
              <w:jc w:val="both"/>
              <w:rPr>
                <w:sz w:val="20"/>
                <w:lang w:val="fr-CA"/>
              </w:rPr>
            </w:pPr>
          </w:p>
        </w:tc>
      </w:tr>
      <w:tr w:rsidR="006E0D1B" w:rsidRPr="00870098" w:rsidTr="00786E63">
        <w:tc>
          <w:tcPr>
            <w:tcW w:w="2427" w:type="pct"/>
            <w:gridSpan w:val="2"/>
            <w:hideMark/>
          </w:tcPr>
          <w:p w:rsidR="006E0D1B" w:rsidRPr="00625791" w:rsidRDefault="006E0D1B" w:rsidP="00786E63">
            <w:pPr>
              <w:spacing w:line="256" w:lineRule="auto"/>
              <w:jc w:val="both"/>
              <w:rPr>
                <w:sz w:val="20"/>
                <w:lang w:val="fr-CA"/>
              </w:rPr>
            </w:pPr>
            <w:r w:rsidRPr="00625791">
              <w:rPr>
                <w:sz w:val="20"/>
                <w:lang w:val="fr-CA"/>
              </w:rPr>
              <w:lastRenderedPageBreak/>
              <w:t>11 octobre 2018</w:t>
            </w:r>
          </w:p>
          <w:p w:rsidR="006E0D1B" w:rsidRPr="00625791" w:rsidRDefault="006E0D1B" w:rsidP="00786E63">
            <w:pPr>
              <w:spacing w:line="256" w:lineRule="auto"/>
              <w:jc w:val="both"/>
              <w:rPr>
                <w:sz w:val="20"/>
                <w:lang w:val="fr-CA"/>
              </w:rPr>
            </w:pPr>
            <w:r w:rsidRPr="00625791">
              <w:rPr>
                <w:sz w:val="20"/>
                <w:lang w:val="fr-CA"/>
              </w:rPr>
              <w:t>Cour du Banc de la Reine de la Saskatchewan</w:t>
            </w:r>
          </w:p>
          <w:p w:rsidR="006E0D1B" w:rsidRPr="00625791" w:rsidRDefault="006E0D1B" w:rsidP="00786E63">
            <w:pPr>
              <w:spacing w:line="256" w:lineRule="auto"/>
              <w:jc w:val="both"/>
              <w:rPr>
                <w:sz w:val="20"/>
                <w:lang w:val="fr-CA"/>
              </w:rPr>
            </w:pPr>
            <w:r w:rsidRPr="00625791">
              <w:rPr>
                <w:sz w:val="20"/>
                <w:lang w:val="fr-CA"/>
              </w:rPr>
              <w:t>(Juge Barrington</w:t>
            </w:r>
            <w:r w:rsidRPr="00625791">
              <w:rPr>
                <w:sz w:val="20"/>
                <w:lang w:val="fr-CA"/>
              </w:rPr>
              <w:noBreakHyphen/>
              <w:t>Foote)</w:t>
            </w:r>
          </w:p>
          <w:p w:rsidR="006E0D1B" w:rsidRPr="00625791" w:rsidRDefault="00366BFA" w:rsidP="00786E63">
            <w:pPr>
              <w:spacing w:line="256" w:lineRule="auto"/>
              <w:jc w:val="both"/>
              <w:rPr>
                <w:sz w:val="20"/>
                <w:lang w:val="fr-CA"/>
              </w:rPr>
            </w:pPr>
            <w:hyperlink r:id="rId69" w:history="1">
              <w:r w:rsidR="006E0D1B" w:rsidRPr="00625791">
                <w:rPr>
                  <w:rStyle w:val="Hyperlink"/>
                  <w:sz w:val="20"/>
                  <w:lang w:val="fr-CA"/>
                </w:rPr>
                <w:t>2018 SKQB 276</w:t>
              </w:r>
            </w:hyperlink>
          </w:p>
        </w:tc>
        <w:tc>
          <w:tcPr>
            <w:tcW w:w="243" w:type="pct"/>
          </w:tcPr>
          <w:p w:rsidR="006E0D1B" w:rsidRPr="00625791" w:rsidRDefault="006E0D1B" w:rsidP="00786E63">
            <w:pPr>
              <w:spacing w:line="256" w:lineRule="auto"/>
              <w:jc w:val="both"/>
              <w:rPr>
                <w:sz w:val="20"/>
                <w:lang w:val="fr-CA"/>
              </w:rPr>
            </w:pPr>
          </w:p>
        </w:tc>
        <w:tc>
          <w:tcPr>
            <w:tcW w:w="2330" w:type="pct"/>
          </w:tcPr>
          <w:p w:rsidR="006E0D1B" w:rsidRPr="00625791" w:rsidRDefault="006E0D1B" w:rsidP="00786E63">
            <w:pPr>
              <w:spacing w:line="256" w:lineRule="auto"/>
              <w:jc w:val="both"/>
              <w:rPr>
                <w:sz w:val="20"/>
                <w:lang w:val="fr-CA"/>
              </w:rPr>
            </w:pPr>
            <w:r w:rsidRPr="00625791">
              <w:rPr>
                <w:sz w:val="20"/>
                <w:lang w:val="fr-CA"/>
              </w:rPr>
              <w:t>Ordonnance approuvant le règlement du recours collectif contre Mastercard International Incorporated, Visa Canada Corporation et Banque Nationale.</w:t>
            </w:r>
          </w:p>
          <w:p w:rsidR="006E0D1B" w:rsidRPr="00625791" w:rsidRDefault="006E0D1B" w:rsidP="00786E63">
            <w:pPr>
              <w:spacing w:line="256" w:lineRule="auto"/>
              <w:jc w:val="both"/>
              <w:rPr>
                <w:sz w:val="20"/>
                <w:lang w:val="fr-CA"/>
              </w:rPr>
            </w:pPr>
          </w:p>
        </w:tc>
      </w:tr>
      <w:tr w:rsidR="006E0D1B" w:rsidRPr="00870098" w:rsidTr="00786E63">
        <w:tc>
          <w:tcPr>
            <w:tcW w:w="2427" w:type="pct"/>
            <w:gridSpan w:val="2"/>
          </w:tcPr>
          <w:p w:rsidR="006E0D1B" w:rsidRPr="00625791" w:rsidRDefault="006E0D1B" w:rsidP="00786E63">
            <w:pPr>
              <w:spacing w:line="256" w:lineRule="auto"/>
              <w:jc w:val="both"/>
              <w:rPr>
                <w:sz w:val="20"/>
                <w:lang w:val="fr-CA"/>
              </w:rPr>
            </w:pPr>
            <w:r w:rsidRPr="00625791">
              <w:rPr>
                <w:sz w:val="20"/>
                <w:lang w:val="fr-CA"/>
              </w:rPr>
              <w:t>14 janvier 2020</w:t>
            </w:r>
          </w:p>
          <w:p w:rsidR="006E0D1B" w:rsidRPr="00625791" w:rsidRDefault="006E0D1B" w:rsidP="00786E63">
            <w:pPr>
              <w:spacing w:line="256" w:lineRule="auto"/>
              <w:jc w:val="both"/>
              <w:rPr>
                <w:sz w:val="20"/>
                <w:lang w:val="fr-CA"/>
              </w:rPr>
            </w:pPr>
            <w:r w:rsidRPr="00625791">
              <w:rPr>
                <w:sz w:val="20"/>
                <w:lang w:val="fr-CA"/>
              </w:rPr>
              <w:t>Cour d’appel de la Saskatchewan</w:t>
            </w:r>
          </w:p>
          <w:p w:rsidR="006E0D1B" w:rsidRPr="00625791" w:rsidRDefault="006E0D1B" w:rsidP="00786E63">
            <w:pPr>
              <w:spacing w:line="256" w:lineRule="auto"/>
              <w:jc w:val="both"/>
              <w:rPr>
                <w:sz w:val="20"/>
                <w:lang w:val="fr-CA"/>
              </w:rPr>
            </w:pPr>
            <w:r w:rsidRPr="00625791">
              <w:rPr>
                <w:sz w:val="20"/>
                <w:lang w:val="fr-CA"/>
              </w:rPr>
              <w:t>(Le juge en chef Richards et les juges Schwann et Kalmakoff)</w:t>
            </w:r>
          </w:p>
          <w:p w:rsidR="006E0D1B" w:rsidRPr="00625791" w:rsidRDefault="00366BFA" w:rsidP="00786E63">
            <w:pPr>
              <w:spacing w:line="256" w:lineRule="auto"/>
              <w:jc w:val="both"/>
              <w:rPr>
                <w:rStyle w:val="Hyperlink"/>
                <w:sz w:val="20"/>
                <w:lang w:val="fr-CA"/>
              </w:rPr>
            </w:pPr>
            <w:hyperlink r:id="rId70" w:history="1">
              <w:r w:rsidR="006E0D1B" w:rsidRPr="00625791">
                <w:rPr>
                  <w:rStyle w:val="Hyperlink"/>
                  <w:sz w:val="20"/>
                  <w:lang w:val="fr-CA"/>
                </w:rPr>
                <w:t>2020 SKCA 7</w:t>
              </w:r>
            </w:hyperlink>
          </w:p>
          <w:p w:rsidR="006E0D1B" w:rsidRPr="00625791" w:rsidRDefault="006E0D1B" w:rsidP="00786E63">
            <w:pPr>
              <w:spacing w:line="256" w:lineRule="auto"/>
              <w:jc w:val="both"/>
              <w:rPr>
                <w:sz w:val="20"/>
                <w:lang w:val="fr-CA"/>
              </w:rPr>
            </w:pPr>
          </w:p>
        </w:tc>
        <w:tc>
          <w:tcPr>
            <w:tcW w:w="243" w:type="pct"/>
          </w:tcPr>
          <w:p w:rsidR="006E0D1B" w:rsidRPr="00625791" w:rsidRDefault="006E0D1B" w:rsidP="00786E63">
            <w:pPr>
              <w:spacing w:line="256" w:lineRule="auto"/>
              <w:jc w:val="both"/>
              <w:rPr>
                <w:sz w:val="20"/>
                <w:lang w:val="fr-CA"/>
              </w:rPr>
            </w:pPr>
          </w:p>
        </w:tc>
        <w:tc>
          <w:tcPr>
            <w:tcW w:w="2330" w:type="pct"/>
          </w:tcPr>
          <w:p w:rsidR="006E0D1B" w:rsidRPr="00625791" w:rsidRDefault="006E0D1B" w:rsidP="00786E63">
            <w:pPr>
              <w:spacing w:line="256" w:lineRule="auto"/>
              <w:jc w:val="both"/>
              <w:rPr>
                <w:sz w:val="20"/>
                <w:lang w:val="fr-CA"/>
              </w:rPr>
            </w:pPr>
            <w:r w:rsidRPr="00625791">
              <w:rPr>
                <w:sz w:val="20"/>
                <w:lang w:val="fr-CA"/>
              </w:rPr>
              <w:t>Demandes en vue d’annuler les appels de Wal-Mart et Home Depot accordées; Demande d’autorisation d’appel et demande en vue d’être désignées représentantes présentées par Wal</w:t>
            </w:r>
            <w:r w:rsidRPr="00625791">
              <w:rPr>
                <w:sz w:val="20"/>
                <w:lang w:val="fr-CA"/>
              </w:rPr>
              <w:noBreakHyphen/>
              <w:t>Mart et Home Depot rejetées.</w:t>
            </w:r>
          </w:p>
        </w:tc>
      </w:tr>
      <w:tr w:rsidR="006E0D1B" w:rsidRPr="00625791" w:rsidTr="00786E63">
        <w:tc>
          <w:tcPr>
            <w:tcW w:w="2427" w:type="pct"/>
            <w:gridSpan w:val="2"/>
            <w:hideMark/>
          </w:tcPr>
          <w:p w:rsidR="006E0D1B" w:rsidRPr="00625791" w:rsidRDefault="006E0D1B" w:rsidP="00786E63">
            <w:pPr>
              <w:spacing w:line="256" w:lineRule="auto"/>
              <w:jc w:val="both"/>
              <w:rPr>
                <w:sz w:val="20"/>
                <w:lang w:val="fr-CA"/>
              </w:rPr>
            </w:pPr>
            <w:r w:rsidRPr="00625791">
              <w:rPr>
                <w:sz w:val="20"/>
                <w:lang w:val="fr-CA"/>
              </w:rPr>
              <w:t>13 mars 2020</w:t>
            </w:r>
          </w:p>
          <w:p w:rsidR="006E0D1B" w:rsidRPr="00625791" w:rsidRDefault="006E0D1B" w:rsidP="00786E63">
            <w:pPr>
              <w:spacing w:line="256" w:lineRule="auto"/>
              <w:jc w:val="both"/>
              <w:rPr>
                <w:sz w:val="20"/>
                <w:lang w:val="fr-CA"/>
              </w:rPr>
            </w:pPr>
            <w:r w:rsidRPr="00625791">
              <w:rPr>
                <w:sz w:val="20"/>
                <w:lang w:val="fr-CA"/>
              </w:rPr>
              <w:t>Cour suprême du Canada</w:t>
            </w:r>
          </w:p>
        </w:tc>
        <w:tc>
          <w:tcPr>
            <w:tcW w:w="243" w:type="pct"/>
          </w:tcPr>
          <w:p w:rsidR="006E0D1B" w:rsidRPr="00625791" w:rsidRDefault="006E0D1B" w:rsidP="00786E63">
            <w:pPr>
              <w:spacing w:line="256" w:lineRule="auto"/>
              <w:jc w:val="both"/>
              <w:rPr>
                <w:sz w:val="20"/>
                <w:lang w:val="fr-CA"/>
              </w:rPr>
            </w:pPr>
          </w:p>
        </w:tc>
        <w:tc>
          <w:tcPr>
            <w:tcW w:w="2330" w:type="pct"/>
            <w:hideMark/>
          </w:tcPr>
          <w:p w:rsidR="006E0D1B" w:rsidRPr="00625791" w:rsidRDefault="006E0D1B" w:rsidP="00786E63">
            <w:pPr>
              <w:spacing w:line="256" w:lineRule="auto"/>
              <w:jc w:val="both"/>
              <w:rPr>
                <w:sz w:val="20"/>
                <w:lang w:val="fr-CA"/>
              </w:rPr>
            </w:pPr>
            <w:r w:rsidRPr="00625791">
              <w:rPr>
                <w:sz w:val="20"/>
                <w:lang w:val="fr-CA"/>
              </w:rPr>
              <w:t>Demande d’autorisation d’appel présentée.</w:t>
            </w:r>
          </w:p>
        </w:tc>
      </w:tr>
    </w:tbl>
    <w:p w:rsidR="006E0D1B" w:rsidRPr="00625791" w:rsidRDefault="006E0D1B" w:rsidP="006E0D1B">
      <w:pPr>
        <w:jc w:val="both"/>
        <w:rPr>
          <w:sz w:val="20"/>
          <w:lang w:val="fr-CA"/>
        </w:rPr>
      </w:pPr>
    </w:p>
    <w:p w:rsidR="006E0D1B" w:rsidRPr="00625791" w:rsidRDefault="00366BFA" w:rsidP="006E0D1B">
      <w:pPr>
        <w:jc w:val="both"/>
        <w:rPr>
          <w:sz w:val="20"/>
          <w:lang w:val="fr-CA"/>
        </w:rPr>
      </w:pPr>
      <w:r>
        <w:rPr>
          <w:sz w:val="20"/>
        </w:rPr>
        <w:pict>
          <v:rect id="_x0000_i1054" style="width:2in;height:1pt" o:hrpct="0" o:hralign="center" o:hrstd="t" o:hrnoshade="t" o:hr="t" fillcolor="black [3213]" stroked="f"/>
        </w:pict>
      </w:r>
    </w:p>
    <w:p w:rsidR="006E0D1B" w:rsidRPr="00625791" w:rsidRDefault="006E0D1B" w:rsidP="006E0D1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rPr>
            </w:pPr>
            <w:r w:rsidRPr="00625791">
              <w:rPr>
                <w:rStyle w:val="SCCFileNumberChar"/>
                <w:sz w:val="20"/>
                <w:szCs w:val="20"/>
              </w:rPr>
              <w:t>39129</w:t>
            </w:r>
          </w:p>
        </w:tc>
        <w:tc>
          <w:tcPr>
            <w:tcW w:w="4457" w:type="pct"/>
            <w:gridSpan w:val="3"/>
          </w:tcPr>
          <w:p w:rsidR="006E0D1B" w:rsidRPr="00625791" w:rsidRDefault="006E0D1B" w:rsidP="00786E63">
            <w:pPr>
              <w:pStyle w:val="SCCLsocParty"/>
              <w:jc w:val="both"/>
              <w:rPr>
                <w:b/>
                <w:sz w:val="20"/>
                <w:szCs w:val="20"/>
                <w:lang w:val="en-US"/>
              </w:rPr>
            </w:pPr>
            <w:r w:rsidRPr="00625791">
              <w:rPr>
                <w:b/>
                <w:sz w:val="20"/>
                <w:szCs w:val="20"/>
                <w:lang w:val="en-US"/>
              </w:rPr>
              <w:t xml:space="preserve">Home Depot of Canada Inc. v. </w:t>
            </w:r>
            <w:r w:rsidR="0068313D" w:rsidRPr="00625791">
              <w:rPr>
                <w:b/>
                <w:sz w:val="20"/>
                <w:szCs w:val="20"/>
                <w:lang w:val="en-US"/>
              </w:rPr>
              <w:t>Hello Baby Equipment Inc., Bank of Montreal, Bank of Nova Scotia, Canadian Imperial Bank of Commerce, Mastercard International Incorporated, National Bank of Canada Inc., Royal Bank of Canada, Toronto-Dominion Bank, Visa Canada Corporation and Wal-Mart Canada Corp.</w:t>
            </w:r>
          </w:p>
          <w:p w:rsidR="006E0D1B" w:rsidRPr="00625791" w:rsidRDefault="006E0D1B" w:rsidP="00786E63">
            <w:pPr>
              <w:jc w:val="both"/>
              <w:rPr>
                <w:sz w:val="20"/>
              </w:rPr>
            </w:pPr>
            <w:r w:rsidRPr="00625791">
              <w:rPr>
                <w:sz w:val="20"/>
              </w:rPr>
              <w:t>(Sask.) (Civil) (By Leave)</w:t>
            </w:r>
          </w:p>
        </w:tc>
      </w:tr>
      <w:tr w:rsidR="006E0D1B" w:rsidRPr="00625791" w:rsidTr="00786E63">
        <w:tc>
          <w:tcPr>
            <w:tcW w:w="5000" w:type="pct"/>
            <w:gridSpan w:val="4"/>
          </w:tcPr>
          <w:p w:rsidR="0068313D" w:rsidRPr="00625791" w:rsidRDefault="0068313D" w:rsidP="0068313D">
            <w:pPr>
              <w:jc w:val="both"/>
              <w:rPr>
                <w:sz w:val="20"/>
                <w:szCs w:val="20"/>
              </w:rPr>
            </w:pPr>
            <w:r w:rsidRPr="00625791">
              <w:rPr>
                <w:sz w:val="20"/>
                <w:szCs w:val="20"/>
              </w:rPr>
              <w:t>The application for leave to appeal from the judgment of the Court of Appeal for Saskatchewan, Number CACV3325, 2020 SKCA 7, dated January 14, 2020, is dismissed with costs</w:t>
            </w:r>
            <w:r w:rsidRPr="00625791">
              <w:rPr>
                <w:rFonts w:eastAsia="Times New Roman" w:cs="Times New Roman"/>
                <w:sz w:val="20"/>
                <w:szCs w:val="20"/>
                <w:lang w:val="en-US"/>
              </w:rPr>
              <w:t xml:space="preserve"> </w:t>
            </w:r>
            <w:r w:rsidRPr="00625791">
              <w:rPr>
                <w:sz w:val="20"/>
                <w:szCs w:val="20"/>
                <w:lang w:val="en-US"/>
              </w:rPr>
              <w:t>to the respondents, Hello Baby Equipment Inc., Visa Canada Corporation and Mastercard International Incorporated.</w:t>
            </w:r>
          </w:p>
          <w:p w:rsidR="006E0D1B" w:rsidRPr="00625791" w:rsidRDefault="006E0D1B" w:rsidP="00786E63">
            <w:pPr>
              <w:spacing w:line="256" w:lineRule="auto"/>
              <w:jc w:val="both"/>
              <w:rPr>
                <w:sz w:val="20"/>
              </w:rPr>
            </w:pPr>
          </w:p>
        </w:tc>
      </w:tr>
      <w:tr w:rsidR="006E0D1B" w:rsidRPr="00625791" w:rsidTr="00786E63">
        <w:tc>
          <w:tcPr>
            <w:tcW w:w="5000" w:type="pct"/>
            <w:gridSpan w:val="4"/>
          </w:tcPr>
          <w:p w:rsidR="006E0D1B" w:rsidRPr="00625791" w:rsidRDefault="006E0D1B" w:rsidP="00786E63">
            <w:pPr>
              <w:spacing w:line="256" w:lineRule="auto"/>
              <w:jc w:val="both"/>
              <w:rPr>
                <w:sz w:val="20"/>
              </w:rPr>
            </w:pPr>
            <w:r w:rsidRPr="00625791">
              <w:rPr>
                <w:sz w:val="20"/>
              </w:rPr>
              <w:t>Civil procedure — Class actions — Appeals — Legislation — Interpretation — Courts —Jurisdiction — Can class members appeal an order approving a class settlement — Can class members appeal an order determining the class members’ individual issues.</w:t>
            </w:r>
          </w:p>
          <w:p w:rsidR="006E0D1B" w:rsidRPr="00625791" w:rsidRDefault="006E0D1B" w:rsidP="00786E63">
            <w:pPr>
              <w:jc w:val="both"/>
              <w:rPr>
                <w:sz w:val="20"/>
              </w:rPr>
            </w:pPr>
          </w:p>
        </w:tc>
      </w:tr>
      <w:tr w:rsidR="006E0D1B" w:rsidRPr="00625791" w:rsidTr="00786E63">
        <w:tc>
          <w:tcPr>
            <w:tcW w:w="5000" w:type="pct"/>
            <w:gridSpan w:val="4"/>
          </w:tcPr>
          <w:p w:rsidR="006E0D1B" w:rsidRPr="00625791" w:rsidRDefault="006E0D1B" w:rsidP="00786E63">
            <w:pPr>
              <w:spacing w:line="256" w:lineRule="auto"/>
              <w:jc w:val="both"/>
              <w:rPr>
                <w:sz w:val="20"/>
              </w:rPr>
            </w:pPr>
            <w:r w:rsidRPr="00625791">
              <w:rPr>
                <w:sz w:val="20"/>
              </w:rPr>
              <w:t xml:space="preserve">Representative plaintiffs in each of British Columbia, Alberta, Saskatchewan, Ontario, and Quebec initiated proposed class proceedings alleging that Visa and MasterCard, together with financial institutions participating in the Visa and MasterCard credit card networks since 2001, conspired to set anti-competitive rules permitting them to fix and inflate the price of interchange fees imposed on merchants accepting payment by those credit cards. The claims were framed as breaches of the </w:t>
            </w:r>
            <w:r w:rsidRPr="00625791">
              <w:rPr>
                <w:i/>
                <w:sz w:val="20"/>
              </w:rPr>
              <w:t>Competition Act</w:t>
            </w:r>
            <w:r w:rsidRPr="00625791">
              <w:rPr>
                <w:sz w:val="20"/>
              </w:rPr>
              <w:t>, R.S.C., 1985, c. C</w:t>
            </w:r>
            <w:r w:rsidRPr="00625791">
              <w:rPr>
                <w:sz w:val="20"/>
              </w:rPr>
              <w:noBreakHyphen/>
              <w:t>34, civil conspiracy to injure, unjust enrichment and waiver of tort. When representative plaintiffs sought court approval of settlement agreements with National Bank, Visa and MasterCard, class members Wal</w:t>
            </w:r>
            <w:r w:rsidRPr="00625791">
              <w:rPr>
                <w:sz w:val="20"/>
              </w:rPr>
              <w:noBreakHyphen/>
              <w:t>Mart and Home Depot opposed the settlement agreements on the basis that they contained broad releases giving carte blanche to future anticompetitive conduct. As such, they were illegal contracts in restraint of trade, contrary to public policy, and a confiscation of future access to justice. When superior courts granted orders approving the settlements, Wal</w:t>
            </w:r>
            <w:r w:rsidRPr="00625791">
              <w:rPr>
                <w:sz w:val="20"/>
              </w:rPr>
              <w:noBreakHyphen/>
              <w:t>Mart and Home Depot sought to appeal.  The appellate courts in B.C., Ontario and Saskatchewan held that members of the class do not have standing or right to appeal court settlement approvals. In Quebec, Wal</w:t>
            </w:r>
            <w:r w:rsidRPr="00625791">
              <w:rPr>
                <w:sz w:val="20"/>
              </w:rPr>
              <w:noBreakHyphen/>
              <w:t>Mart and Home Depot were not class members and therefore lacked the requisite interest to appeal.</w:t>
            </w:r>
          </w:p>
          <w:p w:rsidR="006E0D1B" w:rsidRPr="00625791" w:rsidRDefault="006E0D1B" w:rsidP="00786E63">
            <w:pPr>
              <w:spacing w:line="256" w:lineRule="auto"/>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October 11, 2018</w:t>
            </w:r>
          </w:p>
          <w:p w:rsidR="006E0D1B" w:rsidRPr="00625791" w:rsidRDefault="006E0D1B" w:rsidP="00786E63">
            <w:pPr>
              <w:jc w:val="both"/>
              <w:rPr>
                <w:sz w:val="20"/>
              </w:rPr>
            </w:pPr>
            <w:r w:rsidRPr="00625791">
              <w:rPr>
                <w:sz w:val="20"/>
              </w:rPr>
              <w:t>Court of Queen’s Bench of Saskatchewan</w:t>
            </w:r>
          </w:p>
          <w:p w:rsidR="006E0D1B" w:rsidRPr="00625791" w:rsidRDefault="006E0D1B" w:rsidP="00786E63">
            <w:pPr>
              <w:jc w:val="both"/>
              <w:rPr>
                <w:sz w:val="20"/>
              </w:rPr>
            </w:pPr>
            <w:r w:rsidRPr="00625791">
              <w:rPr>
                <w:sz w:val="20"/>
              </w:rPr>
              <w:t>(Barrington</w:t>
            </w:r>
            <w:r w:rsidRPr="00625791">
              <w:rPr>
                <w:sz w:val="20"/>
              </w:rPr>
              <w:noBreakHyphen/>
              <w:t>Foote J.)</w:t>
            </w:r>
          </w:p>
          <w:p w:rsidR="006E0D1B" w:rsidRPr="00625791" w:rsidRDefault="00366BFA" w:rsidP="00786E63">
            <w:pPr>
              <w:jc w:val="both"/>
              <w:rPr>
                <w:sz w:val="20"/>
              </w:rPr>
            </w:pPr>
            <w:hyperlink r:id="rId71" w:history="1">
              <w:r w:rsidR="006E0D1B" w:rsidRPr="00625791">
                <w:rPr>
                  <w:rStyle w:val="Hyperlink"/>
                  <w:sz w:val="20"/>
                </w:rPr>
                <w:t>2018 SKQB 276</w:t>
              </w:r>
            </w:hyperlink>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Order approving settlement of class action against Mastercard International Incorporated, Visa Canada Corporation and National Bank.</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January 14, 2020</w:t>
            </w:r>
          </w:p>
          <w:p w:rsidR="006E0D1B" w:rsidRPr="00625791" w:rsidRDefault="006E0D1B" w:rsidP="00786E63">
            <w:pPr>
              <w:jc w:val="both"/>
              <w:rPr>
                <w:sz w:val="20"/>
              </w:rPr>
            </w:pPr>
            <w:r w:rsidRPr="00625791">
              <w:rPr>
                <w:sz w:val="20"/>
              </w:rPr>
              <w:t>Court of Appeal for Saskatchewan</w:t>
            </w:r>
          </w:p>
          <w:p w:rsidR="006E0D1B" w:rsidRPr="00625791" w:rsidRDefault="006E0D1B" w:rsidP="00786E63">
            <w:pPr>
              <w:jc w:val="both"/>
              <w:rPr>
                <w:sz w:val="20"/>
              </w:rPr>
            </w:pPr>
            <w:r w:rsidRPr="00625791">
              <w:rPr>
                <w:sz w:val="20"/>
              </w:rPr>
              <w:t xml:space="preserve">(Richards C.J.S., Schwann and Kalmakoff </w:t>
            </w:r>
          </w:p>
          <w:p w:rsidR="006E0D1B" w:rsidRPr="00625791" w:rsidRDefault="006E0D1B" w:rsidP="00786E63">
            <w:pPr>
              <w:jc w:val="both"/>
              <w:rPr>
                <w:sz w:val="20"/>
              </w:rPr>
            </w:pPr>
            <w:r w:rsidRPr="00625791">
              <w:rPr>
                <w:sz w:val="20"/>
              </w:rPr>
              <w:t>JJ.A.)</w:t>
            </w:r>
          </w:p>
          <w:p w:rsidR="006E0D1B" w:rsidRPr="00625791" w:rsidRDefault="00366BFA" w:rsidP="00786E63">
            <w:pPr>
              <w:jc w:val="both"/>
              <w:rPr>
                <w:rStyle w:val="Hyperlink"/>
                <w:sz w:val="20"/>
              </w:rPr>
            </w:pPr>
            <w:hyperlink r:id="rId72" w:history="1">
              <w:r w:rsidR="006E0D1B" w:rsidRPr="00625791">
                <w:rPr>
                  <w:rStyle w:val="Hyperlink"/>
                  <w:sz w:val="20"/>
                </w:rPr>
                <w:t>2020 SKCA 7</w:t>
              </w:r>
            </w:hyperlink>
          </w:p>
          <w:p w:rsidR="0068313D" w:rsidRPr="00625791" w:rsidRDefault="0068313D" w:rsidP="00786E63">
            <w:pPr>
              <w:jc w:val="both"/>
              <w:rPr>
                <w:sz w:val="20"/>
              </w:rPr>
            </w:pP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Applications to quash appeals by Wal</w:t>
            </w:r>
            <w:r w:rsidRPr="00625791">
              <w:rPr>
                <w:sz w:val="20"/>
              </w:rPr>
              <w:noBreakHyphen/>
              <w:t>Mart and Home Depot granted; Applications by Wal</w:t>
            </w:r>
            <w:r w:rsidRPr="00625791">
              <w:rPr>
                <w:sz w:val="20"/>
              </w:rPr>
              <w:noBreakHyphen/>
              <w:t>Mart and Home Depot for leave to appeal and appointment as representative plaintiffs, dismissed.</w:t>
            </w:r>
          </w:p>
          <w:p w:rsidR="006E0D1B" w:rsidRPr="00625791" w:rsidRDefault="006E0D1B" w:rsidP="00786E63">
            <w:pPr>
              <w:jc w:val="both"/>
              <w:rPr>
                <w:sz w:val="20"/>
              </w:rPr>
            </w:pPr>
          </w:p>
        </w:tc>
      </w:tr>
      <w:tr w:rsidR="006E0D1B" w:rsidRPr="00625791" w:rsidTr="00786E63">
        <w:tc>
          <w:tcPr>
            <w:tcW w:w="2427" w:type="pct"/>
            <w:gridSpan w:val="2"/>
          </w:tcPr>
          <w:p w:rsidR="006E0D1B" w:rsidRPr="00625791" w:rsidRDefault="006E0D1B" w:rsidP="00786E63">
            <w:pPr>
              <w:jc w:val="both"/>
              <w:rPr>
                <w:sz w:val="20"/>
              </w:rPr>
            </w:pPr>
            <w:r w:rsidRPr="00625791">
              <w:rPr>
                <w:sz w:val="20"/>
              </w:rPr>
              <w:t>March 13, 2020</w:t>
            </w:r>
          </w:p>
          <w:p w:rsidR="006E0D1B" w:rsidRPr="00625791" w:rsidRDefault="006E0D1B" w:rsidP="00786E63">
            <w:pPr>
              <w:jc w:val="both"/>
              <w:rPr>
                <w:sz w:val="20"/>
              </w:rPr>
            </w:pPr>
            <w:r w:rsidRPr="00625791">
              <w:rPr>
                <w:sz w:val="20"/>
              </w:rPr>
              <w:t>Supreme Court of Canada</w:t>
            </w:r>
          </w:p>
        </w:tc>
        <w:tc>
          <w:tcPr>
            <w:tcW w:w="243" w:type="pct"/>
          </w:tcPr>
          <w:p w:rsidR="006E0D1B" w:rsidRPr="00625791" w:rsidRDefault="006E0D1B" w:rsidP="00786E63">
            <w:pPr>
              <w:jc w:val="both"/>
              <w:rPr>
                <w:sz w:val="20"/>
              </w:rPr>
            </w:pPr>
          </w:p>
        </w:tc>
        <w:tc>
          <w:tcPr>
            <w:tcW w:w="2330" w:type="pct"/>
          </w:tcPr>
          <w:p w:rsidR="006E0D1B" w:rsidRPr="00625791" w:rsidRDefault="006E0D1B" w:rsidP="00786E63">
            <w:pPr>
              <w:jc w:val="both"/>
              <w:rPr>
                <w:sz w:val="20"/>
              </w:rPr>
            </w:pPr>
            <w:r w:rsidRPr="00625791">
              <w:rPr>
                <w:sz w:val="20"/>
              </w:rPr>
              <w:t>Application for leave to appeal filed</w:t>
            </w:r>
          </w:p>
          <w:p w:rsidR="006E0D1B" w:rsidRPr="00625791" w:rsidRDefault="006E0D1B" w:rsidP="00786E63">
            <w:pPr>
              <w:jc w:val="both"/>
              <w:rPr>
                <w:sz w:val="20"/>
              </w:rPr>
            </w:pPr>
          </w:p>
        </w:tc>
      </w:tr>
    </w:tbl>
    <w:p w:rsidR="006E0D1B" w:rsidRPr="00625791" w:rsidRDefault="006E0D1B" w:rsidP="006E0D1B">
      <w:pPr>
        <w:jc w:val="both"/>
        <w:rPr>
          <w:sz w:val="20"/>
        </w:rPr>
      </w:pPr>
    </w:p>
    <w:p w:rsidR="006E0D1B" w:rsidRPr="00625791" w:rsidRDefault="00366BFA" w:rsidP="006E0D1B">
      <w:pPr>
        <w:jc w:val="both"/>
        <w:rPr>
          <w:sz w:val="20"/>
        </w:rPr>
      </w:pPr>
      <w:r>
        <w:rPr>
          <w:sz w:val="20"/>
        </w:rPr>
        <w:pict>
          <v:rect id="_x0000_i1055" style="width:2in;height:1pt" o:hrpct="0" o:hralign="center" o:hrstd="t" o:hrnoshade="t" o:hr="t" fillcolor="black [3213]" stroked="f"/>
        </w:pict>
      </w:r>
    </w:p>
    <w:p w:rsidR="006E0D1B" w:rsidRPr="00625791" w:rsidRDefault="006E0D1B" w:rsidP="006E0D1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E0D1B" w:rsidRPr="00625791" w:rsidTr="00786E63">
        <w:tc>
          <w:tcPr>
            <w:tcW w:w="543" w:type="pct"/>
          </w:tcPr>
          <w:p w:rsidR="006E0D1B" w:rsidRPr="00625791" w:rsidRDefault="006E0D1B" w:rsidP="00786E63">
            <w:pPr>
              <w:jc w:val="both"/>
              <w:rPr>
                <w:sz w:val="20"/>
                <w:lang w:val="fr-CA"/>
              </w:rPr>
            </w:pPr>
            <w:r w:rsidRPr="00625791">
              <w:rPr>
                <w:rStyle w:val="SCCFileNumberChar"/>
                <w:sz w:val="20"/>
                <w:szCs w:val="20"/>
                <w:lang w:val="fr-CA"/>
              </w:rPr>
              <w:t>39129</w:t>
            </w:r>
          </w:p>
        </w:tc>
        <w:tc>
          <w:tcPr>
            <w:tcW w:w="4457" w:type="pct"/>
            <w:gridSpan w:val="3"/>
          </w:tcPr>
          <w:p w:rsidR="006E0D1B" w:rsidRPr="00625791" w:rsidRDefault="0068313D" w:rsidP="00786E63">
            <w:pPr>
              <w:pStyle w:val="SCCLsocParty"/>
              <w:jc w:val="both"/>
              <w:rPr>
                <w:b/>
                <w:sz w:val="20"/>
                <w:szCs w:val="20"/>
              </w:rPr>
            </w:pPr>
            <w:r w:rsidRPr="00625791">
              <w:rPr>
                <w:b/>
                <w:sz w:val="20"/>
                <w:szCs w:val="20"/>
              </w:rPr>
              <w:t>Home Dépôt du Canada Inc.</w:t>
            </w:r>
            <w:r w:rsidR="006E0D1B" w:rsidRPr="00625791">
              <w:rPr>
                <w:b/>
                <w:sz w:val="20"/>
                <w:szCs w:val="20"/>
              </w:rPr>
              <w:t xml:space="preserve"> c. </w:t>
            </w:r>
            <w:r w:rsidRPr="00625791">
              <w:rPr>
                <w:b/>
                <w:sz w:val="20"/>
                <w:szCs w:val="20"/>
              </w:rPr>
              <w:t>Hello Baby Equipment Inc., Banque de Montréal, Banque de Nouvelle-Écosse, Banque Canadienne Impériale de Commerce, Mastercard International Incorporated, Banque Nationale du Canada Inc., Banque Royale du Canada, Banque Toronto-Dominion, Corporation Visa Canada et Compagnie Wal-Mart du Canada</w:t>
            </w:r>
          </w:p>
          <w:p w:rsidR="006E0D1B" w:rsidRPr="00625791" w:rsidRDefault="006E0D1B" w:rsidP="00786E63">
            <w:pPr>
              <w:jc w:val="both"/>
              <w:rPr>
                <w:sz w:val="20"/>
                <w:lang w:val="fr-CA"/>
              </w:rPr>
            </w:pPr>
            <w:r w:rsidRPr="00625791">
              <w:rPr>
                <w:sz w:val="20"/>
                <w:lang w:val="fr-CA"/>
              </w:rPr>
              <w:t>(Sask.) (Civile) (Sur autorisation)</w:t>
            </w:r>
          </w:p>
        </w:tc>
      </w:tr>
      <w:tr w:rsidR="006E0D1B" w:rsidRPr="00870098" w:rsidTr="00786E63">
        <w:tc>
          <w:tcPr>
            <w:tcW w:w="5000" w:type="pct"/>
            <w:gridSpan w:val="4"/>
          </w:tcPr>
          <w:p w:rsidR="006E0D1B" w:rsidRPr="00625791" w:rsidRDefault="0068313D" w:rsidP="00786E63">
            <w:pPr>
              <w:spacing w:line="256" w:lineRule="auto"/>
              <w:jc w:val="both"/>
              <w:rPr>
                <w:sz w:val="20"/>
                <w:szCs w:val="20"/>
                <w:lang w:val="fr-CA"/>
              </w:rPr>
            </w:pPr>
            <w:r w:rsidRPr="00625791">
              <w:rPr>
                <w:sz w:val="20"/>
                <w:szCs w:val="20"/>
                <w:lang w:val="fr-CA"/>
              </w:rPr>
              <w:t>La demande d’autorisation d’appel de l’arrêt de la Cour d’appel de la Saskatchewan, numéro CACV3325, 2020 SKCA 7, daté du 14 janvier 2020, est rejetée avec dépens en faveur des intimées, Hello Baby Equipment Inc., Corporation Visa Canada et  Mastercard International Incorporated.</w:t>
            </w:r>
          </w:p>
          <w:p w:rsidR="0068313D" w:rsidRPr="00625791" w:rsidRDefault="0068313D" w:rsidP="00786E63">
            <w:pPr>
              <w:spacing w:line="256" w:lineRule="auto"/>
              <w:jc w:val="both"/>
              <w:rPr>
                <w:sz w:val="20"/>
                <w:lang w:val="fr-CA"/>
              </w:rPr>
            </w:pPr>
          </w:p>
        </w:tc>
      </w:tr>
      <w:tr w:rsidR="006E0D1B" w:rsidRPr="00870098" w:rsidTr="00786E63">
        <w:tc>
          <w:tcPr>
            <w:tcW w:w="5000" w:type="pct"/>
            <w:gridSpan w:val="4"/>
          </w:tcPr>
          <w:p w:rsidR="006E0D1B" w:rsidRPr="00625791" w:rsidRDefault="006E0D1B" w:rsidP="00786E63">
            <w:pPr>
              <w:spacing w:line="256" w:lineRule="auto"/>
              <w:jc w:val="both"/>
              <w:rPr>
                <w:sz w:val="20"/>
                <w:lang w:val="fr-CA"/>
              </w:rPr>
            </w:pPr>
            <w:r w:rsidRPr="00625791">
              <w:rPr>
                <w:sz w:val="20"/>
                <w:lang w:val="fr-CA"/>
              </w:rPr>
              <w:t>Procédure civile — Recours collectifs — Appels — Législation — Interprétation — Tribunaux — Compétence — Les membres du groupe peuvent</w:t>
            </w:r>
            <w:r w:rsidRPr="00625791">
              <w:rPr>
                <w:sz w:val="20"/>
                <w:lang w:val="fr-CA"/>
              </w:rPr>
              <w:noBreakHyphen/>
              <w:t>ils interjeter appel d’une ordonnance approuvant un recours collectif? — Les membres du groupe peuvent</w:t>
            </w:r>
            <w:r w:rsidRPr="00625791">
              <w:rPr>
                <w:sz w:val="20"/>
                <w:lang w:val="fr-CA"/>
              </w:rPr>
              <w:noBreakHyphen/>
              <w:t>ils interjeter appel d’une ordonnance tranchant les questions individuelles des membres du groupe?</w:t>
            </w:r>
          </w:p>
          <w:p w:rsidR="006E0D1B" w:rsidRPr="00625791" w:rsidRDefault="006E0D1B" w:rsidP="00786E63">
            <w:pPr>
              <w:jc w:val="both"/>
              <w:rPr>
                <w:sz w:val="20"/>
                <w:lang w:val="fr-CA"/>
              </w:rPr>
            </w:pPr>
          </w:p>
        </w:tc>
      </w:tr>
      <w:tr w:rsidR="006E0D1B" w:rsidRPr="00870098" w:rsidTr="00786E63">
        <w:tc>
          <w:tcPr>
            <w:tcW w:w="5000" w:type="pct"/>
            <w:gridSpan w:val="4"/>
          </w:tcPr>
          <w:p w:rsidR="006E0D1B" w:rsidRPr="00625791" w:rsidRDefault="006E0D1B" w:rsidP="00786E63">
            <w:pPr>
              <w:spacing w:line="256" w:lineRule="auto"/>
              <w:jc w:val="both"/>
              <w:rPr>
                <w:sz w:val="20"/>
                <w:lang w:val="fr-CA"/>
              </w:rPr>
            </w:pPr>
            <w:r w:rsidRPr="00625791">
              <w:rPr>
                <w:sz w:val="20"/>
                <w:lang w:val="fr-CA"/>
              </w:rPr>
              <w:t>Les représentants des demandeurs en Colombie</w:t>
            </w:r>
            <w:r w:rsidRPr="00625791">
              <w:rPr>
                <w:sz w:val="20"/>
                <w:lang w:val="fr-CA"/>
              </w:rPr>
              <w:noBreakHyphen/>
              <w:t xml:space="preserve">Britannique, en Alberta, en Saskatchewan, en Ontario et au Québec ont introduit un recours collectif alléguant que Visa et MasterCard, de concert avec les institutions financières qui participaient au réseau des cartes de crédit Visa et MasterCard depuis 2001, avaient comploté en vue d’établir des règles anticoncurrentielles leur permettant de fixer et de gonfler le prix des frais d’interchange imposés aux marchands qui acceptaient le paiement par ces cartes de crédit. Les réclamations étaient formulées en tant que violations de la </w:t>
            </w:r>
            <w:r w:rsidRPr="00625791">
              <w:rPr>
                <w:i/>
                <w:iCs/>
                <w:sz w:val="20"/>
                <w:lang w:val="fr-CA"/>
              </w:rPr>
              <w:t>Loi sur la concurrence</w:t>
            </w:r>
            <w:r w:rsidRPr="00625791">
              <w:rPr>
                <w:sz w:val="20"/>
                <w:lang w:val="fr-CA"/>
              </w:rPr>
              <w:t>, L.R.C., 1985, ch. C</w:t>
            </w:r>
            <w:r w:rsidRPr="00625791">
              <w:rPr>
                <w:sz w:val="20"/>
                <w:lang w:val="fr-CA"/>
              </w:rPr>
              <w:noBreakHyphen/>
              <w:t>34, complot civil en vue de nuire, enrichissement injustifié et renonciation au recours délictuel. Lorsque les représentants des demandeurs ont sollicité l’approbation judiciaire des ententes de règlement avec Banque Nationale, Visa et MasterCard, les membres du groupe Wal</w:t>
            </w:r>
            <w:r w:rsidRPr="00625791">
              <w:rPr>
                <w:sz w:val="20"/>
                <w:lang w:val="fr-CA"/>
              </w:rPr>
              <w:noBreakHyphen/>
              <w:t>Mart et Home Depot se sont opposés au motif que les ententes de règlement renfermaient des décharges générales à l’égard d’un comportement anticoncurrentiel éventuel. À cet égard, ces ententes représentaient des contrats illégaux restreignant la liberté de commerce, contraires à l’ordre public, et une confiscation d’un accès éventuel à la justice. Lorsque les cours supérieures ont prononcé des ordonnances approuvant les règlements, Wal</w:t>
            </w:r>
            <w:r w:rsidRPr="00625791">
              <w:rPr>
                <w:sz w:val="20"/>
                <w:lang w:val="fr-CA"/>
              </w:rPr>
              <w:noBreakHyphen/>
              <w:t>Mart et Home Depot ont interjeté appel. Les cours d’appel en Colombie</w:t>
            </w:r>
            <w:r w:rsidRPr="00625791">
              <w:rPr>
                <w:sz w:val="20"/>
                <w:lang w:val="fr-CA"/>
              </w:rPr>
              <w:noBreakHyphen/>
              <w:t>Britannique, en Ontario et en Saskatchewan ont statué que les membres du groupe n’avaient pas qualité pour interjeter appel des approbations d’ententes de règlement. Au Québec, Wal</w:t>
            </w:r>
            <w:r w:rsidRPr="00625791">
              <w:rPr>
                <w:sz w:val="20"/>
                <w:lang w:val="fr-CA"/>
              </w:rPr>
              <w:noBreakHyphen/>
              <w:t>Mart et Home Depot n’étaient pas membres du groupe, si bien qu’elles n’avaient pas qualité pour interjeter appel.</w:t>
            </w:r>
          </w:p>
          <w:p w:rsidR="006E0D1B" w:rsidRPr="00625791" w:rsidRDefault="006E0D1B" w:rsidP="00786E63">
            <w:pPr>
              <w:spacing w:line="256" w:lineRule="auto"/>
              <w:jc w:val="both"/>
              <w:rPr>
                <w:sz w:val="20"/>
                <w:lang w:val="fr-CA"/>
              </w:rPr>
            </w:pPr>
          </w:p>
        </w:tc>
      </w:tr>
      <w:tr w:rsidR="006E0D1B" w:rsidRPr="00870098" w:rsidTr="00786E63">
        <w:tc>
          <w:tcPr>
            <w:tcW w:w="2427" w:type="pct"/>
            <w:gridSpan w:val="2"/>
          </w:tcPr>
          <w:p w:rsidR="006E0D1B" w:rsidRPr="00625791" w:rsidRDefault="006E0D1B" w:rsidP="00786E63">
            <w:pPr>
              <w:jc w:val="both"/>
              <w:rPr>
                <w:sz w:val="20"/>
                <w:lang w:val="fr-CA"/>
              </w:rPr>
            </w:pPr>
            <w:r w:rsidRPr="00625791">
              <w:rPr>
                <w:sz w:val="20"/>
                <w:lang w:val="fr-CA"/>
              </w:rPr>
              <w:t>11 octobre 2018</w:t>
            </w:r>
          </w:p>
          <w:p w:rsidR="006E0D1B" w:rsidRPr="00625791" w:rsidRDefault="006E0D1B" w:rsidP="00786E63">
            <w:pPr>
              <w:jc w:val="both"/>
              <w:rPr>
                <w:sz w:val="20"/>
                <w:lang w:val="fr-CA"/>
              </w:rPr>
            </w:pPr>
            <w:r w:rsidRPr="00625791">
              <w:rPr>
                <w:sz w:val="20"/>
                <w:lang w:val="fr-CA"/>
              </w:rPr>
              <w:t>Cour du Banc de la Reine de la Saskatchewan</w:t>
            </w:r>
          </w:p>
          <w:p w:rsidR="006E0D1B" w:rsidRPr="00625791" w:rsidRDefault="006E0D1B" w:rsidP="00786E63">
            <w:pPr>
              <w:jc w:val="both"/>
              <w:rPr>
                <w:sz w:val="20"/>
                <w:lang w:val="fr-CA"/>
              </w:rPr>
            </w:pPr>
            <w:r w:rsidRPr="00625791">
              <w:rPr>
                <w:sz w:val="20"/>
                <w:lang w:val="fr-CA"/>
              </w:rPr>
              <w:t>(Juge Barrington</w:t>
            </w:r>
            <w:r w:rsidRPr="00625791">
              <w:rPr>
                <w:sz w:val="20"/>
                <w:lang w:val="fr-CA"/>
              </w:rPr>
              <w:noBreakHyphen/>
              <w:t>Foote)</w:t>
            </w:r>
          </w:p>
          <w:p w:rsidR="006E0D1B" w:rsidRPr="00625791" w:rsidRDefault="00366BFA" w:rsidP="00786E63">
            <w:pPr>
              <w:jc w:val="both"/>
              <w:rPr>
                <w:sz w:val="20"/>
                <w:lang w:val="fr-CA"/>
              </w:rPr>
            </w:pPr>
            <w:hyperlink r:id="rId73" w:history="1">
              <w:r w:rsidR="006E0D1B" w:rsidRPr="00625791">
                <w:rPr>
                  <w:rStyle w:val="Hyperlink"/>
                  <w:sz w:val="20"/>
                  <w:lang w:val="fr-CA"/>
                </w:rPr>
                <w:t>2018 SKQB 276</w:t>
              </w:r>
            </w:hyperlink>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Ordonnance approuvant le règlement du recours collectif contre Mastercard International Incorporated, Visa Canada Corporation et Banque Nationale.</w:t>
            </w:r>
          </w:p>
          <w:p w:rsidR="006E0D1B" w:rsidRPr="00625791" w:rsidRDefault="006E0D1B" w:rsidP="00786E63">
            <w:pPr>
              <w:jc w:val="both"/>
              <w:rPr>
                <w:sz w:val="20"/>
                <w:lang w:val="fr-CA"/>
              </w:rPr>
            </w:pPr>
          </w:p>
        </w:tc>
      </w:tr>
      <w:tr w:rsidR="006E0D1B" w:rsidRPr="00870098" w:rsidTr="00786E63">
        <w:tc>
          <w:tcPr>
            <w:tcW w:w="2427" w:type="pct"/>
            <w:gridSpan w:val="2"/>
          </w:tcPr>
          <w:p w:rsidR="006E0D1B" w:rsidRPr="00625791" w:rsidRDefault="006E0D1B" w:rsidP="00786E63">
            <w:pPr>
              <w:jc w:val="both"/>
              <w:rPr>
                <w:sz w:val="20"/>
                <w:lang w:val="fr-CA"/>
              </w:rPr>
            </w:pPr>
            <w:r w:rsidRPr="00625791">
              <w:rPr>
                <w:sz w:val="20"/>
                <w:lang w:val="fr-CA"/>
              </w:rPr>
              <w:t>14 janvier 2020</w:t>
            </w:r>
          </w:p>
          <w:p w:rsidR="006E0D1B" w:rsidRPr="00625791" w:rsidRDefault="006E0D1B" w:rsidP="00786E63">
            <w:pPr>
              <w:jc w:val="both"/>
              <w:rPr>
                <w:sz w:val="20"/>
                <w:lang w:val="fr-CA"/>
              </w:rPr>
            </w:pPr>
            <w:r w:rsidRPr="00625791">
              <w:rPr>
                <w:sz w:val="20"/>
                <w:lang w:val="fr-CA"/>
              </w:rPr>
              <w:t>Cour d’appel de la Saskatchewan</w:t>
            </w:r>
          </w:p>
          <w:p w:rsidR="006E0D1B" w:rsidRPr="00625791" w:rsidRDefault="006E0D1B" w:rsidP="00786E63">
            <w:pPr>
              <w:jc w:val="both"/>
              <w:rPr>
                <w:sz w:val="20"/>
                <w:lang w:val="fr-CA"/>
              </w:rPr>
            </w:pPr>
            <w:r w:rsidRPr="00625791">
              <w:rPr>
                <w:sz w:val="20"/>
                <w:lang w:val="fr-CA"/>
              </w:rPr>
              <w:t>(Le juge en chef Richards et les juges Schwann et Kalmakoff)</w:t>
            </w:r>
          </w:p>
          <w:p w:rsidR="006E0D1B" w:rsidRPr="00625791" w:rsidRDefault="00366BFA" w:rsidP="00786E63">
            <w:pPr>
              <w:jc w:val="both"/>
              <w:rPr>
                <w:sz w:val="20"/>
                <w:lang w:val="fr-CA"/>
              </w:rPr>
            </w:pPr>
            <w:hyperlink r:id="rId74" w:history="1">
              <w:r w:rsidR="006E0D1B" w:rsidRPr="00625791">
                <w:rPr>
                  <w:rStyle w:val="Hyperlink"/>
                  <w:sz w:val="20"/>
                  <w:lang w:val="fr-CA"/>
                </w:rPr>
                <w:t>2020 SKCA 7</w:t>
              </w:r>
            </w:hyperlink>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Demandes en vue d’annuler les appels de Wal-Mart et Home Depot accordées; Demande d’autorisation d’appel et demande en vue d’être désignées représentantes présentées par Wal</w:t>
            </w:r>
            <w:r w:rsidRPr="00625791">
              <w:rPr>
                <w:sz w:val="20"/>
                <w:lang w:val="fr-CA"/>
              </w:rPr>
              <w:noBreakHyphen/>
              <w:t>Mart et Home Depot rejetées.</w:t>
            </w:r>
          </w:p>
          <w:p w:rsidR="006E0D1B" w:rsidRPr="00625791" w:rsidRDefault="006E0D1B" w:rsidP="00786E63">
            <w:pPr>
              <w:jc w:val="both"/>
              <w:rPr>
                <w:sz w:val="20"/>
                <w:lang w:val="fr-CA"/>
              </w:rPr>
            </w:pPr>
          </w:p>
        </w:tc>
      </w:tr>
      <w:tr w:rsidR="006E0D1B" w:rsidRPr="00625791" w:rsidTr="00786E63">
        <w:tc>
          <w:tcPr>
            <w:tcW w:w="2427" w:type="pct"/>
            <w:gridSpan w:val="2"/>
          </w:tcPr>
          <w:p w:rsidR="006E0D1B" w:rsidRPr="00625791" w:rsidRDefault="006E0D1B" w:rsidP="00786E63">
            <w:pPr>
              <w:jc w:val="both"/>
              <w:rPr>
                <w:sz w:val="20"/>
                <w:lang w:val="fr-CA"/>
              </w:rPr>
            </w:pPr>
            <w:r w:rsidRPr="00625791">
              <w:rPr>
                <w:sz w:val="20"/>
                <w:lang w:val="fr-CA"/>
              </w:rPr>
              <w:t>13 mars 2020</w:t>
            </w:r>
          </w:p>
          <w:p w:rsidR="006E0D1B" w:rsidRPr="00625791" w:rsidRDefault="006E0D1B" w:rsidP="00786E63">
            <w:pPr>
              <w:jc w:val="both"/>
              <w:rPr>
                <w:sz w:val="20"/>
                <w:lang w:val="fr-CA"/>
              </w:rPr>
            </w:pPr>
            <w:r w:rsidRPr="00625791">
              <w:rPr>
                <w:sz w:val="20"/>
                <w:lang w:val="fr-CA"/>
              </w:rPr>
              <w:t>Cour suprême du Canada</w:t>
            </w:r>
          </w:p>
        </w:tc>
        <w:tc>
          <w:tcPr>
            <w:tcW w:w="243" w:type="pct"/>
          </w:tcPr>
          <w:p w:rsidR="006E0D1B" w:rsidRPr="00625791" w:rsidRDefault="006E0D1B" w:rsidP="00786E63">
            <w:pPr>
              <w:jc w:val="both"/>
              <w:rPr>
                <w:sz w:val="20"/>
                <w:lang w:val="fr-CA"/>
              </w:rPr>
            </w:pPr>
          </w:p>
        </w:tc>
        <w:tc>
          <w:tcPr>
            <w:tcW w:w="2330" w:type="pct"/>
          </w:tcPr>
          <w:p w:rsidR="006E0D1B" w:rsidRPr="00625791" w:rsidRDefault="006E0D1B" w:rsidP="00786E63">
            <w:pPr>
              <w:jc w:val="both"/>
              <w:rPr>
                <w:sz w:val="20"/>
                <w:lang w:val="fr-CA"/>
              </w:rPr>
            </w:pPr>
            <w:r w:rsidRPr="00625791">
              <w:rPr>
                <w:sz w:val="20"/>
                <w:lang w:val="fr-CA"/>
              </w:rPr>
              <w:t xml:space="preserve">Demande d’autorisation d’appel présentée. </w:t>
            </w:r>
          </w:p>
        </w:tc>
      </w:tr>
    </w:tbl>
    <w:p w:rsidR="006E0D1B" w:rsidRPr="00625791" w:rsidRDefault="006E0D1B" w:rsidP="006E0D1B">
      <w:pPr>
        <w:jc w:val="both"/>
        <w:rPr>
          <w:sz w:val="20"/>
          <w:lang w:val="fr-CA"/>
        </w:rPr>
      </w:pPr>
    </w:p>
    <w:p w:rsidR="006E0D1B" w:rsidRPr="00625791" w:rsidRDefault="00366BFA" w:rsidP="006E0D1B">
      <w:pPr>
        <w:jc w:val="both"/>
        <w:rPr>
          <w:sz w:val="20"/>
        </w:rPr>
      </w:pPr>
      <w:r>
        <w:rPr>
          <w:sz w:val="20"/>
        </w:rPr>
        <w:pict>
          <v:rect id="_x0000_i1056" style="width:2in;height:1pt" o:hrpct="0" o:hralign="center" o:hrstd="t" o:hrnoshade="t" o:hr="t" fillcolor="black [3213]" stroked="f"/>
        </w:pict>
      </w:r>
    </w:p>
    <w:p w:rsidR="00890FEB" w:rsidRPr="00625791" w:rsidRDefault="00890FEB" w:rsidP="008D292F">
      <w:pPr>
        <w:rPr>
          <w:sz w:val="20"/>
          <w:szCs w:val="20"/>
          <w:lang w:val="fr-CA"/>
        </w:rPr>
      </w:pPr>
    </w:p>
    <w:p w:rsidR="00890FEB" w:rsidRPr="00625791" w:rsidRDefault="00890FEB" w:rsidP="008D292F">
      <w:pPr>
        <w:rPr>
          <w:b/>
          <w:sz w:val="20"/>
          <w:szCs w:val="20"/>
          <w:lang w:val="fr-CA"/>
        </w:rPr>
        <w:sectPr w:rsidR="00890FEB" w:rsidRPr="00625791" w:rsidSect="008D292F">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693C38" w:rsidRPr="00625791" w:rsidRDefault="00DD0BDC" w:rsidP="00567602">
      <w:pPr>
        <w:pStyle w:val="Header1StyleE"/>
        <w:pBdr>
          <w:bottom w:val="single" w:sz="12" w:space="1" w:color="auto"/>
        </w:pBdr>
        <w:rPr>
          <w:lang w:val="fr-CA"/>
        </w:rPr>
      </w:pPr>
      <w:bookmarkStart w:id="7" w:name="_Toc54945600"/>
      <w:r w:rsidRPr="00625791">
        <w:rPr>
          <w:lang w:val="fr-CA"/>
        </w:rPr>
        <w:lastRenderedPageBreak/>
        <w:t>Motions</w:t>
      </w:r>
      <w:r w:rsidR="00271E1E" w:rsidRPr="00625791">
        <w:rPr>
          <w:lang w:val="fr-CA"/>
        </w:rPr>
        <w:t xml:space="preserve"> / </w:t>
      </w:r>
      <w:r w:rsidR="00693C38" w:rsidRPr="00625791">
        <w:rPr>
          <w:lang w:val="fr-CA"/>
        </w:rPr>
        <w:br/>
      </w:r>
      <w:r w:rsidRPr="00625791">
        <w:rPr>
          <w:lang w:val="fr-CA"/>
        </w:rPr>
        <w:t>Requêtes</w:t>
      </w:r>
      <w:bookmarkEnd w:id="7"/>
    </w:p>
    <w:p w:rsidR="00890FEB" w:rsidRPr="00625791" w:rsidRDefault="00890FEB" w:rsidP="00890FEB">
      <w:pPr>
        <w:rPr>
          <w:sz w:val="20"/>
          <w:szCs w:val="20"/>
          <w:lang w:val="fr-CA"/>
        </w:rPr>
      </w:pPr>
    </w:p>
    <w:p w:rsidR="008859F1" w:rsidRPr="00625791" w:rsidRDefault="00D8396A" w:rsidP="008859F1">
      <w:pPr>
        <w:rPr>
          <w:b/>
          <w:sz w:val="20"/>
          <w:szCs w:val="20"/>
          <w:lang w:val="fr-CA"/>
        </w:rPr>
      </w:pPr>
      <w:r w:rsidRPr="00625791">
        <w:rPr>
          <w:b/>
          <w:sz w:val="20"/>
          <w:szCs w:val="20"/>
          <w:lang w:val="fr-CA"/>
        </w:rPr>
        <w:t>OCTOBER</w:t>
      </w:r>
      <w:r w:rsidR="008859F1" w:rsidRPr="00625791">
        <w:rPr>
          <w:b/>
          <w:sz w:val="20"/>
          <w:szCs w:val="20"/>
          <w:lang w:val="fr-CA"/>
        </w:rPr>
        <w:t xml:space="preserve"> </w:t>
      </w:r>
      <w:r w:rsidRPr="00625791">
        <w:rPr>
          <w:b/>
          <w:sz w:val="20"/>
          <w:szCs w:val="20"/>
          <w:lang w:val="fr-CA"/>
        </w:rPr>
        <w:t>2</w:t>
      </w:r>
      <w:r w:rsidR="00691D1D" w:rsidRPr="00625791">
        <w:rPr>
          <w:b/>
          <w:sz w:val="20"/>
          <w:szCs w:val="20"/>
          <w:lang w:val="fr-CA"/>
        </w:rPr>
        <w:t>1</w:t>
      </w:r>
      <w:r w:rsidR="008859F1" w:rsidRPr="00625791">
        <w:rPr>
          <w:b/>
          <w:sz w:val="20"/>
          <w:szCs w:val="20"/>
          <w:lang w:val="fr-CA"/>
        </w:rPr>
        <w:t>, 20</w:t>
      </w:r>
      <w:r w:rsidR="005967EF" w:rsidRPr="00625791">
        <w:rPr>
          <w:b/>
          <w:sz w:val="20"/>
          <w:szCs w:val="20"/>
          <w:lang w:val="fr-CA"/>
        </w:rPr>
        <w:t>20</w:t>
      </w:r>
      <w:r w:rsidR="008859F1" w:rsidRPr="00625791">
        <w:rPr>
          <w:b/>
          <w:sz w:val="20"/>
          <w:szCs w:val="20"/>
          <w:lang w:val="fr-CA"/>
        </w:rPr>
        <w:t xml:space="preserve"> / LE </w:t>
      </w:r>
      <w:r w:rsidRPr="00625791">
        <w:rPr>
          <w:b/>
          <w:sz w:val="20"/>
          <w:szCs w:val="20"/>
          <w:lang w:val="fr-CA"/>
        </w:rPr>
        <w:t>2</w:t>
      </w:r>
      <w:r w:rsidR="00691D1D" w:rsidRPr="00625791">
        <w:rPr>
          <w:b/>
          <w:sz w:val="20"/>
          <w:szCs w:val="20"/>
          <w:lang w:val="fr-CA"/>
        </w:rPr>
        <w:t>1</w:t>
      </w:r>
      <w:r w:rsidR="008859F1" w:rsidRPr="00625791">
        <w:rPr>
          <w:b/>
          <w:sz w:val="20"/>
          <w:szCs w:val="20"/>
          <w:lang w:val="fr-CA"/>
        </w:rPr>
        <w:t xml:space="preserve"> </w:t>
      </w:r>
      <w:r w:rsidRPr="00625791">
        <w:rPr>
          <w:b/>
          <w:sz w:val="20"/>
          <w:szCs w:val="20"/>
          <w:lang w:val="fr-CA"/>
        </w:rPr>
        <w:t>OCTOBRE</w:t>
      </w:r>
      <w:r w:rsidR="008859F1" w:rsidRPr="00625791">
        <w:rPr>
          <w:b/>
          <w:sz w:val="20"/>
          <w:szCs w:val="20"/>
          <w:lang w:val="fr-CA"/>
        </w:rPr>
        <w:t xml:space="preserve"> 20</w:t>
      </w:r>
      <w:r w:rsidR="005967EF" w:rsidRPr="00625791">
        <w:rPr>
          <w:b/>
          <w:sz w:val="20"/>
          <w:szCs w:val="20"/>
          <w:lang w:val="fr-CA"/>
        </w:rPr>
        <w:t>20</w:t>
      </w:r>
    </w:p>
    <w:p w:rsidR="00102792" w:rsidRPr="0062579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625791" w:rsidTr="00691D1D">
        <w:tc>
          <w:tcPr>
            <w:tcW w:w="4410" w:type="dxa"/>
            <w:tcBorders>
              <w:top w:val="nil"/>
              <w:left w:val="nil"/>
              <w:bottom w:val="nil"/>
              <w:right w:val="nil"/>
            </w:tcBorders>
          </w:tcPr>
          <w:p w:rsidR="00D93A6C" w:rsidRPr="00625791" w:rsidRDefault="00D93A6C" w:rsidP="00691D1D">
            <w:pPr>
              <w:jc w:val="both"/>
              <w:rPr>
                <w:rFonts w:cs="Times New Roman"/>
                <w:b/>
                <w:bCs/>
                <w:sz w:val="20"/>
                <w:szCs w:val="20"/>
                <w:lang w:val="en-US"/>
              </w:rPr>
            </w:pPr>
            <w:r w:rsidRPr="00625791">
              <w:rPr>
                <w:rFonts w:eastAsia="Times New Roman" w:cs="Times New Roman"/>
                <w:b/>
                <w:sz w:val="20"/>
                <w:szCs w:val="20"/>
                <w:lang w:val="en-US" w:eastAsia="en-CA"/>
              </w:rPr>
              <w:t xml:space="preserve">Motion </w:t>
            </w:r>
            <w:r w:rsidR="00BD5548" w:rsidRPr="00625791">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62579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625791" w:rsidRDefault="00D93A6C" w:rsidP="00691D1D">
            <w:pPr>
              <w:jc w:val="both"/>
              <w:rPr>
                <w:rFonts w:cs="Times New Roman"/>
                <w:b/>
                <w:bCs/>
                <w:sz w:val="20"/>
                <w:szCs w:val="20"/>
                <w:lang w:val="fr-CA"/>
              </w:rPr>
            </w:pPr>
            <w:r w:rsidRPr="00625791">
              <w:rPr>
                <w:rFonts w:eastAsia="Times New Roman" w:cs="Times New Roman"/>
                <w:b/>
                <w:sz w:val="20"/>
                <w:szCs w:val="20"/>
                <w:lang w:val="fr-CA" w:eastAsia="en-CA"/>
              </w:rPr>
              <w:t xml:space="preserve">Requête </w:t>
            </w:r>
            <w:r w:rsidR="00BD5548" w:rsidRPr="00625791">
              <w:rPr>
                <w:rFonts w:eastAsia="Times New Roman" w:cs="Times New Roman"/>
                <w:b/>
                <w:sz w:val="20"/>
                <w:szCs w:val="20"/>
                <w:lang w:val="fr-CA" w:eastAsia="en-CA"/>
              </w:rPr>
              <w:t>en autorisation d'intervention</w:t>
            </w:r>
          </w:p>
        </w:tc>
      </w:tr>
    </w:tbl>
    <w:p w:rsidR="00D93A6C" w:rsidRPr="00625791" w:rsidRDefault="00D93A6C" w:rsidP="00102792">
      <w:pPr>
        <w:tabs>
          <w:tab w:val="left" w:pos="-1440"/>
          <w:tab w:val="left" w:pos="-720"/>
        </w:tabs>
        <w:jc w:val="both"/>
        <w:rPr>
          <w:rFonts w:eastAsia="Times New Roman" w:cs="Times New Roman"/>
          <w:sz w:val="20"/>
          <w:szCs w:val="20"/>
          <w:lang w:val="fr-CA" w:eastAsia="en-CA"/>
        </w:rPr>
      </w:pPr>
    </w:p>
    <w:p w:rsidR="00D93A6C" w:rsidRPr="00625791" w:rsidRDefault="00D93A6C" w:rsidP="00102792">
      <w:pPr>
        <w:tabs>
          <w:tab w:val="left" w:pos="-1440"/>
          <w:tab w:val="left" w:pos="-720"/>
        </w:tabs>
        <w:jc w:val="both"/>
        <w:rPr>
          <w:rFonts w:eastAsia="Times New Roman" w:cs="Times New Roman"/>
          <w:sz w:val="20"/>
          <w:szCs w:val="20"/>
          <w:lang w:val="fr-CA" w:eastAsia="en-CA"/>
        </w:rPr>
      </w:pPr>
    </w:p>
    <w:p w:rsidR="00BD5548" w:rsidRPr="00625791" w:rsidRDefault="00BD5548" w:rsidP="00BD5548">
      <w:pPr>
        <w:rPr>
          <w:rFonts w:cs="Times New Roman"/>
          <w:b/>
          <w:bCs/>
          <w:sz w:val="20"/>
          <w:szCs w:val="20"/>
        </w:rPr>
      </w:pPr>
      <w:r w:rsidRPr="00625791">
        <w:rPr>
          <w:rFonts w:cs="Times New Roman"/>
          <w:b/>
          <w:bCs/>
          <w:sz w:val="20"/>
          <w:szCs w:val="20"/>
        </w:rPr>
        <w:t xml:space="preserve">HER MAJESTY THE QUEEN IN RIGHT OF CANADA v. </w:t>
      </w:r>
      <w:r w:rsidRPr="00625791">
        <w:rPr>
          <w:rFonts w:cs="Times New Roman"/>
          <w:b/>
          <w:bCs/>
          <w:caps/>
          <w:sz w:val="20"/>
          <w:szCs w:val="20"/>
        </w:rPr>
        <w:t>Canada North Group Inc., Canada North Camps Inc., Campcorp Structures Ltd., DJ Catering Ltd., 816956 Alberta Ltd., 1371047 Alberta Ltd., 1919209 Alberta Ltd., Ernst &amp; Young Inc. in its capacity as Monitor and Business Development Bank of Canada</w:t>
      </w:r>
    </w:p>
    <w:p w:rsidR="00BD5548" w:rsidRPr="00625791" w:rsidRDefault="00BD5548" w:rsidP="00BD5548">
      <w:pPr>
        <w:rPr>
          <w:rFonts w:cs="Times New Roman"/>
          <w:bCs/>
          <w:sz w:val="20"/>
          <w:szCs w:val="20"/>
        </w:rPr>
      </w:pPr>
      <w:r w:rsidRPr="00625791">
        <w:rPr>
          <w:rFonts w:cs="Times New Roman"/>
          <w:bCs/>
          <w:sz w:val="20"/>
          <w:szCs w:val="20"/>
        </w:rPr>
        <w:t>(Alta.) (38871)</w:t>
      </w:r>
    </w:p>
    <w:p w:rsidR="00BD5548" w:rsidRPr="00625791" w:rsidRDefault="00BD5548" w:rsidP="00BD5548">
      <w:pPr>
        <w:rPr>
          <w:rFonts w:cs="Times New Roman"/>
          <w:sz w:val="20"/>
          <w:szCs w:val="20"/>
        </w:rPr>
      </w:pPr>
    </w:p>
    <w:p w:rsidR="00BD5548" w:rsidRPr="00625791" w:rsidRDefault="00BD5548" w:rsidP="00BD5548">
      <w:pPr>
        <w:rPr>
          <w:rFonts w:cs="Times New Roman"/>
          <w:sz w:val="20"/>
          <w:szCs w:val="20"/>
        </w:rPr>
      </w:pPr>
      <w:r w:rsidRPr="00625791">
        <w:rPr>
          <w:rFonts w:cs="Times New Roman"/>
          <w:b/>
          <w:bCs/>
          <w:sz w:val="20"/>
          <w:szCs w:val="20"/>
          <w:u w:val="single"/>
        </w:rPr>
        <w:t>BROWN J.</w:t>
      </w:r>
      <w:r w:rsidRPr="00625791">
        <w:rPr>
          <w:rFonts w:cs="Times New Roman"/>
          <w:b/>
          <w:bCs/>
          <w:sz w:val="20"/>
          <w:szCs w:val="20"/>
        </w:rPr>
        <w:t>:</w:t>
      </w:r>
    </w:p>
    <w:p w:rsidR="00BD5548" w:rsidRPr="00625791" w:rsidRDefault="00BD5548" w:rsidP="00BD5548">
      <w:pPr>
        <w:rPr>
          <w:rFonts w:cs="Times New Roman"/>
          <w:sz w:val="20"/>
          <w:szCs w:val="20"/>
        </w:rPr>
      </w:pPr>
    </w:p>
    <w:p w:rsidR="00BD5548" w:rsidRPr="00625791" w:rsidRDefault="00BD5548" w:rsidP="00BD5548">
      <w:pPr>
        <w:rPr>
          <w:rFonts w:cs="Times New Roman"/>
          <w:sz w:val="20"/>
          <w:szCs w:val="20"/>
        </w:rPr>
      </w:pPr>
      <w:r w:rsidRPr="00625791">
        <w:rPr>
          <w:rFonts w:cs="Times New Roman"/>
          <w:b/>
          <w:bCs/>
          <w:sz w:val="20"/>
          <w:szCs w:val="20"/>
        </w:rPr>
        <w:t xml:space="preserve">UPON APPLICATION </w:t>
      </w:r>
      <w:r w:rsidRPr="00625791">
        <w:rPr>
          <w:rFonts w:cs="Times New Roman"/>
          <w:sz w:val="20"/>
          <w:szCs w:val="20"/>
        </w:rPr>
        <w:t>by the Insolvency Institute of Canada and the Canadian Association of Insolvency and Restructuring Professionals for leave to intervene in the above appeal;</w:t>
      </w:r>
    </w:p>
    <w:p w:rsidR="00BD5548" w:rsidRPr="00625791" w:rsidRDefault="00BD5548" w:rsidP="00BD5548">
      <w:pPr>
        <w:spacing w:line="233" w:lineRule="auto"/>
        <w:rPr>
          <w:rFonts w:cs="Times New Roman"/>
          <w:sz w:val="20"/>
          <w:szCs w:val="20"/>
        </w:rPr>
      </w:pPr>
    </w:p>
    <w:p w:rsidR="00BD5548" w:rsidRPr="00625791" w:rsidRDefault="00BD5548" w:rsidP="00BD5548">
      <w:pPr>
        <w:spacing w:line="233" w:lineRule="auto"/>
        <w:rPr>
          <w:rFonts w:cs="Times New Roman"/>
          <w:sz w:val="20"/>
          <w:szCs w:val="20"/>
        </w:rPr>
      </w:pPr>
      <w:r w:rsidRPr="00625791">
        <w:rPr>
          <w:rFonts w:cs="Times New Roman"/>
          <w:b/>
          <w:bCs/>
          <w:sz w:val="20"/>
          <w:szCs w:val="20"/>
        </w:rPr>
        <w:t>AND THE MATERIAL FILED</w:t>
      </w:r>
      <w:r w:rsidRPr="00625791">
        <w:rPr>
          <w:rFonts w:cs="Times New Roman"/>
          <w:sz w:val="20"/>
          <w:szCs w:val="20"/>
        </w:rPr>
        <w:t xml:space="preserve"> having been read;</w:t>
      </w:r>
    </w:p>
    <w:p w:rsidR="00BD5548" w:rsidRPr="00625791" w:rsidRDefault="00BD5548" w:rsidP="00BD5548">
      <w:pPr>
        <w:spacing w:line="233" w:lineRule="auto"/>
        <w:rPr>
          <w:rFonts w:cs="Times New Roman"/>
          <w:sz w:val="20"/>
          <w:szCs w:val="20"/>
        </w:rPr>
      </w:pPr>
    </w:p>
    <w:p w:rsidR="00BD5548" w:rsidRPr="00625791" w:rsidRDefault="00BD5548" w:rsidP="00BD5548">
      <w:pPr>
        <w:spacing w:line="233" w:lineRule="auto"/>
        <w:rPr>
          <w:rFonts w:cs="Times New Roman"/>
          <w:b/>
          <w:bCs/>
          <w:sz w:val="20"/>
          <w:szCs w:val="20"/>
        </w:rPr>
      </w:pPr>
      <w:r w:rsidRPr="00625791">
        <w:rPr>
          <w:rFonts w:cs="Times New Roman"/>
          <w:b/>
          <w:bCs/>
          <w:sz w:val="20"/>
          <w:szCs w:val="20"/>
        </w:rPr>
        <w:t>IT IS HEREBY ORDERED THAT:</w:t>
      </w:r>
    </w:p>
    <w:p w:rsidR="00BD5548" w:rsidRPr="00625791" w:rsidRDefault="00BD5548" w:rsidP="00BD5548">
      <w:pPr>
        <w:spacing w:line="233" w:lineRule="auto"/>
        <w:rPr>
          <w:rFonts w:cs="Times New Roman"/>
          <w:sz w:val="20"/>
          <w:szCs w:val="20"/>
        </w:rPr>
      </w:pPr>
    </w:p>
    <w:p w:rsidR="00BD5548" w:rsidRPr="00625791" w:rsidRDefault="00BD5548" w:rsidP="00BD5548">
      <w:pPr>
        <w:rPr>
          <w:rFonts w:cs="Times New Roman"/>
          <w:sz w:val="20"/>
          <w:szCs w:val="20"/>
        </w:rPr>
      </w:pPr>
      <w:r w:rsidRPr="00625791">
        <w:rPr>
          <w:rFonts w:cs="Times New Roman"/>
          <w:sz w:val="20"/>
          <w:szCs w:val="20"/>
        </w:rPr>
        <w:t xml:space="preserve">The motions for leave to intervene are granted. The said two (2) interveners shall be entitled to each serve and file a single factum not to exceed ten (10) pages in length, and book of authorities, if any, on or before November 11, 2020. </w:t>
      </w:r>
    </w:p>
    <w:p w:rsidR="00BD5548" w:rsidRPr="00625791" w:rsidRDefault="00BD5548" w:rsidP="00BD5548">
      <w:pPr>
        <w:rPr>
          <w:rFonts w:cs="Times New Roman"/>
          <w:sz w:val="20"/>
          <w:szCs w:val="20"/>
        </w:rPr>
      </w:pPr>
    </w:p>
    <w:p w:rsidR="00BD5548" w:rsidRPr="00625791" w:rsidRDefault="00BD5548" w:rsidP="00BD5548">
      <w:pPr>
        <w:rPr>
          <w:rFonts w:cs="Times New Roman"/>
          <w:sz w:val="20"/>
          <w:szCs w:val="20"/>
        </w:rPr>
      </w:pPr>
      <w:r w:rsidRPr="00625791">
        <w:rPr>
          <w:rFonts w:cs="Times New Roman"/>
          <w:sz w:val="20"/>
          <w:szCs w:val="20"/>
        </w:rPr>
        <w:t>The said two (2) interveners are each granted permission to present oral argument not exceeding five (5) minutes at the hearing of the appeal.</w:t>
      </w:r>
    </w:p>
    <w:p w:rsidR="00BD5548" w:rsidRPr="00625791" w:rsidRDefault="00BD5548" w:rsidP="00BD5548">
      <w:pPr>
        <w:rPr>
          <w:rFonts w:cs="Times New Roman"/>
          <w:sz w:val="20"/>
          <w:szCs w:val="20"/>
        </w:rPr>
      </w:pPr>
    </w:p>
    <w:p w:rsidR="00BD5548" w:rsidRPr="00625791" w:rsidRDefault="00BD5548" w:rsidP="00BD5548">
      <w:pPr>
        <w:rPr>
          <w:rFonts w:cs="Times New Roman"/>
          <w:sz w:val="20"/>
          <w:szCs w:val="20"/>
        </w:rPr>
      </w:pPr>
      <w:r w:rsidRPr="00625791">
        <w:rPr>
          <w:rFonts w:cs="Times New Roman"/>
          <w:sz w:val="20"/>
          <w:szCs w:val="20"/>
        </w:rPr>
        <w:t>The appellant is granted permission to serve and file a single factum in reply to all interventions not to exceed five (5) pages in length on or before November 16, 2020.</w:t>
      </w:r>
    </w:p>
    <w:p w:rsidR="00BD5548" w:rsidRPr="00625791" w:rsidRDefault="00BD5548" w:rsidP="00BD5548">
      <w:pPr>
        <w:rPr>
          <w:rFonts w:cs="Times New Roman"/>
          <w:sz w:val="20"/>
          <w:szCs w:val="20"/>
        </w:rPr>
      </w:pPr>
    </w:p>
    <w:p w:rsidR="00BD5548" w:rsidRPr="00625791" w:rsidRDefault="00BD5548" w:rsidP="00BD5548">
      <w:pPr>
        <w:rPr>
          <w:rFonts w:cs="Times New Roman"/>
          <w:b/>
          <w:sz w:val="20"/>
          <w:szCs w:val="20"/>
        </w:rPr>
      </w:pPr>
      <w:r w:rsidRPr="00625791">
        <w:rPr>
          <w:rFonts w:cs="Times New Roman"/>
          <w:b/>
          <w:sz w:val="20"/>
          <w:szCs w:val="20"/>
        </w:rPr>
        <w:fldChar w:fldCharType="begin"/>
      </w:r>
      <w:r w:rsidRPr="00625791">
        <w:rPr>
          <w:rFonts w:cs="Times New Roman"/>
          <w:b/>
          <w:sz w:val="20"/>
          <w:szCs w:val="20"/>
        </w:rPr>
        <w:instrText xml:space="preserve"> SEQ CHAPTER \h \r 1</w:instrText>
      </w:r>
      <w:r w:rsidRPr="00625791">
        <w:rPr>
          <w:rFonts w:cs="Times New Roman"/>
          <w:b/>
          <w:sz w:val="20"/>
          <w:szCs w:val="20"/>
        </w:rPr>
        <w:fldChar w:fldCharType="end"/>
      </w:r>
      <w:r w:rsidRPr="00625791">
        <w:rPr>
          <w:rFonts w:cs="Times New Roman"/>
          <w:b/>
          <w:sz w:val="20"/>
          <w:szCs w:val="20"/>
        </w:rPr>
        <w:t>The interveners are not entitled to raise new issues or to adduce further evidence or otherwise to supplement the record of the parties.</w:t>
      </w:r>
    </w:p>
    <w:p w:rsidR="00BD5548" w:rsidRPr="00625791" w:rsidRDefault="00BD5548" w:rsidP="00BD5548">
      <w:pPr>
        <w:rPr>
          <w:rFonts w:cs="Times New Roman"/>
          <w:sz w:val="20"/>
          <w:szCs w:val="20"/>
        </w:rPr>
      </w:pPr>
    </w:p>
    <w:p w:rsidR="00BD5548" w:rsidRPr="00625791" w:rsidRDefault="00BD5548" w:rsidP="00BD5548">
      <w:pPr>
        <w:rPr>
          <w:rFonts w:cs="Times New Roman"/>
          <w:sz w:val="20"/>
          <w:szCs w:val="20"/>
        </w:rPr>
      </w:pPr>
      <w:r w:rsidRPr="00625791">
        <w:rPr>
          <w:rFonts w:cs="Times New Roman"/>
          <w:sz w:val="20"/>
          <w:szCs w:val="20"/>
        </w:rPr>
        <w:t xml:space="preserve">Pursuant to Rule 59(1)(a) of the </w:t>
      </w:r>
      <w:r w:rsidRPr="00625791">
        <w:rPr>
          <w:rFonts w:cs="Times New Roman"/>
          <w:i/>
          <w:sz w:val="20"/>
          <w:szCs w:val="20"/>
        </w:rPr>
        <w:t>Rules of the Supreme Court of Canada</w:t>
      </w:r>
      <w:r w:rsidRPr="00625791">
        <w:rPr>
          <w:rFonts w:cs="Times New Roman"/>
          <w:sz w:val="20"/>
          <w:szCs w:val="20"/>
        </w:rPr>
        <w:t>, the interveners shall pay to the appellant and the respondents any additional disbursements resulting from their interventions.</w:t>
      </w:r>
    </w:p>
    <w:p w:rsidR="00102792" w:rsidRPr="00625791" w:rsidRDefault="00102792" w:rsidP="00102792">
      <w:pPr>
        <w:spacing w:line="228" w:lineRule="auto"/>
        <w:rPr>
          <w:sz w:val="20"/>
        </w:rPr>
      </w:pPr>
    </w:p>
    <w:p w:rsidR="005967EF" w:rsidRPr="00625791" w:rsidRDefault="005967EF" w:rsidP="00102792">
      <w:pPr>
        <w:spacing w:line="228" w:lineRule="auto"/>
        <w:rPr>
          <w:sz w:val="20"/>
        </w:rPr>
      </w:pPr>
    </w:p>
    <w:p w:rsidR="00625791" w:rsidRPr="00625791" w:rsidRDefault="00625791" w:rsidP="00625791">
      <w:pPr>
        <w:rPr>
          <w:rFonts w:cs="Times New Roman"/>
          <w:sz w:val="20"/>
          <w:szCs w:val="20"/>
          <w:lang w:val="fr-CA"/>
        </w:rPr>
      </w:pPr>
      <w:r w:rsidRPr="00625791">
        <w:rPr>
          <w:rFonts w:cs="Times New Roman"/>
          <w:b/>
          <w:sz w:val="20"/>
          <w:szCs w:val="20"/>
          <w:lang w:val="fr-CA"/>
        </w:rPr>
        <w:t>À LA SUITE DES DEMANDES</w:t>
      </w:r>
      <w:r w:rsidRPr="00625791">
        <w:rPr>
          <w:rFonts w:cs="Times New Roman"/>
          <w:sz w:val="20"/>
          <w:szCs w:val="20"/>
          <w:lang w:val="fr-CA"/>
        </w:rPr>
        <w:t xml:space="preserve"> présentées par l’Institut d’insolvabilité du Canada et par l’Association canadienne des professionnels de l’insolvabilité et de la réorganisation en autorisation d’intervenir dans l’appel;</w:t>
      </w:r>
    </w:p>
    <w:p w:rsidR="00625791" w:rsidRPr="00625791" w:rsidRDefault="00625791" w:rsidP="00625791">
      <w:pPr>
        <w:rPr>
          <w:rFonts w:cs="Times New Roman"/>
          <w:sz w:val="20"/>
          <w:szCs w:val="20"/>
          <w:lang w:val="fr-CA"/>
        </w:rPr>
      </w:pPr>
    </w:p>
    <w:p w:rsidR="00625791" w:rsidRPr="00625791" w:rsidRDefault="00625791" w:rsidP="00625791">
      <w:pPr>
        <w:rPr>
          <w:rFonts w:cs="Times New Roman"/>
          <w:sz w:val="20"/>
          <w:szCs w:val="20"/>
          <w:lang w:val="fr-CA"/>
        </w:rPr>
      </w:pPr>
      <w:r w:rsidRPr="00625791">
        <w:rPr>
          <w:rFonts w:cs="Times New Roman"/>
          <w:b/>
          <w:sz w:val="20"/>
          <w:szCs w:val="20"/>
          <w:lang w:val="fr-CA"/>
        </w:rPr>
        <w:t>ET APRÈS EXAMEN</w:t>
      </w:r>
      <w:r w:rsidRPr="00625791">
        <w:rPr>
          <w:rFonts w:cs="Times New Roman"/>
          <w:sz w:val="20"/>
          <w:szCs w:val="20"/>
          <w:lang w:val="fr-CA"/>
        </w:rPr>
        <w:t xml:space="preserve"> des documents déposés; </w:t>
      </w:r>
    </w:p>
    <w:p w:rsidR="00625791" w:rsidRPr="00625791" w:rsidRDefault="00625791" w:rsidP="00625791">
      <w:pPr>
        <w:rPr>
          <w:rFonts w:cs="Times New Roman"/>
          <w:sz w:val="20"/>
          <w:szCs w:val="20"/>
          <w:lang w:val="fr-CA"/>
        </w:rPr>
      </w:pPr>
    </w:p>
    <w:p w:rsidR="00625791" w:rsidRPr="00625791" w:rsidRDefault="00625791" w:rsidP="00625791">
      <w:pPr>
        <w:rPr>
          <w:rFonts w:cs="Times New Roman"/>
          <w:b/>
          <w:sz w:val="20"/>
          <w:szCs w:val="20"/>
          <w:lang w:val="fr-CA"/>
        </w:rPr>
      </w:pPr>
      <w:r w:rsidRPr="00625791">
        <w:rPr>
          <w:rFonts w:cs="Times New Roman"/>
          <w:b/>
          <w:sz w:val="20"/>
          <w:szCs w:val="20"/>
          <w:lang w:val="fr-CA"/>
        </w:rPr>
        <w:t xml:space="preserve">IL EST ORDONNÉ CE QUI SUIT : </w:t>
      </w:r>
    </w:p>
    <w:p w:rsidR="00625791" w:rsidRPr="00625791" w:rsidRDefault="00625791" w:rsidP="00625791">
      <w:pPr>
        <w:rPr>
          <w:rFonts w:cs="Times New Roman"/>
          <w:sz w:val="20"/>
          <w:szCs w:val="20"/>
          <w:lang w:val="fr-CA"/>
        </w:rPr>
      </w:pPr>
    </w:p>
    <w:p w:rsidR="00625791" w:rsidRPr="00625791" w:rsidRDefault="00625791" w:rsidP="00625791">
      <w:pPr>
        <w:rPr>
          <w:rFonts w:cs="Times New Roman"/>
          <w:sz w:val="20"/>
          <w:szCs w:val="20"/>
          <w:lang w:val="fr-CA"/>
        </w:rPr>
      </w:pPr>
      <w:r w:rsidRPr="00625791">
        <w:rPr>
          <w:rFonts w:cs="Times New Roman"/>
          <w:sz w:val="20"/>
          <w:szCs w:val="20"/>
          <w:lang w:val="fr-CA"/>
        </w:rPr>
        <w:t xml:space="preserve">Les requêtes en autorisation d’intervenir sont accordées. Les deux intervenants sont chacun autorisés à signifier et à déposer un mémoire d’au plus dix (10) pages, et un recueil de sources, le cas échéant, au plus tard le 11 novembre 2020. </w:t>
      </w:r>
    </w:p>
    <w:p w:rsidR="00625791" w:rsidRPr="00625791" w:rsidRDefault="00625791" w:rsidP="00625791">
      <w:pPr>
        <w:rPr>
          <w:rFonts w:cs="Times New Roman"/>
          <w:sz w:val="20"/>
          <w:szCs w:val="20"/>
          <w:lang w:val="fr-CA"/>
        </w:rPr>
      </w:pPr>
    </w:p>
    <w:p w:rsidR="00625791" w:rsidRPr="00625791" w:rsidRDefault="00625791" w:rsidP="00625791">
      <w:pPr>
        <w:rPr>
          <w:rFonts w:cs="Times New Roman"/>
          <w:sz w:val="20"/>
          <w:szCs w:val="20"/>
          <w:lang w:val="fr-CA"/>
        </w:rPr>
      </w:pPr>
      <w:r w:rsidRPr="00625791">
        <w:rPr>
          <w:rFonts w:cs="Times New Roman"/>
          <w:sz w:val="20"/>
          <w:szCs w:val="20"/>
          <w:lang w:val="fr-CA"/>
        </w:rPr>
        <w:t xml:space="preserve">Les deux (2) intervenants sont chacun autorisés à présenter une plaidoirie orale d’au plus cinq (5) minutes durant l’audition de l’appel. </w:t>
      </w:r>
    </w:p>
    <w:p w:rsidR="00625791" w:rsidRPr="00625791" w:rsidRDefault="00625791" w:rsidP="00625791">
      <w:pPr>
        <w:rPr>
          <w:rFonts w:cs="Times New Roman"/>
          <w:sz w:val="20"/>
          <w:szCs w:val="20"/>
          <w:lang w:val="fr-CA"/>
        </w:rPr>
      </w:pPr>
    </w:p>
    <w:p w:rsidR="00625791" w:rsidRPr="00625791" w:rsidRDefault="00625791" w:rsidP="00625791">
      <w:pPr>
        <w:rPr>
          <w:rFonts w:cs="Times New Roman"/>
          <w:sz w:val="20"/>
          <w:szCs w:val="20"/>
          <w:lang w:val="fr-CA"/>
        </w:rPr>
      </w:pPr>
      <w:r w:rsidRPr="00625791">
        <w:rPr>
          <w:rFonts w:cs="Times New Roman"/>
          <w:sz w:val="20"/>
          <w:szCs w:val="20"/>
          <w:lang w:val="fr-CA"/>
        </w:rPr>
        <w:t>L’appelante est autorisée à présenter en réponse à toutes les interventions un mémoire d’au plus cinq (5) pages au plus tard le 16 novembre 2020.</w:t>
      </w:r>
    </w:p>
    <w:p w:rsidR="00625791" w:rsidRPr="00625791" w:rsidRDefault="00625791" w:rsidP="00625791">
      <w:pPr>
        <w:rPr>
          <w:rFonts w:cs="Times New Roman"/>
          <w:sz w:val="20"/>
          <w:szCs w:val="20"/>
          <w:lang w:val="fr-CA"/>
        </w:rPr>
      </w:pPr>
    </w:p>
    <w:p w:rsidR="00625791" w:rsidRPr="00625791" w:rsidRDefault="00625791" w:rsidP="00625791">
      <w:pPr>
        <w:rPr>
          <w:rFonts w:cs="Times New Roman"/>
          <w:b/>
          <w:sz w:val="20"/>
          <w:szCs w:val="20"/>
          <w:lang w:val="fr-CA"/>
        </w:rPr>
      </w:pPr>
      <w:r w:rsidRPr="00625791">
        <w:rPr>
          <w:rFonts w:cs="Times New Roman"/>
          <w:b/>
          <w:sz w:val="20"/>
          <w:szCs w:val="20"/>
          <w:lang w:val="fr-CA"/>
        </w:rPr>
        <w:lastRenderedPageBreak/>
        <w:t>Les intervenants n’ont pas le droit de soulever de nouvelles questions, de produire d’autres éléments de preuve, ni de compléter de quelque autre façon le dossier des parties.</w:t>
      </w:r>
    </w:p>
    <w:p w:rsidR="00625791" w:rsidRPr="00625791" w:rsidRDefault="00625791" w:rsidP="00625791">
      <w:pPr>
        <w:rPr>
          <w:rFonts w:cs="Times New Roman"/>
          <w:sz w:val="20"/>
          <w:szCs w:val="20"/>
          <w:lang w:val="fr-CA"/>
        </w:rPr>
      </w:pPr>
    </w:p>
    <w:p w:rsidR="00625791" w:rsidRPr="00625791" w:rsidRDefault="00625791" w:rsidP="00625791">
      <w:pPr>
        <w:rPr>
          <w:rFonts w:cs="Times New Roman"/>
          <w:sz w:val="20"/>
          <w:szCs w:val="20"/>
          <w:lang w:val="fr-CA"/>
        </w:rPr>
      </w:pPr>
      <w:r w:rsidRPr="00625791">
        <w:rPr>
          <w:rFonts w:cs="Times New Roman"/>
          <w:sz w:val="20"/>
          <w:szCs w:val="20"/>
          <w:lang w:val="fr-CA"/>
        </w:rPr>
        <w:t>Conformément à l’alinéa 59(1)</w:t>
      </w:r>
      <w:r w:rsidRPr="00625791">
        <w:rPr>
          <w:rFonts w:cs="Times New Roman"/>
          <w:i/>
          <w:sz w:val="20"/>
          <w:szCs w:val="20"/>
          <w:lang w:val="fr-CA"/>
        </w:rPr>
        <w:t>a</w:t>
      </w:r>
      <w:r w:rsidRPr="00625791">
        <w:rPr>
          <w:rFonts w:cs="Times New Roman"/>
          <w:sz w:val="20"/>
          <w:szCs w:val="20"/>
          <w:lang w:val="fr-CA"/>
        </w:rPr>
        <w:t xml:space="preserve">) des </w:t>
      </w:r>
      <w:r w:rsidRPr="00625791">
        <w:rPr>
          <w:rFonts w:cs="Times New Roman"/>
          <w:i/>
          <w:sz w:val="20"/>
          <w:szCs w:val="20"/>
          <w:lang w:val="fr-CA"/>
        </w:rPr>
        <w:t>Règles de la Cour suprême du Canada</w:t>
      </w:r>
      <w:r w:rsidRPr="00625791">
        <w:rPr>
          <w:rFonts w:cs="Times New Roman"/>
          <w:sz w:val="20"/>
          <w:szCs w:val="20"/>
          <w:lang w:val="fr-CA"/>
        </w:rPr>
        <w:t>, les intervenants paieront à l’appelante et aux intimés tous débours supplémentaires résultant de leur intervention.</w:t>
      </w:r>
    </w:p>
    <w:p w:rsidR="00102792" w:rsidRPr="00625791" w:rsidRDefault="00102792" w:rsidP="00102792">
      <w:pPr>
        <w:spacing w:line="232" w:lineRule="auto"/>
        <w:rPr>
          <w:rFonts w:cs="Times New Roman"/>
          <w:sz w:val="20"/>
          <w:lang w:val="fr-CA"/>
        </w:rPr>
      </w:pPr>
    </w:p>
    <w:p w:rsidR="00102792" w:rsidRPr="00625791" w:rsidRDefault="00366BFA"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5967EF" w:rsidRPr="00625791" w:rsidRDefault="005967EF" w:rsidP="00102792">
      <w:pPr>
        <w:rPr>
          <w:rFonts w:eastAsia="Times New Roman" w:cs="Times New Roman"/>
          <w:sz w:val="20"/>
          <w:szCs w:val="20"/>
          <w:lang w:val="fr-CA" w:eastAsia="en-CA"/>
        </w:rPr>
      </w:pPr>
    </w:p>
    <w:p w:rsidR="00102792" w:rsidRPr="00625791" w:rsidRDefault="00102792" w:rsidP="00102792">
      <w:pPr>
        <w:rPr>
          <w:rFonts w:eastAsia="Times New Roman" w:cs="Times New Roman"/>
          <w:sz w:val="20"/>
          <w:szCs w:val="20"/>
          <w:lang w:val="fr-CA" w:eastAsia="en-CA"/>
        </w:rPr>
      </w:pPr>
    </w:p>
    <w:p w:rsidR="00890FEB" w:rsidRPr="00625791" w:rsidRDefault="00890FEB" w:rsidP="00831CA9">
      <w:pPr>
        <w:jc w:val="both"/>
        <w:rPr>
          <w:sz w:val="20"/>
          <w:szCs w:val="20"/>
          <w:lang w:val="fr-CA"/>
        </w:rPr>
      </w:pPr>
    </w:p>
    <w:p w:rsidR="00831CA9" w:rsidRPr="00625791" w:rsidRDefault="00831CA9" w:rsidP="00831CA9">
      <w:pPr>
        <w:jc w:val="both"/>
        <w:rPr>
          <w:sz w:val="20"/>
          <w:szCs w:val="20"/>
          <w:lang w:val="fr-CA"/>
        </w:rPr>
        <w:sectPr w:rsidR="00831CA9" w:rsidRPr="00625791" w:rsidSect="00831CA9">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p w:rsidR="00567602" w:rsidRPr="00625791" w:rsidRDefault="001434B9" w:rsidP="00567602">
      <w:pPr>
        <w:pStyle w:val="Header1StyleE"/>
        <w:pBdr>
          <w:bottom w:val="single" w:sz="12" w:space="1" w:color="auto"/>
        </w:pBdr>
        <w:rPr>
          <w:sz w:val="20"/>
          <w:lang w:val="en-US"/>
        </w:rPr>
      </w:pPr>
      <w:bookmarkStart w:id="8" w:name="_Toc54945601"/>
      <w:r w:rsidRPr="00625791">
        <w:lastRenderedPageBreak/>
        <w:t>Notices of appeal filed since the last issue</w:t>
      </w:r>
      <w:r w:rsidR="00271E1E" w:rsidRPr="00625791">
        <w:t xml:space="preserve"> / </w:t>
      </w:r>
      <w:r w:rsidR="00567602" w:rsidRPr="00625791">
        <w:br/>
      </w:r>
      <w:r w:rsidRPr="00625791">
        <w:rPr>
          <w:lang w:val="fr-CA"/>
        </w:rPr>
        <w:t>Avis d’appel déposés depuis la dernière parution</w:t>
      </w:r>
      <w:bookmarkEnd w:id="8"/>
    </w:p>
    <w:p w:rsidR="00FB1DB6" w:rsidRPr="00625791"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25791" w:rsidTr="005F1ED8">
        <w:trPr>
          <w:cantSplit/>
        </w:trPr>
        <w:tc>
          <w:tcPr>
            <w:tcW w:w="2206" w:type="pct"/>
            <w:tcMar>
              <w:left w:w="0" w:type="dxa"/>
              <w:right w:w="0" w:type="dxa"/>
            </w:tcMar>
          </w:tcPr>
          <w:p w:rsidR="0086340B" w:rsidRPr="00625791" w:rsidRDefault="0022330B" w:rsidP="005F1ED8">
            <w:pPr>
              <w:rPr>
                <w:sz w:val="20"/>
                <w:szCs w:val="20"/>
              </w:rPr>
            </w:pPr>
            <w:r w:rsidRPr="00625791">
              <w:rPr>
                <w:sz w:val="20"/>
                <w:szCs w:val="20"/>
              </w:rPr>
              <w:t>October</w:t>
            </w:r>
            <w:r w:rsidR="008859F1" w:rsidRPr="00625791">
              <w:rPr>
                <w:sz w:val="20"/>
                <w:szCs w:val="20"/>
              </w:rPr>
              <w:t xml:space="preserve"> </w:t>
            </w:r>
            <w:r w:rsidRPr="00625791">
              <w:rPr>
                <w:sz w:val="20"/>
                <w:szCs w:val="20"/>
              </w:rPr>
              <w:t>13</w:t>
            </w:r>
            <w:r w:rsidR="008859F1" w:rsidRPr="00625791">
              <w:rPr>
                <w:sz w:val="20"/>
                <w:szCs w:val="20"/>
              </w:rPr>
              <w:t>, 20</w:t>
            </w:r>
            <w:r w:rsidR="005967EF" w:rsidRPr="00625791">
              <w:rPr>
                <w:sz w:val="20"/>
                <w:szCs w:val="20"/>
              </w:rPr>
              <w:t>20</w:t>
            </w:r>
          </w:p>
          <w:p w:rsidR="0034657E" w:rsidRPr="00625791" w:rsidRDefault="0034657E" w:rsidP="005F1ED8">
            <w:pPr>
              <w:rPr>
                <w:sz w:val="20"/>
                <w:szCs w:val="20"/>
              </w:rPr>
            </w:pPr>
          </w:p>
          <w:p w:rsidR="0086340B" w:rsidRPr="00625791" w:rsidRDefault="0022330B" w:rsidP="005F1ED8">
            <w:pPr>
              <w:rPr>
                <w:b/>
                <w:sz w:val="20"/>
                <w:szCs w:val="20"/>
              </w:rPr>
            </w:pPr>
            <w:r w:rsidRPr="00625791">
              <w:rPr>
                <w:b/>
                <w:sz w:val="20"/>
                <w:szCs w:val="20"/>
              </w:rPr>
              <w:t>Her Majesty the Queen</w:t>
            </w:r>
          </w:p>
          <w:p w:rsidR="0086340B" w:rsidRPr="00625791" w:rsidRDefault="0086340B" w:rsidP="005F1ED8">
            <w:pPr>
              <w:rPr>
                <w:sz w:val="20"/>
                <w:szCs w:val="20"/>
              </w:rPr>
            </w:pPr>
          </w:p>
          <w:p w:rsidR="0086340B" w:rsidRPr="00625791" w:rsidRDefault="0086340B" w:rsidP="005F1ED8">
            <w:pPr>
              <w:rPr>
                <w:b/>
                <w:sz w:val="20"/>
                <w:szCs w:val="20"/>
              </w:rPr>
            </w:pPr>
            <w:r w:rsidRPr="00625791">
              <w:rPr>
                <w:b/>
                <w:sz w:val="20"/>
                <w:szCs w:val="20"/>
              </w:rPr>
              <w:tab/>
              <w:t>v. (39</w:t>
            </w:r>
            <w:r w:rsidR="0022330B" w:rsidRPr="00625791">
              <w:rPr>
                <w:b/>
                <w:sz w:val="20"/>
                <w:szCs w:val="20"/>
              </w:rPr>
              <w:t>113</w:t>
            </w:r>
            <w:r w:rsidRPr="00625791">
              <w:rPr>
                <w:b/>
                <w:sz w:val="20"/>
                <w:szCs w:val="20"/>
              </w:rPr>
              <w:t>)</w:t>
            </w:r>
          </w:p>
          <w:p w:rsidR="0086340B" w:rsidRPr="00625791" w:rsidRDefault="0086340B" w:rsidP="005F1ED8">
            <w:pPr>
              <w:rPr>
                <w:sz w:val="20"/>
                <w:szCs w:val="20"/>
              </w:rPr>
            </w:pPr>
          </w:p>
          <w:p w:rsidR="0086340B" w:rsidRPr="00625791" w:rsidRDefault="0022330B" w:rsidP="005F1ED8">
            <w:pPr>
              <w:rPr>
                <w:b/>
                <w:sz w:val="20"/>
                <w:szCs w:val="20"/>
                <w:lang w:val="fr-CA"/>
              </w:rPr>
            </w:pPr>
            <w:r w:rsidRPr="00625791">
              <w:rPr>
                <w:b/>
                <w:sz w:val="20"/>
                <w:szCs w:val="20"/>
                <w:lang w:val="fr-CA"/>
              </w:rPr>
              <w:t xml:space="preserve">Alta Energy Luxembourg SARL </w:t>
            </w:r>
            <w:r w:rsidR="0086340B" w:rsidRPr="00625791">
              <w:rPr>
                <w:b/>
                <w:sz w:val="20"/>
                <w:szCs w:val="20"/>
                <w:lang w:val="fr-CA"/>
              </w:rPr>
              <w:t>(</w:t>
            </w:r>
            <w:r w:rsidRPr="00625791">
              <w:rPr>
                <w:b/>
                <w:sz w:val="20"/>
                <w:szCs w:val="20"/>
                <w:lang w:val="fr-CA"/>
              </w:rPr>
              <w:t>F.C</w:t>
            </w:r>
            <w:r w:rsidR="0086340B" w:rsidRPr="00625791">
              <w:rPr>
                <w:b/>
                <w:sz w:val="20"/>
                <w:szCs w:val="20"/>
                <w:lang w:val="fr-CA"/>
              </w:rPr>
              <w:t>.)</w:t>
            </w:r>
          </w:p>
          <w:p w:rsidR="0086340B" w:rsidRPr="00625791" w:rsidRDefault="0086340B" w:rsidP="005F1ED8">
            <w:pPr>
              <w:rPr>
                <w:sz w:val="20"/>
                <w:szCs w:val="20"/>
                <w:lang w:val="fr-CA"/>
              </w:rPr>
            </w:pPr>
          </w:p>
          <w:p w:rsidR="0086340B" w:rsidRPr="00625791" w:rsidRDefault="0086340B" w:rsidP="005F1ED8">
            <w:pPr>
              <w:rPr>
                <w:sz w:val="20"/>
                <w:szCs w:val="20"/>
              </w:rPr>
            </w:pPr>
            <w:r w:rsidRPr="00625791">
              <w:rPr>
                <w:sz w:val="20"/>
                <w:szCs w:val="20"/>
              </w:rPr>
              <w:t>(By Leave)</w:t>
            </w:r>
          </w:p>
          <w:p w:rsidR="0086340B" w:rsidRPr="00625791" w:rsidRDefault="0086340B" w:rsidP="005F1ED8">
            <w:pPr>
              <w:rPr>
                <w:sz w:val="20"/>
                <w:szCs w:val="20"/>
              </w:rPr>
            </w:pPr>
          </w:p>
          <w:p w:rsidR="0086340B" w:rsidRPr="00625791" w:rsidRDefault="00366BFA" w:rsidP="005F1ED8">
            <w:pPr>
              <w:rPr>
                <w:sz w:val="20"/>
                <w:szCs w:val="20"/>
                <w:lang w:val="fr-CA"/>
              </w:rPr>
            </w:pPr>
            <w:r>
              <w:rPr>
                <w:sz w:val="20"/>
                <w:szCs w:val="20"/>
                <w:lang w:val="fr-CA"/>
              </w:rPr>
              <w:pict>
                <v:rect id="_x0000_i1062" style="width:106.1pt;height:1pt" o:hrpct="500" o:hrstd="t" o:hrnoshade="t" o:hr="t" fillcolor="black [3213]" stroked="f"/>
              </w:pict>
            </w:r>
          </w:p>
        </w:tc>
        <w:tc>
          <w:tcPr>
            <w:tcW w:w="588" w:type="pct"/>
          </w:tcPr>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p w:rsidR="0086340B" w:rsidRPr="00625791" w:rsidRDefault="0086340B" w:rsidP="005F1ED8">
            <w:pPr>
              <w:jc w:val="center"/>
              <w:rPr>
                <w:sz w:val="20"/>
                <w:szCs w:val="20"/>
              </w:rPr>
            </w:pPr>
          </w:p>
        </w:tc>
        <w:tc>
          <w:tcPr>
            <w:tcW w:w="2206" w:type="pct"/>
          </w:tcPr>
          <w:p w:rsidR="0086340B" w:rsidRPr="00625791" w:rsidRDefault="0086340B" w:rsidP="005F1ED8">
            <w:pPr>
              <w:rPr>
                <w:sz w:val="20"/>
                <w:szCs w:val="20"/>
              </w:rPr>
            </w:pPr>
          </w:p>
        </w:tc>
      </w:tr>
    </w:tbl>
    <w:p w:rsidR="008277C4" w:rsidRPr="00625791" w:rsidRDefault="008277C4" w:rsidP="00F40249">
      <w:pPr>
        <w:rPr>
          <w:sz w:val="20"/>
          <w:szCs w:val="20"/>
        </w:rPr>
      </w:pPr>
    </w:p>
    <w:p w:rsidR="008277C4" w:rsidRPr="00625791" w:rsidRDefault="008277C4" w:rsidP="00F40249">
      <w:pPr>
        <w:rPr>
          <w:sz w:val="20"/>
          <w:szCs w:val="20"/>
        </w:rPr>
      </w:pPr>
    </w:p>
    <w:p w:rsidR="0010587F" w:rsidRPr="00625791" w:rsidRDefault="0010587F" w:rsidP="00F40249">
      <w:pPr>
        <w:rPr>
          <w:sz w:val="20"/>
          <w:szCs w:val="20"/>
        </w:rPr>
      </w:pPr>
    </w:p>
    <w:p w:rsidR="00EB2B90" w:rsidRPr="00625791" w:rsidRDefault="00EB2B90" w:rsidP="00F40249">
      <w:pPr>
        <w:rPr>
          <w:sz w:val="20"/>
          <w:szCs w:val="20"/>
        </w:rPr>
        <w:sectPr w:rsidR="00EB2B90" w:rsidRPr="00625791" w:rsidSect="00F40249">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p w:rsidR="00567602" w:rsidRPr="00625791" w:rsidRDefault="001434B9" w:rsidP="00567602">
      <w:pPr>
        <w:pStyle w:val="Header1StyleE"/>
        <w:pBdr>
          <w:bottom w:val="single" w:sz="12" w:space="1" w:color="auto"/>
        </w:pBdr>
        <w:rPr>
          <w:lang w:val="fr-CA"/>
        </w:rPr>
      </w:pPr>
      <w:bookmarkStart w:id="9" w:name="_Toc54945602"/>
      <w:r w:rsidRPr="00625791">
        <w:rPr>
          <w:lang w:val="fr-CA"/>
        </w:rPr>
        <w:lastRenderedPageBreak/>
        <w:t>Pronouncements of reserved</w:t>
      </w:r>
      <w:r w:rsidR="00271E1E" w:rsidRPr="00625791">
        <w:rPr>
          <w:lang w:val="fr-CA"/>
        </w:rPr>
        <w:t xml:space="preserve"> appeals / </w:t>
      </w:r>
      <w:r w:rsidR="00567602" w:rsidRPr="00625791">
        <w:rPr>
          <w:lang w:val="fr-CA"/>
        </w:rPr>
        <w:br/>
      </w:r>
      <w:r w:rsidRPr="00625791">
        <w:rPr>
          <w:lang w:val="fr-CA"/>
        </w:rPr>
        <w:t>Jugements rendus sur les appels en délibéré</w:t>
      </w:r>
      <w:bookmarkEnd w:id="9"/>
    </w:p>
    <w:p w:rsidR="00FF6EEC" w:rsidRPr="00625791" w:rsidRDefault="00FF6EEC" w:rsidP="00FF6EEC">
      <w:pPr>
        <w:rPr>
          <w:sz w:val="20"/>
          <w:szCs w:val="20"/>
          <w:lang w:val="fr-CA"/>
        </w:rPr>
      </w:pPr>
    </w:p>
    <w:p w:rsidR="00102792" w:rsidRPr="00625791" w:rsidRDefault="00846965" w:rsidP="00102792">
      <w:pPr>
        <w:rPr>
          <w:b/>
          <w:sz w:val="20"/>
          <w:szCs w:val="20"/>
          <w:lang w:val="fr-CA"/>
        </w:rPr>
      </w:pPr>
      <w:r w:rsidRPr="00625791">
        <w:rPr>
          <w:b/>
          <w:sz w:val="20"/>
          <w:szCs w:val="20"/>
          <w:lang w:val="fr-CA"/>
        </w:rPr>
        <w:t>OCTOBER</w:t>
      </w:r>
      <w:r w:rsidR="00102792" w:rsidRPr="00625791">
        <w:rPr>
          <w:b/>
          <w:sz w:val="20"/>
          <w:szCs w:val="20"/>
          <w:lang w:val="fr-CA"/>
        </w:rPr>
        <w:t xml:space="preserve"> </w:t>
      </w:r>
      <w:r w:rsidRPr="00625791">
        <w:rPr>
          <w:b/>
          <w:sz w:val="20"/>
          <w:szCs w:val="20"/>
          <w:lang w:val="fr-CA"/>
        </w:rPr>
        <w:t>3</w:t>
      </w:r>
      <w:r w:rsidR="00C73D76" w:rsidRPr="00625791">
        <w:rPr>
          <w:b/>
          <w:sz w:val="20"/>
          <w:szCs w:val="20"/>
          <w:lang w:val="fr-CA"/>
        </w:rPr>
        <w:t>0</w:t>
      </w:r>
      <w:r w:rsidR="00102792" w:rsidRPr="00625791">
        <w:rPr>
          <w:b/>
          <w:sz w:val="20"/>
          <w:szCs w:val="20"/>
          <w:lang w:val="fr-CA"/>
        </w:rPr>
        <w:t xml:space="preserve">, </w:t>
      </w:r>
      <w:r w:rsidR="0034657E" w:rsidRPr="00625791">
        <w:rPr>
          <w:b/>
          <w:sz w:val="20"/>
          <w:szCs w:val="20"/>
          <w:lang w:val="fr-CA"/>
        </w:rPr>
        <w:t>20</w:t>
      </w:r>
      <w:r w:rsidR="00172473" w:rsidRPr="00625791">
        <w:rPr>
          <w:b/>
          <w:sz w:val="20"/>
          <w:szCs w:val="20"/>
          <w:lang w:val="fr-CA"/>
        </w:rPr>
        <w:t>20</w:t>
      </w:r>
      <w:r w:rsidR="00102792" w:rsidRPr="00625791">
        <w:rPr>
          <w:b/>
          <w:sz w:val="20"/>
          <w:szCs w:val="20"/>
          <w:lang w:val="fr-CA"/>
        </w:rPr>
        <w:t xml:space="preserve"> / LE </w:t>
      </w:r>
      <w:r w:rsidRPr="00625791">
        <w:rPr>
          <w:b/>
          <w:sz w:val="20"/>
          <w:szCs w:val="20"/>
          <w:lang w:val="fr-CA"/>
        </w:rPr>
        <w:t>3</w:t>
      </w:r>
      <w:r w:rsidR="00C73D76" w:rsidRPr="00625791">
        <w:rPr>
          <w:b/>
          <w:sz w:val="20"/>
          <w:szCs w:val="20"/>
          <w:lang w:val="fr-CA"/>
        </w:rPr>
        <w:t>0</w:t>
      </w:r>
      <w:r w:rsidR="00102792" w:rsidRPr="00625791">
        <w:rPr>
          <w:b/>
          <w:sz w:val="20"/>
          <w:szCs w:val="20"/>
          <w:lang w:val="fr-CA"/>
        </w:rPr>
        <w:t xml:space="preserve"> </w:t>
      </w:r>
      <w:r w:rsidRPr="00625791">
        <w:rPr>
          <w:b/>
          <w:sz w:val="20"/>
          <w:szCs w:val="20"/>
          <w:lang w:val="fr-CA"/>
        </w:rPr>
        <w:t>OCTOBRE</w:t>
      </w:r>
      <w:r w:rsidR="00102792" w:rsidRPr="00625791">
        <w:rPr>
          <w:b/>
          <w:sz w:val="20"/>
          <w:szCs w:val="20"/>
          <w:lang w:val="fr-CA"/>
        </w:rPr>
        <w:t xml:space="preserve"> </w:t>
      </w:r>
      <w:r w:rsidR="0034657E" w:rsidRPr="00625791">
        <w:rPr>
          <w:b/>
          <w:sz w:val="20"/>
          <w:szCs w:val="20"/>
          <w:lang w:val="fr-CA"/>
        </w:rPr>
        <w:t>20</w:t>
      </w:r>
      <w:r w:rsidR="00172473" w:rsidRPr="00625791">
        <w:rPr>
          <w:b/>
          <w:sz w:val="20"/>
          <w:szCs w:val="20"/>
          <w:lang w:val="fr-CA"/>
        </w:rPr>
        <w:t>20</w:t>
      </w:r>
    </w:p>
    <w:p w:rsidR="00102792" w:rsidRPr="00625791" w:rsidRDefault="00102792" w:rsidP="00102792">
      <w:pPr>
        <w:rPr>
          <w:sz w:val="20"/>
          <w:szCs w:val="20"/>
          <w:lang w:val="fr-CA"/>
        </w:rPr>
      </w:pPr>
    </w:p>
    <w:p w:rsidR="00102792" w:rsidRPr="00625791" w:rsidRDefault="00102792" w:rsidP="00102792">
      <w:pPr>
        <w:ind w:left="1440" w:hanging="1440"/>
        <w:jc w:val="both"/>
        <w:rPr>
          <w:rFonts w:eastAsia="Times New Roman" w:cs="Times New Roman"/>
          <w:color w:val="000000"/>
          <w:sz w:val="20"/>
          <w:szCs w:val="20"/>
          <w:lang w:val="fr-CA"/>
        </w:rPr>
      </w:pPr>
      <w:r w:rsidRPr="00625791">
        <w:rPr>
          <w:rFonts w:eastAsia="Times New Roman" w:cs="Times New Roman"/>
          <w:b/>
          <w:bCs/>
          <w:color w:val="000000"/>
          <w:sz w:val="20"/>
          <w:szCs w:val="20"/>
          <w:lang w:val="fr-CA"/>
        </w:rPr>
        <w:t>37</w:t>
      </w:r>
      <w:r w:rsidR="00846965" w:rsidRPr="00625791">
        <w:rPr>
          <w:rFonts w:eastAsia="Times New Roman" w:cs="Times New Roman"/>
          <w:b/>
          <w:bCs/>
          <w:color w:val="000000"/>
          <w:sz w:val="20"/>
          <w:szCs w:val="20"/>
          <w:lang w:val="fr-CA"/>
        </w:rPr>
        <w:t>898</w:t>
      </w:r>
      <w:r w:rsidR="00172473" w:rsidRPr="00625791">
        <w:rPr>
          <w:rFonts w:eastAsia="Times New Roman" w:cs="Times New Roman"/>
          <w:b/>
          <w:bCs/>
          <w:color w:val="000000"/>
          <w:sz w:val="20"/>
          <w:szCs w:val="20"/>
          <w:lang w:val="fr-CA"/>
        </w:rPr>
        <w:tab/>
      </w:r>
      <w:r w:rsidR="00846965" w:rsidRPr="00625791">
        <w:rPr>
          <w:b/>
          <w:sz w:val="20"/>
          <w:lang w:val="fr-CA"/>
        </w:rPr>
        <w:t>Desjardins Cabinet de services financiers inc. et Desjardins Gestion internationale d’actifs inc., personne morale légalement constituée, anciennement Desjardins Gestion d’actifs inc. c. Ronald Asselin</w:t>
      </w:r>
      <w:r w:rsidR="00281DA2" w:rsidRPr="00625791">
        <w:rPr>
          <w:rFonts w:eastAsia="Times New Roman" w:cs="Times New Roman"/>
          <w:b/>
          <w:bCs/>
          <w:color w:val="000000"/>
          <w:sz w:val="20"/>
          <w:szCs w:val="20"/>
          <w:lang w:val="fr-CA"/>
        </w:rPr>
        <w:t xml:space="preserve"> </w:t>
      </w:r>
      <w:r w:rsidRPr="00625791">
        <w:rPr>
          <w:rFonts w:eastAsia="Times New Roman" w:cs="Times New Roman"/>
          <w:color w:val="000000"/>
          <w:sz w:val="20"/>
          <w:szCs w:val="20"/>
          <w:lang w:val="fr-CA"/>
        </w:rPr>
        <w:t>(</w:t>
      </w:r>
      <w:r w:rsidR="00846965" w:rsidRPr="00625791">
        <w:rPr>
          <w:rFonts w:eastAsia="Times New Roman" w:cs="Times New Roman"/>
          <w:color w:val="000000"/>
          <w:sz w:val="20"/>
          <w:szCs w:val="20"/>
          <w:lang w:val="fr-CA"/>
        </w:rPr>
        <w:t>Qc</w:t>
      </w:r>
      <w:r w:rsidRPr="00625791">
        <w:rPr>
          <w:rFonts w:eastAsia="Times New Roman" w:cs="Times New Roman"/>
          <w:color w:val="000000"/>
          <w:sz w:val="20"/>
          <w:szCs w:val="20"/>
          <w:lang w:val="fr-CA"/>
        </w:rPr>
        <w:t>)</w:t>
      </w:r>
    </w:p>
    <w:p w:rsidR="00102792" w:rsidRPr="00625791" w:rsidRDefault="00102792" w:rsidP="00102792">
      <w:pPr>
        <w:ind w:left="1440"/>
        <w:jc w:val="both"/>
        <w:rPr>
          <w:rFonts w:eastAsia="Times New Roman" w:cs="Times New Roman"/>
          <w:color w:val="000000"/>
          <w:sz w:val="20"/>
          <w:szCs w:val="20"/>
          <w:lang w:val="fr-CA"/>
        </w:rPr>
      </w:pPr>
      <w:r w:rsidRPr="00625791">
        <w:rPr>
          <w:rFonts w:eastAsia="Times New Roman" w:cs="Times New Roman"/>
          <w:b/>
          <w:bCs/>
          <w:color w:val="000000"/>
          <w:sz w:val="20"/>
          <w:szCs w:val="20"/>
          <w:lang w:val="fr-CA"/>
        </w:rPr>
        <w:t>20</w:t>
      </w:r>
      <w:r w:rsidR="00172473" w:rsidRPr="00625791">
        <w:rPr>
          <w:rFonts w:eastAsia="Times New Roman" w:cs="Times New Roman"/>
          <w:b/>
          <w:bCs/>
          <w:color w:val="000000"/>
          <w:sz w:val="20"/>
          <w:szCs w:val="20"/>
          <w:lang w:val="fr-CA"/>
        </w:rPr>
        <w:t>20</w:t>
      </w:r>
      <w:r w:rsidRPr="00625791">
        <w:rPr>
          <w:rFonts w:eastAsia="Times New Roman" w:cs="Times New Roman"/>
          <w:b/>
          <w:bCs/>
          <w:color w:val="000000"/>
          <w:sz w:val="20"/>
          <w:szCs w:val="20"/>
          <w:lang w:val="fr-CA"/>
        </w:rPr>
        <w:t xml:space="preserve"> SCC </w:t>
      </w:r>
      <w:r w:rsidR="00846965" w:rsidRPr="00625791">
        <w:rPr>
          <w:rFonts w:eastAsia="Times New Roman" w:cs="Times New Roman"/>
          <w:b/>
          <w:bCs/>
          <w:color w:val="000000"/>
          <w:sz w:val="20"/>
          <w:szCs w:val="20"/>
          <w:lang w:val="fr-CA"/>
        </w:rPr>
        <w:t>30</w:t>
      </w:r>
      <w:r w:rsidRPr="00625791">
        <w:rPr>
          <w:rFonts w:eastAsia="Times New Roman" w:cs="Times New Roman"/>
          <w:b/>
          <w:bCs/>
          <w:color w:val="000000"/>
          <w:sz w:val="20"/>
          <w:szCs w:val="20"/>
          <w:lang w:val="fr-CA"/>
        </w:rPr>
        <w:t xml:space="preserve"> / 20</w:t>
      </w:r>
      <w:r w:rsidR="00172473" w:rsidRPr="00625791">
        <w:rPr>
          <w:rFonts w:eastAsia="Times New Roman" w:cs="Times New Roman"/>
          <w:b/>
          <w:bCs/>
          <w:color w:val="000000"/>
          <w:sz w:val="20"/>
          <w:szCs w:val="20"/>
          <w:lang w:val="fr-CA"/>
        </w:rPr>
        <w:t>20</w:t>
      </w:r>
      <w:r w:rsidRPr="00625791">
        <w:rPr>
          <w:rFonts w:eastAsia="Times New Roman" w:cs="Times New Roman"/>
          <w:b/>
          <w:bCs/>
          <w:color w:val="000000"/>
          <w:sz w:val="20"/>
          <w:szCs w:val="20"/>
          <w:lang w:val="fr-CA"/>
        </w:rPr>
        <w:t xml:space="preserve"> CSC </w:t>
      </w:r>
      <w:r w:rsidR="00846965" w:rsidRPr="00625791">
        <w:rPr>
          <w:rFonts w:eastAsia="Times New Roman" w:cs="Times New Roman"/>
          <w:b/>
          <w:bCs/>
          <w:color w:val="000000"/>
          <w:sz w:val="20"/>
          <w:szCs w:val="20"/>
          <w:lang w:val="fr-CA"/>
        </w:rPr>
        <w:t>30</w:t>
      </w:r>
    </w:p>
    <w:p w:rsidR="00102792" w:rsidRPr="00625791" w:rsidRDefault="00102792" w:rsidP="00102792">
      <w:pPr>
        <w:jc w:val="both"/>
        <w:rPr>
          <w:rFonts w:eastAsia="Times New Roman" w:cs="Times New Roman"/>
          <w:color w:val="000000"/>
          <w:sz w:val="20"/>
          <w:szCs w:val="20"/>
          <w:lang w:val="fr-CA"/>
        </w:rPr>
      </w:pPr>
    </w:p>
    <w:p w:rsidR="00102792" w:rsidRPr="00625791" w:rsidRDefault="00172473" w:rsidP="00102792">
      <w:pPr>
        <w:ind w:left="1440" w:hanging="1440"/>
        <w:rPr>
          <w:rFonts w:eastAsia="Times New Roman" w:cs="Times New Roman"/>
          <w:color w:val="000000"/>
          <w:sz w:val="20"/>
          <w:szCs w:val="20"/>
          <w:lang w:val="fr-CA"/>
        </w:rPr>
      </w:pPr>
      <w:r w:rsidRPr="00625791">
        <w:rPr>
          <w:rFonts w:eastAsia="Times New Roman" w:cs="Times New Roman"/>
          <w:color w:val="000000"/>
          <w:sz w:val="20"/>
          <w:szCs w:val="20"/>
          <w:lang w:val="fr-CA"/>
        </w:rPr>
        <w:t>Coram:</w:t>
      </w:r>
      <w:r w:rsidRPr="00625791">
        <w:rPr>
          <w:rFonts w:eastAsia="Times New Roman" w:cs="Times New Roman"/>
          <w:color w:val="000000"/>
          <w:sz w:val="20"/>
          <w:szCs w:val="20"/>
          <w:lang w:val="fr-CA"/>
        </w:rPr>
        <w:tab/>
      </w:r>
      <w:r w:rsidR="00846965" w:rsidRPr="00625791">
        <w:rPr>
          <w:rFonts w:eastAsia="Times New Roman" w:cs="Times New Roman"/>
          <w:color w:val="000000"/>
          <w:sz w:val="20"/>
          <w:szCs w:val="20"/>
          <w:lang w:val="fr-CA"/>
        </w:rPr>
        <w:t>Le juge en chef Wagner et les juges Abella, Moldaver, Karakatsanis, Côté, Brown, Rowe, Martin et Kasirer</w:t>
      </w:r>
    </w:p>
    <w:p w:rsidR="00102792" w:rsidRPr="00625791" w:rsidRDefault="00102792" w:rsidP="00102792">
      <w:pPr>
        <w:ind w:left="1440" w:hanging="1440"/>
        <w:rPr>
          <w:rFonts w:eastAsia="Times New Roman" w:cs="Times New Roman"/>
          <w:color w:val="000000"/>
          <w:sz w:val="20"/>
          <w:szCs w:val="20"/>
          <w:lang w:val="fr-CA"/>
        </w:rPr>
      </w:pPr>
    </w:p>
    <w:p w:rsidR="0004197A" w:rsidRPr="00625791" w:rsidRDefault="0004197A" w:rsidP="0004197A">
      <w:pPr>
        <w:jc w:val="both"/>
        <w:rPr>
          <w:sz w:val="20"/>
          <w:lang w:val="fr-CA"/>
        </w:rPr>
      </w:pPr>
      <w:r w:rsidRPr="00625791">
        <w:rPr>
          <w:sz w:val="20"/>
          <w:lang w:val="fr-CA"/>
        </w:rPr>
        <w:t xml:space="preserve">L’appel interjeté contre l’arrêt de la Cour d’appel du Québec (Montréal), numéro 500-09-025896-168, 2017 QCCA 1673, daté du 31 octobre 2017, entendu le 5 décembre 2019, est accueilli en partie à la seule fin de modifier les par. 8 et 9 de l’arrêt de la Cour d’appel afin qu’ils se lisent de la manière suivante : </w:t>
      </w:r>
    </w:p>
    <w:p w:rsidR="0004197A" w:rsidRPr="00625791" w:rsidRDefault="0004197A" w:rsidP="0004197A">
      <w:pPr>
        <w:pStyle w:val="Citation-AltC"/>
        <w:tabs>
          <w:tab w:val="left" w:pos="1560"/>
        </w:tabs>
        <w:spacing w:after="0"/>
        <w:ind w:left="0"/>
        <w:contextualSpacing w:val="0"/>
        <w:rPr>
          <w:rFonts w:eastAsiaTheme="minorEastAsia"/>
          <w:sz w:val="20"/>
          <w:lang w:val="fr-CA"/>
        </w:rPr>
      </w:pPr>
    </w:p>
    <w:p w:rsidR="0004197A" w:rsidRPr="00625791" w:rsidRDefault="0004197A" w:rsidP="0004197A">
      <w:pPr>
        <w:pStyle w:val="Citation-AltC"/>
        <w:tabs>
          <w:tab w:val="left" w:pos="1560"/>
        </w:tabs>
        <w:spacing w:after="0"/>
        <w:ind w:left="0"/>
        <w:contextualSpacing w:val="0"/>
        <w:rPr>
          <w:rFonts w:eastAsiaTheme="minorEastAsia"/>
          <w:sz w:val="20"/>
          <w:lang w:val="fr-CA"/>
        </w:rPr>
      </w:pPr>
      <w:r w:rsidRPr="00625791">
        <w:rPr>
          <w:rFonts w:eastAsiaTheme="minorEastAsia"/>
          <w:sz w:val="20"/>
          <w:lang w:val="fr-CA"/>
        </w:rPr>
        <w:t xml:space="preserve">[8] </w:t>
      </w:r>
      <w:r w:rsidRPr="00625791">
        <w:rPr>
          <w:rFonts w:eastAsiaTheme="minorEastAsia"/>
          <w:b/>
          <w:sz w:val="20"/>
          <w:lang w:val="fr-CA"/>
        </w:rPr>
        <w:t>IDENTIFIE</w:t>
      </w:r>
      <w:r w:rsidRPr="00625791">
        <w:rPr>
          <w:rFonts w:eastAsiaTheme="minorEastAsia"/>
          <w:sz w:val="20"/>
          <w:lang w:val="fr-CA"/>
        </w:rPr>
        <w:t xml:space="preserve"> comme suit les principales questions de fait et de droit qui devront être traitées collectivement : </w:t>
      </w:r>
    </w:p>
    <w:p w:rsidR="0004197A" w:rsidRPr="00625791" w:rsidRDefault="0004197A" w:rsidP="0004197A">
      <w:pPr>
        <w:pStyle w:val="Citation-AltC"/>
        <w:tabs>
          <w:tab w:val="left" w:pos="1560"/>
        </w:tabs>
        <w:spacing w:after="0"/>
        <w:ind w:left="0"/>
        <w:contextualSpacing w:val="0"/>
        <w:rPr>
          <w:rFonts w:eastAsiaTheme="minorEastAsia"/>
          <w:sz w:val="20"/>
          <w:lang w:val="fr-CA"/>
        </w:rPr>
      </w:pPr>
    </w:p>
    <w:p w:rsidR="0004197A" w:rsidRPr="00625791" w:rsidRDefault="0004197A" w:rsidP="0004197A">
      <w:pPr>
        <w:pStyle w:val="Citation-AltC"/>
        <w:spacing w:after="0"/>
        <w:ind w:left="0"/>
        <w:contextualSpacing w:val="0"/>
        <w:jc w:val="center"/>
        <w:rPr>
          <w:sz w:val="20"/>
          <w:lang w:val="fr-CA"/>
        </w:rPr>
      </w:pPr>
      <w:r w:rsidRPr="00625791">
        <w:rPr>
          <w:rFonts w:eastAsiaTheme="minorEastAsia"/>
          <w:sz w:val="20"/>
          <w:lang w:val="fr-CA"/>
        </w:rPr>
        <w:t>. . .</w:t>
      </w:r>
    </w:p>
    <w:p w:rsidR="0004197A" w:rsidRPr="00625791" w:rsidRDefault="0004197A" w:rsidP="0004197A">
      <w:pPr>
        <w:pStyle w:val="Citation-AltC"/>
        <w:tabs>
          <w:tab w:val="left" w:pos="1560"/>
        </w:tabs>
        <w:spacing w:after="0"/>
        <w:ind w:left="0"/>
        <w:contextualSpacing w:val="0"/>
        <w:rPr>
          <w:sz w:val="20"/>
          <w:lang w:val="fr-CA"/>
        </w:rPr>
      </w:pPr>
    </w:p>
    <w:p w:rsidR="0004197A" w:rsidRPr="00625791" w:rsidRDefault="0004197A" w:rsidP="0004197A">
      <w:pPr>
        <w:pStyle w:val="Citation-AltC"/>
        <w:numPr>
          <w:ilvl w:val="0"/>
          <w:numId w:val="2"/>
        </w:numPr>
        <w:tabs>
          <w:tab w:val="left" w:pos="1560"/>
        </w:tabs>
        <w:spacing w:after="0"/>
        <w:contextualSpacing w:val="0"/>
        <w:rPr>
          <w:sz w:val="20"/>
          <w:lang w:val="fr-CA"/>
        </w:rPr>
      </w:pPr>
      <w:r w:rsidRPr="00625791">
        <w:rPr>
          <w:b/>
          <w:sz w:val="20"/>
          <w:lang w:val="fr-CA"/>
        </w:rPr>
        <w:t>Dommages.</w:t>
      </w:r>
      <w:r w:rsidRPr="00625791">
        <w:rPr>
          <w:sz w:val="20"/>
          <w:lang w:val="fr-CA"/>
        </w:rPr>
        <w:t xml:space="preserve"> Selon les réponses aux questions qui précèdent, Desjardins Cabinet de Services Financiers inc. et Desjardins Gestion Internationale d’Actifs inc. sont-elles tenues : </w:t>
      </w:r>
    </w:p>
    <w:p w:rsidR="0004197A" w:rsidRPr="00625791" w:rsidRDefault="0004197A" w:rsidP="0004197A">
      <w:pPr>
        <w:pStyle w:val="Citation-AltC"/>
        <w:tabs>
          <w:tab w:val="left" w:pos="1560"/>
        </w:tabs>
        <w:spacing w:after="0"/>
        <w:ind w:left="0"/>
        <w:contextualSpacing w:val="0"/>
        <w:rPr>
          <w:sz w:val="20"/>
          <w:lang w:val="fr-CA"/>
        </w:rPr>
      </w:pPr>
    </w:p>
    <w:p w:rsidR="0004197A" w:rsidRPr="00625791" w:rsidRDefault="0004197A" w:rsidP="0004197A">
      <w:pPr>
        <w:pStyle w:val="Citation-AltC"/>
        <w:tabs>
          <w:tab w:val="left" w:pos="1560"/>
        </w:tabs>
        <w:spacing w:after="0"/>
        <w:ind w:left="0"/>
        <w:contextualSpacing w:val="0"/>
        <w:jc w:val="center"/>
        <w:rPr>
          <w:sz w:val="20"/>
          <w:lang w:val="fr-CA"/>
        </w:rPr>
      </w:pPr>
      <w:r w:rsidRPr="00625791">
        <w:rPr>
          <w:sz w:val="20"/>
          <w:lang w:val="fr-CA"/>
        </w:rPr>
        <w:t>. . .</w:t>
      </w:r>
    </w:p>
    <w:p w:rsidR="0004197A" w:rsidRPr="00625791" w:rsidRDefault="0004197A" w:rsidP="0004197A">
      <w:pPr>
        <w:pStyle w:val="Citation-AltC"/>
        <w:tabs>
          <w:tab w:val="left" w:pos="1560"/>
        </w:tabs>
        <w:spacing w:after="0"/>
        <w:ind w:left="0"/>
        <w:contextualSpacing w:val="0"/>
        <w:rPr>
          <w:sz w:val="20"/>
          <w:lang w:val="fr-CA"/>
        </w:rPr>
      </w:pPr>
    </w:p>
    <w:p w:rsidR="0004197A" w:rsidRPr="00625791" w:rsidRDefault="0004197A" w:rsidP="0004197A">
      <w:pPr>
        <w:pStyle w:val="Citation-AltC"/>
        <w:numPr>
          <w:ilvl w:val="0"/>
          <w:numId w:val="3"/>
        </w:numPr>
        <w:tabs>
          <w:tab w:val="left" w:pos="1560"/>
        </w:tabs>
        <w:spacing w:after="0"/>
        <w:ind w:left="1076" w:hanging="283"/>
        <w:contextualSpacing w:val="0"/>
        <w:rPr>
          <w:sz w:val="20"/>
          <w:lang w:val="fr-CA"/>
        </w:rPr>
      </w:pPr>
      <w:r w:rsidRPr="00625791">
        <w:rPr>
          <w:sz w:val="20"/>
          <w:lang w:val="fr-CA"/>
        </w:rPr>
        <w:t>au paiement à chacun des membres du groupe d’une somme de mille dollars (1 000 $) à titre de dommages-intérêts punitifs uniquement en lien avec des « Réclamations non visées » au sens de l’article 1 du Troisième plan modifié de transaction et d’arrangement homologué par l’ordonnance de la Cour supérieure de justice de l’Ontario daté du 12 janvier 2009 (</w:t>
      </w:r>
      <w:r w:rsidRPr="00625791">
        <w:rPr>
          <w:i/>
          <w:sz w:val="20"/>
          <w:lang w:val="fr-CA"/>
        </w:rPr>
        <w:t>ATB Financial c.</w:t>
      </w:r>
      <w:r w:rsidRPr="00625791">
        <w:rPr>
          <w:sz w:val="20"/>
          <w:lang w:val="fr-CA"/>
        </w:rPr>
        <w:t xml:space="preserve"> </w:t>
      </w:r>
      <w:r w:rsidRPr="00625791">
        <w:rPr>
          <w:i/>
          <w:sz w:val="20"/>
          <w:lang w:val="fr-CA"/>
        </w:rPr>
        <w:t xml:space="preserve">Metcalfe &amp; Mansfield Alternative Investments II Corp. </w:t>
      </w:r>
      <w:r w:rsidRPr="00625791">
        <w:rPr>
          <w:sz w:val="20"/>
          <w:lang w:val="fr-CA"/>
        </w:rPr>
        <w:t>(2008), 43 C.B.R. (5th) 269), sauf à parfaire, avec intérêt au taux légale et l’indemnité additionnelle à compter du jugement à être prononcé?</w:t>
      </w:r>
    </w:p>
    <w:p w:rsidR="0004197A" w:rsidRPr="00625791" w:rsidRDefault="0004197A" w:rsidP="0004197A">
      <w:pPr>
        <w:pStyle w:val="Citation-AltC"/>
        <w:tabs>
          <w:tab w:val="left" w:pos="1560"/>
        </w:tabs>
        <w:spacing w:after="0"/>
        <w:ind w:left="0"/>
        <w:contextualSpacing w:val="0"/>
        <w:rPr>
          <w:sz w:val="20"/>
          <w:lang w:val="fr-CA"/>
        </w:rPr>
      </w:pPr>
    </w:p>
    <w:p w:rsidR="0004197A" w:rsidRPr="00625791" w:rsidRDefault="0004197A" w:rsidP="0004197A">
      <w:pPr>
        <w:pStyle w:val="Citation-AltC"/>
        <w:tabs>
          <w:tab w:val="left" w:pos="1560"/>
        </w:tabs>
        <w:spacing w:after="0"/>
        <w:ind w:left="0"/>
        <w:contextualSpacing w:val="0"/>
        <w:rPr>
          <w:sz w:val="20"/>
          <w:lang w:val="fr-CA"/>
        </w:rPr>
      </w:pPr>
      <w:r w:rsidRPr="00625791">
        <w:rPr>
          <w:sz w:val="20"/>
          <w:lang w:val="fr-CA"/>
        </w:rPr>
        <w:t xml:space="preserve">[9] </w:t>
      </w:r>
      <w:r w:rsidRPr="00625791">
        <w:rPr>
          <w:b/>
          <w:sz w:val="20"/>
          <w:lang w:val="fr-CA"/>
        </w:rPr>
        <w:t>IDENTIFIE</w:t>
      </w:r>
      <w:r w:rsidRPr="00625791">
        <w:rPr>
          <w:sz w:val="20"/>
          <w:lang w:val="fr-CA"/>
        </w:rPr>
        <w:t xml:space="preserve"> comme suit les principales conclusions recherchées sur le fond par l’action collective, étant entendu que le caractère </w:t>
      </w:r>
      <w:r w:rsidRPr="00625791">
        <w:rPr>
          <w:i/>
          <w:sz w:val="20"/>
          <w:lang w:val="fr-CA"/>
        </w:rPr>
        <w:t>in solidum</w:t>
      </w:r>
      <w:r w:rsidRPr="00625791">
        <w:rPr>
          <w:sz w:val="20"/>
          <w:lang w:val="fr-CA"/>
        </w:rPr>
        <w:t xml:space="preserve"> des condamnations ci-dessous est tributaire de la réponse que, le cas échéant, la Cour supérieure donnera à la question 6 </w:t>
      </w:r>
      <w:r w:rsidRPr="00625791">
        <w:rPr>
          <w:i/>
          <w:sz w:val="20"/>
          <w:lang w:val="fr-CA"/>
        </w:rPr>
        <w:t>in fine</w:t>
      </w:r>
      <w:r w:rsidRPr="00625791">
        <w:rPr>
          <w:sz w:val="20"/>
          <w:lang w:val="fr-CA"/>
        </w:rPr>
        <w:t xml:space="preserve">, telle que définie au paragraphe [8] ci-dessus : </w:t>
      </w:r>
    </w:p>
    <w:p w:rsidR="0004197A" w:rsidRPr="00625791" w:rsidRDefault="0004197A" w:rsidP="0004197A">
      <w:pPr>
        <w:pStyle w:val="Citation-AltC"/>
        <w:tabs>
          <w:tab w:val="left" w:pos="1560"/>
        </w:tabs>
        <w:spacing w:after="0"/>
        <w:ind w:left="0"/>
        <w:contextualSpacing w:val="0"/>
        <w:rPr>
          <w:sz w:val="20"/>
          <w:lang w:val="fr-CA"/>
        </w:rPr>
      </w:pPr>
    </w:p>
    <w:p w:rsidR="0004197A" w:rsidRPr="00625791" w:rsidRDefault="0004197A" w:rsidP="0004197A">
      <w:pPr>
        <w:pStyle w:val="Citation-AltC"/>
        <w:tabs>
          <w:tab w:val="left" w:pos="1560"/>
        </w:tabs>
        <w:spacing w:after="0"/>
        <w:ind w:left="0"/>
        <w:contextualSpacing w:val="0"/>
        <w:jc w:val="center"/>
        <w:rPr>
          <w:sz w:val="20"/>
          <w:lang w:val="fr-CA"/>
        </w:rPr>
      </w:pPr>
      <w:r w:rsidRPr="00625791">
        <w:rPr>
          <w:sz w:val="20"/>
          <w:lang w:val="fr-CA"/>
        </w:rPr>
        <w:t>. . .</w:t>
      </w:r>
    </w:p>
    <w:p w:rsidR="0004197A" w:rsidRPr="00625791" w:rsidRDefault="0004197A" w:rsidP="0004197A">
      <w:pPr>
        <w:pStyle w:val="Citation-AltC"/>
        <w:tabs>
          <w:tab w:val="left" w:pos="1560"/>
        </w:tabs>
        <w:spacing w:after="0"/>
        <w:ind w:left="0"/>
        <w:contextualSpacing w:val="0"/>
        <w:rPr>
          <w:sz w:val="20"/>
          <w:lang w:val="fr-CA"/>
        </w:rPr>
      </w:pPr>
    </w:p>
    <w:p w:rsidR="0004197A" w:rsidRPr="00625791" w:rsidRDefault="0004197A" w:rsidP="0004197A">
      <w:pPr>
        <w:pStyle w:val="Citation-AltC"/>
        <w:spacing w:after="0"/>
        <w:ind w:left="226"/>
        <w:contextualSpacing w:val="0"/>
        <w:rPr>
          <w:sz w:val="20"/>
          <w:lang w:val="fr-CA"/>
        </w:rPr>
      </w:pPr>
      <w:r w:rsidRPr="00625791">
        <w:rPr>
          <w:sz w:val="20"/>
          <w:lang w:val="fr-CA"/>
        </w:rPr>
        <w:t>CONDAMNER chacune des intimées à payer à chacun des membres du groupe la somme de mille dollars (1 000 $) à titre de dommages-intérêts punitifs uniquement en lien avec des « Réclamations non visées » au sens de l’article 1 du Troisième plan modifié de transaction et d’arrangement homologué par l’ordonnance de la Cour supérieure de justice de l’Ontario daté du 12 janvier 2009 (</w:t>
      </w:r>
      <w:r w:rsidRPr="00625791">
        <w:rPr>
          <w:i/>
          <w:sz w:val="20"/>
          <w:lang w:val="fr-CA"/>
        </w:rPr>
        <w:t>ATB Financial c.</w:t>
      </w:r>
      <w:r w:rsidRPr="00625791">
        <w:rPr>
          <w:sz w:val="20"/>
          <w:lang w:val="fr-CA"/>
        </w:rPr>
        <w:t xml:space="preserve"> </w:t>
      </w:r>
      <w:r w:rsidRPr="00625791">
        <w:rPr>
          <w:i/>
          <w:sz w:val="20"/>
          <w:lang w:val="fr-CA"/>
        </w:rPr>
        <w:t xml:space="preserve">Metcalfe &amp; Mansfield Alternative Investments II Corp. </w:t>
      </w:r>
      <w:r w:rsidRPr="00625791">
        <w:rPr>
          <w:sz w:val="20"/>
          <w:lang w:val="fr-CA"/>
        </w:rPr>
        <w:t>(2008), 43 C.B.R. (5th) 269), sauf à parfaire, avec l’intérêt au taux légal et l’indemnité additionnelle à compter du jugement à être prononcé et ORDONNER le recouvrement collectif de ces sommes.</w:t>
      </w:r>
    </w:p>
    <w:p w:rsidR="0004197A" w:rsidRPr="00625791" w:rsidRDefault="0004197A" w:rsidP="0004197A">
      <w:pPr>
        <w:jc w:val="both"/>
        <w:rPr>
          <w:sz w:val="20"/>
          <w:lang w:val="fr-CA"/>
        </w:rPr>
      </w:pPr>
    </w:p>
    <w:p w:rsidR="0004197A" w:rsidRPr="00625791" w:rsidRDefault="0004197A" w:rsidP="0004197A">
      <w:pPr>
        <w:jc w:val="both"/>
        <w:rPr>
          <w:sz w:val="20"/>
          <w:lang w:val="fr-CA"/>
        </w:rPr>
      </w:pPr>
      <w:r w:rsidRPr="00625791">
        <w:rPr>
          <w:sz w:val="20"/>
          <w:lang w:val="fr-CA"/>
        </w:rPr>
        <w:t>Les dépens devant toutes les cours sont accordés à l’intimé. Les juges Moldaver, Côté et Rowe sont dissidents en partie.</w:t>
      </w:r>
    </w:p>
    <w:p w:rsidR="0004197A" w:rsidRPr="00625791" w:rsidRDefault="0004197A" w:rsidP="0004197A">
      <w:pPr>
        <w:jc w:val="both"/>
        <w:rPr>
          <w:sz w:val="20"/>
          <w:lang w:val="fr-CA"/>
        </w:rPr>
      </w:pPr>
    </w:p>
    <w:p w:rsidR="0004197A" w:rsidRPr="00625791" w:rsidRDefault="0004197A" w:rsidP="0004197A">
      <w:pPr>
        <w:jc w:val="both"/>
        <w:rPr>
          <w:sz w:val="20"/>
          <w:lang w:val="fr-CA"/>
        </w:rPr>
      </w:pPr>
    </w:p>
    <w:p w:rsidR="0004197A" w:rsidRPr="00625791" w:rsidRDefault="0004197A" w:rsidP="0004197A">
      <w:pPr>
        <w:jc w:val="both"/>
        <w:rPr>
          <w:sz w:val="20"/>
        </w:rPr>
      </w:pPr>
      <w:r w:rsidRPr="00625791">
        <w:rPr>
          <w:sz w:val="20"/>
        </w:rPr>
        <w:t>The appeal from the judgment of the Court of Appeal of Quebec (Montréal), Number  500-09-025896-168, 2017 QCCA 1673, dated October 31, 2017, heard on December 5, 2019, is allowed in part solely for the purpose of varying paras. 8 and 9 of the Court of Appeal’s judgment so that they read as follows:</w:t>
      </w:r>
    </w:p>
    <w:p w:rsidR="0004197A" w:rsidRPr="00625791" w:rsidRDefault="0004197A" w:rsidP="0004197A">
      <w:pPr>
        <w:jc w:val="both"/>
        <w:rPr>
          <w:sz w:val="20"/>
        </w:rPr>
      </w:pPr>
    </w:p>
    <w:p w:rsidR="0004197A" w:rsidRPr="00625791" w:rsidRDefault="0004197A" w:rsidP="0004197A">
      <w:pPr>
        <w:pStyle w:val="Citation-AltC"/>
        <w:tabs>
          <w:tab w:val="left" w:pos="1560"/>
        </w:tabs>
        <w:spacing w:after="0"/>
        <w:ind w:left="0"/>
        <w:contextualSpacing w:val="0"/>
        <w:rPr>
          <w:rFonts w:eastAsiaTheme="minorEastAsia"/>
          <w:sz w:val="20"/>
        </w:rPr>
      </w:pPr>
      <w:r w:rsidRPr="00625791">
        <w:rPr>
          <w:rFonts w:eastAsiaTheme="minorEastAsia"/>
          <w:sz w:val="20"/>
        </w:rPr>
        <w:t>[</w:t>
      </w:r>
      <w:r w:rsidRPr="00625791">
        <w:rPr>
          <w:rFonts w:eastAsiaTheme="minorEastAsia"/>
          <w:smallCaps/>
          <w:sz w:val="20"/>
        </w:rPr>
        <w:t>translation</w:t>
      </w:r>
      <w:r w:rsidRPr="00625791">
        <w:rPr>
          <w:rFonts w:eastAsiaTheme="minorEastAsia"/>
          <w:sz w:val="20"/>
        </w:rPr>
        <w:t>]</w:t>
      </w:r>
    </w:p>
    <w:p w:rsidR="0004197A" w:rsidRPr="00625791" w:rsidRDefault="0004197A" w:rsidP="0004197A">
      <w:pPr>
        <w:pStyle w:val="Citation-AltC"/>
        <w:tabs>
          <w:tab w:val="left" w:pos="1560"/>
        </w:tabs>
        <w:spacing w:after="0"/>
        <w:ind w:left="0"/>
        <w:contextualSpacing w:val="0"/>
        <w:rPr>
          <w:rFonts w:eastAsiaTheme="minorEastAsia"/>
          <w:sz w:val="20"/>
        </w:rPr>
      </w:pPr>
      <w:r w:rsidRPr="00625791">
        <w:rPr>
          <w:rFonts w:eastAsiaTheme="minorEastAsia"/>
          <w:sz w:val="20"/>
        </w:rPr>
        <w:t xml:space="preserve">[8] </w:t>
      </w:r>
      <w:r w:rsidRPr="00625791">
        <w:rPr>
          <w:rFonts w:eastAsiaTheme="minorEastAsia"/>
          <w:b/>
          <w:sz w:val="20"/>
        </w:rPr>
        <w:t>IDENTIFIES</w:t>
      </w:r>
      <w:r w:rsidRPr="00625791">
        <w:rPr>
          <w:rFonts w:eastAsiaTheme="minorEastAsia"/>
          <w:sz w:val="20"/>
        </w:rPr>
        <w:t xml:space="preserve"> as follows the</w:t>
      </w:r>
      <w:r w:rsidRPr="00625791">
        <w:rPr>
          <w:sz w:val="20"/>
        </w:rPr>
        <w:t xml:space="preserve"> principal </w:t>
      </w:r>
      <w:r w:rsidRPr="00625791">
        <w:rPr>
          <w:rFonts w:eastAsiaTheme="minorEastAsia"/>
          <w:sz w:val="20"/>
        </w:rPr>
        <w:t>questions of fact and of law to be dealt with collectively: </w:t>
      </w:r>
    </w:p>
    <w:p w:rsidR="0004197A" w:rsidRPr="00625791" w:rsidRDefault="0004197A" w:rsidP="0004197A">
      <w:pPr>
        <w:pStyle w:val="Citation-AltC"/>
        <w:tabs>
          <w:tab w:val="left" w:pos="1560"/>
        </w:tabs>
        <w:spacing w:after="0"/>
        <w:ind w:left="0"/>
        <w:contextualSpacing w:val="0"/>
        <w:jc w:val="left"/>
        <w:rPr>
          <w:rFonts w:eastAsiaTheme="minorEastAsia"/>
          <w:sz w:val="20"/>
        </w:rPr>
      </w:pPr>
    </w:p>
    <w:p w:rsidR="0004197A" w:rsidRPr="00625791" w:rsidRDefault="0004197A" w:rsidP="0004197A">
      <w:pPr>
        <w:pStyle w:val="Citation-AltC"/>
        <w:tabs>
          <w:tab w:val="left" w:pos="1560"/>
        </w:tabs>
        <w:spacing w:after="0"/>
        <w:ind w:left="0"/>
        <w:contextualSpacing w:val="0"/>
        <w:jc w:val="center"/>
        <w:rPr>
          <w:rFonts w:eastAsiaTheme="minorEastAsia"/>
          <w:sz w:val="20"/>
        </w:rPr>
      </w:pPr>
      <w:r w:rsidRPr="00625791">
        <w:rPr>
          <w:rFonts w:eastAsiaTheme="minorEastAsia"/>
          <w:sz w:val="20"/>
        </w:rPr>
        <w:t>. . .</w:t>
      </w:r>
    </w:p>
    <w:p w:rsidR="0004197A" w:rsidRPr="00625791" w:rsidRDefault="0004197A" w:rsidP="0004197A">
      <w:pPr>
        <w:pStyle w:val="Citation-AltC"/>
        <w:tabs>
          <w:tab w:val="left" w:pos="1560"/>
        </w:tabs>
        <w:spacing w:after="0"/>
        <w:ind w:left="0"/>
        <w:contextualSpacing w:val="0"/>
        <w:jc w:val="left"/>
        <w:rPr>
          <w:sz w:val="20"/>
        </w:rPr>
      </w:pPr>
    </w:p>
    <w:p w:rsidR="0004197A" w:rsidRPr="00625791" w:rsidRDefault="0004197A" w:rsidP="0004197A">
      <w:pPr>
        <w:pStyle w:val="Citation-AltC"/>
        <w:numPr>
          <w:ilvl w:val="0"/>
          <w:numId w:val="4"/>
        </w:numPr>
        <w:tabs>
          <w:tab w:val="left" w:pos="1560"/>
        </w:tabs>
        <w:spacing w:after="0"/>
        <w:contextualSpacing w:val="0"/>
        <w:rPr>
          <w:sz w:val="20"/>
        </w:rPr>
      </w:pPr>
      <w:r w:rsidRPr="00625791">
        <w:rPr>
          <w:b/>
          <w:sz w:val="20"/>
        </w:rPr>
        <w:t>Damages.</w:t>
      </w:r>
      <w:r w:rsidRPr="00625791">
        <w:rPr>
          <w:sz w:val="20"/>
        </w:rPr>
        <w:t xml:space="preserve"> Based on the answers to the previous questions, are Desjardins Financial Services Firm Inc. and Desjardins Global Asset Management Inc. liable:</w:t>
      </w:r>
    </w:p>
    <w:p w:rsidR="0004197A" w:rsidRPr="00625791" w:rsidRDefault="0004197A" w:rsidP="0004197A">
      <w:pPr>
        <w:pStyle w:val="Citation-AltC"/>
        <w:tabs>
          <w:tab w:val="left" w:pos="1560"/>
        </w:tabs>
        <w:spacing w:after="0"/>
        <w:ind w:left="0"/>
        <w:contextualSpacing w:val="0"/>
        <w:jc w:val="left"/>
        <w:rPr>
          <w:sz w:val="20"/>
        </w:rPr>
      </w:pPr>
    </w:p>
    <w:p w:rsidR="0004197A" w:rsidRPr="00625791" w:rsidRDefault="0004197A" w:rsidP="0004197A">
      <w:pPr>
        <w:pStyle w:val="Citation-AltC"/>
        <w:tabs>
          <w:tab w:val="left" w:pos="1560"/>
        </w:tabs>
        <w:spacing w:after="0"/>
        <w:ind w:left="0"/>
        <w:contextualSpacing w:val="0"/>
        <w:jc w:val="center"/>
        <w:rPr>
          <w:sz w:val="20"/>
        </w:rPr>
      </w:pPr>
      <w:r w:rsidRPr="00625791">
        <w:rPr>
          <w:sz w:val="20"/>
        </w:rPr>
        <w:t>. . .</w:t>
      </w:r>
    </w:p>
    <w:p w:rsidR="0004197A" w:rsidRPr="00625791" w:rsidRDefault="0004197A" w:rsidP="0004197A">
      <w:pPr>
        <w:pStyle w:val="Citation-AltC"/>
        <w:tabs>
          <w:tab w:val="left" w:pos="1560"/>
        </w:tabs>
        <w:spacing w:after="0"/>
        <w:ind w:left="0"/>
        <w:contextualSpacing w:val="0"/>
        <w:jc w:val="left"/>
        <w:rPr>
          <w:sz w:val="20"/>
        </w:rPr>
      </w:pPr>
    </w:p>
    <w:p w:rsidR="0004197A" w:rsidRPr="00625791" w:rsidRDefault="0004197A" w:rsidP="0004197A">
      <w:pPr>
        <w:pStyle w:val="Citation-AltC"/>
        <w:numPr>
          <w:ilvl w:val="0"/>
          <w:numId w:val="5"/>
        </w:numPr>
        <w:tabs>
          <w:tab w:val="left" w:pos="1016"/>
        </w:tabs>
        <w:spacing w:after="0"/>
        <w:ind w:left="1016" w:hanging="272"/>
        <w:contextualSpacing w:val="0"/>
        <w:rPr>
          <w:sz w:val="20"/>
        </w:rPr>
      </w:pPr>
      <w:r w:rsidRPr="00625791">
        <w:rPr>
          <w:sz w:val="20"/>
        </w:rPr>
        <w:t>to pay each member of the group one thousand dollars ($1,000) in punitive damages solely in relation to “Unaffected Claims” within the meaning of article 1 of the Third Amended Plan of Compromise and Arrangement approved by order of the Ontario Superior Court dated January 12, 2009 (</w:t>
      </w:r>
      <w:r w:rsidRPr="00625791">
        <w:rPr>
          <w:i/>
          <w:sz w:val="20"/>
        </w:rPr>
        <w:t>ATB Financial c.</w:t>
      </w:r>
      <w:r w:rsidRPr="00625791">
        <w:rPr>
          <w:sz w:val="20"/>
        </w:rPr>
        <w:t xml:space="preserve"> </w:t>
      </w:r>
      <w:r w:rsidRPr="00625791">
        <w:rPr>
          <w:i/>
          <w:sz w:val="20"/>
        </w:rPr>
        <w:t xml:space="preserve">Metcalfe &amp; Mansfield Alternative Investments II Corp. </w:t>
      </w:r>
      <w:r w:rsidRPr="00625791">
        <w:rPr>
          <w:sz w:val="20"/>
        </w:rPr>
        <w:t>(2008), 43 C.B.R. (5th) 269), subject to adjustment, with interest at the legal rate and the additional indemnity from the date of the judgment to be rendered?</w:t>
      </w:r>
    </w:p>
    <w:p w:rsidR="0004197A" w:rsidRPr="00625791" w:rsidRDefault="0004197A" w:rsidP="0004197A">
      <w:pPr>
        <w:pStyle w:val="Citation-AltC"/>
        <w:tabs>
          <w:tab w:val="left" w:pos="1560"/>
        </w:tabs>
        <w:spacing w:after="0"/>
        <w:ind w:left="0"/>
        <w:contextualSpacing w:val="0"/>
        <w:rPr>
          <w:sz w:val="20"/>
        </w:rPr>
      </w:pPr>
    </w:p>
    <w:p w:rsidR="0004197A" w:rsidRPr="00625791" w:rsidRDefault="0004197A" w:rsidP="0004197A">
      <w:pPr>
        <w:pStyle w:val="Citation-AltC"/>
        <w:tabs>
          <w:tab w:val="left" w:pos="1560"/>
        </w:tabs>
        <w:spacing w:after="0"/>
        <w:ind w:left="0"/>
        <w:contextualSpacing w:val="0"/>
        <w:rPr>
          <w:sz w:val="20"/>
        </w:rPr>
      </w:pPr>
      <w:r w:rsidRPr="00625791">
        <w:rPr>
          <w:sz w:val="20"/>
        </w:rPr>
        <w:t xml:space="preserve">[9] </w:t>
      </w:r>
      <w:r w:rsidRPr="00625791">
        <w:rPr>
          <w:b/>
          <w:sz w:val="20"/>
        </w:rPr>
        <w:t>IDENTIFIES</w:t>
      </w:r>
      <w:r w:rsidRPr="00625791">
        <w:rPr>
          <w:sz w:val="20"/>
        </w:rPr>
        <w:t xml:space="preserve"> as follows the principal conclusions sought on the merits in the class action, it being understood that whether the awards set out below are </w:t>
      </w:r>
      <w:r w:rsidRPr="00625791">
        <w:rPr>
          <w:i/>
          <w:sz w:val="20"/>
        </w:rPr>
        <w:t xml:space="preserve">in solidum </w:t>
      </w:r>
      <w:r w:rsidRPr="00625791">
        <w:rPr>
          <w:sz w:val="20"/>
        </w:rPr>
        <w:t xml:space="preserve">depends on the answer, if any, given by the Superior Court to the final portion of question 6, as defined at paragraph [8] above: </w:t>
      </w:r>
    </w:p>
    <w:p w:rsidR="0004197A" w:rsidRPr="00625791" w:rsidRDefault="0004197A" w:rsidP="0004197A">
      <w:pPr>
        <w:pStyle w:val="Citation-AltC"/>
        <w:tabs>
          <w:tab w:val="left" w:pos="1560"/>
        </w:tabs>
        <w:spacing w:after="0"/>
        <w:ind w:left="0"/>
        <w:contextualSpacing w:val="0"/>
        <w:rPr>
          <w:sz w:val="20"/>
        </w:rPr>
      </w:pPr>
    </w:p>
    <w:p w:rsidR="0004197A" w:rsidRPr="00625791" w:rsidRDefault="0004197A" w:rsidP="0004197A">
      <w:pPr>
        <w:pStyle w:val="Citation-AltC"/>
        <w:tabs>
          <w:tab w:val="left" w:pos="1560"/>
        </w:tabs>
        <w:spacing w:after="0"/>
        <w:ind w:left="0"/>
        <w:contextualSpacing w:val="0"/>
        <w:jc w:val="center"/>
        <w:rPr>
          <w:sz w:val="20"/>
        </w:rPr>
      </w:pPr>
      <w:r w:rsidRPr="00625791">
        <w:rPr>
          <w:sz w:val="20"/>
        </w:rPr>
        <w:t>. . .</w:t>
      </w:r>
    </w:p>
    <w:p w:rsidR="0004197A" w:rsidRPr="00625791" w:rsidRDefault="0004197A" w:rsidP="0004197A">
      <w:pPr>
        <w:pStyle w:val="Citation-AltC"/>
        <w:tabs>
          <w:tab w:val="left" w:pos="1560"/>
        </w:tabs>
        <w:spacing w:after="0"/>
        <w:ind w:left="0"/>
        <w:contextualSpacing w:val="0"/>
        <w:rPr>
          <w:sz w:val="20"/>
        </w:rPr>
      </w:pPr>
    </w:p>
    <w:p w:rsidR="0004197A" w:rsidRPr="00625791" w:rsidRDefault="0004197A" w:rsidP="0004197A">
      <w:pPr>
        <w:pStyle w:val="Citation-AltC"/>
        <w:tabs>
          <w:tab w:val="left" w:pos="1560"/>
        </w:tabs>
        <w:spacing w:after="0"/>
        <w:ind w:left="307"/>
        <w:contextualSpacing w:val="0"/>
        <w:rPr>
          <w:sz w:val="20"/>
        </w:rPr>
      </w:pPr>
      <w:r w:rsidRPr="00625791">
        <w:rPr>
          <w:sz w:val="20"/>
        </w:rPr>
        <w:t>ORDER each of the respondents to pay each member of the group one thousand dollars ($1,000) in punitive damages solely in relation to “Unaffected Claims” within the meaning of article 1 of the Third Amended Plan of Compromise and Arrangement approved by order of the Ontario Superior Court dated January 12, 2009 (</w:t>
      </w:r>
      <w:r w:rsidRPr="00625791">
        <w:rPr>
          <w:i/>
          <w:sz w:val="20"/>
        </w:rPr>
        <w:t>ATB Financial c.</w:t>
      </w:r>
      <w:r w:rsidRPr="00625791">
        <w:rPr>
          <w:sz w:val="20"/>
        </w:rPr>
        <w:t xml:space="preserve"> </w:t>
      </w:r>
      <w:r w:rsidRPr="00625791">
        <w:rPr>
          <w:i/>
          <w:sz w:val="20"/>
        </w:rPr>
        <w:t xml:space="preserve">Metcalfe &amp; Mansfield Alternative Investments II Corp. </w:t>
      </w:r>
      <w:r w:rsidRPr="00625791">
        <w:rPr>
          <w:sz w:val="20"/>
        </w:rPr>
        <w:t>(2008), 43 C.B.R. (5th) 269), subject to adjustment, with interest at the legal rate and the additional indemnity from the date of the judgment to be rendered, and ORDER the collective recovery of these amounts.</w:t>
      </w:r>
    </w:p>
    <w:p w:rsidR="0004197A" w:rsidRPr="00625791" w:rsidRDefault="0004197A" w:rsidP="0004197A">
      <w:pPr>
        <w:jc w:val="both"/>
        <w:rPr>
          <w:sz w:val="20"/>
        </w:rPr>
      </w:pPr>
    </w:p>
    <w:p w:rsidR="0004197A" w:rsidRPr="00625791" w:rsidRDefault="0004197A" w:rsidP="0004197A">
      <w:pPr>
        <w:jc w:val="both"/>
        <w:rPr>
          <w:sz w:val="20"/>
        </w:rPr>
      </w:pPr>
      <w:r w:rsidRPr="00625791">
        <w:rPr>
          <w:sz w:val="20"/>
        </w:rPr>
        <w:t>Costs throughout are awarded to the respondent. Moldaver, Côté and Rowe JJ. dissent in part.</w:t>
      </w:r>
    </w:p>
    <w:p w:rsidR="0004197A" w:rsidRPr="00625791" w:rsidRDefault="0004197A" w:rsidP="0004197A">
      <w:pPr>
        <w:widowControl w:val="0"/>
        <w:jc w:val="both"/>
        <w:outlineLvl w:val="0"/>
        <w:rPr>
          <w:sz w:val="20"/>
        </w:rPr>
      </w:pPr>
    </w:p>
    <w:p w:rsidR="00102792" w:rsidRPr="00625791" w:rsidRDefault="00366BFA" w:rsidP="00102792">
      <w:pPr>
        <w:rPr>
          <w:sz w:val="20"/>
          <w:szCs w:val="20"/>
          <w:lang w:val="fr-CA"/>
        </w:rPr>
      </w:pPr>
      <w:hyperlink r:id="rId93" w:history="1">
        <w:r w:rsidR="00506BE1" w:rsidRPr="00625791">
          <w:rPr>
            <w:rStyle w:val="Hyperlink"/>
            <w:sz w:val="20"/>
            <w:szCs w:val="20"/>
            <w:lang w:val="fr-CA"/>
          </w:rPr>
          <w:t xml:space="preserve">LINK TO </w:t>
        </w:r>
        <w:r w:rsidR="00D82BFF" w:rsidRPr="00625791">
          <w:rPr>
            <w:rStyle w:val="Hyperlink"/>
            <w:sz w:val="20"/>
            <w:szCs w:val="20"/>
            <w:lang w:val="fr-CA"/>
          </w:rPr>
          <w:t>REASONS</w:t>
        </w:r>
      </w:hyperlink>
      <w:r w:rsidR="00102792" w:rsidRPr="00625791">
        <w:rPr>
          <w:sz w:val="20"/>
          <w:szCs w:val="20"/>
          <w:lang w:val="fr-CA"/>
        </w:rPr>
        <w:t xml:space="preserve"> / </w:t>
      </w:r>
      <w:hyperlink r:id="rId94" w:history="1">
        <w:r w:rsidR="00D82BFF" w:rsidRPr="00625791">
          <w:rPr>
            <w:rStyle w:val="Hyperlink"/>
            <w:sz w:val="20"/>
            <w:szCs w:val="20"/>
            <w:lang w:val="fr-CA"/>
          </w:rPr>
          <w:t>LIEN VERS LES MOTIFS</w:t>
        </w:r>
      </w:hyperlink>
    </w:p>
    <w:p w:rsidR="00102792" w:rsidRPr="00625791" w:rsidRDefault="00102792" w:rsidP="00102792">
      <w:pPr>
        <w:rPr>
          <w:sz w:val="20"/>
          <w:szCs w:val="20"/>
          <w:lang w:val="fr-CA"/>
        </w:rPr>
      </w:pPr>
    </w:p>
    <w:p w:rsidR="00D004FC" w:rsidRPr="00625791" w:rsidRDefault="00366BFA" w:rsidP="00102792">
      <w:pPr>
        <w:jc w:val="both"/>
        <w:rPr>
          <w:rFonts w:cs="Times New Roman"/>
          <w:b/>
          <w:sz w:val="20"/>
          <w:szCs w:val="20"/>
        </w:rPr>
      </w:pPr>
      <w:r>
        <w:rPr>
          <w:b/>
          <w:sz w:val="20"/>
          <w:szCs w:val="20"/>
        </w:rPr>
        <w:pict>
          <v:rect id="_x0000_i1065" style="width:144.3pt;height:1pt" o:hrpct="300" o:hralign="center" o:hrstd="t" o:hrnoshade="t" o:hr="t" fillcolor="black [3213]" stroked="f"/>
        </w:pict>
      </w:r>
    </w:p>
    <w:p w:rsidR="00D004FC" w:rsidRPr="00625791" w:rsidRDefault="00D004FC" w:rsidP="00D004FC">
      <w:pPr>
        <w:jc w:val="both"/>
        <w:rPr>
          <w:rFonts w:cs="Times New Roman"/>
          <w:sz w:val="20"/>
          <w:szCs w:val="20"/>
        </w:rPr>
      </w:pPr>
    </w:p>
    <w:p w:rsidR="00281DA2" w:rsidRPr="00625791" w:rsidRDefault="00281DA2" w:rsidP="00D004FC">
      <w:pPr>
        <w:jc w:val="both"/>
        <w:rPr>
          <w:rFonts w:cs="Times New Roman"/>
          <w:sz w:val="20"/>
          <w:szCs w:val="20"/>
        </w:rPr>
      </w:pPr>
    </w:p>
    <w:p w:rsidR="0056248C" w:rsidRPr="00625791" w:rsidRDefault="0056248C" w:rsidP="00091BA6">
      <w:pPr>
        <w:rPr>
          <w:sz w:val="20"/>
          <w:szCs w:val="20"/>
          <w:lang w:val="fr-CA"/>
        </w:rPr>
      </w:pPr>
    </w:p>
    <w:p w:rsidR="00102926" w:rsidRPr="00625791" w:rsidRDefault="00102926" w:rsidP="00782AE4">
      <w:pPr>
        <w:jc w:val="both"/>
        <w:rPr>
          <w:sz w:val="20"/>
          <w:szCs w:val="20"/>
        </w:rPr>
        <w:sectPr w:rsidR="00102926" w:rsidRPr="00625791" w:rsidSect="00782AE4">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576" w:footer="960" w:gutter="0"/>
          <w:cols w:space="720"/>
          <w:titlePg/>
          <w:docGrid w:linePitch="272"/>
        </w:sectPr>
      </w:pPr>
    </w:p>
    <w:p w:rsidR="00113336" w:rsidRPr="00625791" w:rsidRDefault="00113336" w:rsidP="00113336">
      <w:pPr>
        <w:tabs>
          <w:tab w:val="center" w:pos="5220"/>
          <w:tab w:val="right" w:pos="10800"/>
        </w:tabs>
        <w:jc w:val="center"/>
        <w:rPr>
          <w:rFonts w:ascii="Arial" w:hAnsi="Arial" w:cs="Arial"/>
          <w:sz w:val="22"/>
          <w:lang w:val="fr-CA"/>
        </w:rPr>
      </w:pPr>
      <w:bookmarkStart w:id="10" w:name="1"/>
      <w:bookmarkStart w:id="11" w:name="QuickMark"/>
      <w:bookmarkEnd w:id="10"/>
      <w:bookmarkEnd w:id="11"/>
      <w:r w:rsidRPr="00625791">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625791" w:rsidTr="00786E63">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DECEMBER – DÉCEMBRE</w:t>
            </w:r>
          </w:p>
        </w:tc>
      </w:tr>
      <w:tr w:rsidR="00113336" w:rsidRPr="00625791"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4"/>
                <w:szCs w:val="14"/>
                <w:lang w:val="fr-FR"/>
              </w:rPr>
            </w:pPr>
            <w:r w:rsidRPr="00625791">
              <w:rPr>
                <w:rFonts w:ascii="Arial" w:hAnsi="Arial" w:cs="Arial"/>
                <w:b/>
                <w:sz w:val="14"/>
                <w:szCs w:val="14"/>
                <w:lang w:val="fr-FR"/>
              </w:rPr>
              <w:t>S</w:t>
            </w:r>
          </w:p>
          <w:p w:rsidR="00113336" w:rsidRPr="00625791" w:rsidRDefault="00113336" w:rsidP="00786E63">
            <w:pPr>
              <w:tabs>
                <w:tab w:val="center" w:pos="5220"/>
                <w:tab w:val="right" w:pos="10440"/>
              </w:tabs>
              <w:jc w:val="center"/>
              <w:rPr>
                <w:rFonts w:ascii="Arial" w:hAnsi="Arial" w:cs="Arial"/>
                <w:b/>
                <w:sz w:val="14"/>
                <w:szCs w:val="14"/>
                <w:lang w:val="fr-FR"/>
              </w:rPr>
            </w:pPr>
            <w:r w:rsidRPr="0062579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M</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T</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W</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T</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F</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S</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S</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M</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T</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W</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T</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F</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S</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S</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M</w:t>
            </w:r>
          </w:p>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lang w:val="fr-FR"/>
              </w:rPr>
            </w:pPr>
            <w:r w:rsidRPr="00625791">
              <w:rPr>
                <w:rFonts w:ascii="Arial" w:hAnsi="Arial" w:cs="Arial"/>
                <w:b/>
                <w:sz w:val="13"/>
                <w:szCs w:val="13"/>
                <w:lang w:val="fr-FR"/>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r>
      <w:tr w:rsidR="00113336" w:rsidRPr="00625791"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b/>
                <w:sz w:val="13"/>
                <w:szCs w:val="13"/>
              </w:rPr>
              <w:t>CC</w:t>
            </w:r>
            <w:r w:rsidRPr="00625791">
              <w:rPr>
                <w:rFonts w:ascii="Arial" w:hAnsi="Arial" w:cs="Arial"/>
                <w:sz w:val="13"/>
                <w:szCs w:val="13"/>
              </w:rPr>
              <w:t xml:space="preserve"> </w:t>
            </w:r>
          </w:p>
          <w:p w:rsidR="00113336" w:rsidRPr="00625791" w:rsidRDefault="00113336" w:rsidP="00786E63">
            <w:pPr>
              <w:jc w:val="center"/>
              <w:rPr>
                <w:rFonts w:ascii="Arial" w:hAnsi="Arial" w:cs="Arial"/>
                <w:sz w:val="13"/>
                <w:szCs w:val="13"/>
              </w:rPr>
            </w:pPr>
            <w:r w:rsidRPr="0062579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5</w:t>
            </w:r>
          </w:p>
        </w:tc>
      </w:tr>
      <w:tr w:rsidR="00113336" w:rsidRPr="00625791"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625791" w:rsidRDefault="00113336" w:rsidP="00786E63">
            <w:pPr>
              <w:jc w:val="center"/>
              <w:rPr>
                <w:rFonts w:ascii="Arial" w:hAnsi="Arial" w:cs="Arial"/>
                <w:b/>
                <w:sz w:val="13"/>
                <w:szCs w:val="13"/>
              </w:rPr>
            </w:pPr>
            <w:r w:rsidRPr="00625791">
              <w:rPr>
                <w:rFonts w:ascii="Arial" w:hAnsi="Arial" w:cs="Arial"/>
                <w:b/>
                <w:sz w:val="13"/>
                <w:szCs w:val="13"/>
              </w:rPr>
              <w:t>CC</w:t>
            </w:r>
          </w:p>
          <w:p w:rsidR="00113336" w:rsidRPr="00625791" w:rsidRDefault="00113336" w:rsidP="00113336">
            <w:pPr>
              <w:jc w:val="center"/>
              <w:rPr>
                <w:rFonts w:ascii="Arial" w:hAnsi="Arial" w:cs="Arial"/>
                <w:sz w:val="13"/>
                <w:szCs w:val="13"/>
              </w:rPr>
            </w:pPr>
            <w:r w:rsidRPr="00625791">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625791" w:rsidRDefault="005B2EA9" w:rsidP="00786E63">
            <w:pPr>
              <w:jc w:val="center"/>
              <w:rPr>
                <w:rFonts w:ascii="Arial" w:hAnsi="Arial" w:cs="Arial"/>
                <w:b/>
                <w:sz w:val="13"/>
                <w:szCs w:val="13"/>
              </w:rPr>
            </w:pPr>
            <w:r w:rsidRPr="00625791">
              <w:rPr>
                <w:rFonts w:ascii="Arial" w:hAnsi="Arial" w:cs="Arial"/>
                <w:b/>
                <w:sz w:val="13"/>
                <w:szCs w:val="13"/>
              </w:rPr>
              <w:t>H</w:t>
            </w:r>
          </w:p>
          <w:p w:rsidR="00113336" w:rsidRPr="00625791" w:rsidRDefault="00113336" w:rsidP="00786E63">
            <w:pPr>
              <w:jc w:val="center"/>
              <w:rPr>
                <w:rFonts w:ascii="Arial" w:hAnsi="Arial" w:cs="Arial"/>
                <w:sz w:val="13"/>
                <w:szCs w:val="13"/>
              </w:rPr>
            </w:pPr>
            <w:r w:rsidRPr="00625791">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113336">
            <w:pPr>
              <w:jc w:val="center"/>
              <w:rPr>
                <w:rFonts w:ascii="Arial" w:hAnsi="Arial" w:cs="Arial"/>
                <w:sz w:val="13"/>
                <w:szCs w:val="13"/>
              </w:rPr>
            </w:pPr>
            <w:r w:rsidRPr="0062579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12</w:t>
            </w:r>
          </w:p>
        </w:tc>
      </w:tr>
      <w:tr w:rsidR="00B4618C" w:rsidRPr="00625791"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625791" w:rsidRDefault="00113336" w:rsidP="00786E63">
            <w:pPr>
              <w:jc w:val="center"/>
              <w:rPr>
                <w:rFonts w:ascii="Arial" w:hAnsi="Arial" w:cs="Arial"/>
                <w:b/>
                <w:sz w:val="13"/>
                <w:szCs w:val="13"/>
              </w:rPr>
            </w:pPr>
            <w:r w:rsidRPr="00625791">
              <w:rPr>
                <w:rFonts w:ascii="Arial" w:hAnsi="Arial" w:cs="Arial"/>
                <w:b/>
                <w:sz w:val="13"/>
                <w:szCs w:val="13"/>
              </w:rPr>
              <w:t>H</w:t>
            </w:r>
          </w:p>
          <w:p w:rsidR="00113336" w:rsidRPr="00625791" w:rsidRDefault="00113336" w:rsidP="00113336">
            <w:pPr>
              <w:jc w:val="center"/>
              <w:rPr>
                <w:rFonts w:ascii="Arial" w:hAnsi="Arial" w:cs="Arial"/>
                <w:sz w:val="13"/>
                <w:szCs w:val="13"/>
              </w:rPr>
            </w:pPr>
            <w:r w:rsidRPr="00625791">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19</w:t>
            </w:r>
          </w:p>
        </w:tc>
      </w:tr>
      <w:tr w:rsidR="00113336" w:rsidRPr="00625791"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25791" w:rsidRDefault="00113336" w:rsidP="00786E63">
            <w:pPr>
              <w:jc w:val="center"/>
              <w:rPr>
                <w:rFonts w:ascii="Arial" w:hAnsi="Arial" w:cs="Arial"/>
                <w:sz w:val="13"/>
                <w:szCs w:val="13"/>
              </w:rPr>
            </w:pPr>
            <w:r w:rsidRPr="0062579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25791" w:rsidRDefault="005B2EA9" w:rsidP="00786E63">
            <w:pPr>
              <w:jc w:val="center"/>
              <w:rPr>
                <w:rFonts w:ascii="Arial" w:hAnsi="Arial" w:cs="Arial"/>
                <w:b/>
                <w:sz w:val="13"/>
                <w:szCs w:val="13"/>
              </w:rPr>
            </w:pPr>
            <w:r w:rsidRPr="00625791">
              <w:rPr>
                <w:rFonts w:ascii="Arial" w:hAnsi="Arial" w:cs="Arial"/>
                <w:b/>
                <w:sz w:val="13"/>
                <w:szCs w:val="13"/>
              </w:rPr>
              <w:t>H</w:t>
            </w:r>
          </w:p>
          <w:p w:rsidR="00113336" w:rsidRPr="00625791" w:rsidRDefault="005B2EA9" w:rsidP="00786E63">
            <w:pPr>
              <w:jc w:val="center"/>
              <w:rPr>
                <w:rFonts w:ascii="Arial" w:hAnsi="Arial" w:cs="Arial"/>
                <w:sz w:val="13"/>
                <w:szCs w:val="13"/>
              </w:rPr>
            </w:pPr>
            <w:r w:rsidRPr="00625791">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26</w:t>
            </w:r>
          </w:p>
        </w:tc>
      </w:tr>
      <w:tr w:rsidR="00113336" w:rsidRPr="00625791"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625791" w:rsidRDefault="00113336" w:rsidP="00113336">
            <w:pPr>
              <w:jc w:val="center"/>
              <w:rPr>
                <w:rFonts w:ascii="Arial" w:hAnsi="Arial" w:cs="Arial"/>
                <w:sz w:val="13"/>
                <w:szCs w:val="13"/>
              </w:rPr>
            </w:pPr>
            <w:r w:rsidRPr="0062579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r w:rsidRPr="0062579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25791" w:rsidRDefault="005B2EA9" w:rsidP="00786E63">
            <w:pPr>
              <w:jc w:val="center"/>
              <w:rPr>
                <w:rFonts w:ascii="Arial" w:hAnsi="Arial" w:cs="Arial"/>
                <w:sz w:val="13"/>
                <w:szCs w:val="13"/>
              </w:rPr>
            </w:pPr>
            <w:r w:rsidRPr="00625791">
              <w:rPr>
                <w:rFonts w:ascii="Arial" w:hAnsi="Arial" w:cs="Arial"/>
                <w:b/>
                <w:sz w:val="13"/>
                <w:szCs w:val="13"/>
              </w:rPr>
              <w:t>CC</w:t>
            </w:r>
          </w:p>
          <w:p w:rsidR="00113336" w:rsidRPr="00625791" w:rsidRDefault="00113336" w:rsidP="00786E63">
            <w:pPr>
              <w:jc w:val="center"/>
              <w:rPr>
                <w:rFonts w:ascii="Arial" w:hAnsi="Arial" w:cs="Arial"/>
                <w:sz w:val="13"/>
                <w:szCs w:val="13"/>
              </w:rPr>
            </w:pPr>
            <w:r w:rsidRPr="00625791">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625791" w:rsidRDefault="005B2EA9" w:rsidP="00786E63">
            <w:pPr>
              <w:jc w:val="center"/>
              <w:rPr>
                <w:rFonts w:ascii="Arial" w:hAnsi="Arial" w:cs="Arial"/>
                <w:b/>
                <w:sz w:val="13"/>
                <w:szCs w:val="13"/>
              </w:rPr>
            </w:pPr>
            <w:r w:rsidRPr="00625791">
              <w:rPr>
                <w:rFonts w:ascii="Arial" w:hAnsi="Arial" w:cs="Arial"/>
                <w:b/>
                <w:sz w:val="13"/>
                <w:szCs w:val="13"/>
              </w:rPr>
              <w:t>H</w:t>
            </w:r>
          </w:p>
          <w:p w:rsidR="00113336" w:rsidRPr="00625791" w:rsidRDefault="005B2EA9" w:rsidP="00786E63">
            <w:pPr>
              <w:jc w:val="center"/>
              <w:rPr>
                <w:rFonts w:ascii="Arial" w:hAnsi="Arial" w:cs="Arial"/>
                <w:sz w:val="13"/>
                <w:szCs w:val="13"/>
              </w:rPr>
            </w:pPr>
            <w:r w:rsidRPr="00625791">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r>
    </w:tbl>
    <w:p w:rsidR="00113336" w:rsidRPr="00625791" w:rsidRDefault="00113336" w:rsidP="00113336">
      <w:pPr>
        <w:tabs>
          <w:tab w:val="center" w:pos="5220"/>
          <w:tab w:val="right" w:pos="10440"/>
        </w:tabs>
        <w:jc w:val="center"/>
        <w:rPr>
          <w:rFonts w:ascii="Arial" w:hAnsi="Arial" w:cs="Arial"/>
          <w:sz w:val="22"/>
        </w:rPr>
      </w:pPr>
      <w:r w:rsidRPr="00625791">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625791" w:rsidTr="00786E6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MARCH – MARS</w:t>
            </w:r>
          </w:p>
        </w:tc>
      </w:tr>
      <w:tr w:rsidR="00113336" w:rsidRPr="00625791"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r>
      <w:tr w:rsidR="00113336" w:rsidRPr="00625791"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625791" w:rsidRDefault="005B2EA9" w:rsidP="00786E63">
            <w:pPr>
              <w:jc w:val="center"/>
              <w:rPr>
                <w:rFonts w:ascii="Arial" w:hAnsi="Arial" w:cs="Arial"/>
                <w:b/>
                <w:sz w:val="13"/>
                <w:szCs w:val="13"/>
              </w:rPr>
            </w:pPr>
            <w:r w:rsidRPr="00625791">
              <w:rPr>
                <w:rFonts w:ascii="Arial" w:hAnsi="Arial" w:cs="Arial"/>
                <w:b/>
                <w:sz w:val="13"/>
                <w:szCs w:val="13"/>
              </w:rPr>
              <w:t>H</w:t>
            </w:r>
          </w:p>
          <w:p w:rsidR="00113336" w:rsidRPr="00625791" w:rsidRDefault="005B2EA9" w:rsidP="00786E63">
            <w:pPr>
              <w:jc w:val="center"/>
              <w:rPr>
                <w:rFonts w:ascii="Arial" w:hAnsi="Arial" w:cs="Arial"/>
                <w:sz w:val="13"/>
                <w:szCs w:val="13"/>
              </w:rPr>
            </w:pPr>
            <w:r w:rsidRPr="00625791">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6</w:t>
            </w:r>
          </w:p>
        </w:tc>
      </w:tr>
      <w:tr w:rsidR="00113336" w:rsidRPr="0062579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625791" w:rsidRDefault="005B2EA9" w:rsidP="00786E63">
            <w:pPr>
              <w:jc w:val="center"/>
              <w:rPr>
                <w:rFonts w:ascii="Arial" w:hAnsi="Arial" w:cs="Arial"/>
                <w:b/>
                <w:sz w:val="13"/>
                <w:szCs w:val="13"/>
              </w:rPr>
            </w:pPr>
            <w:r w:rsidRPr="00625791">
              <w:rPr>
                <w:rFonts w:ascii="Arial" w:hAnsi="Arial" w:cs="Arial"/>
                <w:b/>
                <w:sz w:val="13"/>
                <w:szCs w:val="13"/>
              </w:rPr>
              <w:t>CC</w:t>
            </w:r>
          </w:p>
          <w:p w:rsidR="00113336" w:rsidRPr="00625791" w:rsidRDefault="005B2EA9" w:rsidP="00786E63">
            <w:pPr>
              <w:jc w:val="center"/>
              <w:rPr>
                <w:rFonts w:ascii="Arial" w:hAnsi="Arial" w:cs="Arial"/>
                <w:sz w:val="13"/>
                <w:szCs w:val="13"/>
              </w:rPr>
            </w:pPr>
            <w:r w:rsidRPr="0062579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13</w:t>
            </w:r>
          </w:p>
        </w:tc>
      </w:tr>
      <w:tr w:rsidR="00113336" w:rsidRPr="0062579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625791" w:rsidRDefault="005B2EA9" w:rsidP="00786E63">
            <w:pPr>
              <w:jc w:val="center"/>
              <w:rPr>
                <w:rFonts w:ascii="Arial" w:hAnsi="Arial" w:cs="Arial"/>
                <w:b/>
                <w:sz w:val="13"/>
                <w:szCs w:val="13"/>
              </w:rPr>
            </w:pPr>
            <w:r w:rsidRPr="00625791">
              <w:rPr>
                <w:rFonts w:ascii="Arial" w:hAnsi="Arial" w:cs="Arial"/>
                <w:b/>
                <w:sz w:val="13"/>
                <w:szCs w:val="13"/>
              </w:rPr>
              <w:t>CC</w:t>
            </w:r>
          </w:p>
          <w:p w:rsidR="00113336" w:rsidRPr="00625791" w:rsidRDefault="005B2EA9" w:rsidP="00786E63">
            <w:pPr>
              <w:jc w:val="center"/>
              <w:rPr>
                <w:rFonts w:ascii="Arial" w:hAnsi="Arial" w:cs="Arial"/>
                <w:sz w:val="13"/>
                <w:szCs w:val="13"/>
              </w:rPr>
            </w:pPr>
            <w:r w:rsidRPr="0062579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25791" w:rsidRDefault="00D04577" w:rsidP="00786E63">
            <w:pPr>
              <w:jc w:val="center"/>
              <w:rPr>
                <w:rFonts w:ascii="Arial" w:hAnsi="Arial" w:cs="Arial"/>
                <w:b/>
                <w:sz w:val="13"/>
                <w:szCs w:val="13"/>
              </w:rPr>
            </w:pPr>
            <w:r w:rsidRPr="00625791">
              <w:rPr>
                <w:rFonts w:ascii="Arial" w:hAnsi="Arial" w:cs="Arial"/>
                <w:b/>
                <w:sz w:val="13"/>
                <w:szCs w:val="13"/>
              </w:rPr>
              <w:t>CC</w:t>
            </w:r>
          </w:p>
          <w:p w:rsidR="00113336" w:rsidRPr="00625791" w:rsidRDefault="00D04577" w:rsidP="00786E63">
            <w:pPr>
              <w:jc w:val="center"/>
              <w:rPr>
                <w:rFonts w:ascii="Arial" w:hAnsi="Arial" w:cs="Arial"/>
                <w:sz w:val="13"/>
                <w:szCs w:val="13"/>
              </w:rPr>
            </w:pPr>
            <w:r w:rsidRPr="0062579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20</w:t>
            </w:r>
          </w:p>
        </w:tc>
      </w:tr>
      <w:tr w:rsidR="00113336" w:rsidRPr="0062579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27</w:t>
            </w:r>
          </w:p>
        </w:tc>
      </w:tr>
      <w:tr w:rsidR="00113336" w:rsidRPr="00625791"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625791" w:rsidRDefault="005B2EA9" w:rsidP="005B2EA9">
            <w:pPr>
              <w:rPr>
                <w:rFonts w:ascii="Arial" w:hAnsi="Arial" w:cs="Arial"/>
                <w:sz w:val="13"/>
                <w:szCs w:val="13"/>
              </w:rPr>
            </w:pPr>
            <w:r w:rsidRPr="00625791">
              <w:rPr>
                <w:rFonts w:ascii="Arial" w:hAnsi="Arial" w:cs="Arial"/>
                <w:sz w:val="13"/>
                <w:szCs w:val="13"/>
              </w:rPr>
              <w:t xml:space="preserve">24 </w:t>
            </w:r>
            <w:r w:rsidRPr="00625791">
              <w:rPr>
                <w:rFonts w:ascii="Arial" w:hAnsi="Arial" w:cs="Arial"/>
                <w:sz w:val="13"/>
                <w:szCs w:val="13"/>
                <w:lang w:val="en-US"/>
              </w:rPr>
              <w:t>/</w:t>
            </w:r>
          </w:p>
          <w:p w:rsidR="00113336" w:rsidRPr="00625791" w:rsidRDefault="005B2EA9" w:rsidP="005B2EA9">
            <w:pPr>
              <w:jc w:val="center"/>
              <w:rPr>
                <w:rFonts w:ascii="Arial" w:hAnsi="Arial" w:cs="Arial"/>
                <w:sz w:val="13"/>
                <w:szCs w:val="13"/>
              </w:rPr>
            </w:pPr>
            <w:r w:rsidRPr="00625791">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25791" w:rsidRDefault="005B2EA9" w:rsidP="00786E63">
            <w:pPr>
              <w:jc w:val="center"/>
              <w:rPr>
                <w:rFonts w:ascii="Arial" w:hAnsi="Arial" w:cs="Arial"/>
                <w:sz w:val="13"/>
                <w:szCs w:val="13"/>
              </w:rPr>
            </w:pPr>
            <w:r w:rsidRPr="0062579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r>
      <w:tr w:rsidR="00113336" w:rsidRPr="00625791" w:rsidTr="00786E6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JUNE – JUIN</w:t>
            </w:r>
          </w:p>
        </w:tc>
      </w:tr>
      <w:tr w:rsidR="00113336" w:rsidRPr="00625791"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r>
      <w:tr w:rsidR="00113336" w:rsidRPr="0062579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25791" w:rsidRDefault="00D04577" w:rsidP="00786E63">
            <w:pPr>
              <w:jc w:val="center"/>
              <w:rPr>
                <w:rFonts w:ascii="Arial" w:hAnsi="Arial" w:cs="Arial"/>
                <w:b/>
                <w:sz w:val="13"/>
                <w:szCs w:val="13"/>
              </w:rPr>
            </w:pPr>
            <w:r w:rsidRPr="00625791">
              <w:rPr>
                <w:rFonts w:ascii="Arial" w:hAnsi="Arial" w:cs="Arial"/>
                <w:b/>
                <w:sz w:val="13"/>
                <w:szCs w:val="13"/>
              </w:rPr>
              <w:t>H</w:t>
            </w:r>
          </w:p>
          <w:p w:rsidR="00113336" w:rsidRPr="00625791" w:rsidRDefault="00D04577" w:rsidP="00786E63">
            <w:pPr>
              <w:jc w:val="center"/>
              <w:rPr>
                <w:rFonts w:ascii="Arial" w:hAnsi="Arial" w:cs="Arial"/>
                <w:sz w:val="13"/>
                <w:szCs w:val="13"/>
              </w:rPr>
            </w:pPr>
            <w:r w:rsidRPr="00625791">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5</w:t>
            </w:r>
          </w:p>
        </w:tc>
      </w:tr>
      <w:tr w:rsidR="00113336" w:rsidRPr="00625791"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625791" w:rsidRDefault="00D04577" w:rsidP="00786E63">
            <w:pPr>
              <w:jc w:val="center"/>
              <w:rPr>
                <w:rFonts w:ascii="Arial" w:hAnsi="Arial" w:cs="Arial"/>
                <w:b/>
                <w:sz w:val="13"/>
                <w:szCs w:val="13"/>
              </w:rPr>
            </w:pPr>
            <w:r w:rsidRPr="00625791">
              <w:rPr>
                <w:rFonts w:ascii="Arial" w:hAnsi="Arial" w:cs="Arial"/>
                <w:b/>
                <w:sz w:val="13"/>
                <w:szCs w:val="13"/>
              </w:rPr>
              <w:t>H</w:t>
            </w:r>
          </w:p>
          <w:p w:rsidR="00113336" w:rsidRPr="00625791" w:rsidRDefault="00D04577" w:rsidP="00786E63">
            <w:pPr>
              <w:jc w:val="center"/>
              <w:rPr>
                <w:rFonts w:ascii="Arial" w:hAnsi="Arial" w:cs="Arial"/>
                <w:sz w:val="13"/>
                <w:szCs w:val="13"/>
              </w:rPr>
            </w:pPr>
            <w:r w:rsidRPr="00625791">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25791" w:rsidRDefault="00D04577" w:rsidP="00786E63">
            <w:pPr>
              <w:jc w:val="center"/>
              <w:rPr>
                <w:rFonts w:ascii="Arial" w:hAnsi="Arial" w:cs="Arial"/>
                <w:b/>
                <w:sz w:val="13"/>
                <w:szCs w:val="13"/>
              </w:rPr>
            </w:pPr>
            <w:r w:rsidRPr="00625791">
              <w:rPr>
                <w:rFonts w:ascii="Arial" w:hAnsi="Arial" w:cs="Arial"/>
                <w:b/>
                <w:sz w:val="13"/>
                <w:szCs w:val="13"/>
              </w:rPr>
              <w:t>CC</w:t>
            </w:r>
          </w:p>
          <w:p w:rsidR="00113336" w:rsidRPr="00625791" w:rsidRDefault="00D04577" w:rsidP="00786E63">
            <w:pPr>
              <w:jc w:val="center"/>
              <w:rPr>
                <w:rFonts w:ascii="Arial" w:hAnsi="Arial" w:cs="Arial"/>
                <w:sz w:val="13"/>
                <w:szCs w:val="13"/>
              </w:rPr>
            </w:pPr>
            <w:r w:rsidRPr="0062579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12</w:t>
            </w:r>
          </w:p>
        </w:tc>
      </w:tr>
      <w:tr w:rsidR="00113336" w:rsidRPr="0062579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625791" w:rsidRDefault="00D04577" w:rsidP="00786E63">
            <w:pPr>
              <w:jc w:val="center"/>
              <w:rPr>
                <w:rFonts w:ascii="Arial" w:hAnsi="Arial" w:cs="Arial"/>
                <w:b/>
                <w:sz w:val="13"/>
                <w:szCs w:val="13"/>
              </w:rPr>
            </w:pPr>
            <w:r w:rsidRPr="00625791">
              <w:rPr>
                <w:rFonts w:ascii="Arial" w:hAnsi="Arial" w:cs="Arial"/>
                <w:b/>
                <w:sz w:val="13"/>
                <w:szCs w:val="13"/>
              </w:rPr>
              <w:t>CC</w:t>
            </w:r>
          </w:p>
          <w:p w:rsidR="00113336" w:rsidRPr="00625791" w:rsidRDefault="00D04577" w:rsidP="00786E63">
            <w:pPr>
              <w:jc w:val="center"/>
              <w:rPr>
                <w:rFonts w:ascii="Arial" w:hAnsi="Arial" w:cs="Arial"/>
                <w:sz w:val="13"/>
                <w:szCs w:val="13"/>
              </w:rPr>
            </w:pPr>
            <w:r w:rsidRPr="00625791">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625791" w:rsidRDefault="00D04577" w:rsidP="00786E63">
            <w:pPr>
              <w:jc w:val="center"/>
              <w:rPr>
                <w:rFonts w:ascii="Arial" w:hAnsi="Arial" w:cs="Arial"/>
                <w:b/>
                <w:sz w:val="13"/>
                <w:szCs w:val="13"/>
              </w:rPr>
            </w:pPr>
            <w:r w:rsidRPr="00625791">
              <w:rPr>
                <w:rFonts w:ascii="Arial" w:hAnsi="Arial" w:cs="Arial"/>
                <w:b/>
                <w:sz w:val="13"/>
                <w:szCs w:val="13"/>
              </w:rPr>
              <w:t>CC</w:t>
            </w:r>
          </w:p>
          <w:p w:rsidR="00113336" w:rsidRPr="00625791" w:rsidRDefault="00D04577" w:rsidP="00786E63">
            <w:pPr>
              <w:jc w:val="center"/>
              <w:rPr>
                <w:rFonts w:ascii="Arial" w:hAnsi="Arial" w:cs="Arial"/>
                <w:sz w:val="13"/>
                <w:szCs w:val="13"/>
              </w:rPr>
            </w:pPr>
            <w:r w:rsidRPr="0062579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19</w:t>
            </w:r>
          </w:p>
        </w:tc>
      </w:tr>
      <w:tr w:rsidR="00113336" w:rsidRPr="00625791"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26</w:t>
            </w:r>
          </w:p>
        </w:tc>
      </w:tr>
      <w:tr w:rsidR="00113336" w:rsidRPr="00625791"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b/>
                <w:sz w:val="13"/>
                <w:szCs w:val="13"/>
              </w:rPr>
            </w:pPr>
            <w:r w:rsidRPr="00625791">
              <w:rPr>
                <w:rFonts w:ascii="Arial" w:hAnsi="Arial" w:cs="Arial"/>
                <w:b/>
                <w:sz w:val="13"/>
                <w:szCs w:val="13"/>
              </w:rPr>
              <w:t>H</w:t>
            </w:r>
          </w:p>
          <w:p w:rsidR="00113336" w:rsidRPr="00625791" w:rsidRDefault="00D04577" w:rsidP="00D04577">
            <w:pPr>
              <w:jc w:val="center"/>
              <w:rPr>
                <w:rFonts w:ascii="Arial" w:hAnsi="Arial" w:cs="Arial"/>
                <w:sz w:val="13"/>
                <w:szCs w:val="13"/>
              </w:rPr>
            </w:pPr>
            <w:r w:rsidRPr="00625791">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25791" w:rsidRDefault="00D04577" w:rsidP="00D04577">
            <w:pPr>
              <w:jc w:val="center"/>
              <w:rPr>
                <w:rFonts w:ascii="Arial" w:hAnsi="Arial" w:cs="Arial"/>
                <w:sz w:val="13"/>
                <w:szCs w:val="13"/>
              </w:rPr>
            </w:pPr>
            <w:r w:rsidRPr="0062579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D04577" w:rsidP="00786E63">
            <w:pPr>
              <w:jc w:val="center"/>
              <w:rPr>
                <w:rFonts w:ascii="Arial" w:hAnsi="Arial" w:cs="Arial"/>
                <w:sz w:val="13"/>
                <w:szCs w:val="13"/>
              </w:rPr>
            </w:pPr>
            <w:r w:rsidRPr="00625791">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r>
      <w:tr w:rsidR="00D04577" w:rsidRPr="00625791"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25791" w:rsidRDefault="00D04577" w:rsidP="00786E63">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r w:rsidRPr="00625791">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r w:rsidRPr="00625791">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25791"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625791" w:rsidRDefault="00D04577" w:rsidP="00786E63">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625791" w:rsidRDefault="00D04577" w:rsidP="00786E63">
            <w:pPr>
              <w:jc w:val="center"/>
              <w:rPr>
                <w:rFonts w:ascii="Arial" w:hAnsi="Arial" w:cs="Arial"/>
                <w:sz w:val="13"/>
                <w:szCs w:val="13"/>
              </w:rPr>
            </w:pPr>
          </w:p>
        </w:tc>
      </w:tr>
      <w:tr w:rsidR="00113336" w:rsidRPr="00625791" w:rsidTr="00786E6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SEPTEMBER – SEPTEMBRE</w:t>
            </w:r>
          </w:p>
        </w:tc>
      </w:tr>
      <w:tr w:rsidR="00113336" w:rsidRPr="00625791"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6"/>
                <w:szCs w:val="16"/>
              </w:rPr>
            </w:pPr>
            <w:r w:rsidRPr="0062579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625791" w:rsidRDefault="00113336" w:rsidP="00786E6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W</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T</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F</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p w:rsidR="00113336" w:rsidRPr="00625791" w:rsidRDefault="00113336" w:rsidP="00786E63">
            <w:pPr>
              <w:tabs>
                <w:tab w:val="center" w:pos="5220"/>
                <w:tab w:val="right" w:pos="10440"/>
              </w:tabs>
              <w:jc w:val="center"/>
              <w:rPr>
                <w:rFonts w:ascii="Arial" w:hAnsi="Arial" w:cs="Arial"/>
                <w:b/>
                <w:sz w:val="13"/>
                <w:szCs w:val="13"/>
              </w:rPr>
            </w:pPr>
            <w:r w:rsidRPr="00625791">
              <w:rPr>
                <w:rFonts w:ascii="Arial" w:hAnsi="Arial" w:cs="Arial"/>
                <w:b/>
                <w:sz w:val="13"/>
                <w:szCs w:val="13"/>
              </w:rPr>
              <w:t>S</w:t>
            </w:r>
          </w:p>
        </w:tc>
      </w:tr>
      <w:tr w:rsidR="00113336" w:rsidRPr="0062579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25791" w:rsidRDefault="00A067B5" w:rsidP="00786E63">
            <w:pPr>
              <w:jc w:val="center"/>
              <w:rPr>
                <w:rFonts w:ascii="Arial" w:hAnsi="Arial" w:cs="Arial"/>
                <w:b/>
                <w:sz w:val="13"/>
                <w:szCs w:val="13"/>
              </w:rPr>
            </w:pPr>
            <w:r w:rsidRPr="00625791">
              <w:rPr>
                <w:rFonts w:ascii="Arial" w:hAnsi="Arial" w:cs="Arial"/>
                <w:b/>
                <w:sz w:val="13"/>
                <w:szCs w:val="13"/>
              </w:rPr>
              <w:t>H</w:t>
            </w:r>
          </w:p>
          <w:p w:rsidR="00113336" w:rsidRPr="00625791" w:rsidRDefault="00A067B5" w:rsidP="00786E63">
            <w:pPr>
              <w:jc w:val="center"/>
              <w:rPr>
                <w:rFonts w:ascii="Arial" w:hAnsi="Arial" w:cs="Arial"/>
                <w:sz w:val="13"/>
                <w:szCs w:val="13"/>
              </w:rPr>
            </w:pPr>
            <w:r w:rsidRPr="0062579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25791" w:rsidRDefault="00A067B5" w:rsidP="00786E63">
            <w:pPr>
              <w:jc w:val="center"/>
              <w:rPr>
                <w:rFonts w:ascii="Arial" w:hAnsi="Arial" w:cs="Arial"/>
                <w:b/>
                <w:sz w:val="13"/>
                <w:szCs w:val="13"/>
              </w:rPr>
            </w:pPr>
            <w:r w:rsidRPr="00625791">
              <w:rPr>
                <w:rFonts w:ascii="Arial" w:hAnsi="Arial" w:cs="Arial"/>
                <w:b/>
                <w:sz w:val="13"/>
                <w:szCs w:val="13"/>
              </w:rPr>
              <w:t>H</w:t>
            </w:r>
          </w:p>
          <w:p w:rsidR="00113336" w:rsidRPr="00625791" w:rsidRDefault="00A067B5" w:rsidP="00786E63">
            <w:pPr>
              <w:jc w:val="center"/>
              <w:rPr>
                <w:rFonts w:ascii="Arial" w:hAnsi="Arial" w:cs="Arial"/>
                <w:sz w:val="13"/>
                <w:szCs w:val="13"/>
              </w:rPr>
            </w:pPr>
            <w:r w:rsidRPr="00625791">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4</w:t>
            </w:r>
          </w:p>
        </w:tc>
      </w:tr>
      <w:tr w:rsidR="00113336" w:rsidRPr="0062579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625791" w:rsidRDefault="00A067B5" w:rsidP="00786E63">
            <w:pPr>
              <w:jc w:val="center"/>
              <w:rPr>
                <w:rFonts w:ascii="Arial" w:hAnsi="Arial" w:cs="Arial"/>
                <w:b/>
                <w:sz w:val="13"/>
                <w:szCs w:val="13"/>
              </w:rPr>
            </w:pPr>
            <w:r w:rsidRPr="00625791">
              <w:rPr>
                <w:rFonts w:ascii="Arial" w:hAnsi="Arial" w:cs="Arial"/>
                <w:b/>
                <w:sz w:val="13"/>
                <w:szCs w:val="13"/>
              </w:rPr>
              <w:t>H</w:t>
            </w:r>
          </w:p>
          <w:p w:rsidR="00113336" w:rsidRPr="00625791" w:rsidRDefault="00A067B5" w:rsidP="00786E63">
            <w:pPr>
              <w:jc w:val="center"/>
              <w:rPr>
                <w:rFonts w:ascii="Arial" w:hAnsi="Arial" w:cs="Arial"/>
                <w:sz w:val="13"/>
                <w:szCs w:val="13"/>
              </w:rPr>
            </w:pPr>
            <w:r w:rsidRPr="00625791">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25791" w:rsidRDefault="00A067B5" w:rsidP="00786E63">
            <w:pPr>
              <w:jc w:val="center"/>
              <w:rPr>
                <w:rFonts w:ascii="Arial" w:hAnsi="Arial" w:cs="Arial"/>
                <w:b/>
                <w:sz w:val="13"/>
                <w:szCs w:val="13"/>
              </w:rPr>
            </w:pPr>
            <w:r w:rsidRPr="00625791">
              <w:rPr>
                <w:rFonts w:ascii="Arial" w:hAnsi="Arial" w:cs="Arial"/>
                <w:b/>
                <w:sz w:val="13"/>
                <w:szCs w:val="13"/>
              </w:rPr>
              <w:t>RH</w:t>
            </w:r>
          </w:p>
          <w:p w:rsidR="00113336" w:rsidRPr="00625791" w:rsidRDefault="00A067B5" w:rsidP="00786E63">
            <w:pPr>
              <w:jc w:val="center"/>
              <w:rPr>
                <w:rFonts w:ascii="Arial" w:hAnsi="Arial" w:cs="Arial"/>
                <w:sz w:val="13"/>
                <w:szCs w:val="13"/>
              </w:rPr>
            </w:pPr>
            <w:r w:rsidRPr="00625791">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25791" w:rsidRDefault="00A067B5" w:rsidP="00786E63">
            <w:pPr>
              <w:jc w:val="center"/>
              <w:rPr>
                <w:rFonts w:ascii="Arial" w:hAnsi="Arial" w:cs="Arial"/>
                <w:b/>
                <w:sz w:val="13"/>
                <w:szCs w:val="13"/>
              </w:rPr>
            </w:pPr>
            <w:r w:rsidRPr="00625791">
              <w:rPr>
                <w:rFonts w:ascii="Arial" w:hAnsi="Arial" w:cs="Arial"/>
                <w:b/>
                <w:sz w:val="13"/>
                <w:szCs w:val="13"/>
              </w:rPr>
              <w:t>RH</w:t>
            </w:r>
          </w:p>
          <w:p w:rsidR="00113336" w:rsidRPr="00625791" w:rsidRDefault="00A067B5" w:rsidP="00786E63">
            <w:pPr>
              <w:jc w:val="center"/>
              <w:rPr>
                <w:rFonts w:ascii="Arial" w:hAnsi="Arial" w:cs="Arial"/>
                <w:sz w:val="13"/>
                <w:szCs w:val="13"/>
              </w:rPr>
            </w:pPr>
            <w:r w:rsidRPr="00625791">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11</w:t>
            </w:r>
          </w:p>
        </w:tc>
      </w:tr>
      <w:tr w:rsidR="00113336" w:rsidRPr="0062579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625791" w:rsidRDefault="00A067B5" w:rsidP="00786E63">
            <w:pPr>
              <w:jc w:val="center"/>
              <w:rPr>
                <w:rFonts w:ascii="Arial" w:hAnsi="Arial" w:cs="Arial"/>
                <w:b/>
                <w:sz w:val="13"/>
                <w:szCs w:val="13"/>
              </w:rPr>
            </w:pPr>
            <w:r w:rsidRPr="00625791">
              <w:rPr>
                <w:rFonts w:ascii="Arial" w:hAnsi="Arial" w:cs="Arial"/>
                <w:b/>
                <w:sz w:val="13"/>
                <w:szCs w:val="13"/>
              </w:rPr>
              <w:t>YK</w:t>
            </w:r>
          </w:p>
          <w:p w:rsidR="00113336" w:rsidRPr="00625791" w:rsidRDefault="00A067B5" w:rsidP="00786E63">
            <w:pPr>
              <w:jc w:val="center"/>
              <w:rPr>
                <w:rFonts w:ascii="Arial" w:hAnsi="Arial" w:cs="Arial"/>
                <w:sz w:val="13"/>
                <w:szCs w:val="13"/>
              </w:rPr>
            </w:pPr>
            <w:r w:rsidRPr="00625791">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18</w:t>
            </w:r>
          </w:p>
        </w:tc>
      </w:tr>
      <w:tr w:rsidR="00113336" w:rsidRPr="0062579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25</w:t>
            </w:r>
          </w:p>
        </w:tc>
      </w:tr>
      <w:tr w:rsidR="00113336" w:rsidRPr="00625791"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25791" w:rsidRDefault="00A067B5" w:rsidP="00A067B5">
            <w:pPr>
              <w:jc w:val="center"/>
              <w:rPr>
                <w:rFonts w:ascii="Arial" w:hAnsi="Arial" w:cs="Arial"/>
                <w:sz w:val="13"/>
                <w:szCs w:val="13"/>
              </w:rPr>
            </w:pPr>
            <w:r w:rsidRPr="0062579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A067B5">
            <w:pPr>
              <w:jc w:val="center"/>
              <w:rPr>
                <w:rFonts w:ascii="Arial" w:hAnsi="Arial" w:cs="Arial"/>
                <w:sz w:val="13"/>
                <w:szCs w:val="13"/>
              </w:rPr>
            </w:pPr>
            <w:r w:rsidRPr="0062579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A067B5">
            <w:pPr>
              <w:jc w:val="center"/>
              <w:rPr>
                <w:rFonts w:ascii="Arial" w:hAnsi="Arial" w:cs="Arial"/>
                <w:sz w:val="13"/>
                <w:szCs w:val="13"/>
              </w:rPr>
            </w:pPr>
            <w:r w:rsidRPr="0062579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25791"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625791" w:rsidRDefault="00113336" w:rsidP="00786E6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A067B5" w:rsidP="00786E63">
            <w:pPr>
              <w:jc w:val="center"/>
              <w:rPr>
                <w:rFonts w:ascii="Arial" w:hAnsi="Arial" w:cs="Arial"/>
                <w:sz w:val="13"/>
                <w:szCs w:val="13"/>
              </w:rPr>
            </w:pPr>
            <w:r w:rsidRPr="0062579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625791" w:rsidRDefault="00113336" w:rsidP="00786E63">
            <w:pPr>
              <w:jc w:val="center"/>
              <w:rPr>
                <w:rFonts w:ascii="Arial" w:hAnsi="Arial" w:cs="Arial"/>
                <w:sz w:val="13"/>
                <w:szCs w:val="13"/>
              </w:rPr>
            </w:pPr>
          </w:p>
        </w:tc>
      </w:tr>
    </w:tbl>
    <w:p w:rsidR="00113336" w:rsidRPr="00625791"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625791" w:rsidTr="00B4618C">
        <w:trPr>
          <w:trHeight w:val="445"/>
        </w:trPr>
        <w:tc>
          <w:tcPr>
            <w:tcW w:w="1890" w:type="dxa"/>
            <w:tcBorders>
              <w:top w:val="nil"/>
              <w:left w:val="nil"/>
              <w:bottom w:val="nil"/>
              <w:right w:val="single" w:sz="4" w:space="0" w:color="000000" w:themeColor="text1"/>
            </w:tcBorders>
            <w:vAlign w:val="center"/>
            <w:hideMark/>
          </w:tcPr>
          <w:p w:rsidR="00113336" w:rsidRPr="00625791" w:rsidRDefault="00113336" w:rsidP="00786E63">
            <w:pPr>
              <w:rPr>
                <w:rFonts w:ascii="Arial" w:hAnsi="Arial" w:cs="Arial"/>
                <w:b/>
                <w:sz w:val="13"/>
                <w:szCs w:val="13"/>
              </w:rPr>
            </w:pPr>
            <w:r w:rsidRPr="00625791">
              <w:rPr>
                <w:rFonts w:ascii="Arial" w:hAnsi="Arial" w:cs="Arial"/>
                <w:b/>
                <w:sz w:val="13"/>
                <w:szCs w:val="13"/>
              </w:rPr>
              <w:t>Sitting of the Court /</w:t>
            </w:r>
          </w:p>
          <w:p w:rsidR="00113336" w:rsidRPr="00625791" w:rsidRDefault="00113336" w:rsidP="00786E63">
            <w:pPr>
              <w:rPr>
                <w:rFonts w:ascii="Arial" w:hAnsi="Arial" w:cs="Arial"/>
                <w:b/>
                <w:sz w:val="13"/>
                <w:szCs w:val="13"/>
              </w:rPr>
            </w:pPr>
            <w:r w:rsidRPr="00625791">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625791" w:rsidRDefault="00113336" w:rsidP="00786E63">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625791" w:rsidRDefault="00113336" w:rsidP="00786E63">
            <w:pPr>
              <w:tabs>
                <w:tab w:val="left" w:pos="203"/>
              </w:tabs>
              <w:spacing w:after="120"/>
              <w:rPr>
                <w:rFonts w:ascii="Arial" w:hAnsi="Arial" w:cs="Arial"/>
                <w:b/>
                <w:sz w:val="13"/>
                <w:szCs w:val="13"/>
                <w:lang w:val="fr-CA"/>
              </w:rPr>
            </w:pPr>
            <w:r w:rsidRPr="00625791">
              <w:rPr>
                <w:rFonts w:ascii="Arial" w:hAnsi="Arial" w:cs="Arial"/>
                <w:b/>
                <w:sz w:val="13"/>
                <w:szCs w:val="13"/>
                <w:lang w:val="fr-CA"/>
              </w:rPr>
              <w:t>18</w:t>
            </w:r>
            <w:r w:rsidRPr="00625791">
              <w:rPr>
                <w:rFonts w:ascii="Arial" w:hAnsi="Arial" w:cs="Arial"/>
                <w:b/>
                <w:sz w:val="13"/>
                <w:szCs w:val="13"/>
                <w:lang w:val="fr-CA"/>
              </w:rPr>
              <w:tab/>
              <w:t xml:space="preserve"> sitting weeks / semaines séances de la Cour</w:t>
            </w:r>
          </w:p>
          <w:p w:rsidR="00113336" w:rsidRPr="00625791" w:rsidRDefault="00113336" w:rsidP="00B4618C">
            <w:pPr>
              <w:tabs>
                <w:tab w:val="left" w:pos="203"/>
              </w:tabs>
              <w:rPr>
                <w:rFonts w:ascii="Arial" w:hAnsi="Arial" w:cs="Arial"/>
                <w:b/>
                <w:sz w:val="13"/>
                <w:szCs w:val="13"/>
                <w:lang w:val="fr-CA"/>
              </w:rPr>
            </w:pPr>
            <w:r w:rsidRPr="00625791">
              <w:rPr>
                <w:rFonts w:ascii="Arial" w:hAnsi="Arial" w:cs="Arial"/>
                <w:b/>
                <w:sz w:val="13"/>
                <w:szCs w:val="13"/>
                <w:lang w:val="fr-CA"/>
              </w:rPr>
              <w:t>8</w:t>
            </w:r>
            <w:r w:rsidR="00B4618C" w:rsidRPr="00625791">
              <w:rPr>
                <w:rFonts w:ascii="Arial" w:hAnsi="Arial" w:cs="Arial"/>
                <w:b/>
                <w:sz w:val="13"/>
                <w:szCs w:val="13"/>
                <w:lang w:val="fr-CA"/>
              </w:rPr>
              <w:t>8</w:t>
            </w:r>
            <w:r w:rsidRPr="00625791">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625791" w:rsidRDefault="00113336" w:rsidP="00786E63">
            <w:pPr>
              <w:spacing w:after="120"/>
              <w:rPr>
                <w:rFonts w:ascii="Arial" w:hAnsi="Arial" w:cs="Arial"/>
                <w:b/>
                <w:sz w:val="13"/>
                <w:szCs w:val="13"/>
                <w:lang w:val="fr-FR"/>
              </w:rPr>
            </w:pPr>
            <w:r w:rsidRPr="00625791">
              <w:rPr>
                <w:rFonts w:ascii="Arial" w:hAnsi="Arial" w:cs="Arial"/>
                <w:b/>
                <w:sz w:val="13"/>
                <w:szCs w:val="13"/>
                <w:lang w:val="fr-FR"/>
              </w:rPr>
              <w:t>Rosh Hashanah / Nouvel An juif</w:t>
            </w:r>
          </w:p>
          <w:p w:rsidR="00113336" w:rsidRPr="00625791" w:rsidRDefault="00113336" w:rsidP="00B4618C">
            <w:pPr>
              <w:rPr>
                <w:rFonts w:ascii="Arial" w:hAnsi="Arial" w:cs="Arial"/>
                <w:b/>
                <w:sz w:val="13"/>
                <w:szCs w:val="13"/>
                <w:lang w:val="fr-CA"/>
              </w:rPr>
            </w:pPr>
            <w:r w:rsidRPr="00625791">
              <w:rPr>
                <w:rFonts w:ascii="Arial" w:hAnsi="Arial" w:cs="Arial"/>
                <w:b/>
                <w:sz w:val="13"/>
                <w:szCs w:val="13"/>
                <w:lang w:val="fr-FR"/>
              </w:rPr>
              <w:t>Yom Kippur / Yom Kippour</w:t>
            </w:r>
          </w:p>
        </w:tc>
        <w:tc>
          <w:tcPr>
            <w:tcW w:w="567" w:type="dxa"/>
            <w:hideMark/>
          </w:tcPr>
          <w:p w:rsidR="00113336" w:rsidRPr="00625791" w:rsidRDefault="00113336" w:rsidP="00786E63">
            <w:pPr>
              <w:spacing w:after="120"/>
              <w:jc w:val="center"/>
              <w:rPr>
                <w:rFonts w:ascii="Arial" w:hAnsi="Arial" w:cs="Arial"/>
                <w:b/>
                <w:sz w:val="13"/>
                <w:szCs w:val="13"/>
                <w:lang w:val="fr-CA"/>
              </w:rPr>
            </w:pPr>
            <w:r w:rsidRPr="00625791">
              <w:rPr>
                <w:rFonts w:ascii="Arial" w:hAnsi="Arial" w:cs="Arial"/>
                <w:b/>
                <w:sz w:val="13"/>
                <w:szCs w:val="13"/>
                <w:lang w:val="fr-CA"/>
              </w:rPr>
              <w:t>RH</w:t>
            </w:r>
          </w:p>
          <w:p w:rsidR="00113336" w:rsidRPr="00625791" w:rsidRDefault="00113336" w:rsidP="00786E63">
            <w:pPr>
              <w:jc w:val="center"/>
              <w:rPr>
                <w:rFonts w:ascii="Arial" w:hAnsi="Arial" w:cs="Arial"/>
                <w:b/>
                <w:sz w:val="13"/>
                <w:szCs w:val="13"/>
                <w:lang w:val="fr-CA"/>
              </w:rPr>
            </w:pPr>
            <w:r w:rsidRPr="00625791">
              <w:rPr>
                <w:rFonts w:ascii="Arial" w:hAnsi="Arial" w:cs="Arial"/>
                <w:b/>
                <w:sz w:val="13"/>
                <w:szCs w:val="13"/>
                <w:lang w:val="fr-CA"/>
              </w:rPr>
              <w:t>YK</w:t>
            </w:r>
          </w:p>
        </w:tc>
      </w:tr>
      <w:tr w:rsidR="00113336" w:rsidRPr="00366BFA" w:rsidTr="00B4618C">
        <w:trPr>
          <w:trHeight w:val="390"/>
        </w:trPr>
        <w:tc>
          <w:tcPr>
            <w:tcW w:w="1890" w:type="dxa"/>
            <w:tcBorders>
              <w:top w:val="nil"/>
              <w:left w:val="nil"/>
              <w:bottom w:val="nil"/>
              <w:right w:val="double" w:sz="4" w:space="0" w:color="auto"/>
            </w:tcBorders>
            <w:vAlign w:val="center"/>
            <w:hideMark/>
          </w:tcPr>
          <w:p w:rsidR="00113336" w:rsidRPr="00625791" w:rsidRDefault="00113336" w:rsidP="00786E63">
            <w:pPr>
              <w:spacing w:before="60"/>
              <w:rPr>
                <w:rFonts w:ascii="Arial" w:hAnsi="Arial" w:cs="Arial"/>
                <w:b/>
                <w:sz w:val="13"/>
                <w:szCs w:val="13"/>
                <w:lang w:val="fr-CA"/>
              </w:rPr>
            </w:pPr>
            <w:r w:rsidRPr="00625791">
              <w:rPr>
                <w:rFonts w:ascii="Arial" w:hAnsi="Arial" w:cs="Arial"/>
                <w:b/>
                <w:sz w:val="13"/>
                <w:szCs w:val="13"/>
                <w:lang w:val="fr-CA"/>
              </w:rPr>
              <w:t>Court conference /</w:t>
            </w:r>
          </w:p>
          <w:p w:rsidR="00113336" w:rsidRPr="00625791" w:rsidRDefault="00113336" w:rsidP="00786E63">
            <w:pPr>
              <w:rPr>
                <w:rFonts w:ascii="Arial" w:hAnsi="Arial" w:cs="Arial"/>
                <w:b/>
                <w:sz w:val="13"/>
                <w:szCs w:val="13"/>
                <w:lang w:val="fr-CA"/>
              </w:rPr>
            </w:pPr>
            <w:r w:rsidRPr="00625791">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625791" w:rsidRDefault="00113336" w:rsidP="00786E63">
            <w:pPr>
              <w:jc w:val="center"/>
              <w:rPr>
                <w:rFonts w:ascii="Arial" w:hAnsi="Arial" w:cs="Arial"/>
                <w:b/>
                <w:sz w:val="13"/>
                <w:szCs w:val="13"/>
                <w:lang w:val="fr-FR"/>
              </w:rPr>
            </w:pPr>
            <w:r w:rsidRPr="00625791">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625791" w:rsidRDefault="00113336" w:rsidP="00786E63">
            <w:pPr>
              <w:tabs>
                <w:tab w:val="left" w:pos="203"/>
              </w:tabs>
              <w:spacing w:before="120"/>
              <w:rPr>
                <w:rFonts w:ascii="Arial" w:hAnsi="Arial" w:cs="Arial"/>
                <w:b/>
                <w:sz w:val="13"/>
                <w:szCs w:val="13"/>
                <w:lang w:val="fr-CA"/>
              </w:rPr>
            </w:pPr>
            <w:r w:rsidRPr="00625791">
              <w:rPr>
                <w:rFonts w:ascii="Arial" w:hAnsi="Arial" w:cs="Arial"/>
                <w:b/>
                <w:sz w:val="13"/>
                <w:szCs w:val="13"/>
                <w:lang w:val="fr-CA"/>
              </w:rPr>
              <w:t>9</w:t>
            </w:r>
            <w:r w:rsidRPr="00625791">
              <w:rPr>
                <w:rFonts w:ascii="Arial" w:hAnsi="Arial" w:cs="Arial"/>
                <w:b/>
                <w:sz w:val="13"/>
                <w:szCs w:val="13"/>
                <w:lang w:val="fr-CA"/>
              </w:rPr>
              <w:tab/>
              <w:t>Court conference days /</w:t>
            </w:r>
          </w:p>
          <w:p w:rsidR="00113336" w:rsidRPr="00625791" w:rsidRDefault="00113336" w:rsidP="00B4618C">
            <w:pPr>
              <w:tabs>
                <w:tab w:val="left" w:pos="203"/>
              </w:tabs>
              <w:rPr>
                <w:rFonts w:ascii="Arial" w:hAnsi="Arial" w:cs="Arial"/>
                <w:b/>
                <w:sz w:val="13"/>
                <w:szCs w:val="13"/>
                <w:lang w:val="fr-CA"/>
              </w:rPr>
            </w:pPr>
            <w:r w:rsidRPr="00625791">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625791" w:rsidRDefault="00113336" w:rsidP="00786E63">
            <w:pPr>
              <w:rPr>
                <w:rFonts w:ascii="Arial" w:hAnsi="Arial" w:cs="Arial"/>
                <w:b/>
                <w:sz w:val="13"/>
                <w:szCs w:val="13"/>
                <w:lang w:val="fr-CA"/>
              </w:rPr>
            </w:pPr>
          </w:p>
        </w:tc>
        <w:tc>
          <w:tcPr>
            <w:tcW w:w="567" w:type="dxa"/>
          </w:tcPr>
          <w:p w:rsidR="00113336" w:rsidRPr="00625791" w:rsidRDefault="00113336" w:rsidP="00786E63">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625791" w:rsidRDefault="00113336" w:rsidP="00786E63">
            <w:pPr>
              <w:rPr>
                <w:rFonts w:ascii="Arial" w:hAnsi="Arial" w:cs="Arial"/>
                <w:b/>
                <w:sz w:val="13"/>
                <w:szCs w:val="13"/>
              </w:rPr>
            </w:pPr>
            <w:r w:rsidRPr="00625791">
              <w:rPr>
                <w:rFonts w:ascii="Arial" w:hAnsi="Arial" w:cs="Arial"/>
                <w:b/>
                <w:sz w:val="13"/>
                <w:szCs w:val="13"/>
              </w:rPr>
              <w:t xml:space="preserve">Holiday / </w:t>
            </w:r>
            <w:r w:rsidRPr="00625791">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625791" w:rsidRDefault="00113336" w:rsidP="00786E63">
            <w:pPr>
              <w:jc w:val="center"/>
              <w:rPr>
                <w:rFonts w:ascii="Arial" w:hAnsi="Arial" w:cs="Arial"/>
                <w:b/>
                <w:sz w:val="13"/>
                <w:szCs w:val="13"/>
              </w:rPr>
            </w:pPr>
            <w:r w:rsidRPr="00625791">
              <w:rPr>
                <w:rFonts w:ascii="Arial" w:hAnsi="Arial" w:cs="Arial"/>
                <w:b/>
                <w:sz w:val="13"/>
                <w:szCs w:val="13"/>
              </w:rPr>
              <w:t>H</w:t>
            </w:r>
          </w:p>
        </w:tc>
        <w:tc>
          <w:tcPr>
            <w:tcW w:w="3524" w:type="dxa"/>
            <w:tcBorders>
              <w:top w:val="nil"/>
              <w:left w:val="double" w:sz="4" w:space="0" w:color="auto"/>
              <w:bottom w:val="nil"/>
              <w:right w:val="nil"/>
            </w:tcBorders>
            <w:hideMark/>
          </w:tcPr>
          <w:p w:rsidR="00113336" w:rsidRPr="00625791" w:rsidRDefault="00B4618C" w:rsidP="00786E63">
            <w:pPr>
              <w:tabs>
                <w:tab w:val="left" w:pos="203"/>
              </w:tabs>
              <w:spacing w:before="120"/>
              <w:rPr>
                <w:rFonts w:ascii="Arial" w:hAnsi="Arial" w:cs="Arial"/>
                <w:b/>
                <w:sz w:val="13"/>
                <w:szCs w:val="13"/>
              </w:rPr>
            </w:pPr>
            <w:r w:rsidRPr="00625791">
              <w:rPr>
                <w:rFonts w:ascii="Arial" w:hAnsi="Arial" w:cs="Arial"/>
                <w:b/>
                <w:sz w:val="13"/>
                <w:szCs w:val="13"/>
              </w:rPr>
              <w:t>2</w:t>
            </w:r>
            <w:r w:rsidR="00113336" w:rsidRPr="00625791">
              <w:rPr>
                <w:rFonts w:ascii="Arial" w:hAnsi="Arial" w:cs="Arial"/>
                <w:b/>
                <w:sz w:val="13"/>
                <w:szCs w:val="13"/>
              </w:rPr>
              <w:tab/>
              <w:t xml:space="preserve">holidays during sitting days / </w:t>
            </w:r>
          </w:p>
          <w:p w:rsidR="00113336" w:rsidRPr="00B4618C" w:rsidRDefault="00113336" w:rsidP="00786E63">
            <w:pPr>
              <w:tabs>
                <w:tab w:val="left" w:pos="203"/>
              </w:tabs>
              <w:rPr>
                <w:rFonts w:ascii="Arial" w:hAnsi="Arial" w:cs="Arial"/>
                <w:b/>
                <w:sz w:val="13"/>
                <w:szCs w:val="13"/>
                <w:lang w:val="fr-CA"/>
              </w:rPr>
            </w:pPr>
            <w:r w:rsidRPr="00625791">
              <w:rPr>
                <w:rFonts w:ascii="Arial" w:hAnsi="Arial" w:cs="Arial"/>
                <w:b/>
                <w:sz w:val="13"/>
                <w:szCs w:val="13"/>
              </w:rPr>
              <w:tab/>
            </w:r>
            <w:r w:rsidRPr="00625791">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786E63">
            <w:pPr>
              <w:rPr>
                <w:rFonts w:ascii="Arial" w:hAnsi="Arial" w:cs="Arial"/>
                <w:b/>
                <w:sz w:val="13"/>
                <w:szCs w:val="13"/>
                <w:lang w:val="fr-FR"/>
              </w:rPr>
            </w:pPr>
          </w:p>
        </w:tc>
        <w:tc>
          <w:tcPr>
            <w:tcW w:w="567" w:type="dxa"/>
          </w:tcPr>
          <w:p w:rsidR="00113336" w:rsidRPr="00B4618C" w:rsidRDefault="00113336" w:rsidP="00786E63">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101"/>
      <w:footerReference w:type="default" r:id="rId10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E4" w:rsidRDefault="008665E4" w:rsidP="00A87207">
      <w:r>
        <w:separator/>
      </w:r>
    </w:p>
  </w:endnote>
  <w:endnote w:type="continuationSeparator" w:id="0">
    <w:p w:rsidR="008665E4" w:rsidRDefault="008665E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rsidP="00A87207">
    <w:pPr>
      <w:pStyle w:val="Footer"/>
    </w:pPr>
    <w:r>
      <w:pict>
        <v:rect id="_x0000_i1029" style="width:480.95pt;height:1pt" o:hralign="center" o:hrstd="t" o:hrnoshade="t" o:hr="t" fillcolor="black [3213]" stroked="f"/>
      </w:pict>
    </w:r>
  </w:p>
  <w:p w:rsidR="008665E4" w:rsidRPr="00B7374B" w:rsidRDefault="008665E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8665E4" w:rsidRDefault="008665E4"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pPr>
      <w:pStyle w:val="Footer"/>
      <w:rPr>
        <w:lang w:val="fr-CA"/>
      </w:rPr>
    </w:pPr>
    <w:r>
      <w:rPr>
        <w:lang w:val="fr-CA"/>
      </w:rPr>
      <w:pict>
        <v:rect id="_x0000_i1064" style="width:480.95pt;height:1pt" o:hralign="center" o:hrstd="t" o:hrnoshade="t" o:hr="t" fillcolor="black [3213]" stroked="f"/>
      </w:pict>
    </w:r>
  </w:p>
  <w:p w:rsidR="008665E4" w:rsidRDefault="008665E4" w:rsidP="00EB2B90">
    <w:pPr>
      <w:tabs>
        <w:tab w:val="center" w:pos="4680"/>
      </w:tabs>
    </w:pPr>
    <w:r>
      <w:tab/>
      <w:t xml:space="preserve">- </w:t>
    </w:r>
    <w:r>
      <w:fldChar w:fldCharType="begin"/>
    </w:r>
    <w:r>
      <w:instrText xml:space="preserve"> PAGE   \* MERGEFORMAT </w:instrText>
    </w:r>
    <w:r>
      <w:fldChar w:fldCharType="separate"/>
    </w:r>
    <w:r w:rsidR="00366BFA">
      <w:rPr>
        <w:noProof/>
      </w:rPr>
      <w:t>29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65E4" w:rsidRDefault="008665E4">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65E4" w:rsidRDefault="00366B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8665E4" w:rsidRDefault="008665E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6BFA">
      <w:rPr>
        <w:noProof/>
        <w:szCs w:val="24"/>
      </w:rPr>
      <w:t>31</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rsidP="00782AE4">
    <w:pPr>
      <w:tabs>
        <w:tab w:val="center" w:pos="4680"/>
      </w:tabs>
    </w:pPr>
    <w:r>
      <w:pict>
        <v:rect id="_x0000_i1067" style="width:480.95pt;height:1pt" o:hralign="center" o:hrstd="t" o:hrnoshade="t" o:hr="t" fillcolor="black [3213]" stroked="f"/>
      </w:pict>
    </w:r>
  </w:p>
  <w:p w:rsidR="008665E4" w:rsidRDefault="008665E4"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6BFA">
      <w:rPr>
        <w:noProof/>
        <w:szCs w:val="24"/>
      </w:rPr>
      <w:t>30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Pr="00924065" w:rsidRDefault="008665E4"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rsidP="00755F22">
    <w:pPr>
      <w:tabs>
        <w:tab w:val="left" w:pos="-1440"/>
        <w:tab w:val="left" w:pos="-720"/>
      </w:tabs>
    </w:pPr>
    <w:r>
      <w:pict>
        <v:rect id="_x0000_i1030" style="width:480.95pt;height:1pt" o:hralign="center" o:hrstd="t" o:hrnoshade="t" o:hr="t" fillcolor="black [3213]" stroked="f"/>
      </w:pict>
    </w:r>
  </w:p>
  <w:p w:rsidR="008665E4" w:rsidRPr="00954D22" w:rsidRDefault="008665E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66BFA">
      <w:rPr>
        <w:noProof/>
        <w:szCs w:val="24"/>
      </w:rPr>
      <w:t>1</w:t>
    </w:r>
    <w:r>
      <w:rPr>
        <w:szCs w:val="24"/>
      </w:rPr>
      <w:fldChar w:fldCharType="end"/>
    </w:r>
    <w:r w:rsidRPr="00954D22">
      <w:rPr>
        <w:szCs w:val="24"/>
      </w:rPr>
      <w:t xml:space="preserve"> -</w:t>
    </w:r>
  </w:p>
  <w:p w:rsidR="008665E4" w:rsidRDefault="00866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65E4" w:rsidRDefault="008665E4">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8665E4" w:rsidRPr="0009648D" w:rsidRDefault="008665E4" w:rsidP="00ED7E83">
    <w:pPr>
      <w:tabs>
        <w:tab w:val="center" w:pos="4680"/>
      </w:tabs>
    </w:pPr>
    <w:r>
      <w:tab/>
    </w:r>
    <w:r w:rsidRPr="0009648D">
      <w:t xml:space="preserve">- </w:t>
    </w:r>
    <w:r>
      <w:fldChar w:fldCharType="begin"/>
    </w:r>
    <w:r>
      <w:instrText xml:space="preserve"> PAGE   \* MERGEFORMAT </w:instrText>
    </w:r>
    <w:r>
      <w:fldChar w:fldCharType="separate"/>
    </w:r>
    <w:r w:rsidR="00366BFA">
      <w:rPr>
        <w:noProof/>
      </w:rPr>
      <w:t>20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pPr>
      <w:pStyle w:val="Footer"/>
      <w:rPr>
        <w:lang w:val="fr-CA"/>
      </w:rPr>
    </w:pPr>
    <w:r>
      <w:rPr>
        <w:lang w:val="fr-CA"/>
      </w:rPr>
      <w:pict>
        <v:rect id="_x0000_i1058" style="width:480.95pt;height:1pt" o:hralign="center" o:hrstd="t" o:hrnoshade="t" o:hr="t" fillcolor="black [3213]" stroked="f"/>
      </w:pict>
    </w:r>
  </w:p>
  <w:p w:rsidR="008665E4" w:rsidRDefault="008665E4" w:rsidP="00245129">
    <w:pPr>
      <w:tabs>
        <w:tab w:val="center" w:pos="4680"/>
      </w:tabs>
    </w:pPr>
    <w:r>
      <w:tab/>
    </w:r>
    <w:r w:rsidRPr="0009648D">
      <w:t xml:space="preserve">- </w:t>
    </w:r>
    <w:r>
      <w:fldChar w:fldCharType="begin"/>
    </w:r>
    <w:r>
      <w:instrText xml:space="preserve"> PAGE   \* MERGEFORMAT </w:instrText>
    </w:r>
    <w:r>
      <w:fldChar w:fldCharType="separate"/>
    </w:r>
    <w:r w:rsidR="00366BFA">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65E4" w:rsidRDefault="008665E4">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rsidP="00755F22">
    <w:pPr>
      <w:tabs>
        <w:tab w:val="left" w:pos="-1440"/>
        <w:tab w:val="left" w:pos="-720"/>
      </w:tabs>
    </w:pPr>
    <w:r>
      <w:pict>
        <v:rect id="_x0000_i1060" style="width:480.95pt;height:1pt" o:hralign="center" o:hrstd="t" o:hrnoshade="t" o:hr="t" fillcolor="black [3213]" stroked="f"/>
      </w:pict>
    </w:r>
  </w:p>
  <w:p w:rsidR="008665E4" w:rsidRDefault="008665E4" w:rsidP="00EB2B90">
    <w:pPr>
      <w:tabs>
        <w:tab w:val="center" w:pos="4680"/>
      </w:tabs>
    </w:pPr>
    <w:r>
      <w:tab/>
      <w:t xml:space="preserve">- </w:t>
    </w:r>
    <w:r>
      <w:fldChar w:fldCharType="begin"/>
    </w:r>
    <w:r>
      <w:instrText xml:space="preserve"> PAGE   \* MERGEFORMAT </w:instrText>
    </w:r>
    <w:r>
      <w:fldChar w:fldCharType="separate"/>
    </w:r>
    <w:r w:rsidR="00366BFA">
      <w:rPr>
        <w:noProof/>
      </w:rPr>
      <w:t>28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366BFA" w:rsidP="00EB2B90">
    <w:pPr>
      <w:tabs>
        <w:tab w:val="center" w:pos="4680"/>
      </w:tabs>
    </w:pPr>
    <w:r>
      <w:pict>
        <v:rect id="_x0000_i1061" style="width:480.95pt;height:1pt" o:hralign="center" o:hrstd="t" o:hrnoshade="t" o:hr="t" fillcolor="black [3213]" stroked="f"/>
      </w:pict>
    </w:r>
  </w:p>
  <w:p w:rsidR="008665E4" w:rsidRPr="0031432F" w:rsidRDefault="008665E4" w:rsidP="00EB2B90">
    <w:pPr>
      <w:tabs>
        <w:tab w:val="center" w:pos="4680"/>
      </w:tabs>
    </w:pPr>
    <w:r>
      <w:tab/>
      <w:t xml:space="preserve">- </w:t>
    </w:r>
    <w:r>
      <w:fldChar w:fldCharType="begin"/>
    </w:r>
    <w:r>
      <w:instrText xml:space="preserve"> PAGE   \* MERGEFORMAT </w:instrText>
    </w:r>
    <w:r>
      <w:fldChar w:fldCharType="separate"/>
    </w:r>
    <w:r w:rsidR="00366BFA">
      <w:rPr>
        <w:noProof/>
      </w:rPr>
      <w:t>27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665E4" w:rsidRDefault="008665E4">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E4" w:rsidRDefault="008665E4" w:rsidP="00A87207">
      <w:r>
        <w:separator/>
      </w:r>
    </w:p>
  </w:footnote>
  <w:footnote w:type="continuationSeparator" w:id="0">
    <w:p w:rsidR="008665E4" w:rsidRDefault="008665E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665E4" w:rsidRPr="0044776A" w:rsidTr="00245129">
      <w:tc>
        <w:tcPr>
          <w:tcW w:w="4290" w:type="dxa"/>
          <w:tcMar>
            <w:left w:w="0" w:type="dxa"/>
            <w:right w:w="0" w:type="dxa"/>
          </w:tcMar>
        </w:tcPr>
        <w:p w:rsidR="008665E4" w:rsidRPr="00D31809" w:rsidRDefault="008665E4" w:rsidP="00D31809">
          <w:pPr>
            <w:keepNext/>
            <w:keepLines/>
            <w:rPr>
              <w:sz w:val="20"/>
              <w:szCs w:val="20"/>
              <w:lang w:val="en-US"/>
            </w:rPr>
          </w:pPr>
          <w:r w:rsidRPr="00D31809">
            <w:rPr>
              <w:sz w:val="20"/>
              <w:szCs w:val="20"/>
              <w:lang w:val="en-US"/>
            </w:rPr>
            <w:t>Applications for leave to appeal filed</w:t>
          </w:r>
        </w:p>
        <w:p w:rsidR="008665E4" w:rsidRPr="00D31809" w:rsidRDefault="008665E4" w:rsidP="00D31809">
          <w:pPr>
            <w:keepNext/>
            <w:keepLines/>
            <w:rPr>
              <w:sz w:val="20"/>
              <w:szCs w:val="20"/>
            </w:rPr>
          </w:pPr>
        </w:p>
      </w:tc>
      <w:tc>
        <w:tcPr>
          <w:tcW w:w="1200" w:type="dxa"/>
          <w:tcMar>
            <w:left w:w="0" w:type="dxa"/>
            <w:right w:w="0" w:type="dxa"/>
          </w:tcMar>
        </w:tcPr>
        <w:p w:rsidR="008665E4" w:rsidRPr="00D31809" w:rsidRDefault="008665E4" w:rsidP="002E2327">
          <w:pPr>
            <w:keepNext/>
            <w:keepLines/>
            <w:tabs>
              <w:tab w:val="left" w:pos="-1440"/>
              <w:tab w:val="left" w:pos="-720"/>
            </w:tabs>
            <w:jc w:val="center"/>
            <w:rPr>
              <w:sz w:val="20"/>
              <w:szCs w:val="20"/>
            </w:rPr>
          </w:pPr>
        </w:p>
      </w:tc>
      <w:tc>
        <w:tcPr>
          <w:tcW w:w="4320" w:type="dxa"/>
          <w:tcMar>
            <w:left w:w="0" w:type="dxa"/>
            <w:right w:w="0" w:type="dxa"/>
          </w:tcMar>
        </w:tcPr>
        <w:p w:rsidR="008665E4" w:rsidRPr="00D31809" w:rsidRDefault="008665E4" w:rsidP="002E2327">
          <w:pPr>
            <w:keepLines/>
            <w:rPr>
              <w:sz w:val="20"/>
              <w:szCs w:val="20"/>
              <w:lang w:val="fr-CA"/>
            </w:rPr>
          </w:pPr>
          <w:r w:rsidRPr="00D31809">
            <w:rPr>
              <w:sz w:val="20"/>
              <w:szCs w:val="20"/>
              <w:lang w:val="fr-CA"/>
            </w:rPr>
            <w:t>Demandes d’autorisation d’appel déposées</w:t>
          </w:r>
        </w:p>
      </w:tc>
    </w:tr>
  </w:tbl>
  <w:p w:rsidR="008665E4" w:rsidRDefault="008665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665E4" w:rsidRPr="00366BFA" w:rsidTr="00245129">
      <w:tc>
        <w:tcPr>
          <w:tcW w:w="4200" w:type="dxa"/>
          <w:tcMar>
            <w:left w:w="0" w:type="dxa"/>
            <w:right w:w="0" w:type="dxa"/>
          </w:tcMar>
        </w:tcPr>
        <w:p w:rsidR="008665E4" w:rsidRPr="00F40249" w:rsidRDefault="008665E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665E4" w:rsidRDefault="008665E4" w:rsidP="00102926">
          <w:pPr>
            <w:keepNext/>
            <w:keepLines/>
            <w:tabs>
              <w:tab w:val="left" w:pos="-1440"/>
              <w:tab w:val="left" w:pos="-720"/>
            </w:tabs>
            <w:jc w:val="center"/>
            <w:rPr>
              <w:sz w:val="20"/>
              <w:szCs w:val="20"/>
            </w:rPr>
          </w:pPr>
        </w:p>
        <w:p w:rsidR="008665E4" w:rsidRDefault="008665E4" w:rsidP="00102926">
          <w:pPr>
            <w:keepNext/>
            <w:keepLines/>
            <w:tabs>
              <w:tab w:val="left" w:pos="-1440"/>
              <w:tab w:val="left" w:pos="-720"/>
            </w:tabs>
            <w:jc w:val="center"/>
            <w:rPr>
              <w:sz w:val="20"/>
              <w:szCs w:val="20"/>
            </w:rPr>
          </w:pPr>
        </w:p>
        <w:p w:rsidR="008665E4" w:rsidRPr="00F40249" w:rsidRDefault="008665E4" w:rsidP="00102926">
          <w:pPr>
            <w:keepNext/>
            <w:keepLines/>
            <w:tabs>
              <w:tab w:val="left" w:pos="-1440"/>
              <w:tab w:val="left" w:pos="-720"/>
            </w:tabs>
            <w:jc w:val="center"/>
            <w:rPr>
              <w:sz w:val="20"/>
              <w:szCs w:val="20"/>
            </w:rPr>
          </w:pPr>
        </w:p>
      </w:tc>
      <w:tc>
        <w:tcPr>
          <w:tcW w:w="4230" w:type="dxa"/>
          <w:tcMar>
            <w:left w:w="0" w:type="dxa"/>
            <w:right w:w="0" w:type="dxa"/>
          </w:tcMar>
        </w:tcPr>
        <w:p w:rsidR="008665E4" w:rsidRPr="00F40249" w:rsidRDefault="008665E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665E4" w:rsidRPr="00B01A03" w:rsidRDefault="008665E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665E4">
      <w:tc>
        <w:tcPr>
          <w:tcW w:w="4230" w:type="dxa"/>
          <w:tcMar>
            <w:left w:w="0" w:type="dxa"/>
            <w:right w:w="0" w:type="dxa"/>
          </w:tcMar>
        </w:tcPr>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665E4" w:rsidRDefault="008665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665E4" w:rsidRPr="00366BFA" w:rsidTr="00245129">
      <w:tc>
        <w:tcPr>
          <w:tcW w:w="4230" w:type="dxa"/>
          <w:tcMar>
            <w:left w:w="0" w:type="dxa"/>
            <w:right w:w="0" w:type="dxa"/>
          </w:tcMar>
        </w:tcPr>
        <w:p w:rsidR="008665E4" w:rsidRPr="00782A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8665E4" w:rsidRDefault="008665E4" w:rsidP="00102926">
          <w:pPr>
            <w:keepNext/>
            <w:keepLines/>
            <w:tabs>
              <w:tab w:val="left" w:pos="-1440"/>
              <w:tab w:val="left" w:pos="-720"/>
            </w:tabs>
            <w:jc w:val="center"/>
            <w:rPr>
              <w:sz w:val="20"/>
              <w:szCs w:val="20"/>
            </w:rPr>
          </w:pPr>
        </w:p>
        <w:p w:rsidR="008665E4" w:rsidRDefault="008665E4" w:rsidP="00102926">
          <w:pPr>
            <w:keepNext/>
            <w:keepLines/>
            <w:tabs>
              <w:tab w:val="left" w:pos="-1440"/>
              <w:tab w:val="left" w:pos="-720"/>
            </w:tabs>
            <w:jc w:val="center"/>
            <w:rPr>
              <w:sz w:val="20"/>
              <w:szCs w:val="20"/>
            </w:rPr>
          </w:pPr>
        </w:p>
        <w:p w:rsidR="008665E4" w:rsidRPr="00782AE4" w:rsidRDefault="008665E4" w:rsidP="00102926">
          <w:pPr>
            <w:keepNext/>
            <w:keepLines/>
            <w:tabs>
              <w:tab w:val="left" w:pos="-1440"/>
              <w:tab w:val="left" w:pos="-720"/>
            </w:tabs>
            <w:jc w:val="center"/>
            <w:rPr>
              <w:sz w:val="20"/>
              <w:szCs w:val="20"/>
            </w:rPr>
          </w:pPr>
        </w:p>
      </w:tc>
      <w:tc>
        <w:tcPr>
          <w:tcW w:w="4080" w:type="dxa"/>
          <w:tcMar>
            <w:left w:w="0" w:type="dxa"/>
            <w:right w:w="0" w:type="dxa"/>
          </w:tcMar>
        </w:tcPr>
        <w:p w:rsidR="008665E4" w:rsidRPr="0004197A" w:rsidRDefault="008665E4"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8665E4" w:rsidRPr="0004197A" w:rsidRDefault="008665E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665E4" w:rsidRPr="00366BFA">
      <w:tc>
        <w:tcPr>
          <w:tcW w:w="4200" w:type="dxa"/>
          <w:tcMar>
            <w:left w:w="0" w:type="dxa"/>
            <w:right w:w="0" w:type="dxa"/>
          </w:tcMar>
        </w:tcPr>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665E4" w:rsidRDefault="008665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65E4" w:rsidRPr="00FF6BA5" w:rsidRDefault="008665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665E4" w:rsidRPr="00FF6BA5"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665E4" w:rsidRPr="00FF6BA5"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665E4" w:rsidRPr="00FF6BA5"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665E4" w:rsidRPr="00366BFA" w:rsidTr="00245129">
      <w:tc>
        <w:tcPr>
          <w:tcW w:w="4200" w:type="dxa"/>
          <w:tcMar>
            <w:left w:w="0" w:type="dxa"/>
            <w:right w:w="0" w:type="dxa"/>
          </w:tcMar>
        </w:tcPr>
        <w:p w:rsidR="008665E4" w:rsidRPr="00634F42" w:rsidRDefault="008665E4"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665E4" w:rsidRPr="00755F22" w:rsidRDefault="008665E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665E4" w:rsidRPr="00755F22" w:rsidRDefault="008665E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665E4" w:rsidRPr="00755F22" w:rsidRDefault="008665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665E4" w:rsidRPr="00FF6BA5" w:rsidRDefault="008665E4"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665E4">
      <w:tc>
        <w:tcPr>
          <w:tcW w:w="4230" w:type="dxa"/>
          <w:tcMar>
            <w:left w:w="0" w:type="dxa"/>
            <w:right w:w="0" w:type="dxa"/>
          </w:tcMar>
        </w:tcPr>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665E4" w:rsidRDefault="008665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65E4" w:rsidRDefault="008665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665E4">
      <w:trPr>
        <w:gridAfter w:val="2"/>
        <w:wAfter w:w="5250" w:type="dxa"/>
      </w:trPr>
      <w:tc>
        <w:tcPr>
          <w:tcW w:w="4230" w:type="dxa"/>
          <w:tcMar>
            <w:left w:w="0" w:type="dxa"/>
            <w:right w:w="0" w:type="dxa"/>
          </w:tcMar>
        </w:tcPr>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665E4"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665E4" w:rsidRPr="00755F22" w:rsidTr="00245129">
      <w:tc>
        <w:tcPr>
          <w:tcW w:w="4230" w:type="dxa"/>
          <w:tcMar>
            <w:left w:w="0" w:type="dxa"/>
            <w:right w:w="0" w:type="dxa"/>
          </w:tcMar>
        </w:tcPr>
        <w:p w:rsidR="008665E4" w:rsidRPr="00755F22" w:rsidRDefault="008665E4" w:rsidP="00831CA9">
          <w:pPr>
            <w:keepNext/>
            <w:keepLines/>
            <w:rPr>
              <w:sz w:val="20"/>
              <w:szCs w:val="20"/>
            </w:rPr>
          </w:pPr>
          <w:r w:rsidRPr="00755F22">
            <w:rPr>
              <w:sz w:val="20"/>
              <w:szCs w:val="20"/>
            </w:rPr>
            <w:t>Motions</w:t>
          </w:r>
        </w:p>
      </w:tc>
      <w:tc>
        <w:tcPr>
          <w:tcW w:w="1170" w:type="dxa"/>
          <w:tcMar>
            <w:left w:w="0" w:type="dxa"/>
            <w:right w:w="0" w:type="dxa"/>
          </w:tcMar>
        </w:tcPr>
        <w:p w:rsidR="008665E4" w:rsidRPr="00755F22" w:rsidRDefault="008665E4" w:rsidP="00831CA9">
          <w:pPr>
            <w:keepLines/>
            <w:jc w:val="center"/>
            <w:rPr>
              <w:sz w:val="20"/>
              <w:szCs w:val="20"/>
            </w:rPr>
          </w:pPr>
        </w:p>
        <w:p w:rsidR="008665E4" w:rsidRPr="00755F22" w:rsidRDefault="008665E4" w:rsidP="00831CA9">
          <w:pPr>
            <w:keepLines/>
            <w:tabs>
              <w:tab w:val="left" w:pos="-1440"/>
              <w:tab w:val="left" w:pos="-720"/>
            </w:tabs>
            <w:jc w:val="center"/>
            <w:rPr>
              <w:sz w:val="20"/>
              <w:szCs w:val="20"/>
            </w:rPr>
          </w:pPr>
        </w:p>
      </w:tc>
      <w:tc>
        <w:tcPr>
          <w:tcW w:w="4080" w:type="dxa"/>
          <w:tcMar>
            <w:left w:w="0" w:type="dxa"/>
            <w:right w:w="0" w:type="dxa"/>
          </w:tcMar>
        </w:tcPr>
        <w:p w:rsidR="008665E4" w:rsidRPr="00BA6468" w:rsidRDefault="008665E4" w:rsidP="00BA6468">
          <w:pPr>
            <w:keepLines/>
            <w:rPr>
              <w:sz w:val="20"/>
              <w:szCs w:val="20"/>
              <w:lang w:val="fr-CA"/>
            </w:rPr>
          </w:pPr>
          <w:r w:rsidRPr="00BA6468">
            <w:rPr>
              <w:sz w:val="20"/>
              <w:szCs w:val="20"/>
              <w:lang w:val="fr-CA"/>
            </w:rPr>
            <w:t>Requêtes</w:t>
          </w:r>
        </w:p>
      </w:tc>
    </w:tr>
  </w:tbl>
  <w:p w:rsidR="008665E4" w:rsidRDefault="008665E4"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E4" w:rsidRDefault="008665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665E4" w:rsidRPr="00366BFA">
      <w:tc>
        <w:tcPr>
          <w:tcW w:w="4200" w:type="dxa"/>
          <w:tcMar>
            <w:left w:w="0" w:type="dxa"/>
            <w:right w:w="0" w:type="dxa"/>
          </w:tcMar>
        </w:tcPr>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665E4" w:rsidRDefault="008665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665E4" w:rsidRPr="00B01A03" w:rsidRDefault="008665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665E4" w:rsidRPr="00B01A03"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665E4" w:rsidRPr="00B01A03" w:rsidRDefault="008665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10"/>
    <w:rsid w:val="00002704"/>
    <w:rsid w:val="0000321E"/>
    <w:rsid w:val="00020DC3"/>
    <w:rsid w:val="0003223B"/>
    <w:rsid w:val="000327B2"/>
    <w:rsid w:val="00033A57"/>
    <w:rsid w:val="0004197A"/>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2330B"/>
    <w:rsid w:val="002410B8"/>
    <w:rsid w:val="00242AEE"/>
    <w:rsid w:val="00245129"/>
    <w:rsid w:val="00245879"/>
    <w:rsid w:val="002466D3"/>
    <w:rsid w:val="00253236"/>
    <w:rsid w:val="002534CE"/>
    <w:rsid w:val="00267FD5"/>
    <w:rsid w:val="00271E1E"/>
    <w:rsid w:val="00274D34"/>
    <w:rsid w:val="00281DA2"/>
    <w:rsid w:val="00283348"/>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E62ED"/>
    <w:rsid w:val="0030050B"/>
    <w:rsid w:val="003008F5"/>
    <w:rsid w:val="00304081"/>
    <w:rsid w:val="003308AA"/>
    <w:rsid w:val="00331B52"/>
    <w:rsid w:val="00333403"/>
    <w:rsid w:val="003359D3"/>
    <w:rsid w:val="0034657E"/>
    <w:rsid w:val="00351475"/>
    <w:rsid w:val="00355967"/>
    <w:rsid w:val="00366BFA"/>
    <w:rsid w:val="0037527A"/>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149F"/>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3010"/>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5791"/>
    <w:rsid w:val="0062714A"/>
    <w:rsid w:val="00634F42"/>
    <w:rsid w:val="00645947"/>
    <w:rsid w:val="006615F4"/>
    <w:rsid w:val="00675479"/>
    <w:rsid w:val="006804A7"/>
    <w:rsid w:val="00680709"/>
    <w:rsid w:val="00681F61"/>
    <w:rsid w:val="0068313D"/>
    <w:rsid w:val="00684F23"/>
    <w:rsid w:val="00691D1D"/>
    <w:rsid w:val="00693C38"/>
    <w:rsid w:val="00693C4D"/>
    <w:rsid w:val="00696BF9"/>
    <w:rsid w:val="00697C62"/>
    <w:rsid w:val="006A329B"/>
    <w:rsid w:val="006A7EB8"/>
    <w:rsid w:val="006B6926"/>
    <w:rsid w:val="006C3F47"/>
    <w:rsid w:val="006C5F7A"/>
    <w:rsid w:val="006E06AF"/>
    <w:rsid w:val="006E0D1B"/>
    <w:rsid w:val="006E1CB0"/>
    <w:rsid w:val="006F350F"/>
    <w:rsid w:val="00717608"/>
    <w:rsid w:val="00720533"/>
    <w:rsid w:val="00727571"/>
    <w:rsid w:val="00732DB7"/>
    <w:rsid w:val="0074238B"/>
    <w:rsid w:val="00745EF7"/>
    <w:rsid w:val="00755F22"/>
    <w:rsid w:val="00766E4A"/>
    <w:rsid w:val="007820CE"/>
    <w:rsid w:val="00782AE4"/>
    <w:rsid w:val="00786E63"/>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46965"/>
    <w:rsid w:val="00850E1F"/>
    <w:rsid w:val="0085476B"/>
    <w:rsid w:val="0086340B"/>
    <w:rsid w:val="008665E4"/>
    <w:rsid w:val="00870098"/>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271DD"/>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96071"/>
    <w:rsid w:val="00AB2201"/>
    <w:rsid w:val="00AC3CBD"/>
    <w:rsid w:val="00AD1D34"/>
    <w:rsid w:val="00AD3259"/>
    <w:rsid w:val="00AE043C"/>
    <w:rsid w:val="00AF1715"/>
    <w:rsid w:val="00AF3904"/>
    <w:rsid w:val="00B00A0B"/>
    <w:rsid w:val="00B010C0"/>
    <w:rsid w:val="00B15CBE"/>
    <w:rsid w:val="00B40FD9"/>
    <w:rsid w:val="00B446B3"/>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D5548"/>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5D6"/>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396A"/>
    <w:rsid w:val="00D8443D"/>
    <w:rsid w:val="00D862C1"/>
    <w:rsid w:val="00D93A6C"/>
    <w:rsid w:val="00D93B50"/>
    <w:rsid w:val="00D94028"/>
    <w:rsid w:val="00D94670"/>
    <w:rsid w:val="00DA1D48"/>
    <w:rsid w:val="00DA46F6"/>
    <w:rsid w:val="00DA756F"/>
    <w:rsid w:val="00DB0025"/>
    <w:rsid w:val="00DC0577"/>
    <w:rsid w:val="00DC195B"/>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1D4C"/>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6E0D1B"/>
    <w:pPr>
      <w:jc w:val="both"/>
    </w:pPr>
    <w:rPr>
      <w:rFonts w:eastAsia="Calibri" w:cs="Times New Roman"/>
      <w:smallCaps/>
    </w:rPr>
  </w:style>
  <w:style w:type="character" w:customStyle="1" w:styleId="SCCBanSummaryChar">
    <w:name w:val="SCC.BanSummary Char"/>
    <w:basedOn w:val="DefaultParagraphFont"/>
    <w:link w:val="SCCBanSummary0"/>
    <w:rsid w:val="006E0D1B"/>
    <w:rPr>
      <w:rFonts w:eastAsia="Calibri" w:cs="Times New Roman"/>
      <w:smallCaps/>
      <w:lang w:val="en-CA"/>
    </w:rPr>
  </w:style>
  <w:style w:type="paragraph" w:styleId="NoSpacing">
    <w:name w:val="No Spacing"/>
    <w:uiPriority w:val="1"/>
    <w:qFormat/>
    <w:rsid w:val="006E0D1B"/>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6E0D1B"/>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6E0D1B"/>
    <w:rPr>
      <w:rFonts w:ascii="Tahoma" w:eastAsia="Times New Roman" w:hAnsi="Tahoma" w:cs="Tahoma"/>
      <w:sz w:val="16"/>
      <w:szCs w:val="16"/>
    </w:rPr>
  </w:style>
  <w:style w:type="paragraph" w:customStyle="1" w:styleId="Style268435469">
    <w:name w:val="Style268435469"/>
    <w:rsid w:val="006E0D1B"/>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6E0D1B"/>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6E0D1B"/>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6E0D1B"/>
    <w:rPr>
      <w:sz w:val="16"/>
      <w:szCs w:val="16"/>
    </w:rPr>
  </w:style>
  <w:style w:type="paragraph" w:styleId="CommentText">
    <w:name w:val="annotation text"/>
    <w:basedOn w:val="Normal"/>
    <w:link w:val="CommentTextChar"/>
    <w:uiPriority w:val="99"/>
    <w:semiHidden/>
    <w:unhideWhenUsed/>
    <w:rsid w:val="006E0D1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6E0D1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D1B"/>
    <w:rPr>
      <w:b/>
      <w:bCs/>
    </w:rPr>
  </w:style>
  <w:style w:type="character" w:customStyle="1" w:styleId="CommentSubjectChar">
    <w:name w:val="Comment Subject Char"/>
    <w:basedOn w:val="CommentTextChar"/>
    <w:link w:val="CommentSubject"/>
    <w:uiPriority w:val="99"/>
    <w:semiHidden/>
    <w:rsid w:val="006E0D1B"/>
    <w:rPr>
      <w:rFonts w:eastAsia="Times New Roman" w:cs="Times New Roman"/>
      <w:b/>
      <w:bCs/>
      <w:sz w:val="20"/>
      <w:szCs w:val="20"/>
    </w:rPr>
  </w:style>
  <w:style w:type="paragraph" w:customStyle="1" w:styleId="mainparagraph1">
    <w:name w:val="mainparagraph1"/>
    <w:basedOn w:val="Normal"/>
    <w:rsid w:val="006E0D1B"/>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6E0D1B"/>
    <w:pPr>
      <w:spacing w:before="120" w:after="120"/>
      <w:jc w:val="both"/>
    </w:pPr>
    <w:rPr>
      <w:rFonts w:ascii="Arial" w:eastAsia="Times New Roman" w:hAnsi="Arial" w:cs="Arial"/>
      <w:sz w:val="26"/>
      <w:szCs w:val="26"/>
      <w:lang w:val="en-US"/>
    </w:rPr>
  </w:style>
  <w:style w:type="paragraph" w:customStyle="1" w:styleId="number1">
    <w:name w:val="number1"/>
    <w:basedOn w:val="Normal"/>
    <w:rsid w:val="006E0D1B"/>
    <w:pPr>
      <w:jc w:val="both"/>
    </w:pPr>
    <w:rPr>
      <w:rFonts w:ascii="Tahoma" w:eastAsia="Times New Roman" w:hAnsi="Tahoma" w:cs="Tahoma"/>
      <w:szCs w:val="24"/>
      <w:lang w:val="en-US"/>
    </w:rPr>
  </w:style>
  <w:style w:type="character" w:customStyle="1" w:styleId="reflex3-block">
    <w:name w:val="reflex3-block"/>
    <w:basedOn w:val="DefaultParagraphFont"/>
    <w:rsid w:val="006E0D1B"/>
  </w:style>
  <w:style w:type="character" w:customStyle="1" w:styleId="reflex3-alt">
    <w:name w:val="reflex3-alt"/>
    <w:basedOn w:val="DefaultParagraphFont"/>
    <w:rsid w:val="006E0D1B"/>
  </w:style>
  <w:style w:type="paragraph" w:customStyle="1" w:styleId="scjnumber1">
    <w:name w:val="scjnumber1"/>
    <w:basedOn w:val="Normal"/>
    <w:rsid w:val="006E0D1B"/>
    <w:pPr>
      <w:spacing w:after="240"/>
    </w:pPr>
    <w:rPr>
      <w:rFonts w:ascii="Arial" w:eastAsia="Times New Roman" w:hAnsi="Arial" w:cs="Arial"/>
      <w:szCs w:val="24"/>
      <w:lang w:val="en-US"/>
    </w:rPr>
  </w:style>
  <w:style w:type="character" w:customStyle="1" w:styleId="reflex">
    <w:name w:val="reflex"/>
    <w:basedOn w:val="DefaultParagraphFont"/>
    <w:rsid w:val="006E0D1B"/>
  </w:style>
  <w:style w:type="paragraph" w:customStyle="1" w:styleId="paragraphe">
    <w:name w:val="paragraphe"/>
    <w:basedOn w:val="Normal"/>
    <w:rsid w:val="006E0D1B"/>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6E0D1B"/>
  </w:style>
  <w:style w:type="paragraph" w:customStyle="1" w:styleId="SCCLsocSubfileSeparator0">
    <w:name w:val="SCC.Lsoc.SubfileSeparator"/>
    <w:basedOn w:val="Normal"/>
    <w:next w:val="Normal"/>
    <w:link w:val="SCCLsocSubfileSeparatorChar"/>
    <w:rsid w:val="006E0D1B"/>
    <w:pPr>
      <w:jc w:val="both"/>
    </w:pPr>
    <w:rPr>
      <w:rFonts w:cs="Times New Roman"/>
      <w:b/>
      <w:szCs w:val="24"/>
    </w:rPr>
  </w:style>
  <w:style w:type="character" w:customStyle="1" w:styleId="SCCLsocSubfileSeparatorChar">
    <w:name w:val="SCC.Lsoc.SubfileSeparator Char"/>
    <w:basedOn w:val="DefaultParagraphFont"/>
    <w:link w:val="SCCLsocSubfileSeparator0"/>
    <w:rsid w:val="006E0D1B"/>
    <w:rPr>
      <w:rFonts w:cs="Times New Roman"/>
      <w:b/>
      <w:szCs w:val="24"/>
      <w:lang w:val="en-CA"/>
    </w:rPr>
  </w:style>
  <w:style w:type="paragraph" w:customStyle="1" w:styleId="s3">
    <w:name w:val="s3"/>
    <w:basedOn w:val="Normal"/>
    <w:rsid w:val="006E0D1B"/>
    <w:pPr>
      <w:spacing w:before="100" w:beforeAutospacing="1" w:after="100" w:afterAutospacing="1"/>
    </w:pPr>
    <w:rPr>
      <w:rFonts w:cs="Times New Roman"/>
      <w:szCs w:val="24"/>
      <w:lang w:val="en-US"/>
    </w:rPr>
  </w:style>
  <w:style w:type="character" w:customStyle="1" w:styleId="s4">
    <w:name w:val="s4"/>
    <w:basedOn w:val="DefaultParagraphFont"/>
    <w:rsid w:val="006E0D1B"/>
  </w:style>
  <w:style w:type="character" w:customStyle="1" w:styleId="s5">
    <w:name w:val="s5"/>
    <w:basedOn w:val="DefaultParagraphFont"/>
    <w:rsid w:val="006E0D1B"/>
  </w:style>
  <w:style w:type="paragraph" w:customStyle="1" w:styleId="paragraphenumrot">
    <w:name w:val="paragraphenumrot"/>
    <w:basedOn w:val="Normal"/>
    <w:rsid w:val="006E0D1B"/>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6E0D1B"/>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6E0D1B"/>
  </w:style>
  <w:style w:type="paragraph" w:customStyle="1" w:styleId="aparanumbering">
    <w:name w:val="aparanumbering"/>
    <w:basedOn w:val="Normal"/>
    <w:rsid w:val="006E0D1B"/>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6E0D1B"/>
  </w:style>
  <w:style w:type="paragraph" w:customStyle="1" w:styleId="Citation-AltC">
    <w:name w:val="Citation - Alt C"/>
    <w:uiPriority w:val="2"/>
    <w:qFormat/>
    <w:rsid w:val="0004197A"/>
    <w:pPr>
      <w:spacing w:after="720"/>
      <w:ind w:left="1166"/>
      <w:contextualSpacing/>
      <w:jc w:val="both"/>
    </w:pPr>
    <w:rPr>
      <w:rFonts w:eastAsia="Times New Roman"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hs4ql" TargetMode="External"/><Relationship Id="rId21" Type="http://schemas.openxmlformats.org/officeDocument/2006/relationships/hyperlink" Target="https://www.canlii.org/en/sk/skca/doc/2020/2020skca39/2020skca39.html?resultIndex=1" TargetMode="External"/><Relationship Id="rId42" Type="http://schemas.openxmlformats.org/officeDocument/2006/relationships/hyperlink" Target="https://www.canlii.org/en/ca/laws/stat/schedule-b-to-the-canada-act-1982-uk-1982-c-11/latest/schedule-b-to-the-canada-act-1982-uk-1982-c-11.html" TargetMode="External"/><Relationship Id="rId47" Type="http://schemas.openxmlformats.org/officeDocument/2006/relationships/hyperlink" Target="https://www.canlii.org/en/mb/mbca/doc/2020/2020mbca26/2020mbca26.html?resultIndex=1" TargetMode="External"/><Relationship Id="rId63" Type="http://schemas.openxmlformats.org/officeDocument/2006/relationships/hyperlink" Target="https://www.canlii.org/en/ca/fct/doc/2018/2018fc958/2018fc958.html" TargetMode="External"/><Relationship Id="rId68" Type="http://schemas.openxmlformats.org/officeDocument/2006/relationships/hyperlink" Target="https://www.canlii.org/en/sk/skca/doc/2020/2020skca7/2020skca7.html?autocompleteStr=CACV3325&amp;autocompletePos=1" TargetMode="External"/><Relationship Id="rId84" Type="http://schemas.openxmlformats.org/officeDocument/2006/relationships/footer" Target="footer7.xml"/><Relationship Id="rId89"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s://www.canlii.org/en/sk/skqb/doc/2018/2018skqb276/2018skqb276.html" TargetMode="External"/><Relationship Id="rId92"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www.canlii.org/fr/qc/qcca/doc/2020/2020qcca438/2020qcca438.html?autocompleteStr=2020%20qcca%20438&amp;autocompletePos=1" TargetMode="External"/><Relationship Id="rId29" Type="http://schemas.openxmlformats.org/officeDocument/2006/relationships/hyperlink" Target="http://canlii.ca/t/j61q2" TargetMode="External"/><Relationship Id="rId11" Type="http://schemas.openxmlformats.org/officeDocument/2006/relationships/header" Target="header1.xml"/><Relationship Id="rId24" Type="http://schemas.openxmlformats.org/officeDocument/2006/relationships/hyperlink" Target="https://www.canlii.org/fr/qc/qcca/doc/2020/2020qcca766/2020qcca766.html?autocompleteStr=200-10-003552-184&amp;autocompletePos=1" TargetMode="External"/><Relationship Id="rId32" Type="http://schemas.openxmlformats.org/officeDocument/2006/relationships/hyperlink" Target="http://canlii.ca/t/j5118" TargetMode="External"/><Relationship Id="rId37" Type="http://schemas.openxmlformats.org/officeDocument/2006/relationships/hyperlink" Target="https://www.canlii.org/en/ca/laws/stat/schedule-b-to-the-canada-act-1982-uk-1982-c-11/latest/schedule-b-to-the-canada-act-1982-uk-1982-c-11.html" TargetMode="External"/><Relationship Id="rId40" Type="http://schemas.openxmlformats.org/officeDocument/2006/relationships/hyperlink" Target="https://www.canlii.org/fr/ca/legis/lois/lrc-1985-c-1-5e-suppl/derniere/lrc-1985-c-1-5e-suppl.html" TargetMode="External"/><Relationship Id="rId45" Type="http://schemas.openxmlformats.org/officeDocument/2006/relationships/hyperlink" Target="https://www.canlii.org/en/ab/abca/doc/2019/2019abca495/2019abca495.html?autocompleteStr=2019%20ABCA%20495&amp;autocompletePos=1" TargetMode="External"/><Relationship Id="rId53" Type="http://schemas.openxmlformats.org/officeDocument/2006/relationships/hyperlink" Target="https://www.canlii.org/fr/on/legis/lois/lro-1990-c-c43/derniere/lro-1990-c-c43.html" TargetMode="External"/><Relationship Id="rId58" Type="http://schemas.openxmlformats.org/officeDocument/2006/relationships/hyperlink" Target="https://www.canlii.org/en/ca/fca/doc/2020/2020fca79/2020fca79.html?resultIndex=1" TargetMode="External"/><Relationship Id="rId66" Type="http://schemas.openxmlformats.org/officeDocument/2006/relationships/hyperlink" Target="https://www.canlii.org/fr/ca/caf/doc/2019/2019caf302/2019caf302.html?autocompleteStr=a-346-18&amp;autocompletePos=1" TargetMode="External"/><Relationship Id="rId74" Type="http://schemas.openxmlformats.org/officeDocument/2006/relationships/hyperlink" Target="https://www.canlii.org/en/sk/skca/doc/2020/2020skca7/2020skca7.html?autocompleteStr=CACV3325&amp;autocompletePos=1" TargetMode="External"/><Relationship Id="rId79" Type="http://schemas.openxmlformats.org/officeDocument/2006/relationships/header" Target="header5.xml"/><Relationship Id="rId87" Type="http://schemas.openxmlformats.org/officeDocument/2006/relationships/header" Target="header9.xml"/><Relationship Id="rId102" Type="http://schemas.openxmlformats.org/officeDocument/2006/relationships/footer" Target="footer15.xml"/><Relationship Id="rId5" Type="http://schemas.openxmlformats.org/officeDocument/2006/relationships/webSettings" Target="webSettings.xml"/><Relationship Id="rId61" Type="http://schemas.openxmlformats.org/officeDocument/2006/relationships/hyperlink" Target="http://canlii.ca/t/gtv90" TargetMode="External"/><Relationship Id="rId82" Type="http://schemas.openxmlformats.org/officeDocument/2006/relationships/header" Target="header7.xml"/><Relationship Id="rId90" Type="http://schemas.openxmlformats.org/officeDocument/2006/relationships/footer" Target="footer10.xml"/><Relationship Id="rId95" Type="http://schemas.openxmlformats.org/officeDocument/2006/relationships/header" Target="header12.xml"/><Relationship Id="rId19" Type="http://schemas.openxmlformats.org/officeDocument/2006/relationships/hyperlink" Target="https://advance.lexis.com/search/?pdmfid=1505209&amp;crid=aa2757a2-a653-40a2-ac0a-7d97fdf0262d&amp;pdsearchterms=2020+skca+39&amp;pdicsfeatureid=1517129&amp;pdstartin=hlct%3A1%3A11&amp;pdtypeofsearch=searchboxclick&amp;pdsearchtype=SearchBox&amp;pdqttype=or&amp;pdpsf=%3A%3A1&amp;pdquerytemplateid=&amp;ecomp=qfkt9kk&amp;earg=pdpsf&amp;prid=add52d44-324b-4a20-b7d5-87eed03a3328" TargetMode="External"/><Relationship Id="rId14" Type="http://schemas.openxmlformats.org/officeDocument/2006/relationships/footer" Target="footer2.xml"/><Relationship Id="rId22" Type="http://schemas.openxmlformats.org/officeDocument/2006/relationships/hyperlink" Target="https://www.canlii.org/en/sk/skqb/doc/2018/2018skqb293/2018skqb293.html?resultIndex=1" TargetMode="External"/><Relationship Id="rId27" Type="http://schemas.openxmlformats.org/officeDocument/2006/relationships/hyperlink" Target="http://canlii.ca/t/j2r99" TargetMode="External"/><Relationship Id="rId30" Type="http://schemas.openxmlformats.org/officeDocument/2006/relationships/hyperlink" Target="http://canlii.ca/t/hs4ql" TargetMode="External"/><Relationship Id="rId35" Type="http://schemas.openxmlformats.org/officeDocument/2006/relationships/hyperlink" Target="https://www.canlii.org/en/ca/laws/stat/rsc-1985-c-1-5th-supp/latest/rsc-1985-c-1-5th-supp.html" TargetMode="External"/><Relationship Id="rId43" Type="http://schemas.openxmlformats.org/officeDocument/2006/relationships/hyperlink" Target="https://www.canlii.org/en/ca/laws/stat/schedule-b-to-the-canada-act-1982-uk-1982-c-11/latest/schedule-b-to-the-canada-act-1982-uk-1982-c-11.html" TargetMode="External"/><Relationship Id="rId48" Type="http://schemas.openxmlformats.org/officeDocument/2006/relationships/hyperlink" Target="https://www.canlii.org/en/mb/mbca/doc/2020/2020mbca26/2020mbca26.html?resultIndex=1" TargetMode="External"/><Relationship Id="rId56" Type="http://schemas.openxmlformats.org/officeDocument/2006/relationships/hyperlink" Target="https://www.canlii.org/en/ca/fca/doc/2020/2020fca79/2020fca79.html?resultIndex=1" TargetMode="External"/><Relationship Id="rId64" Type="http://schemas.openxmlformats.org/officeDocument/2006/relationships/hyperlink" Target="https://www.canlii.org/fr/ca/caf/doc/2019/2019caf302/2019caf302.html?autocompleteStr=a-346-18&amp;autocompletePos=1" TargetMode="External"/><Relationship Id="rId69" Type="http://schemas.openxmlformats.org/officeDocument/2006/relationships/hyperlink" Target="https://www.canlii.org/en/sk/skqb/doc/2018/2018skqb276/2018skqb276.html" TargetMode="External"/><Relationship Id="rId77" Type="http://schemas.openxmlformats.org/officeDocument/2006/relationships/footer" Target="footer3.xml"/><Relationship Id="rId100"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hyperlink" Target="http://canlii.ca/t/j49mq" TargetMode="External"/><Relationship Id="rId72" Type="http://schemas.openxmlformats.org/officeDocument/2006/relationships/hyperlink" Target="https://www.canlii.org/en/sk/skca/doc/2020/2020skca7/2020skca7.html?autocompleteStr=CACV3325&amp;autocompletePos=1" TargetMode="External"/><Relationship Id="rId80" Type="http://schemas.openxmlformats.org/officeDocument/2006/relationships/footer" Target="footer5.xml"/><Relationship Id="rId85" Type="http://schemas.openxmlformats.org/officeDocument/2006/relationships/header" Target="header8.xml"/><Relationship Id="rId93" Type="http://schemas.openxmlformats.org/officeDocument/2006/relationships/hyperlink" Target="https://decisions.scc-csc.ca/scc-csc/scc-csc/en/item/18528/index.do" TargetMode="External"/><Relationship Id="rId98"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9/2019qccs2316/2019qccs2316.html?autocompleteStr=2019%20qccs%202316&amp;autocompletePos=1" TargetMode="External"/><Relationship Id="rId25" Type="http://schemas.openxmlformats.org/officeDocument/2006/relationships/hyperlink" Target="https://www.canlii.org/fr/qc/qcca/doc/2020/2020qcca766/2020qcca766.html?autocompleteStr=200-10-003552-184&amp;autocompletePos=1" TargetMode="External"/><Relationship Id="rId33" Type="http://schemas.openxmlformats.org/officeDocument/2006/relationships/hyperlink" Target="http://canlii.ca/t/j61q2" TargetMode="External"/><Relationship Id="rId38" Type="http://schemas.openxmlformats.org/officeDocument/2006/relationships/hyperlink" Target="https://www.canlii.org/en/ca/laws/stat/schedule-b-to-the-canada-act-1982-uk-1982-c-11/latest/schedule-b-to-the-canada-act-1982-uk-1982-c-11.html" TargetMode="External"/><Relationship Id="rId46" Type="http://schemas.openxmlformats.org/officeDocument/2006/relationships/hyperlink" Target="https://www.canlii.org/en/ab/abca/doc/2019/2019abca495/2019abca495.html?autocompleteStr=2019%20ABCA%20495&amp;autocompletePos=1" TargetMode="External"/><Relationship Id="rId59" Type="http://schemas.openxmlformats.org/officeDocument/2006/relationships/hyperlink" Target="http://canlii.ca/t/gtv90" TargetMode="External"/><Relationship Id="rId67" Type="http://schemas.openxmlformats.org/officeDocument/2006/relationships/hyperlink" Target="https://www.canlii.org/en/sk/skqb/doc/2018/2018skqb276/2018skqb276.html" TargetMode="External"/><Relationship Id="rId103" Type="http://schemas.openxmlformats.org/officeDocument/2006/relationships/fontTable" Target="fontTable.xml"/><Relationship Id="rId20" Type="http://schemas.openxmlformats.org/officeDocument/2006/relationships/hyperlink" Target="https://www.canlii.org/en/sk/skqb/doc/2018/2018skqb293/2018skqb293.html?resultIndex=1" TargetMode="External"/><Relationship Id="rId41" Type="http://schemas.openxmlformats.org/officeDocument/2006/relationships/hyperlink" Target="https://www.canlii.org/en/ca/laws/stat/schedule-b-to-the-canada-act-1982-uk-1982-c-11/latest/schedule-b-to-the-canada-act-1982-uk-1982-c-11.html" TargetMode="External"/><Relationship Id="rId54" Type="http://schemas.openxmlformats.org/officeDocument/2006/relationships/hyperlink" Target="http://canlii.ca/t/j49mq" TargetMode="External"/><Relationship Id="rId62" Type="http://schemas.openxmlformats.org/officeDocument/2006/relationships/hyperlink" Target="http://canlii.ca/t/j88nm" TargetMode="External"/><Relationship Id="rId70" Type="http://schemas.openxmlformats.org/officeDocument/2006/relationships/hyperlink" Target="https://www.canlii.org/en/sk/skca/doc/2020/2020skca7/2020skca7.html?autocompleteStr=CACV3325&amp;autocompletePos=1" TargetMode="External"/><Relationship Id="rId75" Type="http://schemas.openxmlformats.org/officeDocument/2006/relationships/header" Target="header3.xml"/><Relationship Id="rId83" Type="http://schemas.openxmlformats.org/officeDocument/2006/relationships/footer" Target="footer6.xml"/><Relationship Id="rId88" Type="http://schemas.openxmlformats.org/officeDocument/2006/relationships/header" Target="header10.xml"/><Relationship Id="rId91" Type="http://schemas.openxmlformats.org/officeDocument/2006/relationships/header" Target="header11.xm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9/2019qccs2316/2019qccs2316.html?autocompleteStr=2019%20qccs%202316&amp;autocompletePos=1" TargetMode="External"/><Relationship Id="rId23" Type="http://schemas.openxmlformats.org/officeDocument/2006/relationships/hyperlink" Target="https://www.canlii.org/en/sk/skca/doc/2020/2020skca39/2020skca39.html?resultIndex=1" TargetMode="External"/><Relationship Id="rId28" Type="http://schemas.openxmlformats.org/officeDocument/2006/relationships/hyperlink" Target="http://canlii.ca/t/j5118" TargetMode="External"/><Relationship Id="rId36" Type="http://schemas.openxmlformats.org/officeDocument/2006/relationships/hyperlink" Target="https://www.canlii.org/en/ca/laws/stat/schedule-b-to-the-canada-act-1982-uk-1982-c-11/latest/schedule-b-to-the-canada-act-1982-uk-1982-c-11.html" TargetMode="External"/><Relationship Id="rId49" Type="http://schemas.openxmlformats.org/officeDocument/2006/relationships/hyperlink" Target="https://www.canlii.org/en/on/laws/stat/rso-1990-c-c43/latest/rso-1990-c-c43.html" TargetMode="External"/><Relationship Id="rId57" Type="http://schemas.openxmlformats.org/officeDocument/2006/relationships/hyperlink" Target="https://www.canlii.org/en/ca/tcc/doc/2018/2018tcc182/2018tcc182.html" TargetMode="External"/><Relationship Id="rId10" Type="http://schemas.openxmlformats.org/officeDocument/2006/relationships/hyperlink" Target="https://www.scc-csc.ca" TargetMode="External"/><Relationship Id="rId31" Type="http://schemas.openxmlformats.org/officeDocument/2006/relationships/hyperlink" Target="http://canlii.ca/t/j2r99" TargetMode="External"/><Relationship Id="rId44" Type="http://schemas.openxmlformats.org/officeDocument/2006/relationships/hyperlink" Target="https://www.canlii.org/fr/ca/caf/doc/2019/2019caf296/2019caf296.html" TargetMode="External"/><Relationship Id="rId52" Type="http://schemas.openxmlformats.org/officeDocument/2006/relationships/hyperlink" Target="https://www.canlii.org/fr/on/legis/lois/lro-1990-c-c43/derniere/lro-1990-c-c43.html" TargetMode="External"/><Relationship Id="rId60" Type="http://schemas.openxmlformats.org/officeDocument/2006/relationships/hyperlink" Target="http://canlii.ca/t/j88nm" TargetMode="External"/><Relationship Id="rId65" Type="http://schemas.openxmlformats.org/officeDocument/2006/relationships/hyperlink" Target="https://www.canlii.org/fr/ca/cfpi/doc/2018/2018cf958/2018cf958.html" TargetMode="External"/><Relationship Id="rId73" Type="http://schemas.openxmlformats.org/officeDocument/2006/relationships/hyperlink" Target="https://www.canlii.org/en/sk/skqb/doc/2018/2018skqb276/2018skqb276.html" TargetMode="External"/><Relationship Id="rId78" Type="http://schemas.openxmlformats.org/officeDocument/2006/relationships/footer" Target="footer4.xml"/><Relationship Id="rId81" Type="http://schemas.openxmlformats.org/officeDocument/2006/relationships/header" Target="header6.xml"/><Relationship Id="rId86" Type="http://schemas.openxmlformats.org/officeDocument/2006/relationships/footer" Target="footer8.xml"/><Relationship Id="rId94" Type="http://schemas.openxmlformats.org/officeDocument/2006/relationships/hyperlink" Target="https://decisions.scc-csc.ca/scc-csc/scc-csc/fr/item/18528/index.do" TargetMode="External"/><Relationship Id="rId99" Type="http://schemas.openxmlformats.org/officeDocument/2006/relationships/header" Target="header14.xml"/><Relationship Id="rId10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ca/doc/2020/2020qcca438/2020qcca438.html?autocompleteStr=2020%20qcca%20438&amp;autocompletePos=1" TargetMode="External"/><Relationship Id="rId39" Type="http://schemas.openxmlformats.org/officeDocument/2006/relationships/hyperlink" Target="http://canlii.ca/t/j3qvm" TargetMode="External"/><Relationship Id="rId34" Type="http://schemas.openxmlformats.org/officeDocument/2006/relationships/hyperlink" Target="https://www.canlii.org/en/ca/laws/astat/sc-2009-c-23/latest/sc-2009-c-23.html" TargetMode="External"/><Relationship Id="rId50" Type="http://schemas.openxmlformats.org/officeDocument/2006/relationships/hyperlink" Target="https://www.canlii.org/en/on/laws/stat/rso-1990-c-c43/latest/rso-1990-c-c43.html" TargetMode="External"/><Relationship Id="rId55" Type="http://schemas.openxmlformats.org/officeDocument/2006/relationships/hyperlink" Target="https://www.canlii.org/en/ca/tcc/doc/2018/2018tcc182/2018tcc182.html" TargetMode="External"/><Relationship Id="rId76" Type="http://schemas.openxmlformats.org/officeDocument/2006/relationships/header" Target="header4.xml"/><Relationship Id="rId97" Type="http://schemas.openxmlformats.org/officeDocument/2006/relationships/footer" Target="footer12.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9064-5131-40A5-A4C7-9E9D7E09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34</Pages>
  <Words>15554</Words>
  <Characters>88662</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2020-10-20T14:18:00Z</dcterms:created>
  <dcterms:modified xsi:type="dcterms:W3CDTF">2020-10-30T14:41:00Z</dcterms:modified>
</cp:coreProperties>
</file>