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B0F9B" w:rsidTr="00F138C1">
        <w:tc>
          <w:tcPr>
            <w:tcW w:w="9648" w:type="dxa"/>
            <w:gridSpan w:val="3"/>
          </w:tcPr>
          <w:p w:rsidR="008C2D9E" w:rsidRPr="000B0F9B" w:rsidRDefault="008C2D9E" w:rsidP="00F138C1">
            <w:pPr>
              <w:tabs>
                <w:tab w:val="left" w:pos="6075"/>
              </w:tabs>
              <w:jc w:val="center"/>
              <w:rPr>
                <w:b/>
                <w:sz w:val="32"/>
                <w:szCs w:val="32"/>
                <w:lang w:val="fr-CA"/>
              </w:rPr>
            </w:pPr>
            <w:r w:rsidRPr="000B0F9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B0F9B" w:rsidRDefault="008C2D9E" w:rsidP="00F138C1">
            <w:pPr>
              <w:tabs>
                <w:tab w:val="left" w:pos="6075"/>
              </w:tabs>
              <w:jc w:val="center"/>
              <w:rPr>
                <w:b/>
                <w:sz w:val="32"/>
                <w:szCs w:val="32"/>
                <w:lang w:val="fr-CA"/>
              </w:rPr>
            </w:pPr>
          </w:p>
        </w:tc>
      </w:tr>
      <w:tr w:rsidR="00F138C1" w:rsidRPr="000B0F9B" w:rsidTr="00F138C1">
        <w:tc>
          <w:tcPr>
            <w:tcW w:w="4599" w:type="dxa"/>
            <w:tcMar>
              <w:top w:w="284" w:type="dxa"/>
            </w:tcMar>
          </w:tcPr>
          <w:p w:rsidR="00F138C1" w:rsidRPr="000B0F9B" w:rsidRDefault="00F138C1" w:rsidP="00F138C1">
            <w:pPr>
              <w:tabs>
                <w:tab w:val="left" w:pos="6075"/>
              </w:tabs>
              <w:jc w:val="center"/>
              <w:rPr>
                <w:b/>
                <w:sz w:val="32"/>
                <w:szCs w:val="32"/>
              </w:rPr>
            </w:pPr>
            <w:r w:rsidRPr="000B0F9B">
              <w:rPr>
                <w:b/>
                <w:sz w:val="32"/>
                <w:szCs w:val="32"/>
              </w:rPr>
              <w:t>SUPREME COURT OF CANADA</w:t>
            </w:r>
          </w:p>
        </w:tc>
        <w:tc>
          <w:tcPr>
            <w:tcW w:w="483" w:type="dxa"/>
          </w:tcPr>
          <w:p w:rsidR="00F138C1" w:rsidRPr="000B0F9B" w:rsidRDefault="00F138C1" w:rsidP="00F138C1">
            <w:pPr>
              <w:tabs>
                <w:tab w:val="left" w:pos="6075"/>
              </w:tabs>
              <w:jc w:val="center"/>
              <w:rPr>
                <w:sz w:val="32"/>
                <w:szCs w:val="32"/>
              </w:rPr>
            </w:pPr>
          </w:p>
        </w:tc>
        <w:tc>
          <w:tcPr>
            <w:tcW w:w="4566" w:type="dxa"/>
            <w:tcMar>
              <w:top w:w="284" w:type="dxa"/>
            </w:tcMar>
          </w:tcPr>
          <w:p w:rsidR="00F138C1" w:rsidRPr="000B0F9B" w:rsidRDefault="00F138C1" w:rsidP="00F138C1">
            <w:pPr>
              <w:tabs>
                <w:tab w:val="left" w:pos="6075"/>
              </w:tabs>
              <w:jc w:val="center"/>
              <w:rPr>
                <w:b/>
                <w:sz w:val="32"/>
                <w:szCs w:val="32"/>
                <w:lang w:val="fr-CA"/>
              </w:rPr>
            </w:pPr>
            <w:r w:rsidRPr="000B0F9B">
              <w:rPr>
                <w:b/>
                <w:sz w:val="32"/>
                <w:szCs w:val="32"/>
                <w:lang w:val="fr-CA"/>
              </w:rPr>
              <w:t>COUR SUPRÊME DU CANADA</w:t>
            </w:r>
          </w:p>
        </w:tc>
      </w:tr>
      <w:tr w:rsidR="00F138C1" w:rsidRPr="000B0F9B" w:rsidTr="00F138C1">
        <w:tc>
          <w:tcPr>
            <w:tcW w:w="4599" w:type="dxa"/>
            <w:tcMar>
              <w:top w:w="567" w:type="dxa"/>
            </w:tcMar>
          </w:tcPr>
          <w:p w:rsidR="00F138C1" w:rsidRPr="000B0F9B" w:rsidRDefault="00F138C1" w:rsidP="00F138C1">
            <w:pPr>
              <w:tabs>
                <w:tab w:val="left" w:pos="6075"/>
              </w:tabs>
              <w:jc w:val="center"/>
              <w:rPr>
                <w:sz w:val="28"/>
                <w:szCs w:val="28"/>
              </w:rPr>
            </w:pPr>
            <w:r w:rsidRPr="000B0F9B">
              <w:rPr>
                <w:sz w:val="28"/>
                <w:szCs w:val="28"/>
              </w:rPr>
              <w:t>BULLETIN OF</w:t>
            </w:r>
            <w:r w:rsidRPr="000B0F9B">
              <w:rPr>
                <w:sz w:val="28"/>
                <w:szCs w:val="28"/>
              </w:rPr>
              <w:br/>
              <w:t xml:space="preserve"> PROCEEDINGS</w:t>
            </w:r>
          </w:p>
        </w:tc>
        <w:tc>
          <w:tcPr>
            <w:tcW w:w="483" w:type="dxa"/>
          </w:tcPr>
          <w:p w:rsidR="00F138C1" w:rsidRPr="000B0F9B" w:rsidRDefault="00F138C1" w:rsidP="00F138C1">
            <w:pPr>
              <w:tabs>
                <w:tab w:val="left" w:pos="6075"/>
              </w:tabs>
            </w:pPr>
          </w:p>
        </w:tc>
        <w:tc>
          <w:tcPr>
            <w:tcW w:w="4566" w:type="dxa"/>
            <w:tcMar>
              <w:top w:w="567" w:type="dxa"/>
            </w:tcMar>
          </w:tcPr>
          <w:p w:rsidR="00F138C1" w:rsidRPr="000B0F9B" w:rsidRDefault="00F138C1" w:rsidP="00F138C1">
            <w:pPr>
              <w:tabs>
                <w:tab w:val="left" w:pos="6075"/>
              </w:tabs>
              <w:jc w:val="center"/>
              <w:rPr>
                <w:sz w:val="28"/>
                <w:szCs w:val="28"/>
                <w:lang w:val="fr-CA"/>
              </w:rPr>
            </w:pPr>
            <w:r w:rsidRPr="000B0F9B">
              <w:rPr>
                <w:sz w:val="28"/>
                <w:szCs w:val="28"/>
                <w:lang w:val="fr-CA"/>
              </w:rPr>
              <w:t>BULLETIN DES</w:t>
            </w:r>
            <w:r w:rsidRPr="000B0F9B">
              <w:rPr>
                <w:sz w:val="28"/>
                <w:szCs w:val="28"/>
                <w:lang w:val="fr-CA"/>
              </w:rPr>
              <w:br/>
              <w:t xml:space="preserve"> PROCÉDURES</w:t>
            </w:r>
          </w:p>
        </w:tc>
      </w:tr>
      <w:tr w:rsidR="00F138C1" w:rsidRPr="000B0F9B" w:rsidTr="00F138C1">
        <w:tc>
          <w:tcPr>
            <w:tcW w:w="4599" w:type="dxa"/>
            <w:tcMar>
              <w:top w:w="567" w:type="dxa"/>
            </w:tcMar>
          </w:tcPr>
          <w:p w:rsidR="00F138C1" w:rsidRPr="000B0F9B" w:rsidRDefault="00F138C1" w:rsidP="00F138C1">
            <w:pPr>
              <w:tabs>
                <w:tab w:val="left" w:pos="6075"/>
              </w:tabs>
              <w:jc w:val="both"/>
              <w:rPr>
                <w:rFonts w:ascii="Arial" w:hAnsi="Arial" w:cs="Arial"/>
                <w:i/>
                <w:sz w:val="20"/>
                <w:szCs w:val="20"/>
              </w:rPr>
            </w:pPr>
            <w:r w:rsidRPr="000B0F9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B0F9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0F9B" w:rsidRDefault="00F138C1" w:rsidP="00F138C1">
            <w:pPr>
              <w:tabs>
                <w:tab w:val="left" w:pos="6075"/>
              </w:tabs>
              <w:jc w:val="both"/>
              <w:rPr>
                <w:rFonts w:ascii="Arial" w:hAnsi="Arial" w:cs="Arial"/>
                <w:i/>
                <w:sz w:val="20"/>
                <w:szCs w:val="20"/>
                <w:lang w:val="fr-CA"/>
              </w:rPr>
            </w:pPr>
            <w:r w:rsidRPr="000B0F9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B0F9B" w:rsidTr="00F138C1">
        <w:tc>
          <w:tcPr>
            <w:tcW w:w="4599" w:type="dxa"/>
            <w:tcMar>
              <w:top w:w="567" w:type="dxa"/>
            </w:tcMar>
          </w:tcPr>
          <w:p w:rsidR="00F138C1" w:rsidRPr="000B0F9B" w:rsidRDefault="00F138C1" w:rsidP="00F138C1">
            <w:pPr>
              <w:tabs>
                <w:tab w:val="left" w:pos="6075"/>
              </w:tabs>
              <w:jc w:val="both"/>
              <w:rPr>
                <w:rFonts w:ascii="Arial" w:hAnsi="Arial" w:cs="Arial"/>
                <w:i/>
                <w:sz w:val="20"/>
                <w:szCs w:val="20"/>
              </w:rPr>
            </w:pPr>
            <w:r w:rsidRPr="000B0F9B">
              <w:rPr>
                <w:rFonts w:ascii="Arial" w:hAnsi="Arial" w:cs="Arial"/>
                <w:i/>
                <w:sz w:val="20"/>
                <w:szCs w:val="20"/>
              </w:rPr>
              <w:t>During Court sessions, the Bulletin is usually issued weekly.</w:t>
            </w:r>
          </w:p>
        </w:tc>
        <w:tc>
          <w:tcPr>
            <w:tcW w:w="483" w:type="dxa"/>
          </w:tcPr>
          <w:p w:rsidR="00F138C1" w:rsidRPr="000B0F9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0F9B" w:rsidRDefault="00F138C1" w:rsidP="00F138C1">
            <w:pPr>
              <w:tabs>
                <w:tab w:val="left" w:pos="6075"/>
              </w:tabs>
              <w:jc w:val="both"/>
              <w:rPr>
                <w:rFonts w:ascii="Arial" w:hAnsi="Arial" w:cs="Arial"/>
                <w:i/>
                <w:sz w:val="20"/>
                <w:szCs w:val="20"/>
                <w:lang w:val="fr-CA"/>
              </w:rPr>
            </w:pPr>
            <w:r w:rsidRPr="000B0F9B">
              <w:rPr>
                <w:rFonts w:ascii="Arial" w:hAnsi="Arial" w:cs="Arial"/>
                <w:i/>
                <w:sz w:val="20"/>
                <w:szCs w:val="20"/>
                <w:lang w:val="fr-CA"/>
              </w:rPr>
              <w:t>Le Bulletin paraît en principe toutes les semaines pendant les sessions de la Cour.</w:t>
            </w:r>
          </w:p>
        </w:tc>
      </w:tr>
      <w:tr w:rsidR="00F138C1" w:rsidRPr="000B0F9B" w:rsidTr="00F138C1">
        <w:tc>
          <w:tcPr>
            <w:tcW w:w="4599" w:type="dxa"/>
            <w:tcMar>
              <w:top w:w="567" w:type="dxa"/>
            </w:tcMar>
          </w:tcPr>
          <w:p w:rsidR="00F138C1" w:rsidRPr="000B0F9B" w:rsidRDefault="00F138C1" w:rsidP="00F138C1">
            <w:pPr>
              <w:tabs>
                <w:tab w:val="left" w:pos="6075"/>
              </w:tabs>
              <w:jc w:val="both"/>
              <w:rPr>
                <w:rFonts w:ascii="Arial" w:hAnsi="Arial" w:cs="Arial"/>
                <w:i/>
                <w:sz w:val="20"/>
                <w:szCs w:val="20"/>
              </w:rPr>
            </w:pPr>
            <w:r w:rsidRPr="000B0F9B">
              <w:rPr>
                <w:rFonts w:ascii="Arial" w:hAnsi="Arial" w:cs="Arial"/>
                <w:i/>
                <w:sz w:val="20"/>
                <w:szCs w:val="20"/>
              </w:rPr>
              <w:fldChar w:fldCharType="begin"/>
            </w:r>
            <w:r w:rsidRPr="000B0F9B">
              <w:rPr>
                <w:rFonts w:ascii="Arial" w:hAnsi="Arial" w:cs="Arial"/>
                <w:i/>
                <w:sz w:val="20"/>
                <w:szCs w:val="20"/>
              </w:rPr>
              <w:instrText xml:space="preserve"> SEQ CHAPTER \h \r 1</w:instrText>
            </w:r>
            <w:r w:rsidRPr="000B0F9B">
              <w:rPr>
                <w:rFonts w:ascii="Arial" w:hAnsi="Arial" w:cs="Arial"/>
                <w:i/>
                <w:sz w:val="20"/>
                <w:szCs w:val="20"/>
              </w:rPr>
              <w:fldChar w:fldCharType="end"/>
            </w:r>
            <w:r w:rsidRPr="000B0F9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B0F9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0F9B" w:rsidRDefault="00F138C1" w:rsidP="00F138C1">
            <w:pPr>
              <w:tabs>
                <w:tab w:val="left" w:pos="6075"/>
              </w:tabs>
              <w:jc w:val="both"/>
              <w:rPr>
                <w:rFonts w:ascii="Arial" w:hAnsi="Arial" w:cs="Arial"/>
                <w:i/>
                <w:sz w:val="20"/>
                <w:szCs w:val="20"/>
                <w:lang w:val="fr-CA"/>
              </w:rPr>
            </w:pPr>
            <w:r w:rsidRPr="000B0F9B">
              <w:rPr>
                <w:rFonts w:ascii="Arial" w:hAnsi="Arial" w:cs="Arial"/>
                <w:i/>
                <w:sz w:val="20"/>
                <w:szCs w:val="20"/>
                <w:lang w:val="fr-CA"/>
              </w:rPr>
              <w:fldChar w:fldCharType="begin"/>
            </w:r>
            <w:r w:rsidRPr="000B0F9B">
              <w:rPr>
                <w:rFonts w:ascii="Arial" w:hAnsi="Arial" w:cs="Arial"/>
                <w:i/>
                <w:sz w:val="20"/>
                <w:szCs w:val="20"/>
                <w:lang w:val="fr-CA"/>
              </w:rPr>
              <w:instrText xml:space="preserve"> SEQ CHAPTER \h \r 1</w:instrText>
            </w:r>
            <w:r w:rsidRPr="000B0F9B">
              <w:rPr>
                <w:rFonts w:ascii="Arial" w:hAnsi="Arial" w:cs="Arial"/>
                <w:i/>
                <w:sz w:val="20"/>
                <w:szCs w:val="20"/>
                <w:lang w:val="fr-CA"/>
              </w:rPr>
              <w:fldChar w:fldCharType="end"/>
            </w:r>
            <w:r w:rsidRPr="000B0F9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B0F9B" w:rsidTr="00F138C1">
        <w:tc>
          <w:tcPr>
            <w:tcW w:w="4599" w:type="dxa"/>
            <w:tcMar>
              <w:top w:w="567" w:type="dxa"/>
            </w:tcMar>
          </w:tcPr>
          <w:p w:rsidR="00F138C1" w:rsidRPr="000B0F9B" w:rsidRDefault="00F138C1" w:rsidP="00F138C1">
            <w:pPr>
              <w:tabs>
                <w:tab w:val="left" w:pos="6075"/>
              </w:tabs>
              <w:jc w:val="both"/>
              <w:rPr>
                <w:rFonts w:ascii="Arial" w:hAnsi="Arial" w:cs="Arial"/>
                <w:i/>
                <w:sz w:val="20"/>
                <w:szCs w:val="20"/>
              </w:rPr>
            </w:pPr>
            <w:r w:rsidRPr="000B0F9B">
              <w:rPr>
                <w:rFonts w:ascii="Arial" w:hAnsi="Arial" w:cs="Arial"/>
                <w:i/>
                <w:sz w:val="20"/>
                <w:szCs w:val="20"/>
                <w:lang w:val="en-US"/>
              </w:rPr>
              <w:t>Please c</w:t>
            </w:r>
            <w:r w:rsidRPr="000B0F9B">
              <w:rPr>
                <w:rFonts w:ascii="Arial" w:hAnsi="Arial" w:cs="Arial"/>
                <w:i/>
                <w:sz w:val="20"/>
                <w:szCs w:val="20"/>
              </w:rPr>
              <w:t xml:space="preserve">onsult the Supreme Court of Canada website at </w:t>
            </w:r>
            <w:hyperlink r:id="rId9" w:history="1">
              <w:r w:rsidRPr="000B0F9B">
                <w:rPr>
                  <w:rStyle w:val="Hyperlink"/>
                  <w:rFonts w:ascii="Arial" w:hAnsi="Arial" w:cs="Arial"/>
                  <w:i/>
                  <w:sz w:val="20"/>
                  <w:szCs w:val="20"/>
                </w:rPr>
                <w:t>www.scc-csc.ca</w:t>
              </w:r>
            </w:hyperlink>
            <w:r w:rsidRPr="000B0F9B">
              <w:rPr>
                <w:rFonts w:ascii="Arial" w:hAnsi="Arial" w:cs="Arial"/>
                <w:i/>
                <w:sz w:val="20"/>
                <w:szCs w:val="20"/>
              </w:rPr>
              <w:t xml:space="preserve"> for more information.</w:t>
            </w:r>
          </w:p>
        </w:tc>
        <w:tc>
          <w:tcPr>
            <w:tcW w:w="483" w:type="dxa"/>
          </w:tcPr>
          <w:p w:rsidR="00F138C1" w:rsidRPr="000B0F9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0F9B" w:rsidRDefault="00F138C1" w:rsidP="00F138C1">
            <w:pPr>
              <w:tabs>
                <w:tab w:val="left" w:pos="6075"/>
              </w:tabs>
              <w:jc w:val="both"/>
              <w:rPr>
                <w:rFonts w:ascii="Arial" w:hAnsi="Arial" w:cs="Arial"/>
                <w:i/>
                <w:sz w:val="20"/>
                <w:szCs w:val="20"/>
                <w:lang w:val="fr-CA"/>
              </w:rPr>
            </w:pPr>
            <w:r w:rsidRPr="000B0F9B">
              <w:rPr>
                <w:rFonts w:ascii="Arial" w:hAnsi="Arial" w:cs="Arial"/>
                <w:i/>
                <w:sz w:val="20"/>
                <w:szCs w:val="20"/>
                <w:lang w:val="fr-CA"/>
              </w:rPr>
              <w:t xml:space="preserve">Pour de plus amples informations, veuillez consulter le site Web de la Cour suprême du Canada à l’adresse suivante : </w:t>
            </w:r>
            <w:hyperlink r:id="rId10" w:history="1">
              <w:r w:rsidRPr="000B0F9B">
                <w:rPr>
                  <w:rStyle w:val="Hyperlink"/>
                  <w:rFonts w:ascii="Arial" w:hAnsi="Arial" w:cs="Arial"/>
                  <w:i/>
                  <w:sz w:val="20"/>
                  <w:szCs w:val="20"/>
                  <w:lang w:val="fr-CA"/>
                </w:rPr>
                <w:t>www.scc-csc.ca</w:t>
              </w:r>
            </w:hyperlink>
            <w:r w:rsidRPr="000B0F9B">
              <w:rPr>
                <w:rFonts w:ascii="Arial" w:hAnsi="Arial" w:cs="Arial"/>
                <w:i/>
                <w:sz w:val="20"/>
                <w:szCs w:val="20"/>
                <w:lang w:val="fr-CA"/>
              </w:rPr>
              <w:t xml:space="preserve"> </w:t>
            </w:r>
          </w:p>
        </w:tc>
      </w:tr>
    </w:tbl>
    <w:p w:rsidR="00F138C1" w:rsidRPr="000B0F9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B0F9B" w:rsidTr="00F138C1">
        <w:tc>
          <w:tcPr>
            <w:tcW w:w="2250" w:type="pct"/>
            <w:tcBorders>
              <w:top w:val="single" w:sz="4" w:space="0" w:color="auto"/>
            </w:tcBorders>
            <w:tcMar>
              <w:top w:w="284" w:type="dxa"/>
              <w:bottom w:w="284" w:type="dxa"/>
            </w:tcMar>
          </w:tcPr>
          <w:p w:rsidR="00F138C1" w:rsidRPr="000B0F9B" w:rsidRDefault="00406760" w:rsidP="00406760">
            <w:pPr>
              <w:tabs>
                <w:tab w:val="left" w:pos="6075"/>
              </w:tabs>
              <w:rPr>
                <w:rFonts w:ascii="Arial" w:hAnsi="Arial" w:cs="Arial"/>
                <w:i/>
                <w:sz w:val="20"/>
                <w:szCs w:val="20"/>
              </w:rPr>
            </w:pPr>
            <w:r w:rsidRPr="000B0F9B">
              <w:rPr>
                <w:lang w:val="fr-CA"/>
              </w:rPr>
              <w:t>April</w:t>
            </w:r>
            <w:r w:rsidR="00F138C1" w:rsidRPr="000B0F9B">
              <w:rPr>
                <w:lang w:val="fr-CA"/>
              </w:rPr>
              <w:t xml:space="preserve"> </w:t>
            </w:r>
            <w:r w:rsidR="00E8642A" w:rsidRPr="000B0F9B">
              <w:rPr>
                <w:lang w:val="fr-CA"/>
              </w:rPr>
              <w:t>1</w:t>
            </w:r>
            <w:r w:rsidR="00F138C1" w:rsidRPr="000B0F9B">
              <w:rPr>
                <w:lang w:val="fr-CA"/>
              </w:rPr>
              <w:t>, 20</w:t>
            </w:r>
            <w:r w:rsidR="009B36BA" w:rsidRPr="000B0F9B">
              <w:rPr>
                <w:lang w:val="fr-CA"/>
              </w:rPr>
              <w:t>2</w:t>
            </w:r>
            <w:r w:rsidR="00E8642A" w:rsidRPr="000B0F9B">
              <w:rPr>
                <w:lang w:val="fr-CA"/>
              </w:rPr>
              <w:t>2</w:t>
            </w:r>
          </w:p>
        </w:tc>
        <w:tc>
          <w:tcPr>
            <w:tcW w:w="500" w:type="pct"/>
            <w:tcBorders>
              <w:top w:val="single" w:sz="4" w:space="0" w:color="auto"/>
            </w:tcBorders>
            <w:tcMar>
              <w:top w:w="284" w:type="dxa"/>
              <w:bottom w:w="284" w:type="dxa"/>
            </w:tcMar>
          </w:tcPr>
          <w:p w:rsidR="00F138C1" w:rsidRPr="000B0F9B" w:rsidRDefault="00F138C1" w:rsidP="000B0F9B">
            <w:pPr>
              <w:tabs>
                <w:tab w:val="left" w:pos="6075"/>
              </w:tabs>
              <w:jc w:val="center"/>
              <w:rPr>
                <w:rFonts w:ascii="Arial" w:hAnsi="Arial" w:cs="Arial"/>
                <w:i/>
                <w:sz w:val="20"/>
                <w:szCs w:val="20"/>
              </w:rPr>
            </w:pPr>
            <w:r w:rsidRPr="000B0F9B">
              <w:rPr>
                <w:lang w:val="fr-CA"/>
              </w:rPr>
              <w:t xml:space="preserve">1 - </w:t>
            </w:r>
            <w:r w:rsidR="000B0F9B" w:rsidRPr="000B0F9B">
              <w:rPr>
                <w:lang w:val="fr-CA"/>
              </w:rPr>
              <w:t>19</w:t>
            </w:r>
          </w:p>
        </w:tc>
        <w:tc>
          <w:tcPr>
            <w:tcW w:w="2250" w:type="pct"/>
            <w:tcBorders>
              <w:top w:val="single" w:sz="4" w:space="0" w:color="auto"/>
            </w:tcBorders>
            <w:tcMar>
              <w:top w:w="284" w:type="dxa"/>
              <w:bottom w:w="284" w:type="dxa"/>
            </w:tcMar>
          </w:tcPr>
          <w:p w:rsidR="00F138C1" w:rsidRPr="000B0F9B" w:rsidRDefault="00F138C1" w:rsidP="00406760">
            <w:pPr>
              <w:tabs>
                <w:tab w:val="left" w:pos="6075"/>
              </w:tabs>
              <w:jc w:val="right"/>
              <w:rPr>
                <w:rFonts w:ascii="Arial" w:hAnsi="Arial" w:cs="Arial"/>
                <w:i/>
                <w:sz w:val="20"/>
                <w:szCs w:val="20"/>
                <w:lang w:val="fr-CA"/>
              </w:rPr>
            </w:pPr>
            <w:r w:rsidRPr="000B0F9B">
              <w:rPr>
                <w:lang w:val="fr-CA"/>
              </w:rPr>
              <w:t xml:space="preserve">Le </w:t>
            </w:r>
            <w:r w:rsidR="00E8642A" w:rsidRPr="000B0F9B">
              <w:rPr>
                <w:lang w:val="fr-CA"/>
              </w:rPr>
              <w:t>1</w:t>
            </w:r>
            <w:r w:rsidR="00406760" w:rsidRPr="000B0F9B">
              <w:rPr>
                <w:lang w:val="fr-CA"/>
              </w:rPr>
              <w:t>er</w:t>
            </w:r>
            <w:r w:rsidRPr="000B0F9B">
              <w:rPr>
                <w:lang w:val="fr-CA"/>
              </w:rPr>
              <w:t xml:space="preserve"> </w:t>
            </w:r>
            <w:r w:rsidR="00E8642A" w:rsidRPr="000B0F9B">
              <w:rPr>
                <w:lang w:val="fr-CA"/>
              </w:rPr>
              <w:t>av</w:t>
            </w:r>
            <w:r w:rsidR="00406760" w:rsidRPr="000B0F9B">
              <w:rPr>
                <w:lang w:val="fr-CA"/>
              </w:rPr>
              <w:t>r</w:t>
            </w:r>
            <w:r w:rsidR="00E8642A" w:rsidRPr="000B0F9B">
              <w:rPr>
                <w:lang w:val="fr-CA"/>
              </w:rPr>
              <w:t>i</w:t>
            </w:r>
            <w:r w:rsidR="00406760" w:rsidRPr="000B0F9B">
              <w:rPr>
                <w:lang w:val="fr-CA"/>
              </w:rPr>
              <w:t>l</w:t>
            </w:r>
            <w:r w:rsidR="00BE5B3E" w:rsidRPr="000B0F9B">
              <w:rPr>
                <w:lang w:val="fr-CA"/>
              </w:rPr>
              <w:t xml:space="preserve"> </w:t>
            </w:r>
            <w:r w:rsidRPr="000B0F9B">
              <w:rPr>
                <w:lang w:val="fr-CA"/>
              </w:rPr>
              <w:t>202</w:t>
            </w:r>
            <w:r w:rsidR="00E8642A" w:rsidRPr="000B0F9B">
              <w:rPr>
                <w:lang w:val="fr-CA"/>
              </w:rPr>
              <w:t>2</w:t>
            </w:r>
          </w:p>
        </w:tc>
      </w:tr>
      <w:tr w:rsidR="00F138C1" w:rsidRPr="000B0F9B" w:rsidTr="00F138C1">
        <w:tc>
          <w:tcPr>
            <w:tcW w:w="2250" w:type="pct"/>
            <w:tcBorders>
              <w:bottom w:val="single" w:sz="4" w:space="0" w:color="auto"/>
            </w:tcBorders>
            <w:tcMar>
              <w:top w:w="284" w:type="dxa"/>
              <w:bottom w:w="284" w:type="dxa"/>
            </w:tcMar>
          </w:tcPr>
          <w:p w:rsidR="00F138C1" w:rsidRPr="000B0F9B" w:rsidRDefault="00F138C1" w:rsidP="00E8642A">
            <w:pPr>
              <w:tabs>
                <w:tab w:val="left" w:pos="6075"/>
              </w:tabs>
              <w:rPr>
                <w:rFonts w:ascii="Arial" w:hAnsi="Arial" w:cs="Arial"/>
                <w:i/>
                <w:sz w:val="20"/>
                <w:szCs w:val="20"/>
              </w:rPr>
            </w:pPr>
            <w:r w:rsidRPr="000B0F9B">
              <w:rPr>
                <w:sz w:val="18"/>
                <w:szCs w:val="18"/>
                <w:lang w:val="en-US"/>
              </w:rPr>
              <w:t>© Supreme Court of Canada (202</w:t>
            </w:r>
            <w:r w:rsidR="00E8642A" w:rsidRPr="000B0F9B">
              <w:rPr>
                <w:sz w:val="18"/>
                <w:szCs w:val="18"/>
                <w:lang w:val="en-US"/>
              </w:rPr>
              <w:t>2</w:t>
            </w:r>
            <w:r w:rsidRPr="000B0F9B">
              <w:rPr>
                <w:sz w:val="18"/>
                <w:szCs w:val="18"/>
                <w:lang w:val="en-US"/>
              </w:rPr>
              <w:t>)</w:t>
            </w:r>
            <w:r w:rsidRPr="000B0F9B">
              <w:rPr>
                <w:sz w:val="18"/>
                <w:szCs w:val="18"/>
                <w:lang w:val="en-US"/>
              </w:rPr>
              <w:br/>
              <w:t>ISSN 1918-8358 (Online)</w:t>
            </w:r>
          </w:p>
        </w:tc>
        <w:tc>
          <w:tcPr>
            <w:tcW w:w="500" w:type="pct"/>
            <w:tcBorders>
              <w:bottom w:val="single" w:sz="4" w:space="0" w:color="auto"/>
            </w:tcBorders>
            <w:tcMar>
              <w:top w:w="284" w:type="dxa"/>
              <w:bottom w:w="284" w:type="dxa"/>
            </w:tcMar>
          </w:tcPr>
          <w:p w:rsidR="00F138C1" w:rsidRPr="000B0F9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B0F9B" w:rsidRDefault="00F138C1" w:rsidP="00E8642A">
            <w:pPr>
              <w:tabs>
                <w:tab w:val="left" w:pos="6075"/>
              </w:tabs>
              <w:jc w:val="right"/>
              <w:rPr>
                <w:rFonts w:ascii="Arial" w:hAnsi="Arial" w:cs="Arial"/>
                <w:i/>
                <w:sz w:val="20"/>
                <w:szCs w:val="20"/>
                <w:lang w:val="fr-CA"/>
              </w:rPr>
            </w:pPr>
            <w:r w:rsidRPr="000B0F9B">
              <w:rPr>
                <w:sz w:val="18"/>
                <w:szCs w:val="18"/>
                <w:lang w:val="fr-CA"/>
              </w:rPr>
              <w:t>© Cour suprême du Canada (202</w:t>
            </w:r>
            <w:r w:rsidR="00E8642A" w:rsidRPr="000B0F9B">
              <w:rPr>
                <w:sz w:val="18"/>
                <w:szCs w:val="18"/>
                <w:lang w:val="fr-CA"/>
              </w:rPr>
              <w:t>2</w:t>
            </w:r>
            <w:proofErr w:type="gramStart"/>
            <w:r w:rsidRPr="000B0F9B">
              <w:rPr>
                <w:sz w:val="18"/>
                <w:szCs w:val="18"/>
                <w:lang w:val="fr-CA"/>
              </w:rPr>
              <w:t>)</w:t>
            </w:r>
            <w:proofErr w:type="gramEnd"/>
            <w:r w:rsidRPr="000B0F9B">
              <w:rPr>
                <w:sz w:val="18"/>
                <w:szCs w:val="18"/>
                <w:lang w:val="fr-CA"/>
              </w:rPr>
              <w:br/>
              <w:t>ISSN 1918-8358 (En ligne)</w:t>
            </w:r>
          </w:p>
        </w:tc>
      </w:tr>
    </w:tbl>
    <w:p w:rsidR="0030050B" w:rsidRPr="000B0F9B" w:rsidRDefault="0030050B" w:rsidP="00F138C1">
      <w:pPr>
        <w:tabs>
          <w:tab w:val="left" w:pos="6075"/>
        </w:tabs>
        <w:rPr>
          <w:lang w:val="fr-CA"/>
        </w:rPr>
      </w:pPr>
    </w:p>
    <w:p w:rsidR="00560DF1" w:rsidRPr="000B0F9B" w:rsidRDefault="00560DF1" w:rsidP="0095096B">
      <w:pPr>
        <w:tabs>
          <w:tab w:val="right" w:pos="9360"/>
        </w:tabs>
        <w:rPr>
          <w:lang w:val="fr-CA"/>
        </w:rPr>
      </w:pPr>
    </w:p>
    <w:p w:rsidR="00F138C1" w:rsidRPr="000B0F9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B0F9B" w:rsidRDefault="00DC6B2E" w:rsidP="00693C38">
          <w:pPr>
            <w:pStyle w:val="Title"/>
            <w:jc w:val="center"/>
            <w:rPr>
              <w:rFonts w:ascii="Times New Roman" w:hAnsi="Times New Roman" w:cs="Times New Roman"/>
              <w:b/>
              <w:sz w:val="24"/>
              <w:szCs w:val="28"/>
              <w:lang w:val="fr-CA"/>
            </w:rPr>
          </w:pPr>
          <w:r w:rsidRPr="000B0F9B">
            <w:rPr>
              <w:rFonts w:ascii="Times New Roman" w:hAnsi="Times New Roman" w:cs="Times New Roman"/>
              <w:b/>
              <w:sz w:val="24"/>
              <w:szCs w:val="28"/>
              <w:lang w:val="fr-CA"/>
            </w:rPr>
            <w:t>Contents</w:t>
          </w:r>
        </w:p>
        <w:p w:rsidR="00693C38" w:rsidRPr="000B0F9B" w:rsidRDefault="00DC6B2E" w:rsidP="00693C38">
          <w:pPr>
            <w:jc w:val="center"/>
            <w:rPr>
              <w:b/>
              <w:szCs w:val="28"/>
              <w:lang w:val="fr-CA"/>
            </w:rPr>
          </w:pPr>
          <w:r w:rsidRPr="000B0F9B">
            <w:rPr>
              <w:b/>
              <w:szCs w:val="28"/>
              <w:lang w:val="fr-CA"/>
            </w:rPr>
            <w:t>Table des matières</w:t>
          </w:r>
        </w:p>
        <w:p w:rsidR="00693C38" w:rsidRPr="000B0F9B" w:rsidRDefault="00693C38" w:rsidP="00693C38">
          <w:pPr>
            <w:rPr>
              <w:lang w:val="fr-CA"/>
            </w:rPr>
          </w:pPr>
        </w:p>
        <w:p w:rsidR="000B0F9B" w:rsidRPr="000B0F9B" w:rsidRDefault="00DC6B2E">
          <w:pPr>
            <w:pStyle w:val="TOC1"/>
            <w:tabs>
              <w:tab w:val="right" w:leader="dot" w:pos="9638"/>
            </w:tabs>
            <w:rPr>
              <w:rFonts w:asciiTheme="minorHAnsi" w:eastAsiaTheme="minorEastAsia" w:hAnsiTheme="minorHAnsi"/>
              <w:noProof/>
              <w:sz w:val="22"/>
              <w:lang w:val="en-US"/>
            </w:rPr>
          </w:pPr>
          <w:r w:rsidRPr="000B0F9B">
            <w:rPr>
              <w:b/>
              <w:bCs/>
              <w:noProof/>
            </w:rPr>
            <w:fldChar w:fldCharType="begin"/>
          </w:r>
          <w:r w:rsidRPr="000B0F9B">
            <w:rPr>
              <w:b/>
              <w:bCs/>
              <w:noProof/>
            </w:rPr>
            <w:instrText xml:space="preserve"> TOC \o "1-3" \h \z \u </w:instrText>
          </w:r>
          <w:r w:rsidRPr="000B0F9B">
            <w:rPr>
              <w:b/>
              <w:bCs/>
              <w:noProof/>
            </w:rPr>
            <w:fldChar w:fldCharType="separate"/>
          </w:r>
          <w:hyperlink w:anchor="_Toc99695283" w:history="1">
            <w:r w:rsidR="000B0F9B" w:rsidRPr="000B0F9B">
              <w:rPr>
                <w:rStyle w:val="Hyperlink"/>
                <w:noProof/>
                <w:lang w:val="fr-CA"/>
              </w:rPr>
              <w:t>Applications for leave to appeal filed /  Demandes d’autorisation d’appel déposées</w:t>
            </w:r>
            <w:r w:rsidR="000B0F9B" w:rsidRPr="000B0F9B">
              <w:rPr>
                <w:noProof/>
                <w:webHidden/>
              </w:rPr>
              <w:tab/>
            </w:r>
            <w:r w:rsidR="000B0F9B" w:rsidRPr="000B0F9B">
              <w:rPr>
                <w:noProof/>
                <w:webHidden/>
              </w:rPr>
              <w:fldChar w:fldCharType="begin"/>
            </w:r>
            <w:r w:rsidR="000B0F9B" w:rsidRPr="000B0F9B">
              <w:rPr>
                <w:noProof/>
                <w:webHidden/>
              </w:rPr>
              <w:instrText xml:space="preserve"> PAGEREF _Toc99695283 \h </w:instrText>
            </w:r>
            <w:r w:rsidR="000B0F9B" w:rsidRPr="000B0F9B">
              <w:rPr>
                <w:noProof/>
                <w:webHidden/>
              </w:rPr>
            </w:r>
            <w:r w:rsidR="000B0F9B" w:rsidRPr="000B0F9B">
              <w:rPr>
                <w:noProof/>
                <w:webHidden/>
              </w:rPr>
              <w:fldChar w:fldCharType="separate"/>
            </w:r>
            <w:r w:rsidR="000B0F9B" w:rsidRPr="000B0F9B">
              <w:rPr>
                <w:noProof/>
                <w:webHidden/>
              </w:rPr>
              <w:t>1</w:t>
            </w:r>
            <w:r w:rsidR="000B0F9B" w:rsidRPr="000B0F9B">
              <w:rPr>
                <w:noProof/>
                <w:webHidden/>
              </w:rPr>
              <w:fldChar w:fldCharType="end"/>
            </w:r>
          </w:hyperlink>
        </w:p>
        <w:p w:rsidR="000B0F9B" w:rsidRPr="000B0F9B" w:rsidRDefault="000B0F9B">
          <w:pPr>
            <w:pStyle w:val="TOC1"/>
            <w:tabs>
              <w:tab w:val="right" w:leader="dot" w:pos="9638"/>
            </w:tabs>
            <w:rPr>
              <w:rFonts w:asciiTheme="minorHAnsi" w:eastAsiaTheme="minorEastAsia" w:hAnsiTheme="minorHAnsi"/>
              <w:noProof/>
              <w:sz w:val="22"/>
              <w:lang w:val="en-US"/>
            </w:rPr>
          </w:pPr>
          <w:hyperlink w:anchor="_Toc99695284" w:history="1">
            <w:r w:rsidRPr="000B0F9B">
              <w:rPr>
                <w:rStyle w:val="Hyperlink"/>
                <w:noProof/>
                <w:lang w:val="fr-CA"/>
              </w:rPr>
              <w:t>Judgments on applications for leave /  Jugements rendus sur les demandes d’autorisation</w:t>
            </w:r>
            <w:r w:rsidRPr="000B0F9B">
              <w:rPr>
                <w:noProof/>
                <w:webHidden/>
              </w:rPr>
              <w:tab/>
            </w:r>
            <w:r w:rsidRPr="000B0F9B">
              <w:rPr>
                <w:noProof/>
                <w:webHidden/>
              </w:rPr>
              <w:fldChar w:fldCharType="begin"/>
            </w:r>
            <w:r w:rsidRPr="000B0F9B">
              <w:rPr>
                <w:noProof/>
                <w:webHidden/>
              </w:rPr>
              <w:instrText xml:space="preserve"> PAGEREF _Toc99695284 \h </w:instrText>
            </w:r>
            <w:r w:rsidRPr="000B0F9B">
              <w:rPr>
                <w:noProof/>
                <w:webHidden/>
              </w:rPr>
            </w:r>
            <w:r w:rsidRPr="000B0F9B">
              <w:rPr>
                <w:noProof/>
                <w:webHidden/>
              </w:rPr>
              <w:fldChar w:fldCharType="separate"/>
            </w:r>
            <w:r w:rsidRPr="000B0F9B">
              <w:rPr>
                <w:noProof/>
                <w:webHidden/>
              </w:rPr>
              <w:t>2</w:t>
            </w:r>
            <w:r w:rsidRPr="000B0F9B">
              <w:rPr>
                <w:noProof/>
                <w:webHidden/>
              </w:rPr>
              <w:fldChar w:fldCharType="end"/>
            </w:r>
          </w:hyperlink>
        </w:p>
        <w:p w:rsidR="000B0F9B" w:rsidRPr="000B0F9B" w:rsidRDefault="000B0F9B">
          <w:pPr>
            <w:pStyle w:val="TOC1"/>
            <w:tabs>
              <w:tab w:val="right" w:leader="dot" w:pos="9638"/>
            </w:tabs>
            <w:rPr>
              <w:rFonts w:asciiTheme="minorHAnsi" w:eastAsiaTheme="minorEastAsia" w:hAnsiTheme="minorHAnsi"/>
              <w:noProof/>
              <w:sz w:val="22"/>
              <w:lang w:val="en-US"/>
            </w:rPr>
          </w:pPr>
          <w:hyperlink w:anchor="_Toc99695285" w:history="1">
            <w:r w:rsidRPr="000B0F9B">
              <w:rPr>
                <w:rStyle w:val="Hyperlink"/>
                <w:noProof/>
                <w:lang w:val="fr-CA"/>
              </w:rPr>
              <w:t>Motions /  Requêtes</w:t>
            </w:r>
            <w:r w:rsidRPr="000B0F9B">
              <w:rPr>
                <w:noProof/>
                <w:webHidden/>
              </w:rPr>
              <w:tab/>
            </w:r>
            <w:r w:rsidRPr="000B0F9B">
              <w:rPr>
                <w:noProof/>
                <w:webHidden/>
              </w:rPr>
              <w:fldChar w:fldCharType="begin"/>
            </w:r>
            <w:r w:rsidRPr="000B0F9B">
              <w:rPr>
                <w:noProof/>
                <w:webHidden/>
              </w:rPr>
              <w:instrText xml:space="preserve"> PAGEREF _Toc99695285 \h </w:instrText>
            </w:r>
            <w:r w:rsidRPr="000B0F9B">
              <w:rPr>
                <w:noProof/>
                <w:webHidden/>
              </w:rPr>
            </w:r>
            <w:r w:rsidRPr="000B0F9B">
              <w:rPr>
                <w:noProof/>
                <w:webHidden/>
              </w:rPr>
              <w:fldChar w:fldCharType="separate"/>
            </w:r>
            <w:r w:rsidRPr="000B0F9B">
              <w:rPr>
                <w:noProof/>
                <w:webHidden/>
              </w:rPr>
              <w:t>13</w:t>
            </w:r>
            <w:r w:rsidRPr="000B0F9B">
              <w:rPr>
                <w:noProof/>
                <w:webHidden/>
              </w:rPr>
              <w:fldChar w:fldCharType="end"/>
            </w:r>
          </w:hyperlink>
        </w:p>
        <w:p w:rsidR="000B0F9B" w:rsidRPr="000B0F9B" w:rsidRDefault="000B0F9B">
          <w:pPr>
            <w:pStyle w:val="TOC1"/>
            <w:tabs>
              <w:tab w:val="right" w:leader="dot" w:pos="9638"/>
            </w:tabs>
            <w:rPr>
              <w:rFonts w:asciiTheme="minorHAnsi" w:eastAsiaTheme="minorEastAsia" w:hAnsiTheme="minorHAnsi"/>
              <w:noProof/>
              <w:sz w:val="22"/>
              <w:lang w:val="en-US"/>
            </w:rPr>
          </w:pPr>
          <w:hyperlink w:anchor="_Toc99695286" w:history="1">
            <w:r w:rsidRPr="000B0F9B">
              <w:rPr>
                <w:rStyle w:val="Hyperlink"/>
                <w:noProof/>
              </w:rPr>
              <w:t xml:space="preserve">Notices of appeal filed since the last issue /  </w:t>
            </w:r>
            <w:r w:rsidRPr="000B0F9B">
              <w:rPr>
                <w:rStyle w:val="Hyperlink"/>
                <w:noProof/>
                <w:lang w:val="fr-CA"/>
              </w:rPr>
              <w:t>Avis d’appel déposés depuis la dernière parution</w:t>
            </w:r>
            <w:r w:rsidRPr="000B0F9B">
              <w:rPr>
                <w:noProof/>
                <w:webHidden/>
              </w:rPr>
              <w:tab/>
            </w:r>
            <w:r w:rsidRPr="000B0F9B">
              <w:rPr>
                <w:noProof/>
                <w:webHidden/>
              </w:rPr>
              <w:fldChar w:fldCharType="begin"/>
            </w:r>
            <w:r w:rsidRPr="000B0F9B">
              <w:rPr>
                <w:noProof/>
                <w:webHidden/>
              </w:rPr>
              <w:instrText xml:space="preserve"> PAGEREF _Toc99695286 \h </w:instrText>
            </w:r>
            <w:r w:rsidRPr="000B0F9B">
              <w:rPr>
                <w:noProof/>
                <w:webHidden/>
              </w:rPr>
            </w:r>
            <w:r w:rsidRPr="000B0F9B">
              <w:rPr>
                <w:noProof/>
                <w:webHidden/>
              </w:rPr>
              <w:fldChar w:fldCharType="separate"/>
            </w:r>
            <w:r w:rsidRPr="000B0F9B">
              <w:rPr>
                <w:noProof/>
                <w:webHidden/>
              </w:rPr>
              <w:t>14</w:t>
            </w:r>
            <w:r w:rsidRPr="000B0F9B">
              <w:rPr>
                <w:noProof/>
                <w:webHidden/>
              </w:rPr>
              <w:fldChar w:fldCharType="end"/>
            </w:r>
          </w:hyperlink>
        </w:p>
        <w:p w:rsidR="000B0F9B" w:rsidRPr="000B0F9B" w:rsidRDefault="000B0F9B">
          <w:pPr>
            <w:pStyle w:val="TOC1"/>
            <w:tabs>
              <w:tab w:val="right" w:leader="dot" w:pos="9638"/>
            </w:tabs>
            <w:rPr>
              <w:rFonts w:asciiTheme="minorHAnsi" w:eastAsiaTheme="minorEastAsia" w:hAnsiTheme="minorHAnsi"/>
              <w:noProof/>
              <w:sz w:val="22"/>
              <w:lang w:val="en-US"/>
            </w:rPr>
          </w:pPr>
          <w:hyperlink w:anchor="_Toc99695287" w:history="1">
            <w:r w:rsidRPr="000B0F9B">
              <w:rPr>
                <w:rStyle w:val="Hyperlink"/>
                <w:noProof/>
                <w:lang w:val="fr-CA"/>
              </w:rPr>
              <w:t>Pronouncements of reserved appeals /  Jugements rendus sur les appels en délibéré</w:t>
            </w:r>
            <w:r w:rsidRPr="000B0F9B">
              <w:rPr>
                <w:noProof/>
                <w:webHidden/>
              </w:rPr>
              <w:tab/>
            </w:r>
            <w:r w:rsidRPr="000B0F9B">
              <w:rPr>
                <w:noProof/>
                <w:webHidden/>
              </w:rPr>
              <w:fldChar w:fldCharType="begin"/>
            </w:r>
            <w:r w:rsidRPr="000B0F9B">
              <w:rPr>
                <w:noProof/>
                <w:webHidden/>
              </w:rPr>
              <w:instrText xml:space="preserve"> PAGEREF _Toc99695287 \h </w:instrText>
            </w:r>
            <w:r w:rsidRPr="000B0F9B">
              <w:rPr>
                <w:noProof/>
                <w:webHidden/>
              </w:rPr>
            </w:r>
            <w:r w:rsidRPr="000B0F9B">
              <w:rPr>
                <w:noProof/>
                <w:webHidden/>
              </w:rPr>
              <w:fldChar w:fldCharType="separate"/>
            </w:r>
            <w:r w:rsidRPr="000B0F9B">
              <w:rPr>
                <w:noProof/>
                <w:webHidden/>
              </w:rPr>
              <w:t>15</w:t>
            </w:r>
            <w:r w:rsidRPr="000B0F9B">
              <w:rPr>
                <w:noProof/>
                <w:webHidden/>
              </w:rPr>
              <w:fldChar w:fldCharType="end"/>
            </w:r>
          </w:hyperlink>
        </w:p>
        <w:p w:rsidR="000B0F9B" w:rsidRPr="000B0F9B" w:rsidRDefault="000B0F9B">
          <w:pPr>
            <w:pStyle w:val="TOC1"/>
            <w:tabs>
              <w:tab w:val="right" w:leader="dot" w:pos="9638"/>
            </w:tabs>
            <w:rPr>
              <w:rFonts w:asciiTheme="minorHAnsi" w:eastAsiaTheme="minorEastAsia" w:hAnsiTheme="minorHAnsi"/>
              <w:noProof/>
              <w:sz w:val="22"/>
              <w:lang w:val="en-US"/>
            </w:rPr>
          </w:pPr>
          <w:hyperlink w:anchor="_Toc99695288" w:history="1">
            <w:r w:rsidRPr="000B0F9B">
              <w:rPr>
                <w:rStyle w:val="Hyperlink"/>
                <w:noProof/>
                <w:lang w:val="fr-CA"/>
              </w:rPr>
              <w:t>Agenda and case summaries for April 2022 /  Calendrier et sommaires des causes d’avril 2022</w:t>
            </w:r>
            <w:r w:rsidRPr="000B0F9B">
              <w:rPr>
                <w:noProof/>
                <w:webHidden/>
              </w:rPr>
              <w:tab/>
            </w:r>
            <w:r w:rsidRPr="000B0F9B">
              <w:rPr>
                <w:noProof/>
                <w:webHidden/>
              </w:rPr>
              <w:fldChar w:fldCharType="begin"/>
            </w:r>
            <w:r w:rsidRPr="000B0F9B">
              <w:rPr>
                <w:noProof/>
                <w:webHidden/>
              </w:rPr>
              <w:instrText xml:space="preserve"> PAGEREF _Toc99695288 \h </w:instrText>
            </w:r>
            <w:r w:rsidRPr="000B0F9B">
              <w:rPr>
                <w:noProof/>
                <w:webHidden/>
              </w:rPr>
            </w:r>
            <w:r w:rsidRPr="000B0F9B">
              <w:rPr>
                <w:noProof/>
                <w:webHidden/>
              </w:rPr>
              <w:fldChar w:fldCharType="separate"/>
            </w:r>
            <w:r w:rsidRPr="000B0F9B">
              <w:rPr>
                <w:noProof/>
                <w:webHidden/>
              </w:rPr>
              <w:t>16</w:t>
            </w:r>
            <w:r w:rsidRPr="000B0F9B">
              <w:rPr>
                <w:noProof/>
                <w:webHidden/>
              </w:rPr>
              <w:fldChar w:fldCharType="end"/>
            </w:r>
          </w:hyperlink>
        </w:p>
        <w:p w:rsidR="00560DF1" w:rsidRPr="000B0F9B" w:rsidRDefault="00DC6B2E">
          <w:r w:rsidRPr="000B0F9B">
            <w:rPr>
              <w:b/>
              <w:bCs/>
              <w:noProof/>
              <w:sz w:val="20"/>
            </w:rPr>
            <w:fldChar w:fldCharType="end"/>
          </w:r>
        </w:p>
      </w:sdtContent>
    </w:sdt>
    <w:p w:rsidR="00560DF1" w:rsidRPr="000B0F9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B0F9B" w:rsidTr="00F138C1">
        <w:trPr>
          <w:jc w:val="center"/>
        </w:trPr>
        <w:tc>
          <w:tcPr>
            <w:tcW w:w="9638" w:type="dxa"/>
          </w:tcPr>
          <w:p w:rsidR="00F138C1" w:rsidRPr="000B0F9B" w:rsidRDefault="00F138C1" w:rsidP="00F138C1">
            <w:pPr>
              <w:keepNext/>
              <w:tabs>
                <w:tab w:val="right" w:pos="9360"/>
              </w:tabs>
              <w:spacing w:after="120"/>
              <w:jc w:val="center"/>
              <w:rPr>
                <w:szCs w:val="24"/>
              </w:rPr>
            </w:pPr>
            <w:r w:rsidRPr="000B0F9B">
              <w:rPr>
                <w:szCs w:val="24"/>
              </w:rPr>
              <w:t>NOTICE</w:t>
            </w:r>
          </w:p>
          <w:p w:rsidR="00F138C1" w:rsidRPr="000B0F9B" w:rsidRDefault="00F138C1" w:rsidP="00F138C1">
            <w:pPr>
              <w:keepNext/>
              <w:tabs>
                <w:tab w:val="right" w:pos="9360"/>
              </w:tabs>
              <w:spacing w:after="120"/>
              <w:jc w:val="both"/>
              <w:rPr>
                <w:szCs w:val="24"/>
              </w:rPr>
            </w:pPr>
            <w:r w:rsidRPr="000B0F9B">
              <w:rPr>
                <w:szCs w:val="24"/>
              </w:rPr>
              <w:t>Case summaries included in the Bulletin are prepared by the Office of the Registrar of the Supreme Court of Canada (Law Branch) for information purposes only.</w:t>
            </w:r>
          </w:p>
          <w:p w:rsidR="00F138C1" w:rsidRPr="000B0F9B" w:rsidRDefault="00F138C1" w:rsidP="00F138C1">
            <w:pPr>
              <w:keepNext/>
              <w:tabs>
                <w:tab w:val="right" w:pos="9360"/>
              </w:tabs>
              <w:spacing w:after="120"/>
              <w:jc w:val="center"/>
              <w:rPr>
                <w:szCs w:val="24"/>
                <w:lang w:val="fr-CA"/>
              </w:rPr>
            </w:pPr>
            <w:r w:rsidRPr="000B0F9B">
              <w:rPr>
                <w:szCs w:val="24"/>
                <w:lang w:val="fr-CA"/>
              </w:rPr>
              <w:t>AVIS</w:t>
            </w:r>
          </w:p>
          <w:p w:rsidR="00F138C1" w:rsidRPr="000B0F9B" w:rsidRDefault="00F138C1" w:rsidP="00F138C1">
            <w:pPr>
              <w:keepNext/>
              <w:tabs>
                <w:tab w:val="right" w:pos="9360"/>
              </w:tabs>
              <w:spacing w:after="120"/>
              <w:jc w:val="both"/>
              <w:rPr>
                <w:sz w:val="20"/>
                <w:szCs w:val="20"/>
                <w:lang w:val="fr-CA"/>
              </w:rPr>
            </w:pPr>
            <w:r w:rsidRPr="000B0F9B">
              <w:rPr>
                <w:szCs w:val="24"/>
                <w:lang w:val="fr-CA"/>
              </w:rPr>
              <w:t>Les résumés des causes publiés dans le bulletin sont préparés par le Bureau du registraire (Direction générale du droit) uniquement à titre d’information.</w:t>
            </w:r>
          </w:p>
        </w:tc>
      </w:tr>
    </w:tbl>
    <w:p w:rsidR="00F138C1" w:rsidRPr="000B0F9B" w:rsidRDefault="00F138C1" w:rsidP="00F138C1">
      <w:pPr>
        <w:tabs>
          <w:tab w:val="right" w:pos="9360"/>
        </w:tabs>
        <w:rPr>
          <w:lang w:val="fr-CA"/>
        </w:rPr>
      </w:pPr>
    </w:p>
    <w:p w:rsidR="00F138C1" w:rsidRPr="000B0F9B" w:rsidRDefault="00F138C1" w:rsidP="00F138C1">
      <w:pPr>
        <w:tabs>
          <w:tab w:val="right" w:pos="9360"/>
        </w:tabs>
        <w:rPr>
          <w:lang w:val="fr-CA"/>
        </w:rPr>
      </w:pPr>
    </w:p>
    <w:p w:rsidR="00C01FCB" w:rsidRPr="000B0F9B" w:rsidRDefault="00C01FCB" w:rsidP="0095096B">
      <w:pPr>
        <w:tabs>
          <w:tab w:val="right" w:pos="9360"/>
        </w:tabs>
        <w:rPr>
          <w:lang w:val="fr-CA"/>
        </w:rPr>
      </w:pPr>
    </w:p>
    <w:p w:rsidR="00A87207" w:rsidRPr="000B0F9B" w:rsidRDefault="00A87207" w:rsidP="0095096B">
      <w:pPr>
        <w:tabs>
          <w:tab w:val="right" w:pos="9360"/>
        </w:tabs>
        <w:rPr>
          <w:lang w:val="fr-CA"/>
        </w:rPr>
        <w:sectPr w:rsidR="00A87207" w:rsidRPr="000B0F9B" w:rsidSect="0044776A">
          <w:pgSz w:w="12240" w:h="15840"/>
          <w:pgMar w:top="720" w:right="1152" w:bottom="1080" w:left="1440" w:header="706" w:footer="706" w:gutter="0"/>
          <w:cols w:space="708"/>
          <w:titlePg/>
          <w:docGrid w:linePitch="360"/>
        </w:sectPr>
      </w:pPr>
    </w:p>
    <w:p w:rsidR="00560DF1" w:rsidRPr="000B0F9B" w:rsidRDefault="00DD0BDC" w:rsidP="00567602">
      <w:pPr>
        <w:pStyle w:val="Header1StyleE"/>
        <w:pBdr>
          <w:bottom w:val="single" w:sz="12" w:space="1" w:color="auto"/>
        </w:pBdr>
        <w:rPr>
          <w:lang w:val="fr-CA"/>
        </w:rPr>
      </w:pPr>
      <w:bookmarkStart w:id="0" w:name="_Toc99695283"/>
      <w:r w:rsidRPr="000B0F9B">
        <w:rPr>
          <w:lang w:val="fr-CA"/>
        </w:rPr>
        <w:lastRenderedPageBreak/>
        <w:t>Applications for leave to appeal filed</w:t>
      </w:r>
      <w:r w:rsidR="00271E1E" w:rsidRPr="000B0F9B">
        <w:rPr>
          <w:lang w:val="fr-CA"/>
        </w:rPr>
        <w:t xml:space="preserve"> / </w:t>
      </w:r>
      <w:r w:rsidR="00727571" w:rsidRPr="000B0F9B">
        <w:rPr>
          <w:lang w:val="fr-CA"/>
        </w:rPr>
        <w:br/>
      </w:r>
      <w:r w:rsidRPr="000B0F9B">
        <w:rPr>
          <w:lang w:val="fr-CA"/>
        </w:rPr>
        <w:t>Demandes d’autorisation d’appel déposées</w:t>
      </w:r>
      <w:bookmarkEnd w:id="0"/>
    </w:p>
    <w:p w:rsidR="00F138C1" w:rsidRPr="000B0F9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B0F9B" w:rsidTr="00F138C1">
        <w:tc>
          <w:tcPr>
            <w:tcW w:w="4239" w:type="dxa"/>
            <w:shd w:val="clear" w:color="auto" w:fill="auto"/>
          </w:tcPr>
          <w:p w:rsidR="00F138C1" w:rsidRPr="000B0F9B" w:rsidRDefault="00C316D4" w:rsidP="00F138C1">
            <w:pPr>
              <w:rPr>
                <w:sz w:val="20"/>
                <w:szCs w:val="20"/>
                <w:lang w:val="en-US"/>
              </w:rPr>
            </w:pPr>
            <w:r w:rsidRPr="000B0F9B">
              <w:rPr>
                <w:b/>
                <w:sz w:val="20"/>
                <w:szCs w:val="20"/>
                <w:lang w:val="en-US"/>
              </w:rPr>
              <w:t>Wen Wang, et al.</w:t>
            </w: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Wen Wang, et al.</w:t>
            </w:r>
          </w:p>
          <w:p w:rsidR="00EC6816" w:rsidRPr="000B0F9B" w:rsidRDefault="00EC6816" w:rsidP="00F138C1">
            <w:pPr>
              <w:tabs>
                <w:tab w:val="left" w:pos="-1440"/>
                <w:tab w:val="left" w:pos="-720"/>
              </w:tabs>
              <w:rPr>
                <w:sz w:val="20"/>
                <w:szCs w:val="20"/>
                <w:lang w:val="en-US"/>
              </w:rPr>
            </w:pPr>
          </w:p>
          <w:p w:rsidR="00F138C1" w:rsidRPr="000B0F9B" w:rsidRDefault="00F138C1" w:rsidP="00F138C1">
            <w:pPr>
              <w:tabs>
                <w:tab w:val="left" w:pos="-1440"/>
                <w:tab w:val="left" w:pos="-720"/>
              </w:tabs>
              <w:rPr>
                <w:sz w:val="20"/>
                <w:szCs w:val="20"/>
                <w:lang w:val="fr-CA"/>
              </w:rPr>
            </w:pPr>
            <w:r w:rsidRPr="000B0F9B">
              <w:rPr>
                <w:sz w:val="20"/>
                <w:szCs w:val="20"/>
                <w:lang w:val="en-US"/>
              </w:rPr>
              <w:tab/>
            </w:r>
            <w:r w:rsidRPr="000B0F9B">
              <w:rPr>
                <w:sz w:val="20"/>
                <w:szCs w:val="20"/>
                <w:lang w:val="fr-CA"/>
              </w:rPr>
              <w:t>v. (4</w:t>
            </w:r>
            <w:r w:rsidR="00C316D4" w:rsidRPr="000B0F9B">
              <w:rPr>
                <w:sz w:val="20"/>
                <w:szCs w:val="20"/>
                <w:lang w:val="fr-CA"/>
              </w:rPr>
              <w:t>0017</w:t>
            </w:r>
            <w:r w:rsidRPr="000B0F9B">
              <w:rPr>
                <w:sz w:val="20"/>
                <w:szCs w:val="20"/>
                <w:lang w:val="fr-CA"/>
              </w:rPr>
              <w:t>)</w:t>
            </w:r>
          </w:p>
          <w:p w:rsidR="00F138C1" w:rsidRPr="000B0F9B" w:rsidRDefault="00F138C1" w:rsidP="00F138C1">
            <w:pPr>
              <w:tabs>
                <w:tab w:val="left" w:pos="-1440"/>
                <w:tab w:val="left" w:pos="-720"/>
              </w:tabs>
              <w:rPr>
                <w:sz w:val="20"/>
                <w:szCs w:val="20"/>
                <w:lang w:val="fr-CA"/>
              </w:rPr>
            </w:pPr>
          </w:p>
          <w:p w:rsidR="00F138C1" w:rsidRPr="000B0F9B" w:rsidRDefault="00C316D4" w:rsidP="00F138C1">
            <w:pPr>
              <w:tabs>
                <w:tab w:val="left" w:pos="-1440"/>
                <w:tab w:val="left" w:pos="-720"/>
              </w:tabs>
              <w:rPr>
                <w:b/>
                <w:sz w:val="20"/>
                <w:szCs w:val="20"/>
                <w:lang w:val="fr-CA"/>
              </w:rPr>
            </w:pPr>
            <w:r w:rsidRPr="000B0F9B">
              <w:rPr>
                <w:b/>
                <w:sz w:val="20"/>
                <w:szCs w:val="20"/>
                <w:lang w:val="fr-CA"/>
              </w:rPr>
              <w:t>Mattamy Corporation, et al.</w:t>
            </w:r>
            <w:r w:rsidR="00F138C1" w:rsidRPr="000B0F9B">
              <w:rPr>
                <w:b/>
                <w:sz w:val="20"/>
                <w:szCs w:val="20"/>
                <w:lang w:val="fr-CA"/>
              </w:rPr>
              <w:t xml:space="preserve"> (</w:t>
            </w:r>
            <w:r w:rsidRPr="000B0F9B">
              <w:rPr>
                <w:b/>
                <w:sz w:val="20"/>
                <w:szCs w:val="20"/>
                <w:lang w:val="fr-CA"/>
              </w:rPr>
              <w:t>Ont</w:t>
            </w:r>
            <w:r w:rsidR="00F138C1" w:rsidRPr="000B0F9B">
              <w:rPr>
                <w:b/>
                <w:sz w:val="20"/>
                <w:szCs w:val="20"/>
                <w:lang w:val="fr-CA"/>
              </w:rPr>
              <w:t>.)</w:t>
            </w:r>
          </w:p>
          <w:p w:rsidR="00F138C1" w:rsidRPr="000B0F9B" w:rsidRDefault="00F138C1" w:rsidP="00F138C1">
            <w:pPr>
              <w:tabs>
                <w:tab w:val="left" w:pos="-1440"/>
                <w:tab w:val="left" w:pos="-720"/>
              </w:tabs>
              <w:rPr>
                <w:sz w:val="20"/>
                <w:szCs w:val="20"/>
                <w:lang w:val="en-US"/>
              </w:rPr>
            </w:pPr>
            <w:r w:rsidRPr="000B0F9B">
              <w:rPr>
                <w:sz w:val="20"/>
                <w:szCs w:val="20"/>
                <w:lang w:val="fr-CA"/>
              </w:rPr>
              <w:tab/>
            </w:r>
            <w:r w:rsidR="00C316D4" w:rsidRPr="000B0F9B">
              <w:rPr>
                <w:sz w:val="20"/>
                <w:szCs w:val="20"/>
                <w:lang w:val="en-US"/>
              </w:rPr>
              <w:t>Currie, Michael A.</w:t>
            </w:r>
          </w:p>
          <w:p w:rsidR="00F138C1" w:rsidRPr="000B0F9B" w:rsidRDefault="00F138C1" w:rsidP="00F138C1">
            <w:pPr>
              <w:tabs>
                <w:tab w:val="left" w:pos="-1440"/>
                <w:tab w:val="left" w:pos="-720"/>
              </w:tabs>
              <w:rPr>
                <w:sz w:val="20"/>
                <w:szCs w:val="20"/>
              </w:rPr>
            </w:pPr>
            <w:r w:rsidRPr="000B0F9B">
              <w:rPr>
                <w:sz w:val="20"/>
                <w:szCs w:val="20"/>
                <w:lang w:val="en-US"/>
              </w:rPr>
              <w:tab/>
            </w:r>
            <w:r w:rsidR="00C316D4" w:rsidRPr="000B0F9B">
              <w:rPr>
                <w:sz w:val="20"/>
                <w:szCs w:val="20"/>
              </w:rPr>
              <w:t>Lax O'Sullivan Lisus Gottlieb LLP</w:t>
            </w:r>
          </w:p>
          <w:p w:rsidR="00F138C1" w:rsidRPr="000B0F9B" w:rsidRDefault="00F138C1" w:rsidP="00F138C1">
            <w:pPr>
              <w:tabs>
                <w:tab w:val="left" w:pos="-1440"/>
                <w:tab w:val="left" w:pos="-720"/>
              </w:tabs>
              <w:rPr>
                <w:sz w:val="20"/>
                <w:szCs w:val="20"/>
              </w:rPr>
            </w:pPr>
          </w:p>
          <w:p w:rsidR="00F138C1" w:rsidRPr="000B0F9B" w:rsidRDefault="00F138C1" w:rsidP="00F138C1">
            <w:pPr>
              <w:rPr>
                <w:sz w:val="20"/>
                <w:szCs w:val="20"/>
              </w:rPr>
            </w:pPr>
            <w:r w:rsidRPr="000B0F9B">
              <w:rPr>
                <w:sz w:val="20"/>
                <w:szCs w:val="20"/>
              </w:rPr>
              <w:t xml:space="preserve">FILING DATE: </w:t>
            </w:r>
            <w:r w:rsidR="00C316D4" w:rsidRPr="000B0F9B">
              <w:rPr>
                <w:sz w:val="20"/>
                <w:szCs w:val="20"/>
              </w:rPr>
              <w:t>December 31</w:t>
            </w:r>
            <w:r w:rsidRPr="000B0F9B">
              <w:rPr>
                <w:sz w:val="20"/>
                <w:szCs w:val="20"/>
              </w:rPr>
              <w:t>, 20</w:t>
            </w:r>
            <w:r w:rsidR="00DA1D48" w:rsidRPr="000B0F9B">
              <w:rPr>
                <w:sz w:val="20"/>
                <w:szCs w:val="20"/>
              </w:rPr>
              <w:t>2</w:t>
            </w:r>
            <w:r w:rsidR="00C316D4" w:rsidRPr="000B0F9B">
              <w:rPr>
                <w:sz w:val="20"/>
                <w:szCs w:val="20"/>
              </w:rPr>
              <w:t>1</w:t>
            </w:r>
          </w:p>
          <w:p w:rsidR="004B2E86" w:rsidRPr="000B0F9B" w:rsidRDefault="004B2E86" w:rsidP="00F138C1">
            <w:pPr>
              <w:rPr>
                <w:sz w:val="20"/>
                <w:szCs w:val="20"/>
              </w:rPr>
            </w:pPr>
          </w:p>
          <w:p w:rsidR="00F138C1" w:rsidRPr="000B0F9B" w:rsidRDefault="000B0F9B" w:rsidP="00F138C1">
            <w:pPr>
              <w:rPr>
                <w:sz w:val="20"/>
                <w:szCs w:val="20"/>
              </w:rPr>
            </w:pPr>
            <w:r w:rsidRPr="000B0F9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F138C1" w:rsidRPr="000B0F9B" w:rsidRDefault="00F138C1" w:rsidP="00F138C1">
            <w:pPr>
              <w:jc w:val="center"/>
              <w:rPr>
                <w:sz w:val="20"/>
                <w:szCs w:val="20"/>
              </w:rPr>
            </w:pPr>
          </w:p>
          <w:p w:rsidR="004B2E86" w:rsidRPr="000B0F9B" w:rsidRDefault="004B2E86" w:rsidP="00F138C1">
            <w:pPr>
              <w:jc w:val="center"/>
              <w:rPr>
                <w:sz w:val="20"/>
                <w:szCs w:val="20"/>
              </w:rPr>
            </w:pPr>
          </w:p>
          <w:p w:rsidR="00F138C1" w:rsidRPr="000B0F9B" w:rsidRDefault="00F138C1" w:rsidP="00F138C1">
            <w:pPr>
              <w:jc w:val="center"/>
              <w:rPr>
                <w:sz w:val="20"/>
                <w:szCs w:val="20"/>
              </w:rPr>
            </w:pPr>
          </w:p>
        </w:tc>
        <w:tc>
          <w:tcPr>
            <w:tcW w:w="4239" w:type="dxa"/>
            <w:shd w:val="clear" w:color="auto" w:fill="auto"/>
          </w:tcPr>
          <w:p w:rsidR="00F138C1" w:rsidRPr="000B0F9B" w:rsidRDefault="00C316D4" w:rsidP="00F138C1">
            <w:pPr>
              <w:rPr>
                <w:b/>
                <w:sz w:val="20"/>
                <w:szCs w:val="20"/>
                <w:lang w:val="en-US"/>
              </w:rPr>
            </w:pPr>
            <w:r w:rsidRPr="000B0F9B">
              <w:rPr>
                <w:b/>
                <w:sz w:val="20"/>
                <w:szCs w:val="20"/>
                <w:lang w:val="en-US"/>
              </w:rPr>
              <w:t>Scott Christopher Alcorn</w:t>
            </w: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Sansregret, Q.C., Amanda</w:t>
            </w: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WRMG Law</w:t>
            </w:r>
          </w:p>
          <w:p w:rsidR="00F138C1" w:rsidRPr="000B0F9B" w:rsidRDefault="00F138C1" w:rsidP="00F138C1">
            <w:pPr>
              <w:tabs>
                <w:tab w:val="left" w:pos="-1440"/>
                <w:tab w:val="left" w:pos="-720"/>
              </w:tabs>
              <w:rPr>
                <w:sz w:val="20"/>
                <w:szCs w:val="20"/>
                <w:lang w:val="en-US"/>
              </w:rPr>
            </w:pP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v</w:t>
            </w:r>
            <w:r w:rsidRPr="000B0F9B">
              <w:rPr>
                <w:sz w:val="20"/>
                <w:szCs w:val="20"/>
                <w:lang w:val="en-US"/>
              </w:rPr>
              <w:t>. (</w:t>
            </w:r>
            <w:r w:rsidR="00C316D4" w:rsidRPr="000B0F9B">
              <w:rPr>
                <w:sz w:val="20"/>
                <w:szCs w:val="20"/>
                <w:lang w:val="en-US"/>
              </w:rPr>
              <w:t>40062</w:t>
            </w:r>
            <w:r w:rsidRPr="000B0F9B">
              <w:rPr>
                <w:sz w:val="20"/>
                <w:szCs w:val="20"/>
                <w:lang w:val="en-US"/>
              </w:rPr>
              <w:t>)</w:t>
            </w:r>
          </w:p>
          <w:p w:rsidR="00F138C1" w:rsidRPr="000B0F9B" w:rsidRDefault="00F138C1" w:rsidP="00F138C1">
            <w:pPr>
              <w:tabs>
                <w:tab w:val="left" w:pos="-1440"/>
                <w:tab w:val="left" w:pos="-720"/>
              </w:tabs>
              <w:rPr>
                <w:sz w:val="20"/>
                <w:szCs w:val="20"/>
                <w:lang w:val="en-US"/>
              </w:rPr>
            </w:pPr>
          </w:p>
          <w:p w:rsidR="00F138C1" w:rsidRPr="000B0F9B" w:rsidRDefault="00C316D4" w:rsidP="00F138C1">
            <w:pPr>
              <w:tabs>
                <w:tab w:val="left" w:pos="-1440"/>
                <w:tab w:val="left" w:pos="-720"/>
              </w:tabs>
              <w:rPr>
                <w:b/>
                <w:sz w:val="20"/>
                <w:szCs w:val="20"/>
                <w:lang w:val="en-US"/>
              </w:rPr>
            </w:pPr>
            <w:r w:rsidRPr="000B0F9B">
              <w:rPr>
                <w:b/>
                <w:sz w:val="20"/>
                <w:szCs w:val="20"/>
                <w:lang w:val="en-US"/>
              </w:rPr>
              <w:t>Her Majesty the Queen</w:t>
            </w:r>
            <w:r w:rsidR="00F138C1" w:rsidRPr="000B0F9B">
              <w:rPr>
                <w:sz w:val="20"/>
                <w:szCs w:val="20"/>
                <w:lang w:val="en-US"/>
              </w:rPr>
              <w:t xml:space="preserve"> </w:t>
            </w:r>
            <w:r w:rsidR="00F138C1" w:rsidRPr="000B0F9B">
              <w:rPr>
                <w:b/>
                <w:sz w:val="20"/>
                <w:szCs w:val="20"/>
                <w:lang w:val="en-US"/>
              </w:rPr>
              <w:t>(</w:t>
            </w:r>
            <w:r w:rsidRPr="000B0F9B">
              <w:rPr>
                <w:b/>
                <w:sz w:val="20"/>
                <w:szCs w:val="20"/>
                <w:lang w:val="en-US"/>
              </w:rPr>
              <w:t>Man.</w:t>
            </w:r>
            <w:r w:rsidR="00F138C1" w:rsidRPr="000B0F9B">
              <w:rPr>
                <w:b/>
                <w:sz w:val="20"/>
                <w:szCs w:val="20"/>
                <w:lang w:val="en-US"/>
              </w:rPr>
              <w:t>)</w:t>
            </w: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Mann, Jennifer</w:t>
            </w:r>
          </w:p>
          <w:p w:rsidR="00F138C1" w:rsidRPr="000B0F9B" w:rsidRDefault="00F138C1" w:rsidP="00F138C1">
            <w:pPr>
              <w:tabs>
                <w:tab w:val="left" w:pos="-1440"/>
                <w:tab w:val="left" w:pos="-720"/>
              </w:tabs>
              <w:rPr>
                <w:sz w:val="20"/>
                <w:szCs w:val="20"/>
                <w:lang w:val="en-US"/>
              </w:rPr>
            </w:pPr>
            <w:r w:rsidRPr="000B0F9B">
              <w:rPr>
                <w:sz w:val="20"/>
                <w:szCs w:val="20"/>
                <w:lang w:val="en-US"/>
              </w:rPr>
              <w:tab/>
            </w:r>
            <w:r w:rsidR="00C316D4" w:rsidRPr="000B0F9B">
              <w:rPr>
                <w:sz w:val="20"/>
                <w:szCs w:val="20"/>
                <w:lang w:val="en-US"/>
              </w:rPr>
              <w:t>Justice Manitoba - Public Prosecution</w:t>
            </w:r>
          </w:p>
          <w:p w:rsidR="00F138C1" w:rsidRPr="000B0F9B" w:rsidRDefault="00F138C1" w:rsidP="00F138C1">
            <w:pPr>
              <w:tabs>
                <w:tab w:val="left" w:pos="-1440"/>
                <w:tab w:val="left" w:pos="-720"/>
              </w:tabs>
              <w:rPr>
                <w:sz w:val="20"/>
                <w:szCs w:val="20"/>
                <w:lang w:val="en-US"/>
              </w:rPr>
            </w:pPr>
          </w:p>
          <w:p w:rsidR="00C316D4" w:rsidRPr="000B0F9B" w:rsidRDefault="00C316D4" w:rsidP="00C316D4">
            <w:pPr>
              <w:rPr>
                <w:sz w:val="20"/>
                <w:szCs w:val="20"/>
              </w:rPr>
            </w:pPr>
            <w:r w:rsidRPr="000B0F9B">
              <w:rPr>
                <w:sz w:val="20"/>
                <w:szCs w:val="20"/>
              </w:rPr>
              <w:t>FILING DATE: March 21, 2022</w:t>
            </w:r>
          </w:p>
          <w:p w:rsidR="004B2E86" w:rsidRPr="000B0F9B" w:rsidRDefault="004B2E86" w:rsidP="00F138C1">
            <w:pPr>
              <w:rPr>
                <w:sz w:val="20"/>
                <w:szCs w:val="20"/>
                <w:lang w:val="en-US"/>
              </w:rPr>
            </w:pPr>
          </w:p>
          <w:p w:rsidR="00F138C1" w:rsidRPr="000B0F9B" w:rsidRDefault="000B0F9B" w:rsidP="00F138C1">
            <w:pPr>
              <w:rPr>
                <w:sz w:val="20"/>
                <w:szCs w:val="20"/>
                <w:lang w:val="fr-CA"/>
              </w:rPr>
            </w:pPr>
            <w:r w:rsidRPr="000B0F9B">
              <w:rPr>
                <w:sz w:val="20"/>
                <w:szCs w:val="20"/>
                <w:lang w:val="fr-CA"/>
              </w:rPr>
              <w:pict>
                <v:rect id="_x0000_i1026" style="width:108pt;height:1pt" o:hrpct="0" o:hrstd="t" o:hrnoshade="t" o:hr="t" fillcolor="black [3213]" stroked="f"/>
              </w:pict>
            </w:r>
          </w:p>
        </w:tc>
      </w:tr>
      <w:tr w:rsidR="00F138C1" w:rsidRPr="000B0F9B" w:rsidTr="00F138C1">
        <w:tc>
          <w:tcPr>
            <w:tcW w:w="4239" w:type="dxa"/>
            <w:shd w:val="clear" w:color="auto" w:fill="auto"/>
          </w:tcPr>
          <w:p w:rsidR="00F138C1" w:rsidRPr="000B0F9B" w:rsidRDefault="00C316D4" w:rsidP="009B36BA">
            <w:pPr>
              <w:tabs>
                <w:tab w:val="left" w:pos="-1440"/>
                <w:tab w:val="left" w:pos="-720"/>
              </w:tabs>
              <w:rPr>
                <w:b/>
                <w:sz w:val="20"/>
                <w:szCs w:val="20"/>
                <w:lang w:val="fr-CA"/>
              </w:rPr>
            </w:pPr>
            <w:r w:rsidRPr="000B0F9B">
              <w:rPr>
                <w:b/>
                <w:sz w:val="20"/>
                <w:szCs w:val="20"/>
                <w:lang w:val="fr-CA"/>
              </w:rPr>
              <w:t>Paul Abi-Mansour, et al.</w:t>
            </w:r>
          </w:p>
          <w:p w:rsidR="00F138C1" w:rsidRPr="000B0F9B" w:rsidRDefault="00F138C1" w:rsidP="00F138C1">
            <w:pPr>
              <w:keepNext/>
              <w:keepLines/>
              <w:tabs>
                <w:tab w:val="left" w:pos="-1440"/>
                <w:tab w:val="left" w:pos="-720"/>
              </w:tabs>
              <w:rPr>
                <w:sz w:val="20"/>
                <w:szCs w:val="20"/>
                <w:lang w:val="fr-CA"/>
              </w:rPr>
            </w:pPr>
            <w:r w:rsidRPr="000B0F9B">
              <w:rPr>
                <w:sz w:val="20"/>
                <w:szCs w:val="20"/>
                <w:lang w:val="fr-CA"/>
              </w:rPr>
              <w:tab/>
            </w:r>
            <w:r w:rsidR="00C316D4" w:rsidRPr="000B0F9B">
              <w:rPr>
                <w:sz w:val="20"/>
                <w:szCs w:val="20"/>
                <w:lang w:val="fr-CA"/>
              </w:rPr>
              <w:t>Paul Abi-Mansour, et al.</w:t>
            </w:r>
          </w:p>
          <w:p w:rsidR="00F138C1" w:rsidRPr="000B0F9B" w:rsidRDefault="00F138C1" w:rsidP="00F138C1">
            <w:pPr>
              <w:keepNext/>
              <w:keepLines/>
              <w:tabs>
                <w:tab w:val="left" w:pos="-1440"/>
                <w:tab w:val="left" w:pos="-720"/>
              </w:tabs>
              <w:rPr>
                <w:sz w:val="20"/>
                <w:szCs w:val="20"/>
                <w:lang w:val="fr-CA"/>
              </w:rPr>
            </w:pPr>
          </w:p>
          <w:p w:rsidR="00F138C1" w:rsidRPr="000B0F9B" w:rsidRDefault="00F138C1" w:rsidP="00F138C1">
            <w:pPr>
              <w:keepNext/>
              <w:keepLines/>
              <w:tabs>
                <w:tab w:val="left" w:pos="-1440"/>
                <w:tab w:val="left" w:pos="-720"/>
              </w:tabs>
              <w:rPr>
                <w:sz w:val="20"/>
                <w:szCs w:val="20"/>
                <w:lang w:val="en-US"/>
              </w:rPr>
            </w:pPr>
            <w:r w:rsidRPr="000B0F9B">
              <w:rPr>
                <w:sz w:val="20"/>
                <w:szCs w:val="20"/>
                <w:lang w:val="fr-CA"/>
              </w:rPr>
              <w:tab/>
            </w:r>
            <w:r w:rsidRPr="000B0F9B">
              <w:rPr>
                <w:sz w:val="20"/>
                <w:szCs w:val="20"/>
                <w:lang w:val="en-US"/>
              </w:rPr>
              <w:t>v. (</w:t>
            </w:r>
            <w:r w:rsidR="00C316D4" w:rsidRPr="000B0F9B">
              <w:rPr>
                <w:sz w:val="20"/>
                <w:szCs w:val="20"/>
                <w:lang w:val="en-US"/>
              </w:rPr>
              <w:t>40021</w:t>
            </w:r>
            <w:r w:rsidRPr="000B0F9B">
              <w:rPr>
                <w:sz w:val="20"/>
                <w:szCs w:val="20"/>
                <w:lang w:val="en-US"/>
              </w:rPr>
              <w:t>)</w:t>
            </w:r>
          </w:p>
          <w:p w:rsidR="00F138C1" w:rsidRPr="000B0F9B" w:rsidRDefault="00F138C1" w:rsidP="00F138C1">
            <w:pPr>
              <w:keepNext/>
              <w:keepLines/>
              <w:tabs>
                <w:tab w:val="left" w:pos="-1440"/>
                <w:tab w:val="left" w:pos="-720"/>
              </w:tabs>
              <w:rPr>
                <w:sz w:val="20"/>
                <w:szCs w:val="20"/>
                <w:lang w:val="en-US"/>
              </w:rPr>
            </w:pPr>
          </w:p>
          <w:p w:rsidR="00F138C1" w:rsidRPr="000B0F9B" w:rsidRDefault="00C316D4" w:rsidP="00F138C1">
            <w:pPr>
              <w:keepNext/>
              <w:keepLines/>
              <w:tabs>
                <w:tab w:val="left" w:pos="-1440"/>
                <w:tab w:val="left" w:pos="-720"/>
              </w:tabs>
              <w:rPr>
                <w:b/>
                <w:sz w:val="20"/>
                <w:szCs w:val="20"/>
                <w:lang w:val="en-US"/>
              </w:rPr>
            </w:pPr>
            <w:r w:rsidRPr="000B0F9B">
              <w:rPr>
                <w:b/>
                <w:sz w:val="20"/>
                <w:szCs w:val="20"/>
                <w:lang w:val="en-US"/>
              </w:rPr>
              <w:t>Attorney General of Canada (Deputy Head of Fisheries and Ocean, DFO), et al.</w:t>
            </w:r>
            <w:r w:rsidR="00F138C1" w:rsidRPr="000B0F9B">
              <w:rPr>
                <w:b/>
                <w:sz w:val="20"/>
                <w:szCs w:val="20"/>
                <w:lang w:val="en-US"/>
              </w:rPr>
              <w:t xml:space="preserve"> (F.C.)</w:t>
            </w:r>
          </w:p>
          <w:p w:rsidR="00F138C1" w:rsidRPr="000B0F9B" w:rsidRDefault="00F138C1" w:rsidP="00F138C1">
            <w:pPr>
              <w:keepNext/>
              <w:keepLines/>
              <w:tabs>
                <w:tab w:val="left" w:pos="-1440"/>
                <w:tab w:val="left" w:pos="-720"/>
              </w:tabs>
              <w:rPr>
                <w:sz w:val="20"/>
                <w:szCs w:val="20"/>
                <w:lang w:val="en-US"/>
              </w:rPr>
            </w:pPr>
            <w:r w:rsidRPr="000B0F9B">
              <w:rPr>
                <w:sz w:val="20"/>
                <w:szCs w:val="20"/>
                <w:lang w:val="en-US"/>
              </w:rPr>
              <w:tab/>
            </w:r>
            <w:r w:rsidR="00C316D4" w:rsidRPr="000B0F9B">
              <w:rPr>
                <w:sz w:val="20"/>
                <w:szCs w:val="20"/>
                <w:lang w:val="en-US"/>
              </w:rPr>
              <w:t>Turcot, Patrick</w:t>
            </w:r>
          </w:p>
          <w:p w:rsidR="00F138C1" w:rsidRPr="000B0F9B" w:rsidRDefault="00F138C1" w:rsidP="00F138C1">
            <w:pPr>
              <w:keepNext/>
              <w:keepLines/>
              <w:tabs>
                <w:tab w:val="left" w:pos="-1440"/>
                <w:tab w:val="left" w:pos="-720"/>
              </w:tabs>
              <w:rPr>
                <w:sz w:val="20"/>
                <w:szCs w:val="20"/>
                <w:lang w:val="en-US"/>
              </w:rPr>
            </w:pPr>
            <w:r w:rsidRPr="000B0F9B">
              <w:rPr>
                <w:sz w:val="20"/>
                <w:szCs w:val="20"/>
                <w:lang w:val="en-US"/>
              </w:rPr>
              <w:tab/>
            </w:r>
            <w:r w:rsidR="00C316D4" w:rsidRPr="000B0F9B">
              <w:rPr>
                <w:sz w:val="20"/>
                <w:szCs w:val="20"/>
                <w:lang w:val="en-US"/>
              </w:rPr>
              <w:t>Attorney General of Canada</w:t>
            </w:r>
          </w:p>
          <w:p w:rsidR="00F138C1" w:rsidRPr="000B0F9B" w:rsidRDefault="00F138C1" w:rsidP="00F138C1">
            <w:pPr>
              <w:keepNext/>
              <w:keepLines/>
              <w:tabs>
                <w:tab w:val="left" w:pos="-1440"/>
                <w:tab w:val="left" w:pos="-720"/>
              </w:tabs>
              <w:rPr>
                <w:sz w:val="20"/>
                <w:szCs w:val="20"/>
                <w:lang w:val="en-US"/>
              </w:rPr>
            </w:pPr>
          </w:p>
          <w:p w:rsidR="00C316D4" w:rsidRPr="000B0F9B" w:rsidRDefault="00C316D4" w:rsidP="00C316D4">
            <w:pPr>
              <w:rPr>
                <w:sz w:val="20"/>
                <w:szCs w:val="20"/>
              </w:rPr>
            </w:pPr>
            <w:r w:rsidRPr="000B0F9B">
              <w:rPr>
                <w:sz w:val="20"/>
                <w:szCs w:val="20"/>
              </w:rPr>
              <w:t>FILING DATE: December 31, 2021</w:t>
            </w:r>
          </w:p>
          <w:p w:rsidR="004B2E86" w:rsidRPr="000B0F9B" w:rsidRDefault="004B2E86" w:rsidP="00F138C1">
            <w:pPr>
              <w:rPr>
                <w:sz w:val="20"/>
                <w:szCs w:val="20"/>
                <w:lang w:val="en-US"/>
              </w:rPr>
            </w:pPr>
          </w:p>
          <w:p w:rsidR="00F138C1" w:rsidRPr="000B0F9B" w:rsidRDefault="000B0F9B" w:rsidP="00F138C1">
            <w:pPr>
              <w:rPr>
                <w:sz w:val="20"/>
                <w:szCs w:val="20"/>
                <w:lang w:val="en-US"/>
              </w:rPr>
            </w:pPr>
            <w:r w:rsidRPr="000B0F9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F138C1" w:rsidRPr="000B0F9B" w:rsidRDefault="00F138C1" w:rsidP="00F138C1">
            <w:pPr>
              <w:jc w:val="center"/>
              <w:rPr>
                <w:sz w:val="20"/>
                <w:szCs w:val="20"/>
                <w:lang w:val="en-US"/>
              </w:rPr>
            </w:pPr>
          </w:p>
          <w:p w:rsidR="004B2E86" w:rsidRPr="000B0F9B" w:rsidRDefault="004B2E86" w:rsidP="00F138C1">
            <w:pPr>
              <w:jc w:val="center"/>
              <w:rPr>
                <w:sz w:val="20"/>
                <w:szCs w:val="20"/>
                <w:lang w:val="en-US"/>
              </w:rPr>
            </w:pPr>
          </w:p>
        </w:tc>
        <w:tc>
          <w:tcPr>
            <w:tcW w:w="4239" w:type="dxa"/>
            <w:shd w:val="clear" w:color="auto" w:fill="auto"/>
          </w:tcPr>
          <w:p w:rsidR="00714701" w:rsidRPr="000B0F9B" w:rsidRDefault="00714701" w:rsidP="00714701">
            <w:pPr>
              <w:rPr>
                <w:b/>
                <w:sz w:val="20"/>
                <w:szCs w:val="20"/>
                <w:lang w:val="en-US"/>
              </w:rPr>
            </w:pPr>
            <w:r w:rsidRPr="000B0F9B">
              <w:rPr>
                <w:b/>
                <w:sz w:val="20"/>
                <w:szCs w:val="20"/>
                <w:lang w:val="en-US"/>
              </w:rPr>
              <w:t>Anderson T. Walcott</w:t>
            </w:r>
          </w:p>
          <w:p w:rsidR="00714701" w:rsidRPr="000B0F9B" w:rsidRDefault="00714701" w:rsidP="00714701">
            <w:pPr>
              <w:tabs>
                <w:tab w:val="left" w:pos="-1440"/>
                <w:tab w:val="left" w:pos="-720"/>
              </w:tabs>
              <w:rPr>
                <w:sz w:val="20"/>
                <w:szCs w:val="20"/>
                <w:lang w:val="en-US"/>
              </w:rPr>
            </w:pPr>
            <w:r w:rsidRPr="000B0F9B">
              <w:rPr>
                <w:sz w:val="20"/>
                <w:szCs w:val="20"/>
                <w:lang w:val="en-US"/>
              </w:rPr>
              <w:tab/>
              <w:t>Anderson T. Walcott</w:t>
            </w:r>
          </w:p>
          <w:p w:rsidR="00714701" w:rsidRPr="000B0F9B" w:rsidRDefault="00714701" w:rsidP="00714701">
            <w:pPr>
              <w:tabs>
                <w:tab w:val="left" w:pos="-1440"/>
                <w:tab w:val="left" w:pos="-720"/>
              </w:tabs>
              <w:rPr>
                <w:sz w:val="20"/>
                <w:szCs w:val="20"/>
                <w:lang w:val="en-US"/>
              </w:rPr>
            </w:pPr>
          </w:p>
          <w:p w:rsidR="00714701" w:rsidRPr="000B0F9B" w:rsidRDefault="00714701" w:rsidP="00714701">
            <w:pPr>
              <w:tabs>
                <w:tab w:val="left" w:pos="-1440"/>
                <w:tab w:val="left" w:pos="-720"/>
              </w:tabs>
              <w:rPr>
                <w:sz w:val="20"/>
                <w:szCs w:val="20"/>
                <w:lang w:val="en-US"/>
              </w:rPr>
            </w:pPr>
            <w:r w:rsidRPr="000B0F9B">
              <w:rPr>
                <w:sz w:val="20"/>
                <w:szCs w:val="20"/>
                <w:lang w:val="en-US"/>
              </w:rPr>
              <w:tab/>
              <w:t>v. (39992)</w:t>
            </w:r>
          </w:p>
          <w:p w:rsidR="00714701" w:rsidRPr="000B0F9B" w:rsidRDefault="00714701" w:rsidP="00714701">
            <w:pPr>
              <w:tabs>
                <w:tab w:val="left" w:pos="-1440"/>
                <w:tab w:val="left" w:pos="-720"/>
              </w:tabs>
              <w:rPr>
                <w:sz w:val="20"/>
                <w:szCs w:val="20"/>
                <w:lang w:val="en-US"/>
              </w:rPr>
            </w:pPr>
          </w:p>
          <w:p w:rsidR="00714701" w:rsidRPr="000B0F9B" w:rsidRDefault="00714701" w:rsidP="00714701">
            <w:pPr>
              <w:tabs>
                <w:tab w:val="left" w:pos="-1440"/>
                <w:tab w:val="left" w:pos="-720"/>
              </w:tabs>
              <w:rPr>
                <w:b/>
                <w:sz w:val="20"/>
                <w:szCs w:val="20"/>
                <w:lang w:val="en-US"/>
              </w:rPr>
            </w:pPr>
            <w:r w:rsidRPr="000B0F9B">
              <w:rPr>
                <w:b/>
                <w:sz w:val="20"/>
                <w:szCs w:val="20"/>
                <w:lang w:val="en-US"/>
              </w:rPr>
              <w:t>Toronto Transit Commission</w:t>
            </w:r>
            <w:r w:rsidRPr="000B0F9B">
              <w:rPr>
                <w:sz w:val="20"/>
                <w:szCs w:val="20"/>
                <w:lang w:val="en-US"/>
              </w:rPr>
              <w:t xml:space="preserve"> </w:t>
            </w:r>
            <w:r w:rsidRPr="000B0F9B">
              <w:rPr>
                <w:b/>
                <w:sz w:val="20"/>
                <w:szCs w:val="20"/>
                <w:lang w:val="en-US"/>
              </w:rPr>
              <w:t>(Ont.)</w:t>
            </w:r>
          </w:p>
          <w:p w:rsidR="00714701" w:rsidRPr="000B0F9B" w:rsidRDefault="00714701" w:rsidP="00714701">
            <w:pPr>
              <w:tabs>
                <w:tab w:val="left" w:pos="-1440"/>
                <w:tab w:val="left" w:pos="-720"/>
              </w:tabs>
              <w:rPr>
                <w:sz w:val="20"/>
                <w:szCs w:val="20"/>
                <w:lang w:val="en-US"/>
              </w:rPr>
            </w:pPr>
            <w:r w:rsidRPr="000B0F9B">
              <w:rPr>
                <w:sz w:val="20"/>
                <w:szCs w:val="20"/>
                <w:lang w:val="en-US"/>
              </w:rPr>
              <w:tab/>
              <w:t>Lim, Justin</w:t>
            </w:r>
          </w:p>
          <w:p w:rsidR="00714701" w:rsidRPr="000B0F9B" w:rsidRDefault="00714701" w:rsidP="00714701">
            <w:pPr>
              <w:tabs>
                <w:tab w:val="left" w:pos="-1440"/>
                <w:tab w:val="left" w:pos="-720"/>
              </w:tabs>
              <w:rPr>
                <w:sz w:val="20"/>
                <w:szCs w:val="20"/>
                <w:lang w:val="en-US"/>
              </w:rPr>
            </w:pPr>
            <w:r w:rsidRPr="000B0F9B">
              <w:rPr>
                <w:sz w:val="20"/>
                <w:szCs w:val="20"/>
                <w:lang w:val="en-US"/>
              </w:rPr>
              <w:tab/>
              <w:t>Toronto Transit Commission</w:t>
            </w:r>
          </w:p>
          <w:p w:rsidR="00714701" w:rsidRPr="000B0F9B" w:rsidRDefault="00714701" w:rsidP="00714701">
            <w:pPr>
              <w:tabs>
                <w:tab w:val="left" w:pos="-1440"/>
                <w:tab w:val="left" w:pos="-720"/>
              </w:tabs>
              <w:rPr>
                <w:sz w:val="20"/>
                <w:szCs w:val="20"/>
                <w:lang w:val="en-US"/>
              </w:rPr>
            </w:pPr>
          </w:p>
          <w:p w:rsidR="00714701" w:rsidRPr="000B0F9B" w:rsidRDefault="00714701" w:rsidP="00714701">
            <w:pPr>
              <w:rPr>
                <w:sz w:val="20"/>
                <w:szCs w:val="20"/>
              </w:rPr>
            </w:pPr>
            <w:r w:rsidRPr="000B0F9B">
              <w:rPr>
                <w:sz w:val="20"/>
                <w:szCs w:val="20"/>
              </w:rPr>
              <w:t>FILING DATE: December 29, 2021</w:t>
            </w:r>
          </w:p>
          <w:p w:rsidR="00714701" w:rsidRPr="000B0F9B" w:rsidRDefault="00714701" w:rsidP="00714701">
            <w:pPr>
              <w:rPr>
                <w:sz w:val="20"/>
                <w:szCs w:val="20"/>
                <w:lang w:val="en-US"/>
              </w:rPr>
            </w:pPr>
          </w:p>
          <w:p w:rsidR="00F138C1" w:rsidRPr="000B0F9B" w:rsidRDefault="000B0F9B" w:rsidP="00714701">
            <w:pPr>
              <w:rPr>
                <w:sz w:val="20"/>
                <w:szCs w:val="20"/>
                <w:lang w:val="en-US"/>
              </w:rPr>
            </w:pPr>
            <w:r w:rsidRPr="000B0F9B">
              <w:rPr>
                <w:sz w:val="20"/>
                <w:szCs w:val="20"/>
                <w:lang w:val="fr-CA"/>
              </w:rPr>
              <w:pict>
                <v:rect id="_x0000_i1028" style="width:108pt;height:1pt" o:hrpct="0" o:hrstd="t" o:hrnoshade="t" o:hr="t" fillcolor="black [3213]" stroked="f"/>
              </w:pict>
            </w:r>
          </w:p>
        </w:tc>
      </w:tr>
      <w:tr w:rsidR="00714701" w:rsidRPr="000B0F9B" w:rsidTr="00F138C1">
        <w:tc>
          <w:tcPr>
            <w:tcW w:w="4239" w:type="dxa"/>
            <w:shd w:val="clear" w:color="auto" w:fill="auto"/>
          </w:tcPr>
          <w:p w:rsidR="00714701" w:rsidRPr="000B0F9B" w:rsidRDefault="00714701" w:rsidP="00714701">
            <w:pPr>
              <w:rPr>
                <w:rFonts w:cs="Times New Roman"/>
                <w:b/>
                <w:sz w:val="20"/>
                <w:szCs w:val="20"/>
                <w:lang w:val="fr-CA"/>
              </w:rPr>
            </w:pPr>
            <w:r w:rsidRPr="000B0F9B">
              <w:rPr>
                <w:rFonts w:cs="Times New Roman"/>
                <w:b/>
                <w:sz w:val="20"/>
                <w:szCs w:val="20"/>
                <w:lang w:val="fr-CA"/>
              </w:rPr>
              <w:t>Michael Michelucci</w:t>
            </w:r>
          </w:p>
          <w:p w:rsidR="00714701" w:rsidRPr="000B0F9B" w:rsidRDefault="00714701" w:rsidP="00714701">
            <w:pPr>
              <w:tabs>
                <w:tab w:val="left" w:pos="-1440"/>
                <w:tab w:val="left" w:pos="-720"/>
              </w:tabs>
              <w:rPr>
                <w:rFonts w:cs="Times New Roman"/>
                <w:b/>
                <w:sz w:val="20"/>
                <w:szCs w:val="20"/>
                <w:lang w:val="fr-CA"/>
              </w:rPr>
            </w:pPr>
            <w:r w:rsidRPr="000B0F9B">
              <w:rPr>
                <w:rFonts w:cs="Times New Roman"/>
                <w:sz w:val="20"/>
                <w:szCs w:val="20"/>
                <w:lang w:val="fr-CA"/>
              </w:rPr>
              <w:tab/>
            </w:r>
            <w:r w:rsidRPr="000B0F9B">
              <w:rPr>
                <w:rStyle w:val="Strong"/>
                <w:rFonts w:cs="Times New Roman"/>
                <w:b w:val="0"/>
                <w:color w:val="333333"/>
                <w:sz w:val="20"/>
                <w:szCs w:val="20"/>
                <w:shd w:val="clear" w:color="auto" w:fill="FFFFFF"/>
                <w:lang w:val="fr-CA"/>
              </w:rPr>
              <w:t>Michael Michelucci</w:t>
            </w:r>
          </w:p>
          <w:p w:rsidR="00714701" w:rsidRPr="000B0F9B" w:rsidRDefault="00714701" w:rsidP="00714701">
            <w:pPr>
              <w:tabs>
                <w:tab w:val="left" w:pos="-1440"/>
                <w:tab w:val="left" w:pos="-720"/>
              </w:tabs>
              <w:rPr>
                <w:sz w:val="20"/>
                <w:szCs w:val="20"/>
                <w:lang w:val="fr-CA"/>
              </w:rPr>
            </w:pPr>
          </w:p>
          <w:p w:rsidR="00714701" w:rsidRPr="000B0F9B" w:rsidRDefault="00714701" w:rsidP="00714701">
            <w:pPr>
              <w:tabs>
                <w:tab w:val="left" w:pos="-1440"/>
                <w:tab w:val="left" w:pos="-720"/>
              </w:tabs>
              <w:rPr>
                <w:sz w:val="20"/>
                <w:szCs w:val="20"/>
                <w:lang w:val="fr-CA"/>
              </w:rPr>
            </w:pPr>
            <w:r w:rsidRPr="000B0F9B">
              <w:rPr>
                <w:sz w:val="20"/>
                <w:szCs w:val="20"/>
                <w:lang w:val="fr-CA"/>
              </w:rPr>
              <w:tab/>
              <w:t>v. (40011)</w:t>
            </w:r>
          </w:p>
          <w:p w:rsidR="00714701" w:rsidRPr="000B0F9B" w:rsidRDefault="00714701" w:rsidP="00714701">
            <w:pPr>
              <w:tabs>
                <w:tab w:val="left" w:pos="-1440"/>
                <w:tab w:val="left" w:pos="-720"/>
              </w:tabs>
              <w:rPr>
                <w:sz w:val="20"/>
                <w:szCs w:val="20"/>
                <w:lang w:val="fr-CA"/>
              </w:rPr>
            </w:pPr>
          </w:p>
          <w:p w:rsidR="00714701" w:rsidRPr="000B0F9B" w:rsidRDefault="00714701" w:rsidP="00714701">
            <w:pPr>
              <w:tabs>
                <w:tab w:val="left" w:pos="-1440"/>
                <w:tab w:val="left" w:pos="-720"/>
              </w:tabs>
              <w:rPr>
                <w:b/>
                <w:sz w:val="20"/>
                <w:szCs w:val="20"/>
                <w:lang w:val="fr-CA"/>
              </w:rPr>
            </w:pPr>
            <w:r w:rsidRPr="000B0F9B">
              <w:rPr>
                <w:b/>
                <w:sz w:val="20"/>
                <w:szCs w:val="20"/>
                <w:lang w:val="fr-CA"/>
              </w:rPr>
              <w:t>Officer Scott Sveinbjornson, et al.</w:t>
            </w:r>
            <w:r w:rsidRPr="000B0F9B">
              <w:rPr>
                <w:sz w:val="20"/>
                <w:szCs w:val="20"/>
                <w:lang w:val="fr-CA"/>
              </w:rPr>
              <w:t xml:space="preserve"> </w:t>
            </w:r>
            <w:r w:rsidRPr="000B0F9B">
              <w:rPr>
                <w:b/>
                <w:sz w:val="20"/>
                <w:szCs w:val="20"/>
                <w:lang w:val="fr-CA"/>
              </w:rPr>
              <w:t>(Alta.)</w:t>
            </w:r>
          </w:p>
          <w:p w:rsidR="00714701" w:rsidRPr="000B0F9B" w:rsidRDefault="00714701" w:rsidP="00714701">
            <w:pPr>
              <w:tabs>
                <w:tab w:val="left" w:pos="-1440"/>
                <w:tab w:val="left" w:pos="-720"/>
              </w:tabs>
              <w:rPr>
                <w:sz w:val="20"/>
                <w:szCs w:val="20"/>
                <w:lang w:val="fr-CA"/>
              </w:rPr>
            </w:pPr>
            <w:r w:rsidRPr="000B0F9B">
              <w:rPr>
                <w:sz w:val="20"/>
                <w:szCs w:val="20"/>
                <w:lang w:val="fr-CA"/>
              </w:rPr>
              <w:tab/>
              <w:t>Grose, Michelle E.</w:t>
            </w:r>
          </w:p>
          <w:p w:rsidR="00714701" w:rsidRPr="000B0F9B" w:rsidRDefault="00714701" w:rsidP="00714701">
            <w:pPr>
              <w:tabs>
                <w:tab w:val="left" w:pos="-1440"/>
                <w:tab w:val="left" w:pos="-720"/>
              </w:tabs>
              <w:rPr>
                <w:sz w:val="20"/>
                <w:szCs w:val="20"/>
                <w:lang w:val="en-US"/>
              </w:rPr>
            </w:pPr>
            <w:r w:rsidRPr="000B0F9B">
              <w:rPr>
                <w:sz w:val="20"/>
                <w:szCs w:val="20"/>
                <w:lang w:val="fr-CA"/>
              </w:rPr>
              <w:tab/>
            </w:r>
            <w:r w:rsidRPr="000B0F9B">
              <w:rPr>
                <w:sz w:val="20"/>
                <w:szCs w:val="20"/>
                <w:lang w:val="en-US"/>
              </w:rPr>
              <w:t>Dean Duckett Carlson LLP</w:t>
            </w:r>
          </w:p>
          <w:p w:rsidR="00714701" w:rsidRPr="000B0F9B" w:rsidRDefault="00714701" w:rsidP="00714701">
            <w:pPr>
              <w:tabs>
                <w:tab w:val="left" w:pos="-1440"/>
                <w:tab w:val="left" w:pos="-720"/>
              </w:tabs>
              <w:rPr>
                <w:sz w:val="20"/>
                <w:szCs w:val="20"/>
                <w:lang w:val="en-US"/>
              </w:rPr>
            </w:pPr>
          </w:p>
          <w:p w:rsidR="00714701" w:rsidRPr="000B0F9B" w:rsidRDefault="00714701" w:rsidP="00714701">
            <w:pPr>
              <w:rPr>
                <w:sz w:val="20"/>
                <w:szCs w:val="20"/>
              </w:rPr>
            </w:pPr>
            <w:r w:rsidRPr="000B0F9B">
              <w:rPr>
                <w:sz w:val="20"/>
                <w:szCs w:val="20"/>
              </w:rPr>
              <w:t>FILING DATE: December 30, 2021</w:t>
            </w:r>
          </w:p>
          <w:p w:rsidR="00714701" w:rsidRPr="000B0F9B" w:rsidRDefault="00714701" w:rsidP="00714701">
            <w:pPr>
              <w:rPr>
                <w:sz w:val="20"/>
                <w:szCs w:val="20"/>
                <w:lang w:val="en-US"/>
              </w:rPr>
            </w:pPr>
          </w:p>
          <w:p w:rsidR="00714701" w:rsidRPr="000B0F9B" w:rsidRDefault="000B0F9B" w:rsidP="00714701">
            <w:pPr>
              <w:tabs>
                <w:tab w:val="left" w:pos="-1440"/>
                <w:tab w:val="left" w:pos="-720"/>
              </w:tabs>
              <w:rPr>
                <w:b/>
                <w:sz w:val="20"/>
                <w:szCs w:val="20"/>
                <w:lang w:val="fr-CA"/>
              </w:rPr>
            </w:pPr>
            <w:r w:rsidRPr="000B0F9B">
              <w:rPr>
                <w:sz w:val="20"/>
                <w:szCs w:val="20"/>
                <w:lang w:val="fr-CA"/>
              </w:rPr>
              <w:pict>
                <v:rect id="_x0000_i1029" style="width:108pt;height:1pt" o:hrpct="0" o:hrstd="t" o:hrnoshade="t" o:hr="t" fillcolor="black [3213]" stroked="f"/>
              </w:pict>
            </w:r>
          </w:p>
        </w:tc>
        <w:tc>
          <w:tcPr>
            <w:tcW w:w="1141" w:type="dxa"/>
            <w:shd w:val="clear" w:color="auto" w:fill="auto"/>
          </w:tcPr>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p w:rsidR="00714701" w:rsidRPr="000B0F9B" w:rsidRDefault="00714701" w:rsidP="00F138C1">
            <w:pPr>
              <w:jc w:val="center"/>
              <w:rPr>
                <w:sz w:val="20"/>
                <w:szCs w:val="20"/>
                <w:lang w:val="en-US"/>
              </w:rPr>
            </w:pPr>
          </w:p>
        </w:tc>
        <w:tc>
          <w:tcPr>
            <w:tcW w:w="4239" w:type="dxa"/>
            <w:shd w:val="clear" w:color="auto" w:fill="auto"/>
          </w:tcPr>
          <w:p w:rsidR="00714701" w:rsidRPr="000B0F9B" w:rsidRDefault="00714701" w:rsidP="00714701">
            <w:pPr>
              <w:rPr>
                <w:b/>
                <w:sz w:val="20"/>
                <w:szCs w:val="20"/>
                <w:lang w:val="en-US"/>
              </w:rPr>
            </w:pPr>
          </w:p>
        </w:tc>
      </w:tr>
    </w:tbl>
    <w:p w:rsidR="00F138C1" w:rsidRPr="000B0F9B" w:rsidRDefault="00F138C1" w:rsidP="00F138C1">
      <w:pPr>
        <w:tabs>
          <w:tab w:val="right" w:pos="9360"/>
        </w:tabs>
        <w:rPr>
          <w:sz w:val="20"/>
          <w:szCs w:val="20"/>
          <w:lang w:val="fr-CA"/>
        </w:rPr>
      </w:pPr>
    </w:p>
    <w:p w:rsidR="00F138C1" w:rsidRPr="000B0F9B" w:rsidRDefault="00F138C1" w:rsidP="00F138C1">
      <w:pPr>
        <w:tabs>
          <w:tab w:val="right" w:pos="9360"/>
        </w:tabs>
        <w:rPr>
          <w:sz w:val="20"/>
          <w:szCs w:val="20"/>
          <w:lang w:val="fr-CA"/>
        </w:rPr>
      </w:pPr>
    </w:p>
    <w:p w:rsidR="00C01FCB" w:rsidRPr="000B0F9B" w:rsidRDefault="00C01FCB" w:rsidP="0095096B">
      <w:pPr>
        <w:tabs>
          <w:tab w:val="right" w:pos="9360"/>
        </w:tabs>
        <w:rPr>
          <w:sz w:val="20"/>
          <w:szCs w:val="20"/>
          <w:lang w:val="fr-CA"/>
        </w:rPr>
      </w:pPr>
    </w:p>
    <w:p w:rsidR="00242AEE" w:rsidRPr="000B0F9B" w:rsidRDefault="00242AEE" w:rsidP="0095096B">
      <w:pPr>
        <w:tabs>
          <w:tab w:val="right" w:pos="9360"/>
        </w:tabs>
        <w:rPr>
          <w:sz w:val="20"/>
          <w:szCs w:val="20"/>
          <w:lang w:val="fr-CA"/>
        </w:rPr>
        <w:sectPr w:rsidR="00242AEE" w:rsidRPr="000B0F9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B0F9B" w:rsidRDefault="00DD0BDC" w:rsidP="00567602">
      <w:pPr>
        <w:pStyle w:val="Header1StyleE"/>
        <w:pBdr>
          <w:bottom w:val="single" w:sz="12" w:space="1" w:color="auto"/>
        </w:pBdr>
        <w:rPr>
          <w:lang w:val="fr-CA"/>
        </w:rPr>
      </w:pPr>
      <w:bookmarkStart w:id="1" w:name="QuickMark_1"/>
      <w:bookmarkStart w:id="2" w:name="_Toc99695284"/>
      <w:bookmarkEnd w:id="1"/>
      <w:r w:rsidRPr="000B0F9B">
        <w:rPr>
          <w:lang w:val="fr-CA"/>
        </w:rPr>
        <w:lastRenderedPageBreak/>
        <w:t>Judgments on applications</w:t>
      </w:r>
      <w:r w:rsidR="000C1D9D" w:rsidRPr="000B0F9B">
        <w:rPr>
          <w:lang w:val="fr-CA"/>
        </w:rPr>
        <w:t xml:space="preserve"> </w:t>
      </w:r>
      <w:r w:rsidRPr="000B0F9B">
        <w:rPr>
          <w:lang w:val="fr-CA"/>
        </w:rPr>
        <w:t>for leave</w:t>
      </w:r>
      <w:r w:rsidR="00693C38" w:rsidRPr="000B0F9B">
        <w:rPr>
          <w:noProof/>
          <w:sz w:val="20"/>
          <w:lang w:val="fr-CA"/>
        </w:rPr>
        <w:t xml:space="preserve"> </w:t>
      </w:r>
      <w:r w:rsidR="00271E1E" w:rsidRPr="000B0F9B">
        <w:rPr>
          <w:noProof/>
          <w:sz w:val="20"/>
          <w:lang w:val="fr-CA"/>
        </w:rPr>
        <w:t xml:space="preserve">/ </w:t>
      </w:r>
      <w:r w:rsidR="00693C38" w:rsidRPr="000B0F9B">
        <w:rPr>
          <w:noProof/>
          <w:sz w:val="20"/>
          <w:lang w:val="fr-CA"/>
        </w:rPr>
        <w:br/>
      </w:r>
      <w:r w:rsidRPr="000B0F9B">
        <w:rPr>
          <w:lang w:val="fr-CA"/>
        </w:rPr>
        <w:t>Jugements rendus sur les demandes d’autorisation</w:t>
      </w:r>
      <w:bookmarkEnd w:id="2"/>
    </w:p>
    <w:p w:rsidR="00FB1DB6" w:rsidRPr="000B0F9B" w:rsidRDefault="00FB1DB6" w:rsidP="00693C38">
      <w:pPr>
        <w:rPr>
          <w:sz w:val="20"/>
          <w:szCs w:val="20"/>
          <w:lang w:val="fr-CA"/>
        </w:rPr>
      </w:pPr>
    </w:p>
    <w:p w:rsidR="00F16063" w:rsidRPr="000B0F9B" w:rsidRDefault="00406760" w:rsidP="00F16063">
      <w:pPr>
        <w:rPr>
          <w:b/>
          <w:sz w:val="20"/>
          <w:szCs w:val="20"/>
        </w:rPr>
      </w:pPr>
      <w:r w:rsidRPr="000B0F9B">
        <w:rPr>
          <w:b/>
          <w:sz w:val="20"/>
          <w:szCs w:val="20"/>
          <w:lang w:val="fr-CA"/>
        </w:rPr>
        <w:t>MARCH</w:t>
      </w:r>
      <w:r w:rsidR="00F16063" w:rsidRPr="000B0F9B">
        <w:rPr>
          <w:b/>
          <w:sz w:val="20"/>
          <w:szCs w:val="20"/>
        </w:rPr>
        <w:t xml:space="preserve"> </w:t>
      </w:r>
      <w:r w:rsidRPr="000B0F9B">
        <w:rPr>
          <w:b/>
          <w:sz w:val="20"/>
          <w:szCs w:val="20"/>
        </w:rPr>
        <w:t>3</w:t>
      </w:r>
      <w:r w:rsidR="00691D1D" w:rsidRPr="000B0F9B">
        <w:rPr>
          <w:b/>
          <w:sz w:val="20"/>
          <w:szCs w:val="20"/>
        </w:rPr>
        <w:t>1</w:t>
      </w:r>
      <w:r w:rsidR="00F16063" w:rsidRPr="000B0F9B">
        <w:rPr>
          <w:b/>
          <w:sz w:val="20"/>
          <w:szCs w:val="20"/>
        </w:rPr>
        <w:t xml:space="preserve">, </w:t>
      </w:r>
      <w:r w:rsidR="0034657E" w:rsidRPr="000B0F9B">
        <w:rPr>
          <w:b/>
          <w:sz w:val="20"/>
          <w:szCs w:val="20"/>
        </w:rPr>
        <w:t>20</w:t>
      </w:r>
      <w:r w:rsidR="005967EF" w:rsidRPr="000B0F9B">
        <w:rPr>
          <w:b/>
          <w:sz w:val="20"/>
          <w:szCs w:val="20"/>
        </w:rPr>
        <w:t>2</w:t>
      </w:r>
      <w:r w:rsidR="00E8642A" w:rsidRPr="000B0F9B">
        <w:rPr>
          <w:b/>
          <w:sz w:val="20"/>
          <w:szCs w:val="20"/>
        </w:rPr>
        <w:t>2</w:t>
      </w:r>
      <w:r w:rsidR="00F16063" w:rsidRPr="000B0F9B">
        <w:rPr>
          <w:b/>
          <w:sz w:val="20"/>
          <w:szCs w:val="20"/>
        </w:rPr>
        <w:t xml:space="preserve"> / LE </w:t>
      </w:r>
      <w:r w:rsidRPr="000B0F9B">
        <w:rPr>
          <w:b/>
          <w:sz w:val="20"/>
          <w:szCs w:val="20"/>
        </w:rPr>
        <w:t>3</w:t>
      </w:r>
      <w:r w:rsidR="00691D1D" w:rsidRPr="000B0F9B">
        <w:rPr>
          <w:b/>
          <w:sz w:val="20"/>
          <w:szCs w:val="20"/>
        </w:rPr>
        <w:t>1</w:t>
      </w:r>
      <w:r w:rsidR="00F16063" w:rsidRPr="000B0F9B">
        <w:rPr>
          <w:b/>
          <w:sz w:val="20"/>
          <w:szCs w:val="20"/>
        </w:rPr>
        <w:t xml:space="preserve"> </w:t>
      </w:r>
      <w:r w:rsidRPr="000B0F9B">
        <w:rPr>
          <w:b/>
          <w:sz w:val="20"/>
          <w:szCs w:val="20"/>
        </w:rPr>
        <w:t>MARS</w:t>
      </w:r>
      <w:r w:rsidR="00F16063" w:rsidRPr="000B0F9B">
        <w:rPr>
          <w:b/>
          <w:sz w:val="20"/>
          <w:szCs w:val="20"/>
        </w:rPr>
        <w:t xml:space="preserve"> </w:t>
      </w:r>
      <w:r w:rsidR="0034657E" w:rsidRPr="000B0F9B">
        <w:rPr>
          <w:b/>
          <w:sz w:val="20"/>
          <w:szCs w:val="20"/>
        </w:rPr>
        <w:t>20</w:t>
      </w:r>
      <w:r w:rsidR="005967EF" w:rsidRPr="000B0F9B">
        <w:rPr>
          <w:b/>
          <w:sz w:val="20"/>
          <w:szCs w:val="20"/>
        </w:rPr>
        <w:t>2</w:t>
      </w:r>
      <w:r w:rsidR="00E8642A" w:rsidRPr="000B0F9B">
        <w:rPr>
          <w:b/>
          <w:sz w:val="20"/>
          <w:szCs w:val="20"/>
        </w:rPr>
        <w:t>2</w:t>
      </w:r>
    </w:p>
    <w:p w:rsidR="00A33CBF" w:rsidRPr="000B0F9B" w:rsidRDefault="00A33CBF" w:rsidP="00A33CB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39880</w:t>
            </w:r>
          </w:p>
        </w:tc>
        <w:tc>
          <w:tcPr>
            <w:tcW w:w="4457" w:type="pct"/>
            <w:gridSpan w:val="3"/>
          </w:tcPr>
          <w:p w:rsidR="00A33CBF" w:rsidRPr="000B0F9B" w:rsidRDefault="00A33CBF" w:rsidP="00CF3C16">
            <w:pPr>
              <w:pStyle w:val="SCCLsocParty"/>
              <w:jc w:val="both"/>
              <w:rPr>
                <w:b/>
                <w:sz w:val="20"/>
                <w:szCs w:val="20"/>
                <w:lang w:val="en-CA"/>
              </w:rPr>
            </w:pPr>
            <w:r w:rsidRPr="000B0F9B">
              <w:rPr>
                <w:b/>
                <w:sz w:val="20"/>
                <w:szCs w:val="20"/>
                <w:lang w:val="en-CA"/>
              </w:rPr>
              <w:t>Raymond Ouellet v. Minister of Employment and Social Solidarity and Attorney General of Qu</w:t>
            </w:r>
            <w:r w:rsidR="00CF3C16" w:rsidRPr="000B0F9B">
              <w:rPr>
                <w:b/>
                <w:sz w:val="20"/>
                <w:szCs w:val="20"/>
                <w:lang w:val="en-CA"/>
              </w:rPr>
              <w:t>é</w:t>
            </w:r>
            <w:r w:rsidRPr="000B0F9B">
              <w:rPr>
                <w:b/>
                <w:sz w:val="20"/>
                <w:szCs w:val="20"/>
                <w:lang w:val="en-CA"/>
              </w:rPr>
              <w:t>bec</w:t>
            </w:r>
          </w:p>
          <w:p w:rsidR="00A33CBF" w:rsidRPr="000B0F9B" w:rsidRDefault="00A33CBF" w:rsidP="00CF3C16">
            <w:pPr>
              <w:pStyle w:val="SCCLsocOtherPartySeparator"/>
              <w:rPr>
                <w:sz w:val="20"/>
                <w:szCs w:val="20"/>
                <w:lang w:val="en-CA"/>
              </w:rPr>
            </w:pPr>
            <w:r w:rsidRPr="000B0F9B">
              <w:rPr>
                <w:sz w:val="20"/>
                <w:szCs w:val="20"/>
                <w:lang w:val="en-CA"/>
              </w:rPr>
              <w:t>- and -</w:t>
            </w:r>
          </w:p>
          <w:p w:rsidR="00A33CBF" w:rsidRPr="000B0F9B" w:rsidRDefault="00A33CBF" w:rsidP="00CF3C16">
            <w:pPr>
              <w:pStyle w:val="SCCLsocParty"/>
              <w:jc w:val="both"/>
              <w:rPr>
                <w:b/>
                <w:sz w:val="20"/>
                <w:szCs w:val="20"/>
                <w:lang w:val="en-CA"/>
              </w:rPr>
            </w:pPr>
            <w:r w:rsidRPr="000B0F9B">
              <w:rPr>
                <w:b/>
                <w:sz w:val="20"/>
                <w:szCs w:val="20"/>
                <w:lang w:val="en-CA"/>
              </w:rPr>
              <w:t>Administrative Tribunal of Québec (Social Affairs Division)</w:t>
            </w:r>
          </w:p>
          <w:p w:rsidR="00A33CBF" w:rsidRPr="000B0F9B" w:rsidRDefault="00A33CBF" w:rsidP="00CF3C16">
            <w:pPr>
              <w:jc w:val="both"/>
              <w:rPr>
                <w:sz w:val="20"/>
              </w:rPr>
            </w:pPr>
            <w:r w:rsidRPr="000B0F9B">
              <w:rPr>
                <w:sz w:val="20"/>
              </w:rPr>
              <w:t>(Que.) (Civil) (By Leave)</w:t>
            </w:r>
          </w:p>
        </w:tc>
      </w:tr>
      <w:tr w:rsidR="00A33CBF" w:rsidRPr="000B0F9B" w:rsidTr="00CF3C16">
        <w:tc>
          <w:tcPr>
            <w:tcW w:w="5000" w:type="pct"/>
            <w:gridSpan w:val="4"/>
          </w:tcPr>
          <w:p w:rsidR="00A33CBF" w:rsidRPr="000B0F9B" w:rsidRDefault="00CF3C16" w:rsidP="00CF3C16">
            <w:pPr>
              <w:jc w:val="both"/>
              <w:rPr>
                <w:sz w:val="20"/>
                <w:szCs w:val="20"/>
              </w:rPr>
            </w:pPr>
            <w:r w:rsidRPr="000B0F9B">
              <w:rPr>
                <w:sz w:val="20"/>
                <w:szCs w:val="20"/>
              </w:rPr>
              <w:t>The application for leave to appeal from the judgment of the</w:t>
            </w:r>
            <w:bookmarkStart w:id="3" w:name="BM_1_"/>
            <w:bookmarkEnd w:id="3"/>
            <w:r w:rsidRPr="000B0F9B">
              <w:rPr>
                <w:sz w:val="20"/>
                <w:szCs w:val="20"/>
              </w:rPr>
              <w:t xml:space="preserve"> </w:t>
            </w:r>
            <w:r w:rsidRPr="000B0F9B">
              <w:rPr>
                <w:sz w:val="20"/>
                <w:szCs w:val="20"/>
                <w:lang w:val="en-US"/>
              </w:rPr>
              <w:t>Court of Appeal of Quebec (Montréal)</w:t>
            </w:r>
            <w:r w:rsidRPr="000B0F9B">
              <w:rPr>
                <w:sz w:val="20"/>
                <w:szCs w:val="20"/>
              </w:rPr>
              <w:t xml:space="preserve">, Number </w:t>
            </w:r>
            <w:r w:rsidRPr="000B0F9B">
              <w:rPr>
                <w:sz w:val="20"/>
                <w:szCs w:val="20"/>
                <w:lang w:val="en-US"/>
              </w:rPr>
              <w:t>500-09-029206-208</w:t>
            </w:r>
            <w:r w:rsidRPr="000B0F9B">
              <w:rPr>
                <w:sz w:val="20"/>
                <w:szCs w:val="20"/>
              </w:rPr>
              <w:t xml:space="preserve">, </w:t>
            </w:r>
            <w:r w:rsidRPr="000B0F9B">
              <w:rPr>
                <w:sz w:val="20"/>
                <w:szCs w:val="20"/>
                <w:lang w:val="en-US"/>
              </w:rPr>
              <w:t xml:space="preserve">2021 QCCA 1185, </w:t>
            </w:r>
            <w:r w:rsidRPr="000B0F9B">
              <w:rPr>
                <w:sz w:val="20"/>
                <w:szCs w:val="20"/>
              </w:rPr>
              <w:t xml:space="preserve">dated </w:t>
            </w:r>
            <w:r w:rsidRPr="000B0F9B">
              <w:rPr>
                <w:sz w:val="20"/>
                <w:szCs w:val="20"/>
                <w:lang w:val="en-US"/>
              </w:rPr>
              <w:t>July 23, 2021,</w:t>
            </w:r>
            <w:r w:rsidRPr="000B0F9B">
              <w:rPr>
                <w:sz w:val="20"/>
                <w:szCs w:val="20"/>
              </w:rPr>
              <w:t xml:space="preserve"> is dismissed with costs.</w:t>
            </w:r>
          </w:p>
          <w:p w:rsidR="00CF3C16" w:rsidRPr="000B0F9B" w:rsidRDefault="00CF3C16" w:rsidP="00CF3C16">
            <w:pPr>
              <w:jc w:val="both"/>
              <w:rPr>
                <w:sz w:val="20"/>
              </w:rPr>
            </w:pPr>
          </w:p>
        </w:tc>
      </w:tr>
      <w:tr w:rsidR="00A33CBF" w:rsidRPr="000B0F9B" w:rsidTr="00CF3C16">
        <w:tc>
          <w:tcPr>
            <w:tcW w:w="5000" w:type="pct"/>
            <w:gridSpan w:val="4"/>
          </w:tcPr>
          <w:p w:rsidR="00A33CBF" w:rsidRPr="000B0F9B" w:rsidRDefault="00A33CBF" w:rsidP="00CF3C16">
            <w:pPr>
              <w:jc w:val="both"/>
              <w:rPr>
                <w:sz w:val="20"/>
              </w:rPr>
            </w:pPr>
            <w:r w:rsidRPr="000B0F9B">
              <w:rPr>
                <w:sz w:val="20"/>
              </w:rPr>
              <w:t>Constitutional law ⸺ Charter of Rights ⸺ Discrimination ⸺ Social condition ⸺ Whether being recipient of last</w:t>
            </w:r>
            <w:r w:rsidRPr="000B0F9B">
              <w:rPr>
                <w:sz w:val="20"/>
              </w:rPr>
              <w:noBreakHyphen/>
              <w:t xml:space="preserve">resort assistance is analogous ground of discrimination under s. 15(1) of </w:t>
            </w:r>
            <w:r w:rsidRPr="000B0F9B">
              <w:rPr>
                <w:i/>
                <w:sz w:val="20"/>
              </w:rPr>
              <w:t>Canadian Charter</w:t>
            </w:r>
            <w:r w:rsidRPr="000B0F9B">
              <w:rPr>
                <w:sz w:val="20"/>
              </w:rPr>
              <w:t xml:space="preserve"> and/or ground of discrimination under s. 10 of </w:t>
            </w:r>
            <w:r w:rsidRPr="000B0F9B">
              <w:rPr>
                <w:i/>
                <w:sz w:val="20"/>
              </w:rPr>
              <w:t>Quebec Charter</w:t>
            </w:r>
            <w:r w:rsidRPr="000B0F9B">
              <w:rPr>
                <w:sz w:val="20"/>
              </w:rPr>
              <w:t xml:space="preserve"> (social condition) ⸺ Whether judges in appeal decision required level of proof higher than that required by case law in analyzing second step of s. 15(1) of </w:t>
            </w:r>
            <w:r w:rsidRPr="000B0F9B">
              <w:rPr>
                <w:i/>
                <w:sz w:val="20"/>
              </w:rPr>
              <w:t>Canadian Charter</w:t>
            </w:r>
            <w:r w:rsidRPr="000B0F9B">
              <w:rPr>
                <w:sz w:val="20"/>
              </w:rPr>
              <w:t xml:space="preserve"> and s. 10 of </w:t>
            </w:r>
            <w:r w:rsidRPr="000B0F9B">
              <w:rPr>
                <w:i/>
                <w:sz w:val="20"/>
              </w:rPr>
              <w:t>Quebec Charter</w:t>
            </w:r>
            <w:r w:rsidRPr="000B0F9B">
              <w:rPr>
                <w:sz w:val="20"/>
              </w:rPr>
              <w:t xml:space="preserve">, thereby imposing obligations that normally rest on government under s. 1 of </w:t>
            </w:r>
            <w:r w:rsidRPr="000B0F9B">
              <w:rPr>
                <w:i/>
                <w:sz w:val="20"/>
              </w:rPr>
              <w:t>Canadian Charter</w:t>
            </w:r>
            <w:r w:rsidRPr="000B0F9B">
              <w:rPr>
                <w:sz w:val="20"/>
              </w:rPr>
              <w:t xml:space="preserve"> and s. 9.1 of </w:t>
            </w:r>
            <w:r w:rsidRPr="000B0F9B">
              <w:rPr>
                <w:i/>
                <w:sz w:val="20"/>
              </w:rPr>
              <w:t>Quebec Charter</w:t>
            </w:r>
            <w:r w:rsidRPr="000B0F9B">
              <w:rPr>
                <w:sz w:val="20"/>
              </w:rPr>
              <w:t xml:space="preserve"> ⸺ Whether ss. 63 and 66 of IFAA must be declared to be of no force or effect and/or inapplicable in context of s. 106.3 of AQPP because they infringe right to equality provided for in Canadian and Quebec Charters ⸺ </w:t>
            </w:r>
            <w:r w:rsidRPr="000B0F9B">
              <w:rPr>
                <w:i/>
                <w:sz w:val="20"/>
              </w:rPr>
              <w:t>Canadian Charter of Rights and Freedoms</w:t>
            </w:r>
            <w:r w:rsidRPr="000B0F9B">
              <w:rPr>
                <w:sz w:val="20"/>
              </w:rPr>
              <w:t xml:space="preserve">, ss. 15(1) and 1 ⸺ </w:t>
            </w:r>
            <w:r w:rsidRPr="000B0F9B">
              <w:rPr>
                <w:i/>
                <w:sz w:val="20"/>
              </w:rPr>
              <w:t>Charter of human rights and freedoms</w:t>
            </w:r>
            <w:r w:rsidRPr="000B0F9B">
              <w:rPr>
                <w:sz w:val="20"/>
              </w:rPr>
              <w:t>, CQLR,</w:t>
            </w:r>
            <w:r w:rsidRPr="000B0F9B">
              <w:rPr>
                <w:sz w:val="20"/>
                <w:lang w:eastAsia="fr-CA"/>
              </w:rPr>
              <w:t xml:space="preserve"> c. C</w:t>
            </w:r>
            <w:r w:rsidRPr="000B0F9B">
              <w:rPr>
                <w:sz w:val="20"/>
                <w:lang w:eastAsia="fr-CA"/>
              </w:rPr>
              <w:noBreakHyphen/>
              <w:t xml:space="preserve">12, ss. 10 and 9.1 ⸺ </w:t>
            </w:r>
            <w:r w:rsidRPr="000B0F9B">
              <w:rPr>
                <w:i/>
                <w:sz w:val="20"/>
              </w:rPr>
              <w:t>Individual and Family Assistance Act</w:t>
            </w:r>
            <w:r w:rsidRPr="000B0F9B">
              <w:rPr>
                <w:sz w:val="20"/>
              </w:rPr>
              <w:t>, CQLR, c. A</w:t>
            </w:r>
            <w:r w:rsidRPr="000B0F9B">
              <w:rPr>
                <w:sz w:val="20"/>
              </w:rPr>
              <w:noBreakHyphen/>
              <w:t>13.1.1, ss. 63 and 66 ⸺</w:t>
            </w:r>
            <w:r w:rsidRPr="000B0F9B">
              <w:rPr>
                <w:i/>
                <w:sz w:val="20"/>
              </w:rPr>
              <w:t xml:space="preserve"> Act respecting the Québec Pension Plan</w:t>
            </w:r>
            <w:r w:rsidRPr="000B0F9B">
              <w:rPr>
                <w:sz w:val="20"/>
              </w:rPr>
              <w:t>, CQLR, c. R</w:t>
            </w:r>
            <w:r w:rsidRPr="000B0F9B">
              <w:rPr>
                <w:sz w:val="20"/>
              </w:rPr>
              <w:noBreakHyphen/>
              <w:t>9, s. 106.3.</w:t>
            </w:r>
          </w:p>
        </w:tc>
      </w:tr>
      <w:tr w:rsidR="00A33CBF" w:rsidRPr="000B0F9B" w:rsidTr="00CF3C16">
        <w:tc>
          <w:tcPr>
            <w:tcW w:w="5000" w:type="pct"/>
            <w:gridSpan w:val="4"/>
          </w:tcPr>
          <w:p w:rsidR="00A33CBF" w:rsidRPr="000B0F9B" w:rsidRDefault="00A33CBF" w:rsidP="00CF3C16">
            <w:pPr>
              <w:jc w:val="both"/>
              <w:rPr>
                <w:sz w:val="20"/>
              </w:rPr>
            </w:pPr>
          </w:p>
        </w:tc>
      </w:tr>
      <w:tr w:rsidR="00A33CBF" w:rsidRPr="000B0F9B" w:rsidTr="00CF3C16">
        <w:tc>
          <w:tcPr>
            <w:tcW w:w="5000" w:type="pct"/>
            <w:gridSpan w:val="4"/>
          </w:tcPr>
          <w:p w:rsidR="00A33CBF" w:rsidRPr="000B0F9B" w:rsidRDefault="00A33CBF" w:rsidP="00CF3C16">
            <w:pPr>
              <w:jc w:val="both"/>
              <w:rPr>
                <w:sz w:val="20"/>
                <w:lang w:eastAsia="fr-CA"/>
              </w:rPr>
            </w:pPr>
            <w:r w:rsidRPr="000B0F9B">
              <w:rPr>
                <w:sz w:val="20"/>
              </w:rPr>
              <w:t xml:space="preserve">The applicant, Raymond Ouellet, had been a recipient under a social assistance program since 2001. In December 2004, he reached the age of 60. In accordance with s. 106.3 of the </w:t>
            </w:r>
            <w:r w:rsidRPr="000B0F9B">
              <w:rPr>
                <w:i/>
                <w:sz w:val="20"/>
              </w:rPr>
              <w:t>Act respecting the Québec Pension Plan</w:t>
            </w:r>
            <w:r w:rsidRPr="000B0F9B">
              <w:rPr>
                <w:sz w:val="20"/>
              </w:rPr>
              <w:t xml:space="preserve">, he then qualified for the retirement pension provided for in that statute because he had contributed to the Québec Pension Plan. However, Mr. Ouellet chose not to apply for the payment immediately but rather to wait until he was 65 years old so that he could obtain a higher monthly pension. The respondent, the Minister of Employment and Social Solidarity, nonetheless required Mr. Ouellet to exercise his right to the retirement pension right away, failing which his social assistance benefits would be discontinued. Because Mr. Ouellet refused to exercise his right, he was informed that his benefits would be terminated on April 1, 2007. He contested that decision through an application for administrative review, which was dismissed on April 4, 2007. He then turned to the Administrative Tribunal of Québec (ATQ) to challenge the validity of ss. 63 and 66 of the </w:t>
            </w:r>
            <w:r w:rsidRPr="000B0F9B">
              <w:rPr>
                <w:i/>
                <w:sz w:val="20"/>
              </w:rPr>
              <w:t>Individual and Family Assistance Act</w:t>
            </w:r>
            <w:r w:rsidRPr="000B0F9B">
              <w:rPr>
                <w:sz w:val="20"/>
              </w:rPr>
              <w:t xml:space="preserve"> under s. 15(1) of the </w:t>
            </w:r>
            <w:r w:rsidRPr="000B0F9B">
              <w:rPr>
                <w:i/>
                <w:sz w:val="20"/>
              </w:rPr>
              <w:t>Canadian Charter of Rights and Freedoms</w:t>
            </w:r>
            <w:r w:rsidRPr="000B0F9B">
              <w:rPr>
                <w:sz w:val="20"/>
              </w:rPr>
              <w:t xml:space="preserve"> and s. 10 of the </w:t>
            </w:r>
            <w:r w:rsidRPr="000B0F9B">
              <w:rPr>
                <w:i/>
                <w:sz w:val="20"/>
              </w:rPr>
              <w:t>Charter of human rights and freedoms</w:t>
            </w:r>
            <w:r w:rsidRPr="000B0F9B">
              <w:rPr>
                <w:sz w:val="20"/>
              </w:rPr>
              <w:t xml:space="preserve"> (</w:t>
            </w:r>
            <w:r w:rsidRPr="000B0F9B">
              <w:rPr>
                <w:i/>
                <w:sz w:val="20"/>
              </w:rPr>
              <w:t>Quebec Charter</w:t>
            </w:r>
            <w:r w:rsidRPr="000B0F9B">
              <w:rPr>
                <w:sz w:val="20"/>
              </w:rPr>
              <w:t xml:space="preserve">). On December 13, 2007, the ATQ ordered that the implementation of the administrative decision be stayed and that social assistance benefits be paid starting from April 5, 2007. On October 26, 2018, the ATQ dismissed </w:t>
            </w:r>
            <w:r w:rsidRPr="000B0F9B">
              <w:rPr>
                <w:sz w:val="20"/>
                <w:lang w:eastAsia="fr-CA"/>
              </w:rPr>
              <w:t xml:space="preserve">Mr. Ouellet’s proceeding on the ground that even though social condition may be considered a ground of discrimination prohibited by s. 15(1) of the </w:t>
            </w:r>
            <w:r w:rsidRPr="000B0F9B">
              <w:rPr>
                <w:i/>
                <w:sz w:val="20"/>
                <w:lang w:eastAsia="fr-CA"/>
              </w:rPr>
              <w:t>Canadian Charter</w:t>
            </w:r>
            <w:r w:rsidRPr="000B0F9B">
              <w:rPr>
                <w:sz w:val="20"/>
                <w:lang w:eastAsia="fr-CA"/>
              </w:rPr>
              <w:t xml:space="preserve"> and is a ground clearly protected by s. 10 of the </w:t>
            </w:r>
            <w:r w:rsidRPr="000B0F9B">
              <w:rPr>
                <w:i/>
                <w:sz w:val="20"/>
                <w:lang w:eastAsia="fr-CA"/>
              </w:rPr>
              <w:t>Quebec Charter</w:t>
            </w:r>
            <w:r w:rsidRPr="000B0F9B">
              <w:rPr>
                <w:sz w:val="20"/>
                <w:lang w:eastAsia="fr-CA"/>
              </w:rPr>
              <w:t xml:space="preserve">, the provisions in issue do not infringe the rights protected by the Charters. The Superior Court dismissed the application for judicial review in part, and the Court of Appeal dismissed the appeal.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November 9, 2020</w:t>
            </w:r>
          </w:p>
          <w:p w:rsidR="00A33CBF" w:rsidRPr="000B0F9B" w:rsidRDefault="00A33CBF" w:rsidP="00CF3C16">
            <w:pPr>
              <w:jc w:val="both"/>
              <w:rPr>
                <w:sz w:val="20"/>
              </w:rPr>
            </w:pPr>
            <w:r w:rsidRPr="000B0F9B">
              <w:rPr>
                <w:sz w:val="20"/>
              </w:rPr>
              <w:t>Quebec Superior Court</w:t>
            </w:r>
          </w:p>
          <w:p w:rsidR="00A33CBF" w:rsidRPr="000B0F9B" w:rsidRDefault="00A33CBF" w:rsidP="00CF3C16">
            <w:pPr>
              <w:jc w:val="both"/>
              <w:rPr>
                <w:sz w:val="20"/>
              </w:rPr>
            </w:pPr>
            <w:r w:rsidRPr="000B0F9B">
              <w:rPr>
                <w:sz w:val="20"/>
              </w:rPr>
              <w:t>(St</w:t>
            </w:r>
            <w:r w:rsidRPr="000B0F9B">
              <w:rPr>
                <w:sz w:val="20"/>
              </w:rPr>
              <w:noBreakHyphen/>
              <w:t>Pierre J.)</w:t>
            </w:r>
          </w:p>
          <w:p w:rsidR="00A33CBF" w:rsidRPr="000B0F9B" w:rsidRDefault="000B0F9B" w:rsidP="00CF3C16">
            <w:pPr>
              <w:jc w:val="both"/>
              <w:rPr>
                <w:sz w:val="20"/>
              </w:rPr>
            </w:pPr>
            <w:hyperlink r:id="rId15" w:history="1">
              <w:r w:rsidR="00A33CBF" w:rsidRPr="000B0F9B">
                <w:rPr>
                  <w:rStyle w:val="Hyperlink"/>
                  <w:sz w:val="20"/>
                </w:rPr>
                <w:t>2020 QCCS 4256</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 xml:space="preserve">Application for judicial review allowed in part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July 23, 2021</w:t>
            </w:r>
          </w:p>
          <w:p w:rsidR="00A33CBF" w:rsidRPr="000B0F9B" w:rsidRDefault="00A33CBF" w:rsidP="00CF3C16">
            <w:pPr>
              <w:jc w:val="both"/>
              <w:rPr>
                <w:sz w:val="20"/>
              </w:rPr>
            </w:pPr>
            <w:r w:rsidRPr="000B0F9B">
              <w:rPr>
                <w:sz w:val="20"/>
              </w:rPr>
              <w:t>Quebec Court of Appeal (Montréal)</w:t>
            </w:r>
          </w:p>
          <w:p w:rsidR="00A33CBF" w:rsidRPr="000B0F9B" w:rsidRDefault="00A33CBF" w:rsidP="00CF3C16">
            <w:pPr>
              <w:jc w:val="both"/>
              <w:rPr>
                <w:sz w:val="20"/>
              </w:rPr>
            </w:pPr>
            <w:r w:rsidRPr="000B0F9B">
              <w:rPr>
                <w:sz w:val="20"/>
              </w:rPr>
              <w:t>(Bich, Healy and Sansfaçon JJ.A.)</w:t>
            </w:r>
          </w:p>
          <w:p w:rsidR="00A33CBF" w:rsidRPr="000B0F9B" w:rsidRDefault="000B0F9B" w:rsidP="00CF3C16">
            <w:pPr>
              <w:jc w:val="both"/>
              <w:rPr>
                <w:sz w:val="20"/>
              </w:rPr>
            </w:pPr>
            <w:hyperlink r:id="rId16" w:history="1">
              <w:r w:rsidR="00A33CBF" w:rsidRPr="000B0F9B">
                <w:rPr>
                  <w:rStyle w:val="Hyperlink"/>
                  <w:sz w:val="20"/>
                </w:rPr>
                <w:t>2021 QCCA 1185</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Motion for leave to appeal allowed and leave to appeal granted</w:t>
            </w:r>
          </w:p>
          <w:p w:rsidR="00A33CBF" w:rsidRPr="000B0F9B" w:rsidRDefault="00A33CBF" w:rsidP="00CF3C16">
            <w:pPr>
              <w:jc w:val="both"/>
              <w:rPr>
                <w:sz w:val="20"/>
              </w:rPr>
            </w:pPr>
            <w:r w:rsidRPr="000B0F9B">
              <w:rPr>
                <w:sz w:val="20"/>
              </w:rPr>
              <w:t>Appeal dismissed</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September 28, 2021</w:t>
            </w:r>
          </w:p>
          <w:p w:rsidR="00A33CBF" w:rsidRPr="000B0F9B" w:rsidRDefault="00A33CBF" w:rsidP="00CF3C16">
            <w:pPr>
              <w:jc w:val="both"/>
              <w:rPr>
                <w:sz w:val="20"/>
              </w:rPr>
            </w:pPr>
            <w:r w:rsidRPr="000B0F9B">
              <w:rPr>
                <w:sz w:val="20"/>
              </w:rPr>
              <w:t>Supreme Court of Canada</w:t>
            </w: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for leave to appeal filed</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2" style="width:2in;height:1pt" o:hrpct="0" o:hralign="center" o:hrstd="t" o:hrnoshade="t" o:hr="t" fillcolor="black [3213]" stroked="f"/>
        </w:pict>
      </w:r>
    </w:p>
    <w:p w:rsidR="00A33CBF" w:rsidRPr="000B0F9B" w:rsidRDefault="00A33CBF" w:rsidP="00A33C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39880</w:t>
            </w:r>
          </w:p>
        </w:tc>
        <w:tc>
          <w:tcPr>
            <w:tcW w:w="4457" w:type="pct"/>
            <w:gridSpan w:val="3"/>
          </w:tcPr>
          <w:p w:rsidR="00A33CBF" w:rsidRPr="000B0F9B" w:rsidRDefault="00A33CBF" w:rsidP="00CF3C16">
            <w:pPr>
              <w:pStyle w:val="SCCLsocParty"/>
              <w:jc w:val="both"/>
              <w:rPr>
                <w:b/>
                <w:sz w:val="20"/>
                <w:szCs w:val="20"/>
              </w:rPr>
            </w:pPr>
            <w:r w:rsidRPr="000B0F9B">
              <w:rPr>
                <w:b/>
                <w:sz w:val="20"/>
                <w:szCs w:val="20"/>
              </w:rPr>
              <w:t xml:space="preserve">Raymond Ouellet c. Ministre de l'emploi et de la solidarité sociale et </w:t>
            </w:r>
            <w:r w:rsidR="00CF3C16" w:rsidRPr="000B0F9B">
              <w:rPr>
                <w:b/>
                <w:sz w:val="20"/>
                <w:szCs w:val="20"/>
              </w:rPr>
              <w:t>p</w:t>
            </w:r>
            <w:r w:rsidRPr="000B0F9B">
              <w:rPr>
                <w:b/>
                <w:sz w:val="20"/>
                <w:szCs w:val="20"/>
              </w:rPr>
              <w:t>rocureur général du Québec</w:t>
            </w:r>
          </w:p>
          <w:p w:rsidR="00A33CBF" w:rsidRPr="000B0F9B" w:rsidRDefault="00A33CBF" w:rsidP="00CF3C16">
            <w:pPr>
              <w:pStyle w:val="SCCLsocOtherPartySeparator"/>
              <w:rPr>
                <w:sz w:val="20"/>
                <w:szCs w:val="20"/>
                <w:lang w:val="fr-CA"/>
              </w:rPr>
            </w:pPr>
            <w:r w:rsidRPr="000B0F9B">
              <w:rPr>
                <w:sz w:val="20"/>
                <w:szCs w:val="20"/>
                <w:lang w:val="fr-CA"/>
              </w:rPr>
              <w:t>- et -</w:t>
            </w:r>
          </w:p>
          <w:p w:rsidR="00A33CBF" w:rsidRPr="000B0F9B" w:rsidRDefault="00A33CBF" w:rsidP="00CF3C16">
            <w:pPr>
              <w:pStyle w:val="SCCLsocParty"/>
              <w:jc w:val="both"/>
              <w:rPr>
                <w:b/>
                <w:sz w:val="20"/>
                <w:szCs w:val="20"/>
              </w:rPr>
            </w:pPr>
            <w:r w:rsidRPr="000B0F9B">
              <w:rPr>
                <w:b/>
                <w:sz w:val="20"/>
                <w:szCs w:val="20"/>
              </w:rPr>
              <w:t>Tribunal administratif du Québec (Section des affaires sociales)</w:t>
            </w:r>
          </w:p>
          <w:p w:rsidR="00A33CBF" w:rsidRPr="000B0F9B" w:rsidRDefault="00A33CBF" w:rsidP="00CF3C16">
            <w:pPr>
              <w:jc w:val="both"/>
              <w:rPr>
                <w:sz w:val="20"/>
              </w:rPr>
            </w:pPr>
            <w:r w:rsidRPr="000B0F9B">
              <w:rPr>
                <w:sz w:val="20"/>
              </w:rPr>
              <w:t>(Qc) (Civile) (Autorisation)</w:t>
            </w:r>
          </w:p>
        </w:tc>
      </w:tr>
      <w:tr w:rsidR="00A33CBF" w:rsidRPr="000B0F9B" w:rsidTr="00CF3C16">
        <w:tc>
          <w:tcPr>
            <w:tcW w:w="5000" w:type="pct"/>
            <w:gridSpan w:val="4"/>
          </w:tcPr>
          <w:p w:rsidR="00A33CBF" w:rsidRPr="000B0F9B" w:rsidRDefault="00CF3C16" w:rsidP="00CF3C16">
            <w:pPr>
              <w:jc w:val="both"/>
              <w:rPr>
                <w:sz w:val="20"/>
                <w:szCs w:val="20"/>
                <w:lang w:val="fr-CA"/>
              </w:rPr>
            </w:pPr>
            <w:r w:rsidRPr="000B0F9B">
              <w:rPr>
                <w:sz w:val="20"/>
                <w:szCs w:val="20"/>
                <w:lang w:val="fr-CA"/>
              </w:rPr>
              <w:t>La demande d’autorisation d’appel de l’arrêt de la Cour d’appel du Québec (Montréal), numéro 500-09-029206-208,  2021 QCCA 1185, daté du 23 juillet 2021, est rejetée avec dépens.</w:t>
            </w:r>
          </w:p>
          <w:p w:rsidR="00CF3C16" w:rsidRPr="000B0F9B" w:rsidRDefault="00CF3C16" w:rsidP="00CF3C16">
            <w:pPr>
              <w:jc w:val="both"/>
              <w:rPr>
                <w:sz w:val="20"/>
                <w:lang w:val="fr-CA"/>
              </w:rPr>
            </w:pPr>
          </w:p>
        </w:tc>
      </w:tr>
      <w:tr w:rsidR="00A33CBF" w:rsidRPr="000B0F9B" w:rsidTr="00CF3C16">
        <w:tc>
          <w:tcPr>
            <w:tcW w:w="5000" w:type="pct"/>
            <w:gridSpan w:val="4"/>
          </w:tcPr>
          <w:p w:rsidR="00A33CBF" w:rsidRPr="000B0F9B" w:rsidRDefault="00A33CBF" w:rsidP="00CF3C16">
            <w:pPr>
              <w:jc w:val="both"/>
              <w:rPr>
                <w:sz w:val="20"/>
                <w:lang w:val="fr-CA"/>
              </w:rPr>
            </w:pPr>
            <w:r w:rsidRPr="000B0F9B">
              <w:rPr>
                <w:sz w:val="20"/>
                <w:lang w:val="fr-CA"/>
              </w:rPr>
              <w:t xml:space="preserve">Droit constitutionnel </w:t>
            </w:r>
            <w:r w:rsidRPr="000B0F9B">
              <w:rPr>
                <w:sz w:val="20"/>
              </w:rPr>
              <w:t>⸺</w:t>
            </w:r>
            <w:r w:rsidRPr="000B0F9B">
              <w:rPr>
                <w:sz w:val="20"/>
                <w:lang w:val="fr-CA"/>
              </w:rPr>
              <w:t xml:space="preserve"> Charte des droits </w:t>
            </w:r>
            <w:r w:rsidRPr="000B0F9B">
              <w:rPr>
                <w:sz w:val="20"/>
              </w:rPr>
              <w:t>⸺</w:t>
            </w:r>
            <w:r w:rsidRPr="000B0F9B">
              <w:rPr>
                <w:sz w:val="20"/>
                <w:lang w:val="fr-CA"/>
              </w:rPr>
              <w:t xml:space="preserve"> Discrimination </w:t>
            </w:r>
            <w:r w:rsidRPr="000B0F9B">
              <w:rPr>
                <w:sz w:val="20"/>
              </w:rPr>
              <w:t>⸺</w:t>
            </w:r>
            <w:r w:rsidRPr="000B0F9B">
              <w:rPr>
                <w:sz w:val="20"/>
                <w:lang w:val="fr-CA"/>
              </w:rPr>
              <w:t xml:space="preserve"> Condition sociale </w:t>
            </w:r>
            <w:r w:rsidRPr="000B0F9B">
              <w:rPr>
                <w:sz w:val="20"/>
              </w:rPr>
              <w:t>⸺</w:t>
            </w:r>
            <w:r w:rsidRPr="000B0F9B">
              <w:rPr>
                <w:sz w:val="20"/>
                <w:lang w:val="fr-CA"/>
              </w:rPr>
              <w:t xml:space="preserve"> Le fait d’être bénéficiaire d’aide de dernier recours constitue</w:t>
            </w:r>
            <w:r w:rsidRPr="000B0F9B">
              <w:rPr>
                <w:sz w:val="20"/>
                <w:lang w:val="fr-CA"/>
              </w:rPr>
              <w:noBreakHyphen/>
              <w:t>t</w:t>
            </w:r>
            <w:r w:rsidRPr="000B0F9B">
              <w:rPr>
                <w:sz w:val="20"/>
                <w:lang w:val="fr-CA"/>
              </w:rPr>
              <w:noBreakHyphen/>
              <w:t xml:space="preserve">il un motif analogue de discrimination au sens de l’art. 15(1) de la </w:t>
            </w:r>
            <w:r w:rsidRPr="000B0F9B">
              <w:rPr>
                <w:i/>
                <w:sz w:val="20"/>
                <w:lang w:val="fr-CA"/>
              </w:rPr>
              <w:t>Charte canadienne</w:t>
            </w:r>
            <w:r w:rsidRPr="000B0F9B">
              <w:rPr>
                <w:sz w:val="20"/>
                <w:lang w:val="fr-CA"/>
              </w:rPr>
              <w:t xml:space="preserve"> et/ou un motif de discrimination sous l’art. 10 de la </w:t>
            </w:r>
            <w:r w:rsidRPr="000B0F9B">
              <w:rPr>
                <w:i/>
                <w:sz w:val="20"/>
                <w:lang w:val="fr-CA"/>
              </w:rPr>
              <w:t>Charte québécoise</w:t>
            </w:r>
            <w:r w:rsidRPr="000B0F9B">
              <w:rPr>
                <w:sz w:val="20"/>
                <w:lang w:val="fr-CA"/>
              </w:rPr>
              <w:t xml:space="preserve"> (condition sociale)? </w:t>
            </w:r>
            <w:r w:rsidRPr="000B0F9B">
              <w:rPr>
                <w:sz w:val="20"/>
              </w:rPr>
              <w:t>⸺</w:t>
            </w:r>
            <w:r w:rsidRPr="000B0F9B">
              <w:rPr>
                <w:sz w:val="20"/>
                <w:lang w:val="fr-CA"/>
              </w:rPr>
              <w:t xml:space="preserve"> Les juges de la décision en appel ont</w:t>
            </w:r>
            <w:r w:rsidRPr="000B0F9B">
              <w:rPr>
                <w:sz w:val="20"/>
                <w:lang w:val="fr-CA"/>
              </w:rPr>
              <w:noBreakHyphen/>
              <w:t xml:space="preserve">ils exigé un niveau de preuve excédant les enseignements de la jurisprudence dans leur analyse du second volet de l’art. 15(1) de la </w:t>
            </w:r>
            <w:r w:rsidRPr="000B0F9B">
              <w:rPr>
                <w:i/>
                <w:sz w:val="20"/>
                <w:lang w:val="fr-CA"/>
              </w:rPr>
              <w:t>Charte canadienne</w:t>
            </w:r>
            <w:r w:rsidRPr="000B0F9B">
              <w:rPr>
                <w:sz w:val="20"/>
                <w:lang w:val="fr-CA"/>
              </w:rPr>
              <w:t xml:space="preserve"> et l’art. 10 de la </w:t>
            </w:r>
            <w:r w:rsidRPr="000B0F9B">
              <w:rPr>
                <w:i/>
                <w:sz w:val="20"/>
                <w:lang w:val="fr-CA"/>
              </w:rPr>
              <w:t>Charte québécoise</w:t>
            </w:r>
            <w:r w:rsidRPr="000B0F9B">
              <w:rPr>
                <w:sz w:val="20"/>
                <w:lang w:val="fr-CA"/>
              </w:rPr>
              <w:t xml:space="preserve">, imposant ainsi des obligations qui normalement incombaient au gouvernement sous l’art. 1 de la </w:t>
            </w:r>
            <w:r w:rsidRPr="000B0F9B">
              <w:rPr>
                <w:i/>
                <w:sz w:val="20"/>
                <w:lang w:val="fr-CA"/>
              </w:rPr>
              <w:t>Charte canadienne</w:t>
            </w:r>
            <w:r w:rsidRPr="000B0F9B">
              <w:rPr>
                <w:sz w:val="20"/>
                <w:lang w:val="fr-CA"/>
              </w:rPr>
              <w:t xml:space="preserve"> et l’art. 9.1 de la </w:t>
            </w:r>
            <w:r w:rsidRPr="000B0F9B">
              <w:rPr>
                <w:i/>
                <w:sz w:val="20"/>
                <w:lang w:val="fr-CA"/>
              </w:rPr>
              <w:t>Charte québécoise</w:t>
            </w:r>
            <w:r w:rsidRPr="000B0F9B">
              <w:rPr>
                <w:sz w:val="20"/>
                <w:lang w:val="fr-CA"/>
              </w:rPr>
              <w:t xml:space="preserve">? </w:t>
            </w:r>
            <w:r w:rsidRPr="000B0F9B">
              <w:rPr>
                <w:sz w:val="20"/>
              </w:rPr>
              <w:t>⸺</w:t>
            </w:r>
            <w:r w:rsidRPr="000B0F9B">
              <w:rPr>
                <w:sz w:val="20"/>
                <w:lang w:val="fr-CA"/>
              </w:rPr>
              <w:t xml:space="preserve"> Les art. 63 et 66 de la LAPF</w:t>
            </w:r>
            <w:r w:rsidRPr="000B0F9B">
              <w:rPr>
                <w:i/>
                <w:sz w:val="20"/>
                <w:lang w:val="fr-CA"/>
              </w:rPr>
              <w:t xml:space="preserve"> </w:t>
            </w:r>
            <w:r w:rsidRPr="000B0F9B">
              <w:rPr>
                <w:sz w:val="20"/>
                <w:lang w:val="fr-CA"/>
              </w:rPr>
              <w:t>doivent</w:t>
            </w:r>
            <w:r w:rsidRPr="000B0F9B">
              <w:rPr>
                <w:sz w:val="20"/>
                <w:lang w:val="fr-CA"/>
              </w:rPr>
              <w:noBreakHyphen/>
              <w:t xml:space="preserve">ils être déclarés inopérants et/ou inapplicables dans le contexte de l’art. 106.3 de la LRRQ, en raison de leur violation du droit à l’égalité prévu sous les chartes canadienne et québécoise? </w:t>
            </w:r>
            <w:r w:rsidRPr="000B0F9B">
              <w:rPr>
                <w:sz w:val="20"/>
              </w:rPr>
              <w:t>⸺</w:t>
            </w:r>
            <w:r w:rsidRPr="000B0F9B">
              <w:rPr>
                <w:sz w:val="20"/>
                <w:lang w:val="fr-CA"/>
              </w:rPr>
              <w:t xml:space="preserve"> </w:t>
            </w:r>
            <w:r w:rsidRPr="000B0F9B">
              <w:rPr>
                <w:i/>
                <w:sz w:val="20"/>
                <w:lang w:val="fr-CA"/>
              </w:rPr>
              <w:t>Charte canadienne des droits et libertés</w:t>
            </w:r>
            <w:r w:rsidRPr="000B0F9B">
              <w:rPr>
                <w:sz w:val="20"/>
                <w:lang w:val="fr-CA"/>
              </w:rPr>
              <w:t xml:space="preserve">, art. 15(1) et 1 </w:t>
            </w:r>
            <w:r w:rsidRPr="000B0F9B">
              <w:rPr>
                <w:sz w:val="20"/>
              </w:rPr>
              <w:t>⸺</w:t>
            </w:r>
            <w:r w:rsidRPr="000B0F9B">
              <w:rPr>
                <w:sz w:val="20"/>
                <w:lang w:val="fr-CA"/>
              </w:rPr>
              <w:t xml:space="preserve"> </w:t>
            </w:r>
            <w:r w:rsidRPr="000B0F9B">
              <w:rPr>
                <w:i/>
                <w:sz w:val="20"/>
                <w:lang w:val="fr-CA"/>
              </w:rPr>
              <w:t>Charte des droits et libertés de la personne,</w:t>
            </w:r>
            <w:r w:rsidRPr="000B0F9B">
              <w:rPr>
                <w:sz w:val="20"/>
                <w:lang w:val="fr-CA"/>
              </w:rPr>
              <w:t xml:space="preserve"> </w:t>
            </w:r>
            <w:r w:rsidRPr="000B0F9B">
              <w:rPr>
                <w:sz w:val="20"/>
                <w:lang w:val="fr-FR" w:eastAsia="fr-CA"/>
              </w:rPr>
              <w:t>RLRQ c. C</w:t>
            </w:r>
            <w:r w:rsidRPr="000B0F9B">
              <w:rPr>
                <w:sz w:val="20"/>
                <w:lang w:val="fr-FR" w:eastAsia="fr-CA"/>
              </w:rPr>
              <w:noBreakHyphen/>
              <w:t xml:space="preserve">12, art. 10 et 9.1 ⸺  </w:t>
            </w:r>
            <w:r w:rsidRPr="000B0F9B">
              <w:rPr>
                <w:i/>
                <w:sz w:val="20"/>
                <w:lang w:val="fr-CA"/>
              </w:rPr>
              <w:t>Loi sur l’aide aux personnes et aux familles</w:t>
            </w:r>
            <w:r w:rsidRPr="000B0F9B">
              <w:rPr>
                <w:sz w:val="20"/>
                <w:lang w:val="fr-CA"/>
              </w:rPr>
              <w:t>, RLRQ c. A</w:t>
            </w:r>
            <w:r w:rsidRPr="000B0F9B">
              <w:rPr>
                <w:sz w:val="20"/>
                <w:lang w:val="fr-CA"/>
              </w:rPr>
              <w:noBreakHyphen/>
              <w:t xml:space="preserve">13.1.1, art. 63 et 66 </w:t>
            </w:r>
            <w:r w:rsidRPr="000B0F9B">
              <w:rPr>
                <w:sz w:val="20"/>
              </w:rPr>
              <w:t>⸺</w:t>
            </w:r>
            <w:r w:rsidRPr="000B0F9B">
              <w:rPr>
                <w:i/>
                <w:sz w:val="20"/>
                <w:lang w:val="fr-CA"/>
              </w:rPr>
              <w:t xml:space="preserve"> Loi sur le régime de rentes du Québec</w:t>
            </w:r>
            <w:r w:rsidRPr="000B0F9B">
              <w:rPr>
                <w:sz w:val="20"/>
                <w:lang w:val="fr-CA"/>
              </w:rPr>
              <w:t>, RLRQ, c. R</w:t>
            </w:r>
            <w:r w:rsidRPr="000B0F9B">
              <w:rPr>
                <w:sz w:val="20"/>
                <w:lang w:val="fr-CA"/>
              </w:rPr>
              <w:noBreakHyphen/>
              <w:t>9, art. 106.3.</w:t>
            </w:r>
          </w:p>
        </w:tc>
      </w:tr>
      <w:tr w:rsidR="00A33CBF" w:rsidRPr="000B0F9B" w:rsidTr="00CF3C16">
        <w:tc>
          <w:tcPr>
            <w:tcW w:w="5000" w:type="pct"/>
            <w:gridSpan w:val="4"/>
          </w:tcPr>
          <w:p w:rsidR="00A33CBF" w:rsidRPr="000B0F9B" w:rsidRDefault="00A33CBF" w:rsidP="00CF3C16">
            <w:pPr>
              <w:jc w:val="both"/>
              <w:rPr>
                <w:sz w:val="20"/>
                <w:lang w:val="fr-CA"/>
              </w:rPr>
            </w:pPr>
          </w:p>
        </w:tc>
      </w:tr>
      <w:tr w:rsidR="00A33CBF" w:rsidRPr="000B0F9B" w:rsidTr="00CF3C16">
        <w:tc>
          <w:tcPr>
            <w:tcW w:w="5000" w:type="pct"/>
            <w:gridSpan w:val="4"/>
          </w:tcPr>
          <w:p w:rsidR="00A33CBF" w:rsidRPr="000B0F9B" w:rsidRDefault="00A33CBF" w:rsidP="00CF3C16">
            <w:pPr>
              <w:jc w:val="both"/>
              <w:rPr>
                <w:sz w:val="20"/>
                <w:lang w:val="fr-FR" w:eastAsia="fr-CA"/>
              </w:rPr>
            </w:pPr>
            <w:r w:rsidRPr="000B0F9B">
              <w:rPr>
                <w:sz w:val="20"/>
                <w:lang w:val="fr-CA"/>
              </w:rPr>
              <w:t xml:space="preserve">M. Raymond Ouellet, demandeur, est prestataire d'un programme d’aide sociale depuis 2001. En décembre 2004, il a atteint l’âge de 60 ans. Conformément à l’art. 106.3 de la </w:t>
            </w:r>
            <w:r w:rsidRPr="000B0F9B">
              <w:rPr>
                <w:i/>
                <w:sz w:val="20"/>
                <w:lang w:val="fr-CA"/>
              </w:rPr>
              <w:t>Loi sur le régime de rentes du Québec</w:t>
            </w:r>
            <w:r w:rsidRPr="000B0F9B">
              <w:rPr>
                <w:sz w:val="20"/>
                <w:lang w:val="fr-CA"/>
              </w:rPr>
              <w:t>, il devient alors admissible à la rente de retraite que prévoit cette loi puisqu’il a cotisé au régime des rentes du Québec. Toutefois, M. Ouellet a choisi de ne pas demander immédiatement le versement, mais plutôt d’attendre l’âge de 65 ans afin d’obtenir une rente mensuelle plus élevée. Toutefois, l’intimé, le ministre de l’Emploi et de la Solidarité sociale, a exigé de M. Ouellet qu’il exerce sans attendre son droit à la rente de retraite sans quoi, ses prestations d’aide sociale seront discontinuées. Comme M. Ouellet a refusé d’exercer son droit, il a été informé qu’il sera mis fin à ses prestations le 1</w:t>
            </w:r>
            <w:r w:rsidRPr="000B0F9B">
              <w:rPr>
                <w:sz w:val="20"/>
                <w:vertAlign w:val="superscript"/>
                <w:lang w:val="fr-CA"/>
              </w:rPr>
              <w:t>er</w:t>
            </w:r>
            <w:r w:rsidRPr="000B0F9B">
              <w:rPr>
                <w:sz w:val="20"/>
                <w:lang w:val="fr-CA"/>
              </w:rPr>
              <w:t xml:space="preserve"> avril 2007. M. Ouellet a alors contesté cette décision par le biais d’une demande de révision administrative qui a été rejetée le 4 avril 2007. Par la suite, M. Ouellet s’est adressé au Tribunal administratif du Québec (TAQ) afin d’attaquer la validité des art. 63 et 66 de la </w:t>
            </w:r>
            <w:r w:rsidRPr="000B0F9B">
              <w:rPr>
                <w:i/>
                <w:sz w:val="20"/>
                <w:lang w:val="fr-CA"/>
              </w:rPr>
              <w:t>Loi sur l’aide aux personnes et aux familles</w:t>
            </w:r>
            <w:r w:rsidRPr="000B0F9B">
              <w:rPr>
                <w:sz w:val="20"/>
                <w:lang w:val="fr-CA"/>
              </w:rPr>
              <w:t xml:space="preserve"> au regard des art. 15(1) de la </w:t>
            </w:r>
            <w:r w:rsidRPr="000B0F9B">
              <w:rPr>
                <w:i/>
                <w:sz w:val="20"/>
                <w:lang w:val="fr-CA"/>
              </w:rPr>
              <w:t>Charte canadienne des droits et libertés</w:t>
            </w:r>
            <w:r w:rsidRPr="000B0F9B">
              <w:rPr>
                <w:sz w:val="20"/>
                <w:lang w:val="fr-CA"/>
              </w:rPr>
              <w:t xml:space="preserve"> et 10 de la </w:t>
            </w:r>
            <w:r w:rsidRPr="000B0F9B">
              <w:rPr>
                <w:i/>
                <w:sz w:val="20"/>
                <w:lang w:val="fr-CA"/>
              </w:rPr>
              <w:t xml:space="preserve">Charte des droits et libertés de la personne </w:t>
            </w:r>
            <w:r w:rsidRPr="000B0F9B">
              <w:rPr>
                <w:sz w:val="20"/>
                <w:lang w:val="fr-CA"/>
              </w:rPr>
              <w:t>(</w:t>
            </w:r>
            <w:r w:rsidRPr="000B0F9B">
              <w:rPr>
                <w:i/>
                <w:sz w:val="20"/>
                <w:lang w:val="fr-CA"/>
              </w:rPr>
              <w:t>Charte québécoise</w:t>
            </w:r>
            <w:r w:rsidRPr="000B0F9B">
              <w:rPr>
                <w:sz w:val="20"/>
                <w:lang w:val="fr-CA"/>
              </w:rPr>
              <w:t>)</w:t>
            </w:r>
            <w:r w:rsidRPr="000B0F9B">
              <w:rPr>
                <w:sz w:val="20"/>
                <w:lang w:val="fr-FR" w:eastAsia="fr-CA"/>
              </w:rPr>
              <w:t xml:space="preserve">. Le 13 décembre 2007, le TAQ a émis une ordonnance de suspension de l’exécution de la décision administration et a ordonné le versement des prestations d’aide sociale à compter du 5 avril 2007. Le 26 octobre 2018, le TAQ a rejeté le recours de M. Ouellet au motif que bien que la condition sociale puisse être considérée comme un motif de discrimination prohibé par l’art. 15(1) de la </w:t>
            </w:r>
            <w:r w:rsidRPr="000B0F9B">
              <w:rPr>
                <w:i/>
                <w:sz w:val="20"/>
                <w:lang w:val="fr-FR" w:eastAsia="fr-CA"/>
              </w:rPr>
              <w:t>Charte canadienne</w:t>
            </w:r>
            <w:r w:rsidRPr="000B0F9B">
              <w:rPr>
                <w:sz w:val="20"/>
                <w:lang w:val="fr-FR" w:eastAsia="fr-CA"/>
              </w:rPr>
              <w:t xml:space="preserve"> alors qu’il s’agit d’un motif clairement protégé par l’art. 10 de la </w:t>
            </w:r>
            <w:r w:rsidRPr="000B0F9B">
              <w:rPr>
                <w:i/>
                <w:sz w:val="20"/>
                <w:lang w:val="fr-FR" w:eastAsia="fr-CA"/>
              </w:rPr>
              <w:t>Charte québécoise</w:t>
            </w:r>
            <w:r w:rsidRPr="000B0F9B">
              <w:rPr>
                <w:sz w:val="20"/>
                <w:lang w:val="fr-FR" w:eastAsia="fr-CA"/>
              </w:rPr>
              <w:t xml:space="preserve">, les dispositions en litige ne constituent pas une violation des droits protégés par les chartes. La Cour supérieure a rejeté en partie le pourvoi en contrôle judiciaire et la Cour d’appel a rejeté l’appel. </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Le 9 novembre 2020</w:t>
            </w:r>
          </w:p>
          <w:p w:rsidR="00A33CBF" w:rsidRPr="000B0F9B" w:rsidRDefault="00A33CBF" w:rsidP="00CF3C16">
            <w:pPr>
              <w:jc w:val="both"/>
              <w:rPr>
                <w:sz w:val="20"/>
                <w:lang w:val="fr-CA"/>
              </w:rPr>
            </w:pPr>
            <w:r w:rsidRPr="000B0F9B">
              <w:rPr>
                <w:sz w:val="20"/>
                <w:lang w:val="fr-CA"/>
              </w:rPr>
              <w:t>Cour supérieure du Québec</w:t>
            </w:r>
          </w:p>
          <w:p w:rsidR="00A33CBF" w:rsidRPr="000B0F9B" w:rsidRDefault="00A33CBF" w:rsidP="00CF3C16">
            <w:pPr>
              <w:jc w:val="both"/>
              <w:rPr>
                <w:sz w:val="20"/>
              </w:rPr>
            </w:pPr>
            <w:r w:rsidRPr="000B0F9B">
              <w:rPr>
                <w:sz w:val="20"/>
              </w:rPr>
              <w:t>(St</w:t>
            </w:r>
            <w:r w:rsidRPr="000B0F9B">
              <w:rPr>
                <w:sz w:val="20"/>
              </w:rPr>
              <w:noBreakHyphen/>
              <w:t>Pierre Marc)</w:t>
            </w:r>
          </w:p>
          <w:p w:rsidR="00A33CBF" w:rsidRPr="000B0F9B" w:rsidRDefault="000B0F9B" w:rsidP="00CF3C16">
            <w:pPr>
              <w:jc w:val="both"/>
              <w:rPr>
                <w:sz w:val="20"/>
              </w:rPr>
            </w:pPr>
            <w:hyperlink r:id="rId17" w:history="1">
              <w:r w:rsidR="00A33CBF" w:rsidRPr="000B0F9B">
                <w:rPr>
                  <w:rStyle w:val="Hyperlink"/>
                  <w:sz w:val="20"/>
                </w:rPr>
                <w:t>2020 QCCS 4256</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 xml:space="preserve">Pourvoi en contrôle judiciaire accueilli en partie. </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Le 23 juillet 2021</w:t>
            </w:r>
          </w:p>
          <w:p w:rsidR="00A33CBF" w:rsidRPr="000B0F9B" w:rsidRDefault="00A33CBF" w:rsidP="00CF3C16">
            <w:pPr>
              <w:jc w:val="both"/>
              <w:rPr>
                <w:sz w:val="20"/>
                <w:lang w:val="fr-CA"/>
              </w:rPr>
            </w:pPr>
            <w:r w:rsidRPr="000B0F9B">
              <w:rPr>
                <w:sz w:val="20"/>
                <w:lang w:val="fr-CA"/>
              </w:rPr>
              <w:t>Cour d’appel du Québec (Montréal)</w:t>
            </w:r>
          </w:p>
          <w:p w:rsidR="00A33CBF" w:rsidRPr="000B0F9B" w:rsidRDefault="00A33CBF" w:rsidP="00CF3C16">
            <w:pPr>
              <w:jc w:val="both"/>
              <w:rPr>
                <w:sz w:val="20"/>
                <w:lang w:val="fr-CA"/>
              </w:rPr>
            </w:pPr>
            <w:r w:rsidRPr="000B0F9B">
              <w:rPr>
                <w:sz w:val="20"/>
                <w:lang w:val="fr-CA"/>
              </w:rPr>
              <w:t>(Les juges Bich, Healy et Sansfaçon)</w:t>
            </w:r>
          </w:p>
          <w:p w:rsidR="00A33CBF" w:rsidRPr="000B0F9B" w:rsidRDefault="000B0F9B" w:rsidP="00CF3C16">
            <w:pPr>
              <w:jc w:val="both"/>
              <w:rPr>
                <w:sz w:val="20"/>
              </w:rPr>
            </w:pPr>
            <w:hyperlink r:id="rId18" w:history="1">
              <w:r w:rsidR="00A33CBF" w:rsidRPr="000B0F9B">
                <w:rPr>
                  <w:rStyle w:val="Hyperlink"/>
                  <w:sz w:val="20"/>
                </w:rPr>
                <w:t>2021 QCCA 1185</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Requête en autorisation d’appel accueillie et permission en l’appeler accordée</w:t>
            </w:r>
          </w:p>
          <w:p w:rsidR="00A33CBF" w:rsidRPr="000B0F9B" w:rsidRDefault="00A33CBF" w:rsidP="00CF3C16">
            <w:pPr>
              <w:jc w:val="both"/>
              <w:rPr>
                <w:sz w:val="20"/>
              </w:rPr>
            </w:pPr>
            <w:r w:rsidRPr="000B0F9B">
              <w:rPr>
                <w:sz w:val="20"/>
              </w:rPr>
              <w:t>Appel rejeté.</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Le 28 septembre 2021</w:t>
            </w:r>
          </w:p>
          <w:p w:rsidR="00A33CBF" w:rsidRPr="000B0F9B" w:rsidRDefault="00A33CBF" w:rsidP="00CF3C16">
            <w:pPr>
              <w:jc w:val="both"/>
              <w:rPr>
                <w:sz w:val="20"/>
                <w:lang w:val="fr-CA"/>
              </w:rPr>
            </w:pPr>
            <w:r w:rsidRPr="000B0F9B">
              <w:rPr>
                <w:sz w:val="20"/>
                <w:lang w:val="fr-CA"/>
              </w:rPr>
              <w:t>Cour suprême du Canada</w:t>
            </w: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Demande d'autorisation d'appel déposée</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widowControl w:val="0"/>
        <w:jc w:val="both"/>
        <w:rPr>
          <w:sz w:val="20"/>
          <w:lang w:val="fr-CA"/>
        </w:rPr>
      </w:pPr>
      <w:r w:rsidRPr="000B0F9B">
        <w:rPr>
          <w:sz w:val="20"/>
        </w:rPr>
        <w:pict>
          <v:rect id="_x0000_i1033" style="width:2in;height:1pt" o:hrpct="0" o:hralign="center" o:hrstd="t" o:hrnoshade="t" o:hr="t" fillcolor="black [3213]" stroked="f"/>
        </w:pict>
      </w:r>
    </w:p>
    <w:p w:rsidR="00A33CBF" w:rsidRPr="000B0F9B" w:rsidRDefault="00A33CBF" w:rsidP="00A33CB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39890</w:t>
            </w:r>
          </w:p>
        </w:tc>
        <w:tc>
          <w:tcPr>
            <w:tcW w:w="4457" w:type="pct"/>
            <w:gridSpan w:val="3"/>
          </w:tcPr>
          <w:p w:rsidR="00A33CBF" w:rsidRPr="000B0F9B" w:rsidRDefault="00A33CBF" w:rsidP="00CF3C16">
            <w:pPr>
              <w:pStyle w:val="SCCLsocParty"/>
              <w:jc w:val="both"/>
              <w:rPr>
                <w:b/>
                <w:sz w:val="20"/>
                <w:szCs w:val="20"/>
                <w:lang w:val="en-US"/>
              </w:rPr>
            </w:pPr>
            <w:r w:rsidRPr="000B0F9B">
              <w:rPr>
                <w:b/>
                <w:sz w:val="20"/>
                <w:szCs w:val="20"/>
                <w:lang w:val="en-US"/>
              </w:rPr>
              <w:t>MDS Inc.</w:t>
            </w:r>
            <w:r w:rsidR="00CF3C16" w:rsidRPr="000B0F9B">
              <w:rPr>
                <w:b/>
                <w:sz w:val="20"/>
                <w:szCs w:val="20"/>
                <w:lang w:val="en-US"/>
              </w:rPr>
              <w:t xml:space="preserve"> and</w:t>
            </w:r>
            <w:r w:rsidRPr="000B0F9B">
              <w:rPr>
                <w:b/>
                <w:sz w:val="20"/>
                <w:szCs w:val="20"/>
                <w:lang w:val="en-US"/>
              </w:rPr>
              <w:t xml:space="preserve"> MDS (Canada) Inc. </w:t>
            </w:r>
            <w:r w:rsidR="00CF3C16" w:rsidRPr="000B0F9B">
              <w:rPr>
                <w:b/>
                <w:sz w:val="20"/>
                <w:szCs w:val="20"/>
                <w:lang w:val="en-US"/>
              </w:rPr>
              <w:t>c</w:t>
            </w:r>
            <w:r w:rsidRPr="000B0F9B">
              <w:rPr>
                <w:b/>
                <w:sz w:val="20"/>
                <w:szCs w:val="20"/>
                <w:lang w:val="en-US"/>
              </w:rPr>
              <w:t>.</w:t>
            </w:r>
            <w:r w:rsidR="00CF3C16" w:rsidRPr="000B0F9B">
              <w:rPr>
                <w:b/>
                <w:sz w:val="20"/>
                <w:szCs w:val="20"/>
                <w:lang w:val="en-US"/>
              </w:rPr>
              <w:t>o</w:t>
            </w:r>
            <w:r w:rsidRPr="000B0F9B">
              <w:rPr>
                <w:b/>
                <w:sz w:val="20"/>
                <w:szCs w:val="20"/>
                <w:lang w:val="en-US"/>
              </w:rPr>
              <w:t>.</w:t>
            </w:r>
            <w:r w:rsidR="00CF3C16" w:rsidRPr="000B0F9B">
              <w:rPr>
                <w:b/>
                <w:sz w:val="20"/>
                <w:szCs w:val="20"/>
                <w:lang w:val="en-US"/>
              </w:rPr>
              <w:t>b</w:t>
            </w:r>
            <w:r w:rsidRPr="000B0F9B">
              <w:rPr>
                <w:b/>
                <w:sz w:val="20"/>
                <w:szCs w:val="20"/>
                <w:lang w:val="en-US"/>
              </w:rPr>
              <w:t xml:space="preserve">. MDS Nordion v. Factory Mutual Insurance Company </w:t>
            </w:r>
            <w:r w:rsidR="00CF3C16" w:rsidRPr="000B0F9B">
              <w:rPr>
                <w:b/>
                <w:sz w:val="20"/>
                <w:szCs w:val="20"/>
                <w:lang w:val="en-US"/>
              </w:rPr>
              <w:t>c</w:t>
            </w:r>
            <w:r w:rsidRPr="000B0F9B">
              <w:rPr>
                <w:b/>
                <w:sz w:val="20"/>
                <w:szCs w:val="20"/>
                <w:lang w:val="en-US"/>
              </w:rPr>
              <w:t>.</w:t>
            </w:r>
            <w:r w:rsidR="00CF3C16" w:rsidRPr="000B0F9B">
              <w:rPr>
                <w:b/>
                <w:sz w:val="20"/>
                <w:szCs w:val="20"/>
                <w:lang w:val="en-US"/>
              </w:rPr>
              <w:t>o</w:t>
            </w:r>
            <w:r w:rsidRPr="000B0F9B">
              <w:rPr>
                <w:b/>
                <w:sz w:val="20"/>
                <w:szCs w:val="20"/>
                <w:lang w:val="en-US"/>
              </w:rPr>
              <w:t>.</w:t>
            </w:r>
            <w:r w:rsidR="00CF3C16" w:rsidRPr="000B0F9B">
              <w:rPr>
                <w:b/>
                <w:sz w:val="20"/>
                <w:szCs w:val="20"/>
                <w:lang w:val="en-US"/>
              </w:rPr>
              <w:t>b</w:t>
            </w:r>
            <w:r w:rsidRPr="000B0F9B">
              <w:rPr>
                <w:b/>
                <w:sz w:val="20"/>
                <w:szCs w:val="20"/>
                <w:lang w:val="en-US"/>
              </w:rPr>
              <w:t>. FM Global</w:t>
            </w:r>
          </w:p>
          <w:p w:rsidR="00A33CBF" w:rsidRPr="000B0F9B" w:rsidRDefault="00A33CBF" w:rsidP="00CF3C16">
            <w:pPr>
              <w:jc w:val="both"/>
              <w:rPr>
                <w:sz w:val="20"/>
              </w:rPr>
            </w:pPr>
            <w:r w:rsidRPr="000B0F9B">
              <w:rPr>
                <w:sz w:val="20"/>
              </w:rPr>
              <w:t>(Ont.) (Civil) (By Leave)</w:t>
            </w:r>
          </w:p>
        </w:tc>
      </w:tr>
      <w:tr w:rsidR="00A33CBF" w:rsidRPr="000B0F9B" w:rsidTr="00CF3C16">
        <w:tc>
          <w:tcPr>
            <w:tcW w:w="5000" w:type="pct"/>
            <w:gridSpan w:val="4"/>
          </w:tcPr>
          <w:p w:rsidR="00A33CBF" w:rsidRPr="000B0F9B" w:rsidRDefault="00CF3C16" w:rsidP="00CF3C16">
            <w:pPr>
              <w:jc w:val="both"/>
              <w:rPr>
                <w:sz w:val="20"/>
                <w:szCs w:val="20"/>
              </w:rPr>
            </w:pPr>
            <w:r w:rsidRPr="000B0F9B">
              <w:rPr>
                <w:sz w:val="20"/>
                <w:szCs w:val="20"/>
              </w:rPr>
              <w:t>The application for leave to appeal from the judgment of the Court of Appeal for Ontario, Number C68300, 2021 ONCA 594, dated September 3, 2021 is dismissed with costs.</w:t>
            </w:r>
          </w:p>
          <w:p w:rsidR="00CF3C16" w:rsidRPr="000B0F9B" w:rsidRDefault="00CF3C16" w:rsidP="00CF3C16">
            <w:pPr>
              <w:jc w:val="both"/>
              <w:rPr>
                <w:sz w:val="20"/>
              </w:rPr>
            </w:pPr>
          </w:p>
        </w:tc>
      </w:tr>
      <w:tr w:rsidR="00A33CBF" w:rsidRPr="000B0F9B" w:rsidTr="00CF3C16">
        <w:tc>
          <w:tcPr>
            <w:tcW w:w="5000" w:type="pct"/>
            <w:gridSpan w:val="4"/>
          </w:tcPr>
          <w:p w:rsidR="00A33CBF" w:rsidRPr="000B0F9B" w:rsidRDefault="00A33CBF" w:rsidP="00CF3C16">
            <w:pPr>
              <w:jc w:val="both"/>
              <w:rPr>
                <w:sz w:val="20"/>
              </w:rPr>
            </w:pPr>
            <w:r w:rsidRPr="000B0F9B">
              <w:rPr>
                <w:sz w:val="20"/>
              </w:rPr>
              <w:t>Insurance — Property insurance — All risks policy — Exclusions clauses and exceptions —Interpretation — How should Canadian courts interpret physical damage exclusions and resulting damage exceptions in a standard</w:t>
            </w:r>
            <w:r w:rsidRPr="000B0F9B">
              <w:rPr>
                <w:sz w:val="20"/>
              </w:rPr>
              <w:noBreakHyphen/>
              <w:t>form property and casualty insurance policy — Does the loss of an insured property’s functionality or use constitute resulting “physical damage” within the meaning of an “all</w:t>
            </w:r>
            <w:r w:rsidRPr="000B0F9B">
              <w:rPr>
                <w:sz w:val="20"/>
              </w:rPr>
              <w:noBreakHyphen/>
              <w:t>risk” policy.</w:t>
            </w:r>
          </w:p>
          <w:p w:rsidR="00A33CBF" w:rsidRPr="000B0F9B" w:rsidRDefault="00A33CBF" w:rsidP="00CF3C16">
            <w:pPr>
              <w:jc w:val="both"/>
              <w:rPr>
                <w:sz w:val="20"/>
              </w:rPr>
            </w:pPr>
          </w:p>
        </w:tc>
      </w:tr>
      <w:tr w:rsidR="00A33CBF" w:rsidRPr="000B0F9B" w:rsidTr="00CF3C16">
        <w:tc>
          <w:tcPr>
            <w:tcW w:w="5000" w:type="pct"/>
            <w:gridSpan w:val="4"/>
          </w:tcPr>
          <w:p w:rsidR="00A33CBF" w:rsidRPr="000B0F9B" w:rsidRDefault="00A33CBF" w:rsidP="00CF3C16">
            <w:pPr>
              <w:jc w:val="both"/>
              <w:rPr>
                <w:color w:val="000000"/>
                <w:sz w:val="20"/>
              </w:rPr>
            </w:pPr>
            <w:r w:rsidRPr="000B0F9B">
              <w:rPr>
                <w:color w:val="000000"/>
                <w:sz w:val="20"/>
              </w:rPr>
              <w:t xml:space="preserve">The applicants are a global health science company and its Canadian subsidiary. In February 2006, they contracted to buy radioisotopes from Atomic Energy of Canada Limited, to be produced at its Nuclear Research Universal (NRU) reactor located in Chalk River, Ontario. The radioisotopes would be sold worldwide for cardiac imaging, cancer treatments, and sterilization of medical products. On May 14, 2009, heavy water containing radioactive tritium was found to be leaking through the calandria wall of the NRU reactor. The leak was caused by corrosion. The reactor was shut down for 15 months for repairs, and the applicants lost profits of approximately CA$121,248,000 from the loss of their supplier. The applicants submitted a claim for lost profits to the respondent </w:t>
            </w:r>
            <w:r w:rsidRPr="000B0F9B">
              <w:rPr>
                <w:sz w:val="20"/>
              </w:rPr>
              <w:t>i</w:t>
            </w:r>
            <w:r w:rsidRPr="000B0F9B">
              <w:rPr>
                <w:color w:val="000000"/>
                <w:sz w:val="20"/>
              </w:rPr>
              <w:t xml:space="preserve">nsurer under their all-risk insurance policy. The policy was a standard form covering all risks of physical loss or damage to property and contingent time element coverage resulting from a supplier’s business interruption. It excluded coverage for losses caused by </w:t>
            </w:r>
            <w:r w:rsidRPr="000B0F9B">
              <w:rPr>
                <w:i/>
                <w:color w:val="000000"/>
                <w:sz w:val="20"/>
              </w:rPr>
              <w:t>corrosion</w:t>
            </w:r>
            <w:r w:rsidRPr="000B0F9B">
              <w:rPr>
                <w:color w:val="000000"/>
                <w:sz w:val="20"/>
              </w:rPr>
              <w:t>, and the corrosion exclusion included an exception for resulting physical damage not excluded by the policy. The respondent denied coverage on the basis that the claim was excluded under the policy.</w:t>
            </w:r>
          </w:p>
          <w:p w:rsidR="00A33CBF" w:rsidRPr="000B0F9B" w:rsidRDefault="00A33CBF" w:rsidP="00CF3C16">
            <w:pPr>
              <w:jc w:val="both"/>
              <w:rPr>
                <w:color w:val="000000"/>
                <w:sz w:val="20"/>
              </w:rPr>
            </w:pPr>
          </w:p>
          <w:p w:rsidR="00A33CBF" w:rsidRPr="000B0F9B" w:rsidRDefault="00A33CBF" w:rsidP="00CF3C16">
            <w:pPr>
              <w:jc w:val="both"/>
              <w:rPr>
                <w:sz w:val="20"/>
              </w:rPr>
            </w:pPr>
            <w:r w:rsidRPr="000B0F9B">
              <w:rPr>
                <w:sz w:val="20"/>
              </w:rPr>
              <w:t xml:space="preserve">The Ontario Superior Court of Justice held that the applicant’s losses were covered under the policy. It found that the corrosion exclusion did not apply to unanticipated and fortuitous corrosion and that, had it applied, the exception for physical damage should be interpreted to include economic loss caused by the inability to use insured property, such as in this case. Therefore the applicants were entitled to recover to the limits of the Contingent Time Element coverage under its policy to the amount of US$25,000,000, plus prejudgment interest at the actual cost of borrowing. The Ontario Court of Appeal allowed the appeal, set aside the lower court judgment and denied coverage.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September 9, 2020</w:t>
            </w:r>
          </w:p>
          <w:p w:rsidR="00A33CBF" w:rsidRPr="000B0F9B" w:rsidRDefault="00A33CBF" w:rsidP="00CF3C16">
            <w:pPr>
              <w:jc w:val="both"/>
              <w:rPr>
                <w:sz w:val="20"/>
              </w:rPr>
            </w:pPr>
            <w:r w:rsidRPr="000B0F9B">
              <w:rPr>
                <w:sz w:val="20"/>
              </w:rPr>
              <w:t>Ontario Superior Court of Justice</w:t>
            </w:r>
          </w:p>
          <w:p w:rsidR="00A33CBF" w:rsidRPr="000B0F9B" w:rsidRDefault="00A33CBF" w:rsidP="00CF3C16">
            <w:pPr>
              <w:jc w:val="both"/>
              <w:rPr>
                <w:sz w:val="20"/>
              </w:rPr>
            </w:pPr>
            <w:r w:rsidRPr="000B0F9B">
              <w:rPr>
                <w:sz w:val="20"/>
              </w:rPr>
              <w:t>(Wilson J.)</w:t>
            </w:r>
          </w:p>
          <w:p w:rsidR="00A33CBF" w:rsidRPr="000B0F9B" w:rsidRDefault="000B0F9B" w:rsidP="00CF3C16">
            <w:pPr>
              <w:jc w:val="both"/>
              <w:rPr>
                <w:sz w:val="20"/>
              </w:rPr>
            </w:pPr>
            <w:hyperlink r:id="rId19" w:history="1">
              <w:r w:rsidR="00A33CBF" w:rsidRPr="000B0F9B">
                <w:rPr>
                  <w:rStyle w:val="Hyperlink"/>
                  <w:sz w:val="20"/>
                </w:rPr>
                <w:t>2020 ONSC 1924</w:t>
              </w:r>
            </w:hyperlink>
            <w:r w:rsidR="00A33CBF" w:rsidRPr="000B0F9B">
              <w:rPr>
                <w:sz w:val="20"/>
              </w:rPr>
              <w:t xml:space="preserve">; </w:t>
            </w:r>
            <w:hyperlink r:id="rId20" w:history="1">
              <w:r w:rsidR="00A33CBF" w:rsidRPr="000B0F9B">
                <w:rPr>
                  <w:rStyle w:val="Hyperlink"/>
                  <w:sz w:val="20"/>
                </w:rPr>
                <w:t>2020 ONSC 4464</w:t>
              </w:r>
            </w:hyperlink>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Applicants entitled to recover to the limits of the Contingent Time Element coverage under the insurance policy with the respondent to the amount of US$25,000,000.</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September 3, 2021</w:t>
            </w:r>
          </w:p>
          <w:p w:rsidR="00A33CBF" w:rsidRPr="000B0F9B" w:rsidRDefault="00A33CBF" w:rsidP="00CF3C16">
            <w:pPr>
              <w:jc w:val="both"/>
              <w:rPr>
                <w:sz w:val="20"/>
              </w:rPr>
            </w:pPr>
            <w:r w:rsidRPr="000B0F9B">
              <w:rPr>
                <w:sz w:val="20"/>
              </w:rPr>
              <w:t>Court of Appeal for Ontario</w:t>
            </w:r>
          </w:p>
          <w:p w:rsidR="00A33CBF" w:rsidRPr="000B0F9B" w:rsidRDefault="00A33CBF" w:rsidP="00CF3C16">
            <w:pPr>
              <w:jc w:val="both"/>
              <w:rPr>
                <w:sz w:val="20"/>
              </w:rPr>
            </w:pPr>
            <w:r w:rsidRPr="000B0F9B">
              <w:rPr>
                <w:sz w:val="20"/>
              </w:rPr>
              <w:t xml:space="preserve">(Feldman, Harvison Young and Thorburn </w:t>
            </w:r>
          </w:p>
          <w:p w:rsidR="00A33CBF" w:rsidRPr="000B0F9B" w:rsidRDefault="00A33CBF" w:rsidP="00CF3C16">
            <w:pPr>
              <w:jc w:val="both"/>
              <w:rPr>
                <w:sz w:val="20"/>
              </w:rPr>
            </w:pPr>
            <w:r w:rsidRPr="000B0F9B">
              <w:rPr>
                <w:sz w:val="20"/>
              </w:rPr>
              <w:t>JJ.A.)</w:t>
            </w:r>
          </w:p>
          <w:p w:rsidR="00A33CBF" w:rsidRPr="000B0F9B" w:rsidRDefault="000B0F9B" w:rsidP="00CF3C16">
            <w:pPr>
              <w:jc w:val="both"/>
              <w:rPr>
                <w:sz w:val="20"/>
              </w:rPr>
            </w:pPr>
            <w:hyperlink r:id="rId21" w:history="1">
              <w:r w:rsidR="00A33CBF" w:rsidRPr="000B0F9B">
                <w:rPr>
                  <w:rStyle w:val="Hyperlink"/>
                  <w:sz w:val="20"/>
                </w:rPr>
                <w:t>2021 ONCA 594</w:t>
              </w:r>
            </w:hyperlink>
            <w:r w:rsidR="00A33CBF" w:rsidRPr="000B0F9B">
              <w:rPr>
                <w:sz w:val="20"/>
              </w:rPr>
              <w:t>; C68300</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Appeal allowed and lower court judgment set aside.</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October 22, 2021</w:t>
            </w:r>
          </w:p>
          <w:p w:rsidR="00A33CBF" w:rsidRPr="000B0F9B" w:rsidRDefault="00A33CBF" w:rsidP="00CF3C16">
            <w:pPr>
              <w:jc w:val="both"/>
              <w:rPr>
                <w:sz w:val="20"/>
              </w:rPr>
            </w:pPr>
            <w:r w:rsidRPr="000B0F9B">
              <w:rPr>
                <w:sz w:val="20"/>
              </w:rPr>
              <w:t>Supreme Court of Canada</w:t>
            </w: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for leave to appeal filed.</w:t>
            </w: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4" style="width:2in;height:1pt" o:hrpct="0" o:hralign="center" o:hrstd="t" o:hrnoshade="t" o:hr="t" fillcolor="black [3213]" stroked="f"/>
        </w:pict>
      </w:r>
    </w:p>
    <w:p w:rsidR="00A33CBF" w:rsidRPr="000B0F9B" w:rsidRDefault="00A33CBF" w:rsidP="00A33CBF">
      <w:pPr>
        <w:jc w:val="both"/>
        <w:rPr>
          <w:sz w:val="20"/>
        </w:rPr>
      </w:pPr>
    </w:p>
    <w:p w:rsidR="00734A59" w:rsidRPr="000B0F9B" w:rsidRDefault="00734A59">
      <w:r w:rsidRPr="000B0F9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lastRenderedPageBreak/>
              <w:t>39890</w:t>
            </w:r>
          </w:p>
        </w:tc>
        <w:tc>
          <w:tcPr>
            <w:tcW w:w="4457" w:type="pct"/>
            <w:gridSpan w:val="3"/>
          </w:tcPr>
          <w:p w:rsidR="00A33CBF" w:rsidRPr="000B0F9B" w:rsidRDefault="00A33CBF" w:rsidP="00CF3C16">
            <w:pPr>
              <w:pStyle w:val="SCCLsocParty"/>
              <w:jc w:val="both"/>
              <w:rPr>
                <w:b/>
                <w:sz w:val="20"/>
                <w:szCs w:val="20"/>
                <w:lang w:val="en-US"/>
              </w:rPr>
            </w:pPr>
            <w:r w:rsidRPr="000B0F9B">
              <w:rPr>
                <w:b/>
                <w:sz w:val="20"/>
                <w:szCs w:val="20"/>
                <w:lang w:val="en-US"/>
              </w:rPr>
              <w:t>MDS Inc.</w:t>
            </w:r>
            <w:r w:rsidR="00CF3C16" w:rsidRPr="000B0F9B">
              <w:rPr>
                <w:b/>
                <w:sz w:val="20"/>
                <w:szCs w:val="20"/>
                <w:lang w:val="en-US"/>
              </w:rPr>
              <w:t xml:space="preserve"> et</w:t>
            </w:r>
            <w:r w:rsidRPr="000B0F9B">
              <w:rPr>
                <w:b/>
                <w:sz w:val="20"/>
                <w:szCs w:val="20"/>
                <w:lang w:val="en-US"/>
              </w:rPr>
              <w:t xml:space="preserve"> MDS (Canada) Inc. </w:t>
            </w:r>
            <w:r w:rsidR="00CF3C16" w:rsidRPr="000B0F9B">
              <w:rPr>
                <w:b/>
                <w:sz w:val="20"/>
                <w:szCs w:val="20"/>
                <w:lang w:val="en-US"/>
              </w:rPr>
              <w:t>c</w:t>
            </w:r>
            <w:r w:rsidRPr="000B0F9B">
              <w:rPr>
                <w:b/>
                <w:sz w:val="20"/>
                <w:szCs w:val="20"/>
                <w:lang w:val="en-US"/>
              </w:rPr>
              <w:t>.</w:t>
            </w:r>
            <w:r w:rsidR="00CF3C16" w:rsidRPr="000B0F9B">
              <w:rPr>
                <w:b/>
                <w:sz w:val="20"/>
                <w:szCs w:val="20"/>
                <w:lang w:val="en-US"/>
              </w:rPr>
              <w:t>o</w:t>
            </w:r>
            <w:r w:rsidRPr="000B0F9B">
              <w:rPr>
                <w:b/>
                <w:sz w:val="20"/>
                <w:szCs w:val="20"/>
                <w:lang w:val="en-US"/>
              </w:rPr>
              <w:t>.</w:t>
            </w:r>
            <w:r w:rsidR="00CF3C16" w:rsidRPr="000B0F9B">
              <w:rPr>
                <w:b/>
                <w:sz w:val="20"/>
                <w:szCs w:val="20"/>
                <w:lang w:val="en-US"/>
              </w:rPr>
              <w:t>b</w:t>
            </w:r>
            <w:r w:rsidRPr="000B0F9B">
              <w:rPr>
                <w:b/>
                <w:sz w:val="20"/>
                <w:szCs w:val="20"/>
                <w:lang w:val="en-US"/>
              </w:rPr>
              <w:t xml:space="preserve">. MDS Nordion c. Factory Mutual Insurance Company </w:t>
            </w:r>
            <w:r w:rsidR="00CF3C16" w:rsidRPr="000B0F9B">
              <w:rPr>
                <w:b/>
                <w:sz w:val="20"/>
                <w:szCs w:val="20"/>
                <w:lang w:val="en-US"/>
              </w:rPr>
              <w:t>c</w:t>
            </w:r>
            <w:r w:rsidRPr="000B0F9B">
              <w:rPr>
                <w:b/>
                <w:sz w:val="20"/>
                <w:szCs w:val="20"/>
                <w:lang w:val="en-US"/>
              </w:rPr>
              <w:t>.</w:t>
            </w:r>
            <w:r w:rsidR="00CF3C16" w:rsidRPr="000B0F9B">
              <w:rPr>
                <w:b/>
                <w:sz w:val="20"/>
                <w:szCs w:val="20"/>
                <w:lang w:val="en-US"/>
              </w:rPr>
              <w:t>o</w:t>
            </w:r>
            <w:r w:rsidRPr="000B0F9B">
              <w:rPr>
                <w:b/>
                <w:sz w:val="20"/>
                <w:szCs w:val="20"/>
                <w:lang w:val="en-US"/>
              </w:rPr>
              <w:t>.</w:t>
            </w:r>
            <w:r w:rsidR="00CF3C16" w:rsidRPr="000B0F9B">
              <w:rPr>
                <w:b/>
                <w:sz w:val="20"/>
                <w:szCs w:val="20"/>
                <w:lang w:val="en-US"/>
              </w:rPr>
              <w:t>b</w:t>
            </w:r>
            <w:r w:rsidRPr="000B0F9B">
              <w:rPr>
                <w:b/>
                <w:sz w:val="20"/>
                <w:szCs w:val="20"/>
                <w:lang w:val="en-US"/>
              </w:rPr>
              <w:t>. FM Global</w:t>
            </w:r>
          </w:p>
          <w:p w:rsidR="00A33CBF" w:rsidRPr="000B0F9B" w:rsidRDefault="00A33CBF" w:rsidP="00CF3C16">
            <w:pPr>
              <w:jc w:val="both"/>
              <w:rPr>
                <w:sz w:val="20"/>
                <w:lang w:val="fr-CA"/>
              </w:rPr>
            </w:pPr>
            <w:r w:rsidRPr="000B0F9B">
              <w:rPr>
                <w:sz w:val="20"/>
                <w:lang w:val="fr-CA"/>
              </w:rPr>
              <w:t>(Ont.) (Civile) (Sur autorisation)</w:t>
            </w:r>
          </w:p>
        </w:tc>
      </w:tr>
      <w:tr w:rsidR="00A33CBF" w:rsidRPr="000B0F9B" w:rsidTr="00CF3C16">
        <w:tc>
          <w:tcPr>
            <w:tcW w:w="5000" w:type="pct"/>
            <w:gridSpan w:val="4"/>
          </w:tcPr>
          <w:p w:rsidR="00A33CBF" w:rsidRPr="000B0F9B" w:rsidRDefault="00CF3C16" w:rsidP="00CF3C16">
            <w:pPr>
              <w:jc w:val="both"/>
              <w:rPr>
                <w:sz w:val="20"/>
                <w:szCs w:val="20"/>
                <w:lang w:val="fr-CA"/>
              </w:rPr>
            </w:pPr>
            <w:r w:rsidRPr="000B0F9B">
              <w:rPr>
                <w:sz w:val="20"/>
                <w:szCs w:val="20"/>
                <w:lang w:val="fr-CA"/>
              </w:rPr>
              <w:t>La demande d’autorisation d’appel de l’arrêt de la Cour d’appel de l’Ontario, numéro C68300, 2021 ONCA 594, daté du 3 septembre 2021, est rejetée avec dépens.</w:t>
            </w:r>
          </w:p>
          <w:p w:rsidR="00CF3C16" w:rsidRPr="000B0F9B" w:rsidRDefault="00CF3C16" w:rsidP="00CF3C16">
            <w:pPr>
              <w:jc w:val="both"/>
              <w:rPr>
                <w:sz w:val="20"/>
                <w:lang w:val="fr-CA"/>
              </w:rPr>
            </w:pPr>
          </w:p>
        </w:tc>
      </w:tr>
      <w:tr w:rsidR="00A33CBF" w:rsidRPr="000B0F9B" w:rsidTr="00CF3C16">
        <w:tc>
          <w:tcPr>
            <w:tcW w:w="5000" w:type="pct"/>
            <w:gridSpan w:val="4"/>
          </w:tcPr>
          <w:p w:rsidR="00A33CBF" w:rsidRPr="000B0F9B" w:rsidRDefault="00A33CBF" w:rsidP="00CF3C16">
            <w:pPr>
              <w:jc w:val="both"/>
              <w:rPr>
                <w:sz w:val="20"/>
                <w:lang w:val="fr-CA"/>
              </w:rPr>
            </w:pPr>
            <w:r w:rsidRPr="000B0F9B">
              <w:rPr>
                <w:sz w:val="20"/>
                <w:lang w:val="fr-CA"/>
              </w:rPr>
              <w:t>Assurances — Assurances de biens — Police tous risques — Clauses d’exclusions et exceptions — Interprétation — Comment les tribunaux canadiens devraient-ils interpréter les exclusions pour dommages physiques et les exceptions pour les dommages qui en résultent dans une police d’assurance type de biens et de risques divers? — Est</w:t>
            </w:r>
            <w:r w:rsidRPr="000B0F9B">
              <w:rPr>
                <w:sz w:val="20"/>
                <w:lang w:val="fr-CA"/>
              </w:rPr>
              <w:noBreakHyphen/>
              <w:t>ce que la perte de fonctionnalité ou d’usage d’un bien assuré constitue un « dommage physique » qui en résulte au sens d’une police « tous risques »?</w:t>
            </w:r>
          </w:p>
          <w:p w:rsidR="00A33CBF" w:rsidRPr="000B0F9B" w:rsidRDefault="00A33CBF" w:rsidP="00CF3C16">
            <w:pPr>
              <w:jc w:val="both"/>
              <w:rPr>
                <w:sz w:val="20"/>
                <w:lang w:val="fr-CA"/>
              </w:rPr>
            </w:pPr>
          </w:p>
        </w:tc>
      </w:tr>
      <w:tr w:rsidR="00A33CBF" w:rsidRPr="000B0F9B" w:rsidTr="00CF3C16">
        <w:tc>
          <w:tcPr>
            <w:tcW w:w="5000" w:type="pct"/>
            <w:gridSpan w:val="4"/>
          </w:tcPr>
          <w:p w:rsidR="00A33CBF" w:rsidRPr="000B0F9B" w:rsidRDefault="00A33CBF" w:rsidP="00CF3C16">
            <w:pPr>
              <w:jc w:val="both"/>
              <w:rPr>
                <w:sz w:val="20"/>
                <w:lang w:val="fr-CA"/>
              </w:rPr>
            </w:pPr>
            <w:r w:rsidRPr="000B0F9B">
              <w:rPr>
                <w:sz w:val="20"/>
                <w:lang w:val="fr-CA"/>
              </w:rPr>
              <w:t>Les demanderesses sont une entreprise mondiale de sciences de la santé et sa filiale canadienne. En février 2006, elles ont conclu un contrat d’achat de radio</w:t>
            </w:r>
            <w:r w:rsidRPr="000B0F9B">
              <w:rPr>
                <w:sz w:val="20"/>
                <w:lang w:val="fr-CA"/>
              </w:rPr>
              <w:noBreakHyphen/>
              <w:t>isotopes avec Énergie atomique du Canada limitée, des substances qui devaient être produites par le réacteur Nuclear Research Universal (NRU) situé à Chalk River, en Ontario. Les radio</w:t>
            </w:r>
            <w:r w:rsidRPr="000B0F9B">
              <w:rPr>
                <w:sz w:val="20"/>
                <w:lang w:val="fr-CA"/>
              </w:rPr>
              <w:noBreakHyphen/>
              <w:t xml:space="preserve">isotopes seraient vendus dans le monde entier pour l’imagerie cardiaque, des traitements contre le cancer et la stérilisation d’équipement médical. Le 14 mai 2009, une fuite d’eau lourde contenant du tritium radioactif a été découverte dans les parois de la cuve du réacteur NRU. La fuite était causée par la corrosion. Le réacteur a été fermé durant 15 mois pour qu’il soit réparé, et les demanderesses ont subi une perte de profits de quelque 121 248 000 $ CA en raison de la perte de leur fournisseur. Les demanderesses ont présenté une réclamation pour perte de profits auprès de la compagnie d’assurance intimée en application de leur police d’assurance tous risques. Il s’agissait d’une police type couvrant tous les risques de pertes ou de dommages physiques aux biens, ainsi que l’élément temporel éventuel découlant d’une interruption des activités d’un fournisseur. Elle excluait la couverture pour les pertes causées par la </w:t>
            </w:r>
            <w:r w:rsidRPr="000B0F9B">
              <w:rPr>
                <w:i/>
                <w:sz w:val="20"/>
                <w:lang w:val="fr-CA"/>
              </w:rPr>
              <w:t>corrosion</w:t>
            </w:r>
            <w:r w:rsidRPr="000B0F9B">
              <w:rPr>
                <w:sz w:val="20"/>
                <w:lang w:val="fr-CA"/>
              </w:rPr>
              <w:t>, et cette exclusion comprenait une exception pour les dommages physiques en résultant non exclus par la police. L’intimée a refusé d’indemniser les demanderesses en faisant valoir que la réclamation était exclue aux termes de la police.</w:t>
            </w:r>
          </w:p>
          <w:p w:rsidR="00A33CBF" w:rsidRPr="000B0F9B" w:rsidRDefault="00A33CBF" w:rsidP="00CF3C16">
            <w:pPr>
              <w:jc w:val="both"/>
              <w:rPr>
                <w:color w:val="000000"/>
                <w:sz w:val="20"/>
                <w:lang w:val="fr-CA"/>
              </w:rPr>
            </w:pPr>
          </w:p>
          <w:p w:rsidR="00A33CBF" w:rsidRPr="000B0F9B" w:rsidRDefault="00A33CBF" w:rsidP="00CF3C16">
            <w:pPr>
              <w:jc w:val="both"/>
              <w:rPr>
                <w:color w:val="000000"/>
                <w:sz w:val="20"/>
                <w:lang w:val="fr-CA"/>
              </w:rPr>
            </w:pPr>
            <w:r w:rsidRPr="000B0F9B">
              <w:rPr>
                <w:color w:val="000000"/>
                <w:sz w:val="20"/>
                <w:lang w:val="fr-CA"/>
              </w:rPr>
              <w:t>La Cour supérieure de justice de l’Ontario a conclu que les pertes des demanderesses étaient couvertes par la police. Selon elle, l’exclusion relative à la corrosion ne s’appliquait pas à la corrosion imprévue et fortuite et, si elle appliquait, l’exception pour dommage physique devrait être interprétée pour viser la perte financière causée par l’incapacité d’utiliser les biens assurés, comme en l’espèce. Les demanderesses avaient donc le droit d’être indemnisées à la hauteur de la couverture pour l’élément temporel éventuel prévu par sa police d’un montant de 25 000 000 $ US, plus l’intérêt avant jugement au taux réel d’emprunt. La Cour d’appel de l’Ontario a accueilli l’appel, annulé la décision de la cour d’instance inférieure et refusé de donner effet à la police.</w:t>
            </w:r>
          </w:p>
        </w:tc>
      </w:tr>
      <w:tr w:rsidR="00A33CBF" w:rsidRPr="000B0F9B" w:rsidTr="00CF3C16">
        <w:tc>
          <w:tcPr>
            <w:tcW w:w="5000" w:type="pct"/>
            <w:gridSpan w:val="4"/>
          </w:tcPr>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9 septembre 2020</w:t>
            </w:r>
          </w:p>
          <w:p w:rsidR="00A33CBF" w:rsidRPr="000B0F9B" w:rsidRDefault="00A33CBF" w:rsidP="00CF3C16">
            <w:pPr>
              <w:jc w:val="both"/>
              <w:rPr>
                <w:sz w:val="20"/>
                <w:lang w:val="fr-CA"/>
              </w:rPr>
            </w:pPr>
            <w:r w:rsidRPr="000B0F9B">
              <w:rPr>
                <w:sz w:val="20"/>
                <w:lang w:val="fr-CA"/>
              </w:rPr>
              <w:t>Cour supérieure de justice de l’Ontario</w:t>
            </w:r>
          </w:p>
          <w:p w:rsidR="00A33CBF" w:rsidRPr="000B0F9B" w:rsidRDefault="00A33CBF" w:rsidP="00CF3C16">
            <w:pPr>
              <w:jc w:val="both"/>
              <w:rPr>
                <w:sz w:val="20"/>
              </w:rPr>
            </w:pPr>
            <w:r w:rsidRPr="000B0F9B">
              <w:rPr>
                <w:sz w:val="20"/>
              </w:rPr>
              <w:t>(Juge Wilson)</w:t>
            </w:r>
          </w:p>
          <w:p w:rsidR="00A33CBF" w:rsidRPr="000B0F9B" w:rsidRDefault="000B0F9B" w:rsidP="00CF3C16">
            <w:pPr>
              <w:jc w:val="both"/>
              <w:rPr>
                <w:sz w:val="20"/>
              </w:rPr>
            </w:pPr>
            <w:hyperlink r:id="rId22" w:history="1">
              <w:r w:rsidR="00A33CBF" w:rsidRPr="000B0F9B">
                <w:rPr>
                  <w:rStyle w:val="Hyperlink"/>
                  <w:sz w:val="20"/>
                </w:rPr>
                <w:t>2020 ONSC 1924</w:t>
              </w:r>
            </w:hyperlink>
            <w:r w:rsidR="00A33CBF" w:rsidRPr="000B0F9B">
              <w:rPr>
                <w:sz w:val="20"/>
              </w:rPr>
              <w:t xml:space="preserve">; </w:t>
            </w:r>
            <w:hyperlink r:id="rId23" w:history="1">
              <w:r w:rsidR="00A33CBF" w:rsidRPr="000B0F9B">
                <w:rPr>
                  <w:rStyle w:val="Hyperlink"/>
                  <w:sz w:val="20"/>
                </w:rPr>
                <w:t>2020 ONSC 4464</w:t>
              </w:r>
            </w:hyperlink>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 xml:space="preserve">Droit d’être indemnisées à la hauteur de </w:t>
            </w:r>
            <w:r w:rsidRPr="000B0F9B">
              <w:rPr>
                <w:color w:val="000000"/>
                <w:sz w:val="20"/>
                <w:lang w:val="fr-CA"/>
              </w:rPr>
              <w:t>la couverture pour l’élément temporel éventuel prévu par leur police conclue avec l’intimée d’un montant de 25 000 000 $ US reconnu aux demanderesses</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3 septembre 2021</w:t>
            </w:r>
          </w:p>
          <w:p w:rsidR="00A33CBF" w:rsidRPr="000B0F9B" w:rsidRDefault="00A33CBF" w:rsidP="00CF3C16">
            <w:pPr>
              <w:jc w:val="both"/>
              <w:rPr>
                <w:sz w:val="20"/>
                <w:lang w:val="fr-CA"/>
              </w:rPr>
            </w:pPr>
            <w:r w:rsidRPr="000B0F9B">
              <w:rPr>
                <w:sz w:val="20"/>
                <w:lang w:val="fr-CA"/>
              </w:rPr>
              <w:t>Cour d’appel de l’Ontario</w:t>
            </w:r>
          </w:p>
          <w:p w:rsidR="00A33CBF" w:rsidRPr="000B0F9B" w:rsidRDefault="00A33CBF" w:rsidP="00CF3C16">
            <w:pPr>
              <w:jc w:val="both"/>
              <w:rPr>
                <w:sz w:val="20"/>
                <w:lang w:val="fr-CA"/>
              </w:rPr>
            </w:pPr>
            <w:r w:rsidRPr="000B0F9B">
              <w:rPr>
                <w:sz w:val="20"/>
                <w:lang w:val="fr-CA"/>
              </w:rPr>
              <w:t>(Les juges Feldman, Harvison Young et Thorburn)</w:t>
            </w:r>
          </w:p>
          <w:p w:rsidR="00A33CBF" w:rsidRPr="000B0F9B" w:rsidRDefault="000B0F9B" w:rsidP="00CF3C16">
            <w:pPr>
              <w:jc w:val="both"/>
              <w:rPr>
                <w:sz w:val="20"/>
              </w:rPr>
            </w:pPr>
            <w:hyperlink r:id="rId24" w:history="1">
              <w:r w:rsidR="00A33CBF" w:rsidRPr="000B0F9B">
                <w:rPr>
                  <w:rStyle w:val="Hyperlink"/>
                  <w:sz w:val="20"/>
                </w:rPr>
                <w:t>2021 ONCA 594</w:t>
              </w:r>
            </w:hyperlink>
            <w:r w:rsidR="00A33CBF" w:rsidRPr="000B0F9B">
              <w:rPr>
                <w:sz w:val="20"/>
              </w:rPr>
              <w:t>; C68300</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Appel accueilli et décision de la cour d’instance inférieure annulée</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22 octobre 2021</w:t>
            </w:r>
          </w:p>
          <w:p w:rsidR="00A33CBF" w:rsidRPr="000B0F9B" w:rsidRDefault="00A33CBF" w:rsidP="00CF3C16">
            <w:pPr>
              <w:jc w:val="both"/>
              <w:rPr>
                <w:sz w:val="20"/>
                <w:lang w:val="fr-CA"/>
              </w:rPr>
            </w:pPr>
            <w:r w:rsidRPr="000B0F9B">
              <w:rPr>
                <w:sz w:val="20"/>
                <w:lang w:val="fr-CA"/>
              </w:rPr>
              <w:t>Cour suprême du Canada</w:t>
            </w: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Demande d’autorisation d’appel déposée</w:t>
            </w:r>
          </w:p>
        </w:tc>
      </w:tr>
    </w:tbl>
    <w:p w:rsidR="00A33CBF" w:rsidRPr="000B0F9B" w:rsidRDefault="00A33CBF" w:rsidP="00A33CBF">
      <w:pPr>
        <w:jc w:val="both"/>
        <w:rPr>
          <w:sz w:val="20"/>
        </w:rPr>
      </w:pPr>
    </w:p>
    <w:p w:rsidR="00A33CBF" w:rsidRPr="000B0F9B" w:rsidRDefault="000B0F9B" w:rsidP="00A33CBF">
      <w:pPr>
        <w:jc w:val="both"/>
        <w:rPr>
          <w:sz w:val="20"/>
          <w:lang w:val="fr-CA"/>
        </w:rPr>
      </w:pPr>
      <w:r w:rsidRPr="000B0F9B">
        <w:rPr>
          <w:sz w:val="20"/>
        </w:rPr>
        <w:pict>
          <v:rect id="_x0000_i1035" style="width:2in;height:1pt" o:hrpct="0" o:hralign="center" o:hrstd="t" o:hrnoshade="t" o:hr="t" fillcolor="black [3213]" stroked="f"/>
        </w:pict>
      </w:r>
    </w:p>
    <w:p w:rsidR="00A33CBF" w:rsidRPr="000B0F9B" w:rsidRDefault="00A33CBF" w:rsidP="00A33CBF">
      <w:pPr>
        <w:widowControl w:val="0"/>
        <w:jc w:val="both"/>
        <w:rPr>
          <w:sz w:val="20"/>
          <w:lang w:val="fr-CA"/>
        </w:rPr>
      </w:pPr>
    </w:p>
    <w:p w:rsidR="00734A59" w:rsidRPr="000B0F9B" w:rsidRDefault="00734A59">
      <w:r w:rsidRPr="000B0F9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lastRenderedPageBreak/>
              <w:t>39894</w:t>
            </w:r>
          </w:p>
        </w:tc>
        <w:tc>
          <w:tcPr>
            <w:tcW w:w="4457" w:type="pct"/>
            <w:gridSpan w:val="3"/>
          </w:tcPr>
          <w:p w:rsidR="00A33CBF" w:rsidRPr="000B0F9B" w:rsidRDefault="00A33CBF" w:rsidP="00CF3C16">
            <w:pPr>
              <w:pStyle w:val="SCCLsocParty"/>
              <w:jc w:val="both"/>
              <w:rPr>
                <w:b/>
                <w:sz w:val="20"/>
                <w:szCs w:val="20"/>
                <w:lang w:val="en-US"/>
              </w:rPr>
            </w:pPr>
            <w:r w:rsidRPr="000B0F9B">
              <w:rPr>
                <w:b/>
                <w:sz w:val="20"/>
                <w:szCs w:val="20"/>
                <w:lang w:val="en-US"/>
              </w:rPr>
              <w:t>Robert Ian Histed v. Law Society of Manitoba</w:t>
            </w:r>
          </w:p>
          <w:p w:rsidR="00A33CBF" w:rsidRPr="000B0F9B" w:rsidRDefault="00A33CBF" w:rsidP="00CF3C16">
            <w:pPr>
              <w:jc w:val="both"/>
              <w:rPr>
                <w:sz w:val="20"/>
              </w:rPr>
            </w:pPr>
            <w:r w:rsidRPr="000B0F9B">
              <w:rPr>
                <w:sz w:val="20"/>
              </w:rPr>
              <w:t>(Man.) (Civil) (By Leave)</w:t>
            </w:r>
          </w:p>
        </w:tc>
      </w:tr>
      <w:tr w:rsidR="00A33CBF" w:rsidRPr="000B0F9B" w:rsidTr="00CF3C16">
        <w:tc>
          <w:tcPr>
            <w:tcW w:w="5000" w:type="pct"/>
            <w:gridSpan w:val="4"/>
          </w:tcPr>
          <w:p w:rsidR="00A33CBF" w:rsidRPr="000B0F9B" w:rsidRDefault="00CF3C16" w:rsidP="00CF3C16">
            <w:pPr>
              <w:pStyle w:val="SCCBanSummary0"/>
              <w:rPr>
                <w:smallCaps w:val="0"/>
                <w:sz w:val="20"/>
                <w:szCs w:val="20"/>
              </w:rPr>
            </w:pPr>
            <w:r w:rsidRPr="000B0F9B">
              <w:rPr>
                <w:smallCaps w:val="0"/>
                <w:sz w:val="20"/>
                <w:szCs w:val="20"/>
              </w:rPr>
              <w:t>The application for leave to appeal from the judgment of the Court of Appeal of Manitoba, Number AI20-30-09454, 2021 MBCA 70, dated August 12, 2021, is dismissed with costs.</w:t>
            </w:r>
          </w:p>
          <w:p w:rsidR="00CF3C16" w:rsidRPr="000B0F9B" w:rsidRDefault="00CF3C16" w:rsidP="00CF3C16"/>
        </w:tc>
      </w:tr>
      <w:tr w:rsidR="00A33CBF" w:rsidRPr="000B0F9B" w:rsidTr="00CF3C16">
        <w:tc>
          <w:tcPr>
            <w:tcW w:w="5000" w:type="pct"/>
            <w:gridSpan w:val="4"/>
          </w:tcPr>
          <w:p w:rsidR="00A33CBF" w:rsidRPr="000B0F9B" w:rsidRDefault="00A33CBF" w:rsidP="00CF3C16">
            <w:pPr>
              <w:pStyle w:val="SCCBanSummary0"/>
              <w:rPr>
                <w:sz w:val="20"/>
                <w:szCs w:val="20"/>
              </w:rPr>
            </w:pPr>
            <w:r w:rsidRPr="000B0F9B">
              <w:rPr>
                <w:sz w:val="20"/>
                <w:szCs w:val="20"/>
              </w:rPr>
              <w:t>(Sealing order)</w:t>
            </w:r>
          </w:p>
          <w:p w:rsidR="00A33CBF" w:rsidRPr="000B0F9B" w:rsidRDefault="00A33CBF" w:rsidP="00CF3C16">
            <w:pPr>
              <w:jc w:val="both"/>
              <w:rPr>
                <w:sz w:val="20"/>
              </w:rPr>
            </w:pPr>
          </w:p>
          <w:p w:rsidR="00A33CBF" w:rsidRPr="000B0F9B" w:rsidRDefault="00A33CBF" w:rsidP="00CF3C16">
            <w:pPr>
              <w:jc w:val="both"/>
              <w:rPr>
                <w:sz w:val="20"/>
              </w:rPr>
            </w:pPr>
            <w:r w:rsidRPr="000B0F9B">
              <w:rPr>
                <w:sz w:val="20"/>
              </w:rPr>
              <w:t xml:space="preserve">Law of professions — Discipline — Barristers and solicitors — Law Society bringing disciplinary proceedings against lawyer based on lawyer’s allegations of prosecutorial misconduct against Crown counsel — Lawyer found guilty of professional misconduct by disciplinary tribunal — Whether a lawyer’s in court professional conduct is to be measured against the standard of reasonableness or correctness — Whether and the extent to which the law society’s power to punish a lawyer for incivility in defence of his client is subject to the rights and freedoms guaranteed to both lawyer and client under the </w:t>
            </w:r>
            <w:r w:rsidRPr="000B0F9B">
              <w:rPr>
                <w:i/>
                <w:sz w:val="20"/>
              </w:rPr>
              <w:t>Charter</w:t>
            </w:r>
            <w:r w:rsidRPr="000B0F9B">
              <w:rPr>
                <w:sz w:val="20"/>
              </w:rPr>
              <w:t xml:space="preserve"> — Whether it is an abuse of process, and a denial of an accused’s right to make full answer and defence, for the law society to collaterally attack ongoing criminal proceedings before the courts by harassing their lawyers with citations — Whether palpable errors of fact overrode the discipline panel’s findings of misconduct and led to the wrong result — Whether it is error in law for the law society to pronounce a lawyer’s speech to be professional misconduct without troubling to give reasons.</w:t>
            </w:r>
          </w:p>
        </w:tc>
      </w:tr>
      <w:tr w:rsidR="00A33CBF" w:rsidRPr="000B0F9B" w:rsidTr="00CF3C16">
        <w:tc>
          <w:tcPr>
            <w:tcW w:w="5000" w:type="pct"/>
            <w:gridSpan w:val="4"/>
          </w:tcPr>
          <w:p w:rsidR="00A33CBF" w:rsidRPr="000B0F9B" w:rsidRDefault="00A33CBF" w:rsidP="00CF3C16">
            <w:pPr>
              <w:jc w:val="both"/>
              <w:rPr>
                <w:sz w:val="20"/>
              </w:rPr>
            </w:pPr>
          </w:p>
        </w:tc>
      </w:tr>
      <w:tr w:rsidR="00A33CBF" w:rsidRPr="000B0F9B" w:rsidTr="00CF3C16">
        <w:tc>
          <w:tcPr>
            <w:tcW w:w="5000" w:type="pct"/>
            <w:gridSpan w:val="4"/>
          </w:tcPr>
          <w:p w:rsidR="00A33CBF" w:rsidRPr="000B0F9B" w:rsidRDefault="00A33CBF" w:rsidP="00CF3C16">
            <w:pPr>
              <w:jc w:val="both"/>
              <w:rPr>
                <w:sz w:val="20"/>
              </w:rPr>
            </w:pPr>
            <w:r w:rsidRPr="000B0F9B">
              <w:rPr>
                <w:sz w:val="20"/>
              </w:rPr>
              <w:t>The applicant is a lawyer who was charged with four counts of professional misconduct by the respondent, Law Society of Manitoba (“law society”), including failure to be courteous and civil and to act in good faith towards persons with whom he had dealings. The charges related to the applicant’s allegations of prosecutorial misconduct about a Crown attorney and the Assistant Deputy Attorney General (“Crown counsel”). The applicant’s allegations were made in correspondence with Crown counsel and the law society, and in court documents and oral submissions in the course of the applicant’s representation of a client. The discipline panel of the law society found that the applicant embellished and misrepresented his communications with the Crown and that he did not have adequate evidentiary basis for his claims against Crown counsel. It determined he breached his duty of civility, his duty to his client, and his duty to the court by misrepresenting facts in his briefs and oral argument. The Court of Appeal dismissed the applicant’s appeal.</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December 13, 2019</w:t>
            </w:r>
          </w:p>
          <w:p w:rsidR="00A33CBF" w:rsidRPr="000B0F9B" w:rsidRDefault="00A33CBF" w:rsidP="00CF3C16">
            <w:pPr>
              <w:jc w:val="both"/>
              <w:rPr>
                <w:sz w:val="20"/>
              </w:rPr>
            </w:pPr>
            <w:r w:rsidRPr="000B0F9B">
              <w:rPr>
                <w:sz w:val="20"/>
              </w:rPr>
              <w:t>Law Society of Manitoba</w:t>
            </w:r>
          </w:p>
          <w:p w:rsidR="00A33CBF" w:rsidRPr="000B0F9B" w:rsidRDefault="00A33CBF" w:rsidP="00CF3C16">
            <w:pPr>
              <w:jc w:val="both"/>
              <w:rPr>
                <w:sz w:val="20"/>
              </w:rPr>
            </w:pPr>
            <w:r w:rsidRPr="000B0F9B">
              <w:rPr>
                <w:sz w:val="20"/>
              </w:rPr>
              <w:t>(Jacob P. Jansen, chair, and Richard Buchwald and Lynne McCarthy, discipline hearing panel)</w:t>
            </w:r>
          </w:p>
          <w:p w:rsidR="00A33CBF" w:rsidRPr="000B0F9B" w:rsidRDefault="000B0F9B" w:rsidP="00CF3C16">
            <w:pPr>
              <w:jc w:val="both"/>
              <w:rPr>
                <w:color w:val="000000"/>
                <w:sz w:val="20"/>
              </w:rPr>
            </w:pPr>
            <w:hyperlink r:id="rId25" w:history="1">
              <w:r w:rsidR="00A33CBF" w:rsidRPr="000B0F9B">
                <w:rPr>
                  <w:rStyle w:val="Hyperlink"/>
                  <w:sz w:val="20"/>
                </w:rPr>
                <w:t>2019 MBLS 13</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Applicant convicted of four counts of professional misconduct</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August 12, 2021</w:t>
            </w:r>
          </w:p>
          <w:p w:rsidR="00A33CBF" w:rsidRPr="000B0F9B" w:rsidRDefault="00A33CBF" w:rsidP="00CF3C16">
            <w:pPr>
              <w:jc w:val="both"/>
              <w:rPr>
                <w:sz w:val="20"/>
              </w:rPr>
            </w:pPr>
            <w:r w:rsidRPr="000B0F9B">
              <w:rPr>
                <w:sz w:val="20"/>
              </w:rPr>
              <w:t>Court of Appeal of Manitoba</w:t>
            </w:r>
          </w:p>
          <w:p w:rsidR="00A33CBF" w:rsidRPr="000B0F9B" w:rsidRDefault="00A33CBF" w:rsidP="00CF3C16">
            <w:pPr>
              <w:jc w:val="both"/>
              <w:rPr>
                <w:sz w:val="20"/>
              </w:rPr>
            </w:pPr>
            <w:r w:rsidRPr="000B0F9B">
              <w:rPr>
                <w:sz w:val="20"/>
              </w:rPr>
              <w:t>(Chartier C.J. and Mainella and Spivak JJ.A.) (file no. AI20</w:t>
            </w:r>
            <w:r w:rsidRPr="000B0F9B">
              <w:rPr>
                <w:sz w:val="20"/>
              </w:rPr>
              <w:noBreakHyphen/>
              <w:t>30</w:t>
            </w:r>
            <w:r w:rsidRPr="000B0F9B">
              <w:rPr>
                <w:sz w:val="20"/>
              </w:rPr>
              <w:noBreakHyphen/>
              <w:t>09454)</w:t>
            </w:r>
          </w:p>
          <w:p w:rsidR="00A33CBF" w:rsidRPr="000B0F9B" w:rsidRDefault="000B0F9B" w:rsidP="00CF3C16">
            <w:pPr>
              <w:jc w:val="both"/>
              <w:rPr>
                <w:sz w:val="20"/>
              </w:rPr>
            </w:pPr>
            <w:hyperlink r:id="rId26" w:history="1">
              <w:r w:rsidR="00A33CBF" w:rsidRPr="000B0F9B">
                <w:rPr>
                  <w:rStyle w:val="Hyperlink"/>
                  <w:sz w:val="20"/>
                </w:rPr>
                <w:t>2021 MBCA 70</w:t>
              </w:r>
            </w:hyperlink>
            <w:r w:rsidR="00A33CBF" w:rsidRPr="000B0F9B">
              <w:rPr>
                <w:sz w:val="20"/>
              </w:rPr>
              <w:t xml:space="preserve"> </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 xml:space="preserve">Appeal dismissed </w:t>
            </w:r>
          </w:p>
        </w:tc>
      </w:tr>
      <w:tr w:rsidR="00A33CBF" w:rsidRPr="000B0F9B" w:rsidTr="00CF3C16">
        <w:tc>
          <w:tcPr>
            <w:tcW w:w="2427" w:type="pct"/>
            <w:gridSpan w:val="2"/>
          </w:tcPr>
          <w:p w:rsidR="00A33CBF" w:rsidRPr="000B0F9B" w:rsidRDefault="00A33CBF" w:rsidP="00CF3C16">
            <w:pPr>
              <w:jc w:val="both"/>
              <w:rPr>
                <w:sz w:val="20"/>
              </w:rPr>
            </w:pPr>
            <w:r w:rsidRPr="000B0F9B">
              <w:rPr>
                <w:sz w:val="20"/>
              </w:rPr>
              <w:t>October 6, 2021</w:t>
            </w:r>
          </w:p>
          <w:p w:rsidR="00A33CBF" w:rsidRPr="000B0F9B" w:rsidRDefault="00A33CBF" w:rsidP="00CF3C16">
            <w:pPr>
              <w:jc w:val="both"/>
              <w:rPr>
                <w:sz w:val="20"/>
              </w:rPr>
            </w:pPr>
            <w:r w:rsidRPr="000B0F9B">
              <w:rPr>
                <w:sz w:val="20"/>
              </w:rPr>
              <w:t>Supreme Court of Canada</w:t>
            </w: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for leave to appeal filed</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6" style="width:2in;height:1pt" o:hrpct="0" o:hralign="center" o:hrstd="t" o:hrnoshade="t" o:hr="t" fillcolor="black [3213]" stroked="f"/>
        </w:pict>
      </w:r>
    </w:p>
    <w:p w:rsidR="00A33CBF" w:rsidRPr="000B0F9B" w:rsidRDefault="00A33CBF" w:rsidP="00A33C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39894</w:t>
            </w:r>
          </w:p>
        </w:tc>
        <w:tc>
          <w:tcPr>
            <w:tcW w:w="4457" w:type="pct"/>
            <w:gridSpan w:val="3"/>
          </w:tcPr>
          <w:p w:rsidR="00A33CBF" w:rsidRPr="000B0F9B" w:rsidRDefault="00A33CBF" w:rsidP="00CF3C16">
            <w:pPr>
              <w:pStyle w:val="SCCLsocParty"/>
              <w:jc w:val="both"/>
              <w:rPr>
                <w:b/>
                <w:sz w:val="20"/>
                <w:szCs w:val="20"/>
              </w:rPr>
            </w:pPr>
            <w:r w:rsidRPr="000B0F9B">
              <w:rPr>
                <w:b/>
                <w:sz w:val="20"/>
                <w:szCs w:val="20"/>
              </w:rPr>
              <w:t xml:space="preserve">Robert Ian Histed c. </w:t>
            </w:r>
            <w:r w:rsidR="00CF3C16" w:rsidRPr="000B0F9B">
              <w:rPr>
                <w:b/>
                <w:sz w:val="20"/>
                <w:szCs w:val="20"/>
              </w:rPr>
              <w:t>Société du barreau du Manitoba</w:t>
            </w:r>
          </w:p>
          <w:p w:rsidR="00A33CBF" w:rsidRPr="000B0F9B" w:rsidRDefault="00A33CBF" w:rsidP="00CF3C16">
            <w:pPr>
              <w:jc w:val="both"/>
              <w:rPr>
                <w:sz w:val="20"/>
              </w:rPr>
            </w:pPr>
            <w:r w:rsidRPr="000B0F9B">
              <w:rPr>
                <w:sz w:val="20"/>
              </w:rPr>
              <w:t>(Man.) (Civile) (Sur autorisation)</w:t>
            </w:r>
          </w:p>
        </w:tc>
      </w:tr>
      <w:tr w:rsidR="00A33CBF" w:rsidRPr="000B0F9B" w:rsidTr="00CF3C16">
        <w:tc>
          <w:tcPr>
            <w:tcW w:w="5000" w:type="pct"/>
            <w:gridSpan w:val="4"/>
          </w:tcPr>
          <w:p w:rsidR="00A33CBF" w:rsidRPr="000B0F9B" w:rsidRDefault="00CF3C16" w:rsidP="00CF3C16">
            <w:pPr>
              <w:pStyle w:val="SCCBanSummary0"/>
              <w:rPr>
                <w:smallCaps w:val="0"/>
                <w:sz w:val="20"/>
                <w:szCs w:val="20"/>
                <w:lang w:val="fr-CA"/>
              </w:rPr>
            </w:pPr>
            <w:r w:rsidRPr="000B0F9B">
              <w:rPr>
                <w:smallCaps w:val="0"/>
                <w:sz w:val="20"/>
                <w:szCs w:val="20"/>
                <w:lang w:val="fr-CA"/>
              </w:rPr>
              <w:t>La demande d’autorisation d’appel de l’arrêt de la Cour d’appel du Manitoba, numéro AI20-30-09454, 2021 MBCA 70, daté du 12 août 2021, est rejetée avec dépens.</w:t>
            </w:r>
          </w:p>
          <w:p w:rsidR="00CF3C16" w:rsidRPr="000B0F9B" w:rsidRDefault="00CF3C16" w:rsidP="00CF3C16">
            <w:pPr>
              <w:rPr>
                <w:lang w:val="fr-CA"/>
              </w:rPr>
            </w:pPr>
          </w:p>
        </w:tc>
      </w:tr>
      <w:tr w:rsidR="00A33CBF" w:rsidRPr="000B0F9B" w:rsidTr="00CF3C16">
        <w:tc>
          <w:tcPr>
            <w:tcW w:w="5000" w:type="pct"/>
            <w:gridSpan w:val="4"/>
          </w:tcPr>
          <w:p w:rsidR="00A33CBF" w:rsidRPr="000B0F9B" w:rsidRDefault="00A33CBF" w:rsidP="00CF3C16">
            <w:pPr>
              <w:pStyle w:val="SCCBanSummary0"/>
              <w:rPr>
                <w:sz w:val="20"/>
                <w:szCs w:val="20"/>
                <w:lang w:val="fr-CA"/>
              </w:rPr>
            </w:pPr>
            <w:r w:rsidRPr="000B0F9B">
              <w:rPr>
                <w:sz w:val="20"/>
                <w:szCs w:val="20"/>
                <w:lang w:val="fr-CA"/>
              </w:rPr>
              <w:lastRenderedPageBreak/>
              <w:t>(ordonnance de mise sous scellés)</w:t>
            </w:r>
          </w:p>
          <w:p w:rsidR="00A33CBF" w:rsidRPr="000B0F9B" w:rsidRDefault="00A33CBF" w:rsidP="00CF3C16">
            <w:pPr>
              <w:jc w:val="both"/>
              <w:rPr>
                <w:sz w:val="20"/>
                <w:lang w:val="fr-CA"/>
              </w:rPr>
            </w:pPr>
          </w:p>
          <w:p w:rsidR="00A33CBF" w:rsidRPr="000B0F9B" w:rsidRDefault="00A33CBF" w:rsidP="00CF3C16">
            <w:pPr>
              <w:jc w:val="both"/>
              <w:rPr>
                <w:sz w:val="20"/>
                <w:lang w:val="fr-CA"/>
              </w:rPr>
            </w:pPr>
            <w:r w:rsidRPr="000B0F9B">
              <w:rPr>
                <w:sz w:val="20"/>
                <w:lang w:val="fr-CA"/>
              </w:rPr>
              <w:t>Droit des professions — Discipline — Avocats et procureurs — Procédures disciplinaires intentées par le Barreau contre un avocat fondées sur les allégations d’inconduite qu’il a formulé contre un procureur de la Couronne — Avocat déclaré coupable de faute professionnelle par un tribunal disciplinaire — La conduite professionnelle d’un avocat en cour doit</w:t>
            </w:r>
            <w:r w:rsidRPr="000B0F9B">
              <w:rPr>
                <w:sz w:val="20"/>
                <w:lang w:val="fr-CA"/>
              </w:rPr>
              <w:noBreakHyphen/>
              <w:t>elle être examinée en appliquant la norme de contrôle de la décision raisonnable ou celle de la décision correcte? — Le pouvoir du Barreau de sanctionner un avocat pour incivilité dans le cadre de la défense de son client est</w:t>
            </w:r>
            <w:r w:rsidRPr="000B0F9B">
              <w:rPr>
                <w:sz w:val="20"/>
                <w:lang w:val="fr-CA"/>
              </w:rPr>
              <w:noBreakHyphen/>
              <w:t xml:space="preserve">il assujetti aux droits et libertés garantis tant à l’avocat qu’à son client par la </w:t>
            </w:r>
            <w:r w:rsidRPr="000B0F9B">
              <w:rPr>
                <w:i/>
                <w:sz w:val="20"/>
                <w:lang w:val="fr-CA"/>
              </w:rPr>
              <w:t>Charte</w:t>
            </w:r>
            <w:r w:rsidRPr="000B0F9B">
              <w:rPr>
                <w:sz w:val="20"/>
                <w:lang w:val="fr-CA"/>
              </w:rPr>
              <w:t xml:space="preserve"> et, le cas échéant, dans quelle mesure? — Le fait pour un barreau de mener une attaque collatérale de procédures criminelles en cours devant les tribunaux en harcelant un avocat avec des citations à comparaître constitue</w:t>
            </w:r>
            <w:r w:rsidRPr="000B0F9B">
              <w:rPr>
                <w:sz w:val="20"/>
                <w:lang w:val="fr-CA"/>
              </w:rPr>
              <w:noBreakHyphen/>
              <w:t>t</w:t>
            </w:r>
            <w:r w:rsidRPr="000B0F9B">
              <w:rPr>
                <w:sz w:val="20"/>
                <w:lang w:val="fr-CA"/>
              </w:rPr>
              <w:noBreakHyphen/>
              <w:t>il un abus de procédure et un déni du droit de l’accusé défendu par l’avocat à une défense pleine et entière? — Des erreurs de fait manifestes ont</w:t>
            </w:r>
            <w:r w:rsidRPr="000B0F9B">
              <w:rPr>
                <w:sz w:val="20"/>
                <w:lang w:val="fr-CA"/>
              </w:rPr>
              <w:noBreakHyphen/>
              <w:t>elles invalidé les conclusions d’inconduite du comité disciplinaire et donné lieu à un résultat erroné? — Le fait pour le barreau de qualifier la parole d’un avocat de faute professionnelle sans se donner la peine de motiver sa décision constitue</w:t>
            </w:r>
            <w:r w:rsidRPr="000B0F9B">
              <w:rPr>
                <w:sz w:val="20"/>
                <w:lang w:val="fr-CA"/>
              </w:rPr>
              <w:noBreakHyphen/>
              <w:t>t</w:t>
            </w:r>
            <w:r w:rsidRPr="000B0F9B">
              <w:rPr>
                <w:sz w:val="20"/>
                <w:lang w:val="fr-CA"/>
              </w:rPr>
              <w:noBreakHyphen/>
              <w:t>il une erreur de droit?</w:t>
            </w:r>
          </w:p>
          <w:p w:rsidR="00A33CBF" w:rsidRPr="000B0F9B" w:rsidRDefault="00A33CBF" w:rsidP="00CF3C16">
            <w:pPr>
              <w:jc w:val="both"/>
              <w:rPr>
                <w:sz w:val="20"/>
                <w:lang w:val="fr-CA"/>
              </w:rPr>
            </w:pPr>
          </w:p>
          <w:p w:rsidR="00A33CBF" w:rsidRPr="000B0F9B" w:rsidRDefault="00A33CBF" w:rsidP="00CF3C16">
            <w:pPr>
              <w:jc w:val="both"/>
              <w:rPr>
                <w:sz w:val="20"/>
                <w:lang w:val="fr-CA"/>
              </w:rPr>
            </w:pPr>
            <w:r w:rsidRPr="000B0F9B">
              <w:rPr>
                <w:sz w:val="20"/>
                <w:lang w:val="fr-CA"/>
              </w:rPr>
              <w:t>Le demandeur, un avocat, a été accusé de quatre chefs de faute professionnelle par l’intimée, la Société du Barreau du Manitoba (« Barreau »), soit notamment d’avoir manqué de courtoisie et de civilité envers les personnes avec qui il traitait et de ne pas avoir agi de bonne foi à leur égard. Les accusations portaient sur les allégations formulées par le demandeur d’inconduite professionnelle du poursuivant relativement à un avocat de la Couronne et au sous</w:t>
            </w:r>
            <w:r w:rsidRPr="000B0F9B">
              <w:rPr>
                <w:sz w:val="20"/>
                <w:lang w:val="fr-CA"/>
              </w:rPr>
              <w:noBreakHyphen/>
              <w:t xml:space="preserve">procureur général adjoint (« avocat de la Couronne »). Les allégations du demandeur ont été formulées dans de la correspondance avec l’avocat de la Couronne et le Barreau, ainsi que dans des documents judiciaires et durant des plaidoiries orales faites dans le cadre de la représentation d’un de ses clients. Le comité disciplinaire du Barreau a conclu que le demandeur a embelli et faussement relaté ses communications avec la Couronne et que ses allégations contre l’avocat de la Couronne n’étaient pas suffisamment fondées par les éléments de preuve qu’il a présentés. Le comité a jugé qu’il avait contrevenu à son devoir de civilité, à son obligation envers son client, ainsi qu’à son devoir envers la cour en relatant faussement les faits dans ses mémoires et dans sa plaidoirie orale. La Cour d’appel a rejeté l’appel du demandeur. </w:t>
            </w:r>
          </w:p>
        </w:tc>
      </w:tr>
      <w:tr w:rsidR="00A33CBF" w:rsidRPr="000B0F9B" w:rsidTr="00CF3C16">
        <w:tc>
          <w:tcPr>
            <w:tcW w:w="5000" w:type="pct"/>
            <w:gridSpan w:val="4"/>
          </w:tcPr>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13 décembre 2019</w:t>
            </w:r>
          </w:p>
          <w:p w:rsidR="00A33CBF" w:rsidRPr="000B0F9B" w:rsidRDefault="00A33CBF" w:rsidP="00CF3C16">
            <w:pPr>
              <w:jc w:val="both"/>
              <w:rPr>
                <w:sz w:val="20"/>
                <w:lang w:val="fr-CA"/>
              </w:rPr>
            </w:pPr>
            <w:r w:rsidRPr="000B0F9B">
              <w:rPr>
                <w:sz w:val="20"/>
                <w:lang w:val="fr-CA"/>
              </w:rPr>
              <w:t>La Société du Barreau du Manitoba</w:t>
            </w:r>
          </w:p>
          <w:p w:rsidR="00A33CBF" w:rsidRPr="000B0F9B" w:rsidRDefault="00A33CBF" w:rsidP="00CF3C16">
            <w:pPr>
              <w:jc w:val="both"/>
              <w:rPr>
                <w:sz w:val="20"/>
                <w:lang w:val="fr-CA"/>
              </w:rPr>
            </w:pPr>
            <w:r w:rsidRPr="000B0F9B">
              <w:rPr>
                <w:sz w:val="20"/>
                <w:lang w:val="fr-CA"/>
              </w:rPr>
              <w:t>(Jacob P. Jansen, président, et Richard Buchwald et Lynne McCarthy, membres du comité disciplinaire)</w:t>
            </w:r>
          </w:p>
          <w:p w:rsidR="00A33CBF" w:rsidRPr="000B0F9B" w:rsidRDefault="000B0F9B" w:rsidP="00CF3C16">
            <w:pPr>
              <w:jc w:val="both"/>
              <w:rPr>
                <w:color w:val="000000"/>
                <w:sz w:val="20"/>
                <w:lang w:val="fr-CA"/>
              </w:rPr>
            </w:pPr>
            <w:hyperlink r:id="rId27" w:history="1">
              <w:r w:rsidR="00A33CBF" w:rsidRPr="000B0F9B">
                <w:rPr>
                  <w:rStyle w:val="Hyperlink"/>
                  <w:sz w:val="20"/>
                  <w:lang w:val="fr-CA"/>
                </w:rPr>
                <w:t>2019 MBLS 13</w:t>
              </w:r>
            </w:hyperlink>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 xml:space="preserve">Demandeur trouvé coupable de quatre chefs de faute professionnelle </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12 août 2021</w:t>
            </w:r>
          </w:p>
          <w:p w:rsidR="00A33CBF" w:rsidRPr="000B0F9B" w:rsidRDefault="00A33CBF" w:rsidP="00CF3C16">
            <w:pPr>
              <w:jc w:val="both"/>
              <w:rPr>
                <w:sz w:val="20"/>
                <w:lang w:val="fr-CA"/>
              </w:rPr>
            </w:pPr>
            <w:r w:rsidRPr="000B0F9B">
              <w:rPr>
                <w:sz w:val="20"/>
                <w:lang w:val="fr-CA"/>
              </w:rPr>
              <w:t>Cour d’appel du Manitoba</w:t>
            </w:r>
          </w:p>
          <w:p w:rsidR="00A33CBF" w:rsidRPr="000B0F9B" w:rsidRDefault="00A33CBF" w:rsidP="00CF3C16">
            <w:pPr>
              <w:jc w:val="both"/>
              <w:rPr>
                <w:sz w:val="20"/>
                <w:lang w:val="fr-CA"/>
              </w:rPr>
            </w:pPr>
            <w:r w:rsidRPr="000B0F9B">
              <w:rPr>
                <w:sz w:val="20"/>
                <w:lang w:val="fr-CA"/>
              </w:rPr>
              <w:t>(Juge en chef Chartier et juges Mainella et Spivak) (Dossier n</w:t>
            </w:r>
            <w:r w:rsidRPr="000B0F9B">
              <w:rPr>
                <w:sz w:val="20"/>
                <w:vertAlign w:val="superscript"/>
                <w:lang w:val="fr-CA"/>
              </w:rPr>
              <w:t>o</w:t>
            </w:r>
            <w:r w:rsidRPr="000B0F9B">
              <w:rPr>
                <w:sz w:val="20"/>
                <w:lang w:val="fr-CA"/>
              </w:rPr>
              <w:t xml:space="preserve"> AI20</w:t>
            </w:r>
            <w:r w:rsidRPr="000B0F9B">
              <w:rPr>
                <w:sz w:val="20"/>
                <w:lang w:val="fr-CA"/>
              </w:rPr>
              <w:noBreakHyphen/>
              <w:t>30</w:t>
            </w:r>
            <w:r w:rsidRPr="000B0F9B">
              <w:rPr>
                <w:sz w:val="20"/>
                <w:lang w:val="fr-CA"/>
              </w:rPr>
              <w:noBreakHyphen/>
              <w:t>09454)</w:t>
            </w:r>
          </w:p>
          <w:p w:rsidR="00A33CBF" w:rsidRPr="000B0F9B" w:rsidRDefault="000B0F9B" w:rsidP="00CF3C16">
            <w:pPr>
              <w:jc w:val="both"/>
              <w:rPr>
                <w:sz w:val="20"/>
                <w:lang w:val="fr-CA"/>
              </w:rPr>
            </w:pPr>
            <w:hyperlink r:id="rId28" w:history="1">
              <w:r w:rsidR="00A33CBF" w:rsidRPr="000B0F9B">
                <w:rPr>
                  <w:rStyle w:val="Hyperlink"/>
                  <w:sz w:val="20"/>
                  <w:lang w:val="fr-CA"/>
                </w:rPr>
                <w:t>2021 MBCA 70</w:t>
              </w:r>
            </w:hyperlink>
            <w:r w:rsidR="00A33CBF" w:rsidRPr="000B0F9B">
              <w:rPr>
                <w:sz w:val="20"/>
                <w:lang w:val="fr-CA"/>
              </w:rPr>
              <w:t xml:space="preserve"> </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 xml:space="preserve">Appel rejeté </w:t>
            </w: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6 octobre 2021</w:t>
            </w:r>
          </w:p>
          <w:p w:rsidR="00A33CBF" w:rsidRPr="000B0F9B" w:rsidRDefault="00A33CBF" w:rsidP="00CF3C16">
            <w:pPr>
              <w:jc w:val="both"/>
              <w:rPr>
                <w:sz w:val="20"/>
                <w:lang w:val="fr-CA"/>
              </w:rPr>
            </w:pPr>
            <w:r w:rsidRPr="000B0F9B">
              <w:rPr>
                <w:sz w:val="20"/>
                <w:lang w:val="fr-CA"/>
              </w:rPr>
              <w:t>Cour suprême du Canada</w:t>
            </w: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Demande d’autorisation d’appel déposée</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7" style="width:2in;height:1pt" o:hrpct="0" o:hralign="center" o:hrstd="t" o:hrnoshade="t" o:hr="t" fillcolor="black [3213]" stroked="f"/>
        </w:pict>
      </w:r>
    </w:p>
    <w:p w:rsidR="00A33CBF" w:rsidRPr="000B0F9B" w:rsidRDefault="00A33CBF" w:rsidP="00A33CB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39933</w:t>
            </w:r>
          </w:p>
        </w:tc>
        <w:tc>
          <w:tcPr>
            <w:tcW w:w="4457" w:type="pct"/>
          </w:tcPr>
          <w:p w:rsidR="00A33CBF" w:rsidRPr="000B0F9B" w:rsidRDefault="00A33CBF" w:rsidP="00CF3C16">
            <w:pPr>
              <w:pStyle w:val="SCCLsocParty"/>
              <w:jc w:val="both"/>
              <w:rPr>
                <w:b/>
                <w:sz w:val="20"/>
                <w:szCs w:val="20"/>
                <w:lang w:val="en-US"/>
              </w:rPr>
            </w:pPr>
            <w:r w:rsidRPr="000B0F9B">
              <w:rPr>
                <w:b/>
                <w:sz w:val="20"/>
                <w:szCs w:val="20"/>
                <w:lang w:val="en-US"/>
              </w:rPr>
              <w:t>Matthew Christopher Hamm, Shawn Curtis Keepness</w:t>
            </w:r>
            <w:r w:rsidR="00CF3C16" w:rsidRPr="000B0F9B">
              <w:rPr>
                <w:b/>
                <w:sz w:val="20"/>
                <w:szCs w:val="20"/>
                <w:lang w:val="en-US"/>
              </w:rPr>
              <w:t xml:space="preserve"> and</w:t>
            </w:r>
            <w:r w:rsidRPr="000B0F9B">
              <w:rPr>
                <w:b/>
                <w:sz w:val="20"/>
                <w:szCs w:val="20"/>
                <w:lang w:val="en-US"/>
              </w:rPr>
              <w:t xml:space="preserve"> Taylor James Tobin v. Attorney General of Canada</w:t>
            </w:r>
          </w:p>
          <w:p w:rsidR="00A33CBF" w:rsidRPr="000B0F9B" w:rsidRDefault="00A33CBF" w:rsidP="00CF3C16">
            <w:pPr>
              <w:jc w:val="both"/>
              <w:rPr>
                <w:sz w:val="20"/>
              </w:rPr>
            </w:pPr>
            <w:r w:rsidRPr="000B0F9B">
              <w:rPr>
                <w:sz w:val="20"/>
              </w:rPr>
              <w:t>(Alta.) (Civil) (By Leave)</w:t>
            </w:r>
          </w:p>
        </w:tc>
      </w:tr>
      <w:tr w:rsidR="00A33CBF" w:rsidRPr="000B0F9B" w:rsidTr="00CF3C16">
        <w:tc>
          <w:tcPr>
            <w:tcW w:w="5000" w:type="pct"/>
            <w:gridSpan w:val="2"/>
          </w:tcPr>
          <w:p w:rsidR="00CF3C16" w:rsidRPr="000B0F9B" w:rsidRDefault="00CF3C16" w:rsidP="00CF3C16">
            <w:pPr>
              <w:jc w:val="both"/>
              <w:rPr>
                <w:sz w:val="20"/>
                <w:szCs w:val="20"/>
              </w:rPr>
            </w:pPr>
            <w:r w:rsidRPr="000B0F9B">
              <w:rPr>
                <w:sz w:val="20"/>
                <w:szCs w:val="20"/>
              </w:rPr>
              <w:t>The application for leave to appeal from the judgment of the Court of Appeal of Alberta (Edmonton), Number 2003-0231AC, 2021 ABCA 329, dated November 5, 2021 is dismissed.</w:t>
            </w:r>
          </w:p>
          <w:p w:rsidR="00A33CBF" w:rsidRPr="000B0F9B" w:rsidRDefault="00A33CBF" w:rsidP="00CF3C16">
            <w:pPr>
              <w:jc w:val="both"/>
              <w:rPr>
                <w:sz w:val="20"/>
              </w:rPr>
            </w:pPr>
          </w:p>
        </w:tc>
      </w:tr>
    </w:tbl>
    <w:p w:rsidR="00734A59" w:rsidRPr="000B0F9B" w:rsidRDefault="00734A59">
      <w:r w:rsidRPr="000B0F9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CBF" w:rsidRPr="000B0F9B" w:rsidTr="00CF3C16">
        <w:tc>
          <w:tcPr>
            <w:tcW w:w="5000" w:type="pct"/>
            <w:gridSpan w:val="3"/>
          </w:tcPr>
          <w:p w:rsidR="00A33CBF" w:rsidRPr="000B0F9B" w:rsidRDefault="00A33CBF" w:rsidP="00CF3C16">
            <w:pPr>
              <w:jc w:val="both"/>
              <w:rPr>
                <w:sz w:val="20"/>
              </w:rPr>
            </w:pPr>
            <w:r w:rsidRPr="000B0F9B">
              <w:rPr>
                <w:sz w:val="20"/>
              </w:rPr>
              <w:lastRenderedPageBreak/>
              <w:t xml:space="preserve">Civil procedure — Stay — Proper common law test for a stay of one proceeding in favour of another — Factors courts should consider when granting a stay pursuant to statutory powers under provincial class proceedings legislation — Whether s. 14 of </w:t>
            </w:r>
            <w:r w:rsidRPr="000B0F9B">
              <w:rPr>
                <w:i/>
                <w:sz w:val="20"/>
              </w:rPr>
              <w:t>Class Proceedings Act</w:t>
            </w:r>
            <w:r w:rsidRPr="000B0F9B">
              <w:rPr>
                <w:sz w:val="20"/>
              </w:rPr>
              <w:t>, SA 2000, c. C</w:t>
            </w:r>
            <w:r w:rsidRPr="000B0F9B">
              <w:rPr>
                <w:sz w:val="20"/>
              </w:rPr>
              <w:noBreakHyphen/>
              <w:t>16.5, and its equivalents in other provinces apply to proposed class actions not yet certified or give courts jurisdiction to stay an action in one province in favour of a class proceeding in another province?</w:t>
            </w:r>
          </w:p>
        </w:tc>
      </w:tr>
      <w:tr w:rsidR="00A33CBF" w:rsidRPr="000B0F9B" w:rsidTr="00CF3C16">
        <w:tc>
          <w:tcPr>
            <w:tcW w:w="5000" w:type="pct"/>
            <w:gridSpan w:val="3"/>
          </w:tcPr>
          <w:p w:rsidR="00A33CBF" w:rsidRPr="000B0F9B" w:rsidRDefault="00A33CBF" w:rsidP="00CF3C16">
            <w:pPr>
              <w:jc w:val="both"/>
              <w:rPr>
                <w:sz w:val="20"/>
              </w:rPr>
            </w:pPr>
          </w:p>
          <w:p w:rsidR="00A33CBF" w:rsidRPr="000B0F9B" w:rsidRDefault="00A33CBF" w:rsidP="00CF3C16">
            <w:pPr>
              <w:jc w:val="both"/>
              <w:rPr>
                <w:sz w:val="20"/>
              </w:rPr>
            </w:pPr>
            <w:r w:rsidRPr="000B0F9B">
              <w:rPr>
                <w:sz w:val="20"/>
              </w:rPr>
              <w:t xml:space="preserve">Mr. Hamm, Mr. Keepness and Mr. Tobin were held in administrative segregation in a federal institution. A </w:t>
            </w:r>
            <w:r w:rsidRPr="000B0F9B">
              <w:rPr>
                <w:i/>
                <w:sz w:val="20"/>
              </w:rPr>
              <w:t>habeas corpus</w:t>
            </w:r>
            <w:r w:rsidRPr="000B0F9B">
              <w:rPr>
                <w:sz w:val="20"/>
              </w:rPr>
              <w:t xml:space="preserve"> application found the detentions unreasonable and a breach of the duty of procedural fairness. They commenced a civil action for damages. The Attorney General applied for a stay of proceedings and argued the action overlaps with a class proceeding</w:t>
            </w:r>
            <w:r w:rsidRPr="000B0F9B">
              <w:rPr>
                <w:spacing w:val="-3"/>
                <w:sz w:val="20"/>
              </w:rPr>
              <w:t xml:space="preserve">. </w:t>
            </w:r>
            <w:r w:rsidRPr="000B0F9B">
              <w:rPr>
                <w:sz w:val="20"/>
              </w:rPr>
              <w:t>A Master in Chambers dismissed the application. The Court of Queen’s Bench allowed an appeal and imposed a stay. The Court of Appeal dismissed an appeal.</w:t>
            </w:r>
          </w:p>
        </w:tc>
      </w:tr>
      <w:tr w:rsidR="00A33CBF" w:rsidRPr="000B0F9B" w:rsidTr="00CF3C16">
        <w:tc>
          <w:tcPr>
            <w:tcW w:w="5000" w:type="pct"/>
            <w:gridSpan w:val="3"/>
          </w:tcPr>
          <w:p w:rsidR="00A33CBF" w:rsidRPr="000B0F9B" w:rsidRDefault="00A33CBF" w:rsidP="00CF3C16">
            <w:pPr>
              <w:jc w:val="both"/>
              <w:rPr>
                <w:sz w:val="20"/>
              </w:rPr>
            </w:pPr>
          </w:p>
        </w:tc>
      </w:tr>
      <w:tr w:rsidR="00A33CBF" w:rsidRPr="000B0F9B" w:rsidTr="00CF3C16">
        <w:tc>
          <w:tcPr>
            <w:tcW w:w="2427" w:type="pct"/>
          </w:tcPr>
          <w:p w:rsidR="00A33CBF" w:rsidRPr="000B0F9B" w:rsidRDefault="00A33CBF" w:rsidP="00CF3C16">
            <w:pPr>
              <w:widowControl w:val="0"/>
              <w:jc w:val="both"/>
              <w:rPr>
                <w:sz w:val="20"/>
              </w:rPr>
            </w:pPr>
            <w:r w:rsidRPr="000B0F9B">
              <w:rPr>
                <w:sz w:val="20"/>
              </w:rPr>
              <w:t>November 29, 2019</w:t>
            </w:r>
          </w:p>
          <w:p w:rsidR="00A33CBF" w:rsidRPr="000B0F9B" w:rsidRDefault="00A33CBF" w:rsidP="00CF3C16">
            <w:pPr>
              <w:widowControl w:val="0"/>
              <w:jc w:val="both"/>
              <w:rPr>
                <w:sz w:val="20"/>
              </w:rPr>
            </w:pPr>
            <w:r w:rsidRPr="000B0F9B">
              <w:rPr>
                <w:sz w:val="20"/>
              </w:rPr>
              <w:t>(Master Schlosser)</w:t>
            </w:r>
          </w:p>
          <w:p w:rsidR="00A33CBF" w:rsidRPr="000B0F9B" w:rsidRDefault="00A33CBF" w:rsidP="00CF3C16">
            <w:pPr>
              <w:widowControl w:val="0"/>
              <w:jc w:val="both"/>
              <w:rPr>
                <w:sz w:val="20"/>
              </w:rPr>
            </w:pPr>
            <w:r w:rsidRPr="000B0F9B">
              <w:rPr>
                <w:sz w:val="20"/>
              </w:rPr>
              <w:t xml:space="preserve">Court of Queen’s Bench of Alberta </w:t>
            </w:r>
          </w:p>
          <w:p w:rsidR="00A33CBF" w:rsidRPr="000B0F9B" w:rsidRDefault="000B0F9B" w:rsidP="00CF3C16">
            <w:pPr>
              <w:jc w:val="both"/>
              <w:rPr>
                <w:sz w:val="20"/>
              </w:rPr>
            </w:pPr>
            <w:hyperlink r:id="rId29" w:history="1">
              <w:r w:rsidR="00A33CBF" w:rsidRPr="000B0F9B">
                <w:rPr>
                  <w:rStyle w:val="Hyperlink"/>
                  <w:sz w:val="20"/>
                </w:rPr>
                <w:t>2019 ABQB 913</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to stay proceedings dismissed</w:t>
            </w:r>
          </w:p>
        </w:tc>
      </w:tr>
      <w:tr w:rsidR="00A33CBF" w:rsidRPr="000B0F9B" w:rsidTr="00CF3C16">
        <w:tc>
          <w:tcPr>
            <w:tcW w:w="2427" w:type="pct"/>
          </w:tcPr>
          <w:p w:rsidR="00A33CBF" w:rsidRPr="000B0F9B" w:rsidRDefault="00A33CBF" w:rsidP="00CF3C16">
            <w:pPr>
              <w:jc w:val="both"/>
              <w:rPr>
                <w:sz w:val="20"/>
              </w:rPr>
            </w:pPr>
            <w:r w:rsidRPr="000B0F9B">
              <w:rPr>
                <w:sz w:val="20"/>
              </w:rPr>
              <w:t>December 8, 2020</w:t>
            </w:r>
          </w:p>
          <w:p w:rsidR="00A33CBF" w:rsidRPr="000B0F9B" w:rsidRDefault="00A33CBF" w:rsidP="00CF3C16">
            <w:pPr>
              <w:jc w:val="both"/>
              <w:rPr>
                <w:sz w:val="20"/>
              </w:rPr>
            </w:pPr>
            <w:r w:rsidRPr="000B0F9B">
              <w:rPr>
                <w:sz w:val="20"/>
              </w:rPr>
              <w:t>Court of Queen’s Bench of Alberta</w:t>
            </w:r>
          </w:p>
          <w:p w:rsidR="00A33CBF" w:rsidRPr="000B0F9B" w:rsidRDefault="00A33CBF" w:rsidP="00CF3C16">
            <w:pPr>
              <w:jc w:val="both"/>
              <w:rPr>
                <w:sz w:val="20"/>
              </w:rPr>
            </w:pPr>
            <w:r w:rsidRPr="000B0F9B">
              <w:rPr>
                <w:sz w:val="20"/>
              </w:rPr>
              <w:t>(Bercov J.)</w:t>
            </w:r>
          </w:p>
          <w:p w:rsidR="00A33CBF" w:rsidRPr="000B0F9B" w:rsidRDefault="000B0F9B" w:rsidP="00CF3C16">
            <w:pPr>
              <w:jc w:val="both"/>
              <w:rPr>
                <w:sz w:val="20"/>
              </w:rPr>
            </w:pPr>
            <w:hyperlink r:id="rId30" w:history="1">
              <w:r w:rsidR="00A33CBF" w:rsidRPr="000B0F9B">
                <w:rPr>
                  <w:rStyle w:val="Hyperlink"/>
                  <w:sz w:val="20"/>
                </w:rPr>
                <w:t>2020 ABQB 765</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Appeal allowed, proceedings stayed</w:t>
            </w:r>
          </w:p>
          <w:p w:rsidR="00A33CBF" w:rsidRPr="000B0F9B" w:rsidRDefault="00A33CBF" w:rsidP="00CF3C16">
            <w:pPr>
              <w:jc w:val="both"/>
              <w:rPr>
                <w:sz w:val="20"/>
              </w:rPr>
            </w:pPr>
          </w:p>
        </w:tc>
      </w:tr>
      <w:tr w:rsidR="00A33CBF" w:rsidRPr="000B0F9B" w:rsidTr="00CF3C16">
        <w:tc>
          <w:tcPr>
            <w:tcW w:w="2427" w:type="pct"/>
          </w:tcPr>
          <w:p w:rsidR="00A33CBF" w:rsidRPr="000B0F9B" w:rsidRDefault="00A33CBF" w:rsidP="00CF3C16">
            <w:pPr>
              <w:jc w:val="both"/>
              <w:rPr>
                <w:sz w:val="20"/>
              </w:rPr>
            </w:pPr>
            <w:r w:rsidRPr="000B0F9B">
              <w:rPr>
                <w:sz w:val="20"/>
              </w:rPr>
              <w:t>November 5, 2021</w:t>
            </w:r>
          </w:p>
          <w:p w:rsidR="00A33CBF" w:rsidRPr="000B0F9B" w:rsidRDefault="00A33CBF" w:rsidP="00CF3C16">
            <w:pPr>
              <w:jc w:val="both"/>
              <w:rPr>
                <w:sz w:val="20"/>
              </w:rPr>
            </w:pPr>
            <w:r w:rsidRPr="000B0F9B">
              <w:rPr>
                <w:sz w:val="20"/>
              </w:rPr>
              <w:t>Court of Appeal of Alberta (Edmonton)</w:t>
            </w:r>
          </w:p>
          <w:p w:rsidR="00A33CBF" w:rsidRPr="000B0F9B" w:rsidRDefault="00A33CBF" w:rsidP="00CF3C16">
            <w:pPr>
              <w:jc w:val="both"/>
              <w:rPr>
                <w:sz w:val="20"/>
              </w:rPr>
            </w:pPr>
            <w:r w:rsidRPr="000B0F9B">
              <w:rPr>
                <w:sz w:val="20"/>
              </w:rPr>
              <w:t>(Slatter, Schutz, Freehan JJ.A.)</w:t>
            </w:r>
          </w:p>
          <w:p w:rsidR="00A33CBF" w:rsidRPr="000B0F9B" w:rsidRDefault="000B0F9B" w:rsidP="00CF3C16">
            <w:pPr>
              <w:jc w:val="both"/>
              <w:rPr>
                <w:sz w:val="20"/>
              </w:rPr>
            </w:pPr>
            <w:hyperlink r:id="rId31" w:history="1">
              <w:r w:rsidR="00A33CBF" w:rsidRPr="000B0F9B">
                <w:rPr>
                  <w:rStyle w:val="Hyperlink"/>
                  <w:sz w:val="20"/>
                </w:rPr>
                <w:t>2021 ABCA 329</w:t>
              </w:r>
            </w:hyperlink>
            <w:r w:rsidR="00A33CBF" w:rsidRPr="000B0F9B">
              <w:rPr>
                <w:sz w:val="20"/>
              </w:rPr>
              <w:t xml:space="preserve">; </w:t>
            </w:r>
            <w:r w:rsidR="00A33CBF" w:rsidRPr="000B0F9B">
              <w:rPr>
                <w:spacing w:val="-1"/>
                <w:sz w:val="20"/>
              </w:rPr>
              <w:t>2003</w:t>
            </w:r>
            <w:r w:rsidR="00A33CBF" w:rsidRPr="000B0F9B">
              <w:rPr>
                <w:spacing w:val="-1"/>
                <w:sz w:val="20"/>
              </w:rPr>
              <w:noBreakHyphen/>
              <w:t>0231AC</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Appeal dismissed</w:t>
            </w:r>
          </w:p>
          <w:p w:rsidR="00A33CBF" w:rsidRPr="000B0F9B" w:rsidRDefault="00A33CBF" w:rsidP="00CF3C16">
            <w:pPr>
              <w:jc w:val="both"/>
              <w:rPr>
                <w:sz w:val="20"/>
              </w:rPr>
            </w:pPr>
          </w:p>
        </w:tc>
      </w:tr>
      <w:tr w:rsidR="00A33CBF" w:rsidRPr="000B0F9B" w:rsidTr="00CF3C16">
        <w:tc>
          <w:tcPr>
            <w:tcW w:w="2427" w:type="pct"/>
          </w:tcPr>
          <w:p w:rsidR="00A33CBF" w:rsidRPr="000B0F9B" w:rsidRDefault="00A33CBF" w:rsidP="00CF3C16">
            <w:pPr>
              <w:jc w:val="both"/>
              <w:rPr>
                <w:sz w:val="20"/>
              </w:rPr>
            </w:pPr>
            <w:r w:rsidRPr="000B0F9B">
              <w:rPr>
                <w:sz w:val="20"/>
              </w:rPr>
              <w:t>December 6, 2021</w:t>
            </w:r>
          </w:p>
          <w:p w:rsidR="00A33CBF" w:rsidRPr="000B0F9B" w:rsidRDefault="00A33CBF" w:rsidP="00CF3C16">
            <w:pPr>
              <w:jc w:val="both"/>
              <w:rPr>
                <w:sz w:val="20"/>
              </w:rPr>
            </w:pPr>
            <w:r w:rsidRPr="000B0F9B">
              <w:rPr>
                <w:sz w:val="20"/>
              </w:rPr>
              <w:t>Supreme Court of Canada</w:t>
            </w: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for leave to appeal filed</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8" style="width:2in;height:1pt" o:hrpct="0" o:hralign="center" o:hrstd="t" o:hrnoshade="t" o:hr="t" fillcolor="black [3213]" stroked="f"/>
        </w:pict>
      </w:r>
    </w:p>
    <w:p w:rsidR="00A33CBF" w:rsidRPr="000B0F9B" w:rsidRDefault="00A33CBF" w:rsidP="00A33C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39933</w:t>
            </w:r>
          </w:p>
        </w:tc>
        <w:tc>
          <w:tcPr>
            <w:tcW w:w="4457" w:type="pct"/>
          </w:tcPr>
          <w:p w:rsidR="00A33CBF" w:rsidRPr="000B0F9B" w:rsidRDefault="00A33CBF" w:rsidP="00CF3C16">
            <w:pPr>
              <w:pStyle w:val="SCCLsocParty"/>
              <w:jc w:val="both"/>
              <w:rPr>
                <w:b/>
                <w:sz w:val="20"/>
                <w:szCs w:val="20"/>
              </w:rPr>
            </w:pPr>
            <w:r w:rsidRPr="000B0F9B">
              <w:rPr>
                <w:b/>
                <w:sz w:val="20"/>
                <w:szCs w:val="20"/>
              </w:rPr>
              <w:t>Matthew Christopher Hamm, Shawn Curtis Keepness</w:t>
            </w:r>
            <w:r w:rsidR="00CF3C16" w:rsidRPr="000B0F9B">
              <w:rPr>
                <w:b/>
                <w:sz w:val="20"/>
                <w:szCs w:val="20"/>
              </w:rPr>
              <w:t xml:space="preserve"> et</w:t>
            </w:r>
            <w:r w:rsidRPr="000B0F9B">
              <w:rPr>
                <w:b/>
                <w:sz w:val="20"/>
                <w:szCs w:val="20"/>
              </w:rPr>
              <w:t xml:space="preserve"> Taylor James Tobin c. </w:t>
            </w:r>
            <w:r w:rsidR="00CF3C16" w:rsidRPr="000B0F9B">
              <w:rPr>
                <w:b/>
                <w:sz w:val="20"/>
                <w:szCs w:val="20"/>
              </w:rPr>
              <w:t>Procureur général du Canada</w:t>
            </w:r>
          </w:p>
          <w:p w:rsidR="00A33CBF" w:rsidRPr="000B0F9B" w:rsidRDefault="00A33CBF" w:rsidP="00CF3C16">
            <w:pPr>
              <w:jc w:val="both"/>
              <w:rPr>
                <w:sz w:val="20"/>
                <w:lang w:val="fr-CA"/>
              </w:rPr>
            </w:pPr>
            <w:r w:rsidRPr="000B0F9B">
              <w:rPr>
                <w:sz w:val="20"/>
                <w:lang w:val="fr-CA"/>
              </w:rPr>
              <w:t>(Alb.) (Civile) (Sur autorisation)</w:t>
            </w:r>
          </w:p>
        </w:tc>
      </w:tr>
      <w:tr w:rsidR="00A33CBF" w:rsidRPr="000B0F9B" w:rsidTr="00CF3C16">
        <w:tc>
          <w:tcPr>
            <w:tcW w:w="5000" w:type="pct"/>
            <w:gridSpan w:val="2"/>
          </w:tcPr>
          <w:p w:rsidR="00A33CBF" w:rsidRPr="000B0F9B" w:rsidRDefault="00CF3C16" w:rsidP="00CF3C16">
            <w:pPr>
              <w:jc w:val="both"/>
              <w:rPr>
                <w:sz w:val="20"/>
                <w:szCs w:val="20"/>
                <w:lang w:val="fr-CA"/>
              </w:rPr>
            </w:pPr>
            <w:r w:rsidRPr="000B0F9B">
              <w:rPr>
                <w:sz w:val="20"/>
                <w:szCs w:val="20"/>
                <w:lang w:val="fr-CA"/>
              </w:rPr>
              <w:t>La demande d’autorisation d’appel de l’arrêt de la Cour d’appel de l’Alberta (Edmonton), numéro 2003-0231AC, 2021 ABCA 329, daté du 5 novembre 2021, est rejetée.</w:t>
            </w:r>
          </w:p>
          <w:p w:rsidR="00CF3C16" w:rsidRPr="000B0F9B" w:rsidRDefault="00CF3C16" w:rsidP="00CF3C16">
            <w:pPr>
              <w:jc w:val="both"/>
              <w:rPr>
                <w:sz w:val="20"/>
                <w:lang w:val="fr-CA"/>
              </w:rPr>
            </w:pPr>
          </w:p>
        </w:tc>
      </w:tr>
      <w:tr w:rsidR="00A33CBF" w:rsidRPr="000B0F9B" w:rsidTr="00CF3C16">
        <w:tc>
          <w:tcPr>
            <w:tcW w:w="5000" w:type="pct"/>
            <w:gridSpan w:val="2"/>
          </w:tcPr>
          <w:p w:rsidR="00A33CBF" w:rsidRPr="000B0F9B" w:rsidRDefault="00A33CBF" w:rsidP="00CF3C16">
            <w:pPr>
              <w:jc w:val="both"/>
              <w:rPr>
                <w:sz w:val="20"/>
                <w:lang w:val="fr-CA"/>
              </w:rPr>
            </w:pPr>
            <w:r w:rsidRPr="000B0F9B">
              <w:rPr>
                <w:sz w:val="20"/>
                <w:lang w:val="fr-CA"/>
              </w:rPr>
              <w:t xml:space="preserve">Procédure civile — Sursis — Test de common law approprié pour décider du sursis d’une procédure au profit d’une autre — Facteurs à prendre en considération par les tribunaux pour accorder un sursis en vertu de pouvoirs légaux prévus par la législation provinciale relative aux recours collectifs — L’art. 14 de la </w:t>
            </w:r>
            <w:r w:rsidRPr="000B0F9B">
              <w:rPr>
                <w:i/>
                <w:sz w:val="20"/>
                <w:lang w:val="fr-CA"/>
              </w:rPr>
              <w:t>Class Proceedings Act</w:t>
            </w:r>
            <w:r w:rsidRPr="000B0F9B">
              <w:rPr>
                <w:sz w:val="20"/>
                <w:lang w:val="fr-CA"/>
              </w:rPr>
              <w:t>, SA 2000, c. C</w:t>
            </w:r>
            <w:r w:rsidRPr="000B0F9B">
              <w:rPr>
                <w:sz w:val="20"/>
                <w:lang w:val="fr-CA"/>
              </w:rPr>
              <w:noBreakHyphen/>
              <w:t> 16.5, et les dispositions équivalentes des autres provinces s’appliquent-ils aux recours collectifs projetés qui ne sont pas encore certifiés ou confèrent</w:t>
            </w:r>
            <w:r w:rsidRPr="000B0F9B">
              <w:rPr>
                <w:sz w:val="20"/>
                <w:lang w:val="fr-CA"/>
              </w:rPr>
              <w:noBreakHyphen/>
              <w:t>ils aux tribunaux la compétence d’ordonner le sursis d’une action dans une province au profit d’un recours collectif intenté dans une autre province?</w:t>
            </w:r>
          </w:p>
          <w:p w:rsidR="00A33CBF" w:rsidRPr="000B0F9B" w:rsidRDefault="00A33CBF" w:rsidP="00CF3C16">
            <w:pPr>
              <w:jc w:val="both"/>
              <w:rPr>
                <w:sz w:val="20"/>
                <w:lang w:val="fr-CA"/>
              </w:rPr>
            </w:pPr>
          </w:p>
        </w:tc>
      </w:tr>
    </w:tbl>
    <w:p w:rsidR="00734A59" w:rsidRPr="000B0F9B" w:rsidRDefault="00734A59">
      <w:pPr>
        <w:rPr>
          <w:lang w:val="fr-CA"/>
        </w:rPr>
      </w:pPr>
      <w:r w:rsidRPr="000B0F9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CBF" w:rsidRPr="000B0F9B" w:rsidTr="00CF3C16">
        <w:tc>
          <w:tcPr>
            <w:tcW w:w="5000" w:type="pct"/>
            <w:gridSpan w:val="3"/>
          </w:tcPr>
          <w:p w:rsidR="00A33CBF" w:rsidRPr="000B0F9B" w:rsidRDefault="00A33CBF" w:rsidP="00CF3C16">
            <w:pPr>
              <w:jc w:val="both"/>
              <w:rPr>
                <w:sz w:val="20"/>
                <w:lang w:val="fr-CA"/>
              </w:rPr>
            </w:pPr>
            <w:r w:rsidRPr="000B0F9B">
              <w:rPr>
                <w:sz w:val="20"/>
                <w:lang w:val="fr-CA"/>
              </w:rPr>
              <w:lastRenderedPageBreak/>
              <w:t>M. Hamm, M. Keepness et M. Tobin ont été détenus en isolement préventif dans une institution fédérale. À la suite d’une demande d’</w:t>
            </w:r>
            <w:r w:rsidRPr="000B0F9B">
              <w:rPr>
                <w:i/>
                <w:sz w:val="20"/>
                <w:lang w:val="fr-CA"/>
              </w:rPr>
              <w:t>habeas corpus</w:t>
            </w:r>
            <w:r w:rsidRPr="000B0F9B">
              <w:rPr>
                <w:sz w:val="20"/>
                <w:lang w:val="fr-CA"/>
              </w:rPr>
              <w:t>, il a été jugé que leur détention était déraisonnable et contrevenait à l’obligation d’équité procédurale. Ils ont intenté un recours civil en dommages</w:t>
            </w:r>
            <w:r w:rsidRPr="000B0F9B">
              <w:rPr>
                <w:sz w:val="20"/>
                <w:lang w:val="fr-CA"/>
              </w:rPr>
              <w:noBreakHyphen/>
              <w:t>intérêts. Le procureur général a demandé le sursis des procédures et fait valoir que l’action chevauchait un recours collectif. Un conseiller-maître a rejeté la demande. La Cour du banc de la Reine a accueilli l’appel et ordonné le sursis. La Cour d’appel a rejeté l’appel.</w:t>
            </w:r>
          </w:p>
        </w:tc>
      </w:tr>
      <w:tr w:rsidR="00A33CBF" w:rsidRPr="000B0F9B" w:rsidTr="00CF3C16">
        <w:tc>
          <w:tcPr>
            <w:tcW w:w="5000" w:type="pct"/>
            <w:gridSpan w:val="3"/>
          </w:tcPr>
          <w:p w:rsidR="00A33CBF" w:rsidRPr="000B0F9B" w:rsidRDefault="00A33CBF" w:rsidP="00CF3C16">
            <w:pPr>
              <w:jc w:val="both"/>
              <w:rPr>
                <w:sz w:val="20"/>
                <w:lang w:val="fr-CA"/>
              </w:rPr>
            </w:pPr>
          </w:p>
        </w:tc>
      </w:tr>
      <w:tr w:rsidR="00A33CBF" w:rsidRPr="000B0F9B" w:rsidTr="00CF3C16">
        <w:tc>
          <w:tcPr>
            <w:tcW w:w="2427" w:type="pct"/>
          </w:tcPr>
          <w:p w:rsidR="00A33CBF" w:rsidRPr="000B0F9B" w:rsidRDefault="00A33CBF" w:rsidP="00CF3C16">
            <w:pPr>
              <w:widowControl w:val="0"/>
              <w:jc w:val="both"/>
              <w:rPr>
                <w:sz w:val="20"/>
                <w:lang w:val="fr-CA"/>
              </w:rPr>
            </w:pPr>
            <w:r w:rsidRPr="000B0F9B">
              <w:rPr>
                <w:sz w:val="20"/>
                <w:lang w:val="fr-CA"/>
              </w:rPr>
              <w:t>29 novembre 2019</w:t>
            </w:r>
          </w:p>
          <w:p w:rsidR="00A33CBF" w:rsidRPr="000B0F9B" w:rsidRDefault="00A33CBF" w:rsidP="00CF3C16">
            <w:pPr>
              <w:widowControl w:val="0"/>
              <w:jc w:val="both"/>
              <w:rPr>
                <w:sz w:val="20"/>
                <w:lang w:val="fr-CA"/>
              </w:rPr>
            </w:pPr>
            <w:r w:rsidRPr="000B0F9B">
              <w:rPr>
                <w:sz w:val="20"/>
                <w:lang w:val="fr-CA"/>
              </w:rPr>
              <w:t>(Conseiller</w:t>
            </w:r>
            <w:r w:rsidRPr="000B0F9B">
              <w:rPr>
                <w:sz w:val="20"/>
                <w:lang w:val="fr-CA"/>
              </w:rPr>
              <w:noBreakHyphen/>
              <w:t>maître Schlosser)</w:t>
            </w:r>
          </w:p>
          <w:p w:rsidR="00A33CBF" w:rsidRPr="000B0F9B" w:rsidRDefault="00A33CBF" w:rsidP="00CF3C16">
            <w:pPr>
              <w:widowControl w:val="0"/>
              <w:jc w:val="both"/>
              <w:rPr>
                <w:sz w:val="20"/>
                <w:lang w:val="fr-CA"/>
              </w:rPr>
            </w:pPr>
            <w:r w:rsidRPr="000B0F9B">
              <w:rPr>
                <w:sz w:val="20"/>
                <w:lang w:val="fr-CA"/>
              </w:rPr>
              <w:t xml:space="preserve">Cour du banc de la Reine de l’Alberta </w:t>
            </w:r>
          </w:p>
          <w:p w:rsidR="00A33CBF" w:rsidRPr="000B0F9B" w:rsidRDefault="000B0F9B" w:rsidP="00CF3C16">
            <w:pPr>
              <w:jc w:val="both"/>
              <w:rPr>
                <w:sz w:val="20"/>
              </w:rPr>
            </w:pPr>
            <w:hyperlink r:id="rId32" w:history="1">
              <w:r w:rsidR="00A33CBF" w:rsidRPr="000B0F9B">
                <w:rPr>
                  <w:rStyle w:val="Hyperlink"/>
                  <w:sz w:val="20"/>
                </w:rPr>
                <w:t>2019 ABQB 913</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Demande de sursis des procédures rejetée</w:t>
            </w:r>
          </w:p>
        </w:tc>
      </w:tr>
      <w:tr w:rsidR="00A33CBF" w:rsidRPr="000B0F9B" w:rsidTr="00CF3C16">
        <w:tc>
          <w:tcPr>
            <w:tcW w:w="2427" w:type="pct"/>
          </w:tcPr>
          <w:p w:rsidR="00A33CBF" w:rsidRPr="000B0F9B" w:rsidRDefault="00A33CBF" w:rsidP="00CF3C16">
            <w:pPr>
              <w:jc w:val="both"/>
              <w:rPr>
                <w:sz w:val="20"/>
                <w:lang w:val="fr-CA"/>
              </w:rPr>
            </w:pPr>
            <w:r w:rsidRPr="000B0F9B">
              <w:rPr>
                <w:sz w:val="20"/>
                <w:lang w:val="fr-CA"/>
              </w:rPr>
              <w:t>8 décembre 2020</w:t>
            </w:r>
          </w:p>
          <w:p w:rsidR="00A33CBF" w:rsidRPr="000B0F9B" w:rsidRDefault="00A33CBF" w:rsidP="00CF3C16">
            <w:pPr>
              <w:jc w:val="both"/>
              <w:rPr>
                <w:sz w:val="20"/>
                <w:lang w:val="fr-CA"/>
              </w:rPr>
            </w:pPr>
            <w:r w:rsidRPr="000B0F9B">
              <w:rPr>
                <w:sz w:val="20"/>
                <w:lang w:val="fr-CA"/>
              </w:rPr>
              <w:t>Cour du banc de la Reine de l’Alberta</w:t>
            </w:r>
          </w:p>
          <w:p w:rsidR="00A33CBF" w:rsidRPr="000B0F9B" w:rsidRDefault="00A33CBF" w:rsidP="00CF3C16">
            <w:pPr>
              <w:jc w:val="both"/>
              <w:rPr>
                <w:sz w:val="20"/>
              </w:rPr>
            </w:pPr>
            <w:r w:rsidRPr="000B0F9B">
              <w:rPr>
                <w:sz w:val="20"/>
              </w:rPr>
              <w:t>(Juge Bercov)</w:t>
            </w:r>
          </w:p>
          <w:p w:rsidR="00A33CBF" w:rsidRPr="000B0F9B" w:rsidRDefault="000B0F9B" w:rsidP="00CF3C16">
            <w:pPr>
              <w:jc w:val="both"/>
              <w:rPr>
                <w:sz w:val="20"/>
              </w:rPr>
            </w:pPr>
            <w:hyperlink r:id="rId33" w:history="1">
              <w:r w:rsidR="00A33CBF" w:rsidRPr="000B0F9B">
                <w:rPr>
                  <w:rStyle w:val="Hyperlink"/>
                  <w:sz w:val="20"/>
                </w:rPr>
                <w:t>2020 ABQB 765</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lang w:val="fr-CA"/>
              </w:rPr>
            </w:pPr>
            <w:r w:rsidRPr="000B0F9B">
              <w:rPr>
                <w:sz w:val="20"/>
                <w:lang w:val="fr-CA"/>
              </w:rPr>
              <w:t>Appel accueilli, sursis des procédures ordonné</w:t>
            </w:r>
          </w:p>
          <w:p w:rsidR="00A33CBF" w:rsidRPr="000B0F9B" w:rsidRDefault="00A33CBF" w:rsidP="00CF3C16">
            <w:pPr>
              <w:jc w:val="both"/>
              <w:rPr>
                <w:sz w:val="20"/>
                <w:lang w:val="fr-CA"/>
              </w:rPr>
            </w:pPr>
          </w:p>
        </w:tc>
      </w:tr>
      <w:tr w:rsidR="00A33CBF" w:rsidRPr="000B0F9B" w:rsidTr="00CF3C16">
        <w:tc>
          <w:tcPr>
            <w:tcW w:w="2427" w:type="pct"/>
          </w:tcPr>
          <w:p w:rsidR="00A33CBF" w:rsidRPr="000B0F9B" w:rsidRDefault="00A33CBF" w:rsidP="00CF3C16">
            <w:pPr>
              <w:jc w:val="both"/>
              <w:rPr>
                <w:sz w:val="20"/>
                <w:lang w:val="fr-CA"/>
              </w:rPr>
            </w:pPr>
            <w:r w:rsidRPr="000B0F9B">
              <w:rPr>
                <w:sz w:val="20"/>
                <w:lang w:val="fr-CA"/>
              </w:rPr>
              <w:t>5 novembre 2021</w:t>
            </w:r>
          </w:p>
          <w:p w:rsidR="00A33CBF" w:rsidRPr="000B0F9B" w:rsidRDefault="00A33CBF" w:rsidP="00CF3C16">
            <w:pPr>
              <w:jc w:val="both"/>
              <w:rPr>
                <w:sz w:val="20"/>
                <w:lang w:val="fr-CA"/>
              </w:rPr>
            </w:pPr>
            <w:r w:rsidRPr="000B0F9B">
              <w:rPr>
                <w:sz w:val="20"/>
                <w:lang w:val="fr-CA"/>
              </w:rPr>
              <w:t>Cour d’appel de l’Alberta (Edmonton)</w:t>
            </w:r>
          </w:p>
          <w:p w:rsidR="00A33CBF" w:rsidRPr="000B0F9B" w:rsidRDefault="00A33CBF" w:rsidP="00CF3C16">
            <w:pPr>
              <w:jc w:val="both"/>
              <w:rPr>
                <w:sz w:val="20"/>
              </w:rPr>
            </w:pPr>
            <w:r w:rsidRPr="000B0F9B">
              <w:rPr>
                <w:sz w:val="20"/>
              </w:rPr>
              <w:t>(Juges Slatter, Schutz et Freehan)</w:t>
            </w:r>
          </w:p>
          <w:p w:rsidR="00A33CBF" w:rsidRPr="000B0F9B" w:rsidRDefault="000B0F9B" w:rsidP="00CF3C16">
            <w:pPr>
              <w:jc w:val="both"/>
              <w:rPr>
                <w:sz w:val="20"/>
              </w:rPr>
            </w:pPr>
            <w:hyperlink r:id="rId34" w:history="1">
              <w:r w:rsidR="00A33CBF" w:rsidRPr="000B0F9B">
                <w:rPr>
                  <w:rStyle w:val="Hyperlink"/>
                  <w:sz w:val="20"/>
                </w:rPr>
                <w:t>2021 ABCA 329</w:t>
              </w:r>
            </w:hyperlink>
            <w:r w:rsidR="00A33CBF" w:rsidRPr="000B0F9B">
              <w:rPr>
                <w:sz w:val="20"/>
              </w:rPr>
              <w:t xml:space="preserve">; </w:t>
            </w:r>
            <w:r w:rsidR="00A33CBF" w:rsidRPr="000B0F9B">
              <w:rPr>
                <w:spacing w:val="-1"/>
                <w:sz w:val="20"/>
              </w:rPr>
              <w:t>2003</w:t>
            </w:r>
            <w:r w:rsidR="00A33CBF" w:rsidRPr="000B0F9B">
              <w:rPr>
                <w:spacing w:val="-1"/>
                <w:sz w:val="20"/>
              </w:rPr>
              <w:noBreakHyphen/>
              <w:t>0231AC</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Appel rejeté</w:t>
            </w:r>
          </w:p>
        </w:tc>
      </w:tr>
      <w:tr w:rsidR="00A33CBF" w:rsidRPr="000B0F9B" w:rsidTr="00CF3C16">
        <w:tc>
          <w:tcPr>
            <w:tcW w:w="2427" w:type="pct"/>
          </w:tcPr>
          <w:p w:rsidR="00A33CBF" w:rsidRPr="000B0F9B" w:rsidRDefault="00A33CBF" w:rsidP="00CF3C16">
            <w:pPr>
              <w:jc w:val="both"/>
              <w:rPr>
                <w:sz w:val="20"/>
                <w:lang w:val="fr-CA"/>
              </w:rPr>
            </w:pPr>
            <w:r w:rsidRPr="000B0F9B">
              <w:rPr>
                <w:sz w:val="20"/>
                <w:lang w:val="fr-CA"/>
              </w:rPr>
              <w:t>6 décembre 2021</w:t>
            </w:r>
          </w:p>
          <w:p w:rsidR="00A33CBF" w:rsidRPr="000B0F9B" w:rsidRDefault="00A33CBF" w:rsidP="00CF3C16">
            <w:pPr>
              <w:jc w:val="both"/>
              <w:rPr>
                <w:sz w:val="20"/>
                <w:lang w:val="fr-CA"/>
              </w:rPr>
            </w:pPr>
            <w:r w:rsidRPr="000B0F9B">
              <w:rPr>
                <w:sz w:val="20"/>
                <w:lang w:val="fr-CA"/>
              </w:rPr>
              <w:t>Cour suprême du Canada</w:t>
            </w: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rPr>
            </w:pPr>
            <w:r w:rsidRPr="000B0F9B">
              <w:rPr>
                <w:sz w:val="20"/>
              </w:rPr>
              <w:t>Demande d’autorisation d’appel déposée</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39" style="width:2in;height:1pt" o:hrpct="0" o:hralign="center" o:hrstd="t" o:hrnoshade="t" o:hr="t" fillcolor="black [3213]" stroked="f"/>
        </w:pict>
      </w:r>
    </w:p>
    <w:p w:rsidR="00A33CBF" w:rsidRPr="000B0F9B" w:rsidRDefault="00A33CBF" w:rsidP="00A33CB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rPr>
            </w:pPr>
            <w:r w:rsidRPr="000B0F9B">
              <w:rPr>
                <w:rStyle w:val="SCCFileNumberChar"/>
                <w:sz w:val="20"/>
                <w:szCs w:val="20"/>
              </w:rPr>
              <w:t>40012</w:t>
            </w:r>
          </w:p>
        </w:tc>
        <w:tc>
          <w:tcPr>
            <w:tcW w:w="4457" w:type="pct"/>
            <w:gridSpan w:val="3"/>
          </w:tcPr>
          <w:p w:rsidR="00A33CBF" w:rsidRPr="000B0F9B" w:rsidRDefault="00A33CBF" w:rsidP="00CF3C16">
            <w:pPr>
              <w:pStyle w:val="SCCLsocParty"/>
              <w:jc w:val="both"/>
              <w:rPr>
                <w:b/>
                <w:sz w:val="20"/>
                <w:szCs w:val="20"/>
                <w:lang w:val="en-US"/>
              </w:rPr>
            </w:pPr>
            <w:r w:rsidRPr="000B0F9B">
              <w:rPr>
                <w:b/>
                <w:sz w:val="20"/>
                <w:szCs w:val="20"/>
                <w:lang w:val="en-US"/>
              </w:rPr>
              <w:t>J.R.L. v. Q.X.</w:t>
            </w:r>
          </w:p>
          <w:p w:rsidR="00A33CBF" w:rsidRPr="000B0F9B" w:rsidRDefault="00A33CBF" w:rsidP="00CF3C16">
            <w:pPr>
              <w:jc w:val="both"/>
              <w:rPr>
                <w:sz w:val="20"/>
              </w:rPr>
            </w:pPr>
            <w:r w:rsidRPr="000B0F9B">
              <w:rPr>
                <w:sz w:val="20"/>
              </w:rPr>
              <w:t>(B.C.) (Civil) (By Leave)</w:t>
            </w:r>
          </w:p>
        </w:tc>
      </w:tr>
      <w:tr w:rsidR="00A33CBF" w:rsidRPr="000B0F9B" w:rsidTr="00CF3C16">
        <w:tc>
          <w:tcPr>
            <w:tcW w:w="5000" w:type="pct"/>
            <w:gridSpan w:val="4"/>
          </w:tcPr>
          <w:p w:rsidR="003874ED" w:rsidRPr="000B0F9B" w:rsidRDefault="003874ED" w:rsidP="003874ED">
            <w:pPr>
              <w:jc w:val="both"/>
              <w:rPr>
                <w:sz w:val="20"/>
                <w:szCs w:val="20"/>
              </w:rPr>
            </w:pPr>
            <w:r w:rsidRPr="000B0F9B">
              <w:rPr>
                <w:sz w:val="20"/>
                <w:szCs w:val="20"/>
              </w:rPr>
              <w:t>The motion for an extension of time to serve and file the reply is granted. The application for leave to appeal from the judgment of the Court of Appeal for British Columbia (Vancouver), Numbers CA45397, CA45685 and CA47146, 2021 BCCA 419, dated October 26, 2021, is dismissed with costs.</w:t>
            </w:r>
          </w:p>
          <w:p w:rsidR="00A33CBF" w:rsidRPr="000B0F9B" w:rsidRDefault="00A33CBF" w:rsidP="00CF3C16">
            <w:pPr>
              <w:pStyle w:val="SCCBanSummary0"/>
              <w:rPr>
                <w:smallCaps w:val="0"/>
                <w:sz w:val="20"/>
                <w:szCs w:val="20"/>
              </w:rPr>
            </w:pPr>
          </w:p>
        </w:tc>
      </w:tr>
      <w:tr w:rsidR="00A33CBF" w:rsidRPr="000B0F9B" w:rsidTr="00CF3C16">
        <w:tc>
          <w:tcPr>
            <w:tcW w:w="5000" w:type="pct"/>
            <w:gridSpan w:val="4"/>
          </w:tcPr>
          <w:p w:rsidR="00A33CBF" w:rsidRPr="000B0F9B" w:rsidRDefault="00A33CBF" w:rsidP="00CF3C16">
            <w:pPr>
              <w:pStyle w:val="SCCBanSummary0"/>
              <w:rPr>
                <w:sz w:val="20"/>
                <w:szCs w:val="20"/>
              </w:rPr>
            </w:pPr>
            <w:r w:rsidRPr="000B0F9B">
              <w:rPr>
                <w:sz w:val="20"/>
                <w:szCs w:val="20"/>
              </w:rPr>
              <w:t>(Publication ban on party)</w:t>
            </w:r>
          </w:p>
          <w:p w:rsidR="00A33CBF" w:rsidRPr="000B0F9B" w:rsidRDefault="00A33CBF" w:rsidP="00CF3C16">
            <w:pPr>
              <w:jc w:val="both"/>
              <w:rPr>
                <w:sz w:val="20"/>
              </w:rPr>
            </w:pPr>
          </w:p>
          <w:p w:rsidR="00A33CBF" w:rsidRPr="000B0F9B" w:rsidRDefault="00A33CBF" w:rsidP="00CF3C16">
            <w:pPr>
              <w:jc w:val="both"/>
              <w:rPr>
                <w:sz w:val="20"/>
              </w:rPr>
            </w:pPr>
            <w:r w:rsidRPr="000B0F9B">
              <w:rPr>
                <w:sz w:val="20"/>
              </w:rPr>
              <w:t>Family law — Custody — Spousal support — Application for extension of time to appeal dismissed —Whether family violence was correctly evaluated by the courts below — Whether 9 years of lump sum spousal support is a significant error.</w:t>
            </w:r>
          </w:p>
        </w:tc>
      </w:tr>
      <w:tr w:rsidR="00A33CBF" w:rsidRPr="000B0F9B" w:rsidTr="00CF3C16">
        <w:tc>
          <w:tcPr>
            <w:tcW w:w="5000" w:type="pct"/>
            <w:gridSpan w:val="4"/>
          </w:tcPr>
          <w:p w:rsidR="00A33CBF" w:rsidRPr="000B0F9B" w:rsidRDefault="00A33CBF" w:rsidP="00CF3C16">
            <w:pPr>
              <w:jc w:val="both"/>
              <w:rPr>
                <w:sz w:val="20"/>
              </w:rPr>
            </w:pPr>
          </w:p>
        </w:tc>
      </w:tr>
      <w:tr w:rsidR="00A33CBF" w:rsidRPr="000B0F9B" w:rsidTr="00CF3C16">
        <w:tc>
          <w:tcPr>
            <w:tcW w:w="5000" w:type="pct"/>
            <w:gridSpan w:val="4"/>
          </w:tcPr>
          <w:p w:rsidR="00A33CBF" w:rsidRPr="000B0F9B" w:rsidRDefault="00A33CBF" w:rsidP="00CF3C16">
            <w:pPr>
              <w:jc w:val="both"/>
              <w:rPr>
                <w:sz w:val="20"/>
              </w:rPr>
            </w:pPr>
            <w:r w:rsidRPr="000B0F9B">
              <w:rPr>
                <w:sz w:val="20"/>
              </w:rPr>
              <w:t xml:space="preserve">The parties were married in June 2010. They separated in November 2012. They have a child who was born in 2011. They have been engaged in family law proceedings since 2012, when the respondent filed for divorce and corollary relief. Following a trial, the Supreme Court of British Columbia issued a comprehensive order on the various issues, including on custody, parenting time and guardianship, and on spousal support. In 2018, the applicant’s application for an extension of time to appeal was dismissed. The applicant ultimately filed applications to appeal and appeals from orders of the Supreme Court of British Columbia in the litigation. The Court of Appeal dismissed his applications and appeal.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May 8, 2015</w:t>
            </w:r>
          </w:p>
          <w:p w:rsidR="00A33CBF" w:rsidRPr="000B0F9B" w:rsidRDefault="00A33CBF" w:rsidP="00CF3C16">
            <w:pPr>
              <w:jc w:val="both"/>
              <w:rPr>
                <w:sz w:val="20"/>
              </w:rPr>
            </w:pPr>
            <w:r w:rsidRPr="000B0F9B">
              <w:rPr>
                <w:sz w:val="20"/>
              </w:rPr>
              <w:t>Supreme Court of British Columbia</w:t>
            </w:r>
          </w:p>
          <w:p w:rsidR="00A33CBF" w:rsidRPr="000B0F9B" w:rsidRDefault="00A33CBF" w:rsidP="00CF3C16">
            <w:pPr>
              <w:jc w:val="both"/>
              <w:rPr>
                <w:sz w:val="20"/>
              </w:rPr>
            </w:pPr>
            <w:r w:rsidRPr="000B0F9B">
              <w:rPr>
                <w:sz w:val="20"/>
              </w:rPr>
              <w:t>(Loo J.)</w:t>
            </w:r>
          </w:p>
          <w:p w:rsidR="00A33CBF" w:rsidRPr="000B0F9B" w:rsidRDefault="000B0F9B" w:rsidP="00CF3C16">
            <w:pPr>
              <w:jc w:val="both"/>
              <w:rPr>
                <w:sz w:val="20"/>
              </w:rPr>
            </w:pPr>
            <w:hyperlink r:id="rId35" w:history="1">
              <w:r w:rsidR="00A33CBF" w:rsidRPr="000B0F9B">
                <w:rPr>
                  <w:rStyle w:val="Hyperlink"/>
                  <w:sz w:val="20"/>
                </w:rPr>
                <w:t>2015 BCSC 763</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Comprehensive order issued to address custody of and access to the parties’ child, and child and spousal support.</w:t>
            </w:r>
          </w:p>
        </w:tc>
      </w:tr>
      <w:tr w:rsidR="00A33CBF" w:rsidRPr="000B0F9B" w:rsidTr="00CF3C16">
        <w:tc>
          <w:tcPr>
            <w:tcW w:w="2427" w:type="pct"/>
            <w:gridSpan w:val="2"/>
          </w:tcPr>
          <w:p w:rsidR="00A33CBF" w:rsidRPr="000B0F9B" w:rsidRDefault="00A33CBF" w:rsidP="00CF3C16">
            <w:pPr>
              <w:jc w:val="both"/>
              <w:rPr>
                <w:sz w:val="20"/>
              </w:rPr>
            </w:pPr>
            <w:r w:rsidRPr="000B0F9B">
              <w:rPr>
                <w:sz w:val="20"/>
              </w:rPr>
              <w:t>July 16, 2018</w:t>
            </w:r>
          </w:p>
          <w:p w:rsidR="00A33CBF" w:rsidRPr="000B0F9B" w:rsidRDefault="00A33CBF" w:rsidP="00CF3C16">
            <w:pPr>
              <w:jc w:val="both"/>
              <w:rPr>
                <w:sz w:val="20"/>
              </w:rPr>
            </w:pPr>
            <w:r w:rsidRPr="000B0F9B">
              <w:rPr>
                <w:sz w:val="20"/>
              </w:rPr>
              <w:t xml:space="preserve">Court of Appeal for British Columbia </w:t>
            </w:r>
          </w:p>
          <w:p w:rsidR="00A33CBF" w:rsidRPr="000B0F9B" w:rsidRDefault="00A33CBF" w:rsidP="00CF3C16">
            <w:pPr>
              <w:jc w:val="both"/>
              <w:rPr>
                <w:sz w:val="20"/>
              </w:rPr>
            </w:pPr>
            <w:r w:rsidRPr="000B0F9B">
              <w:rPr>
                <w:sz w:val="20"/>
              </w:rPr>
              <w:t>(Savage J.)</w:t>
            </w:r>
          </w:p>
          <w:p w:rsidR="00A33CBF" w:rsidRPr="000B0F9B" w:rsidRDefault="000B0F9B" w:rsidP="00CF3C16">
            <w:pPr>
              <w:jc w:val="both"/>
              <w:rPr>
                <w:sz w:val="20"/>
              </w:rPr>
            </w:pPr>
            <w:hyperlink r:id="rId36" w:history="1">
              <w:r w:rsidR="00A33CBF" w:rsidRPr="000B0F9B">
                <w:rPr>
                  <w:rStyle w:val="Hyperlink"/>
                  <w:sz w:val="20"/>
                </w:rPr>
                <w:t>2018 BCCA 295</w:t>
              </w:r>
            </w:hyperlink>
            <w:r w:rsidR="00A33CBF" w:rsidRPr="000B0F9B">
              <w:rPr>
                <w:sz w:val="20"/>
              </w:rPr>
              <w:t xml:space="preserve"> (Docket: CA45397) </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Applicant’s application for an extension of time to appeal dismissed.</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September 27, 2018</w:t>
            </w:r>
          </w:p>
          <w:p w:rsidR="00A33CBF" w:rsidRPr="000B0F9B" w:rsidRDefault="00A33CBF" w:rsidP="00CF3C16">
            <w:pPr>
              <w:jc w:val="both"/>
              <w:rPr>
                <w:sz w:val="20"/>
              </w:rPr>
            </w:pPr>
            <w:r w:rsidRPr="000B0F9B">
              <w:rPr>
                <w:sz w:val="20"/>
              </w:rPr>
              <w:t>Supreme Court of British Columbia</w:t>
            </w:r>
          </w:p>
          <w:p w:rsidR="00A33CBF" w:rsidRPr="000B0F9B" w:rsidRDefault="00A33CBF" w:rsidP="00CF3C16">
            <w:pPr>
              <w:jc w:val="both"/>
              <w:rPr>
                <w:sz w:val="20"/>
              </w:rPr>
            </w:pPr>
            <w:r w:rsidRPr="000B0F9B">
              <w:rPr>
                <w:sz w:val="20"/>
              </w:rPr>
              <w:t>(Weatherill J.)</w:t>
            </w:r>
          </w:p>
          <w:p w:rsidR="00A33CBF" w:rsidRPr="000B0F9B" w:rsidRDefault="00A33CBF" w:rsidP="00CF3C16">
            <w:pPr>
              <w:jc w:val="both"/>
              <w:rPr>
                <w:sz w:val="20"/>
              </w:rPr>
            </w:pPr>
            <w:r w:rsidRPr="000B0F9B">
              <w:rPr>
                <w:sz w:val="20"/>
              </w:rPr>
              <w:t xml:space="preserve">Unreported (Docket: E123319) </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 xml:space="preserve">Applicant’s applications to increase his parenting time and parental responsibilities and for publication ban and sealing order dismissed. Parenting schedule varied by consent.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December 1, 2020</w:t>
            </w:r>
          </w:p>
          <w:p w:rsidR="00A33CBF" w:rsidRPr="000B0F9B" w:rsidRDefault="00A33CBF" w:rsidP="00CF3C16">
            <w:pPr>
              <w:jc w:val="both"/>
              <w:rPr>
                <w:sz w:val="20"/>
              </w:rPr>
            </w:pPr>
            <w:r w:rsidRPr="000B0F9B">
              <w:rPr>
                <w:sz w:val="20"/>
              </w:rPr>
              <w:t>Supreme Court of British Columbia</w:t>
            </w:r>
          </w:p>
          <w:p w:rsidR="00A33CBF" w:rsidRPr="000B0F9B" w:rsidRDefault="00A33CBF" w:rsidP="00CF3C16">
            <w:pPr>
              <w:jc w:val="both"/>
              <w:rPr>
                <w:sz w:val="20"/>
              </w:rPr>
            </w:pPr>
            <w:r w:rsidRPr="000B0F9B">
              <w:rPr>
                <w:sz w:val="20"/>
              </w:rPr>
              <w:t>(Ker J.)</w:t>
            </w:r>
          </w:p>
          <w:p w:rsidR="00A33CBF" w:rsidRPr="000B0F9B" w:rsidRDefault="000B0F9B" w:rsidP="00CF3C16">
            <w:pPr>
              <w:jc w:val="both"/>
              <w:rPr>
                <w:sz w:val="20"/>
              </w:rPr>
            </w:pPr>
            <w:hyperlink r:id="rId37" w:history="1">
              <w:r w:rsidR="00A33CBF" w:rsidRPr="000B0F9B">
                <w:rPr>
                  <w:rStyle w:val="Hyperlink"/>
                  <w:sz w:val="20"/>
                </w:rPr>
                <w:t>2020 BCSC 1875</w:t>
              </w:r>
            </w:hyperlink>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Applicant’s application to proceed by written submission to vary child and spousal support orders and to seek disclosure orders dismissed.</w:t>
            </w:r>
          </w:p>
        </w:tc>
      </w:tr>
      <w:tr w:rsidR="00A33CBF" w:rsidRPr="000B0F9B" w:rsidTr="00CF3C16">
        <w:tc>
          <w:tcPr>
            <w:tcW w:w="2427" w:type="pct"/>
            <w:gridSpan w:val="2"/>
          </w:tcPr>
          <w:p w:rsidR="00A33CBF" w:rsidRPr="000B0F9B" w:rsidRDefault="00A33CBF" w:rsidP="00CF3C16">
            <w:pPr>
              <w:jc w:val="both"/>
              <w:rPr>
                <w:sz w:val="20"/>
              </w:rPr>
            </w:pPr>
            <w:r w:rsidRPr="000B0F9B">
              <w:rPr>
                <w:sz w:val="20"/>
              </w:rPr>
              <w:t>May 27, 2021</w:t>
            </w:r>
          </w:p>
          <w:p w:rsidR="00A33CBF" w:rsidRPr="000B0F9B" w:rsidRDefault="00A33CBF" w:rsidP="00CF3C16">
            <w:pPr>
              <w:jc w:val="both"/>
              <w:rPr>
                <w:sz w:val="20"/>
              </w:rPr>
            </w:pPr>
            <w:r w:rsidRPr="000B0F9B">
              <w:rPr>
                <w:sz w:val="20"/>
              </w:rPr>
              <w:t xml:space="preserve">Court of Appeal for British Columbia </w:t>
            </w:r>
          </w:p>
          <w:p w:rsidR="00A33CBF" w:rsidRPr="000B0F9B" w:rsidRDefault="00A33CBF" w:rsidP="00CF3C16">
            <w:pPr>
              <w:jc w:val="both"/>
              <w:rPr>
                <w:sz w:val="20"/>
              </w:rPr>
            </w:pPr>
            <w:r w:rsidRPr="000B0F9B">
              <w:rPr>
                <w:sz w:val="20"/>
              </w:rPr>
              <w:t>(Fitch J.)</w:t>
            </w:r>
          </w:p>
          <w:p w:rsidR="00A33CBF" w:rsidRPr="000B0F9B" w:rsidRDefault="000B0F9B" w:rsidP="00CF3C16">
            <w:pPr>
              <w:jc w:val="both"/>
              <w:rPr>
                <w:sz w:val="20"/>
              </w:rPr>
            </w:pPr>
            <w:hyperlink r:id="rId38" w:history="1">
              <w:r w:rsidR="00A33CBF" w:rsidRPr="000B0F9B">
                <w:rPr>
                  <w:rStyle w:val="Hyperlink"/>
                  <w:sz w:val="20"/>
                </w:rPr>
                <w:t>2021 BCCA 236</w:t>
              </w:r>
            </w:hyperlink>
            <w:r w:rsidR="00A33CBF" w:rsidRPr="000B0F9B">
              <w:rPr>
                <w:sz w:val="20"/>
              </w:rPr>
              <w:t xml:space="preserve"> (Dockets: CA45397; CA45685; CA47146)</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 xml:space="preserve">Applicant’s applications to reinstate his appeals from the trial judgment and from the judgment of September 27, 2018, dismissed. Applicant’s application to vary the Court of Appeal order of July 16, 2018, to be determined by a division of the Court of Appeal on the basis of the written submissions already filed. Respondent’s application to quash applicant’s notice of appeal filed from the order of December 1, 2020, dismissed. </w:t>
            </w:r>
          </w:p>
          <w:p w:rsidR="00A33CBF" w:rsidRPr="000B0F9B" w:rsidRDefault="00A33CBF" w:rsidP="00CF3C16">
            <w:pPr>
              <w:jc w:val="both"/>
              <w:rPr>
                <w:sz w:val="20"/>
              </w:rPr>
            </w:pPr>
          </w:p>
        </w:tc>
      </w:tr>
      <w:tr w:rsidR="00A33CBF" w:rsidRPr="000B0F9B" w:rsidTr="00CF3C16">
        <w:tc>
          <w:tcPr>
            <w:tcW w:w="2427" w:type="pct"/>
            <w:gridSpan w:val="2"/>
          </w:tcPr>
          <w:p w:rsidR="00A33CBF" w:rsidRPr="000B0F9B" w:rsidRDefault="00A33CBF" w:rsidP="00CF3C16">
            <w:pPr>
              <w:jc w:val="both"/>
              <w:rPr>
                <w:sz w:val="20"/>
              </w:rPr>
            </w:pPr>
            <w:r w:rsidRPr="000B0F9B">
              <w:rPr>
                <w:sz w:val="20"/>
              </w:rPr>
              <w:t>October 26, 2021</w:t>
            </w:r>
          </w:p>
          <w:p w:rsidR="00A33CBF" w:rsidRPr="000B0F9B" w:rsidRDefault="00A33CBF" w:rsidP="00CF3C16">
            <w:pPr>
              <w:jc w:val="both"/>
              <w:rPr>
                <w:sz w:val="20"/>
              </w:rPr>
            </w:pPr>
            <w:r w:rsidRPr="000B0F9B">
              <w:rPr>
                <w:sz w:val="20"/>
              </w:rPr>
              <w:t>Court of Appeal for British Columbia (Vancouver)</w:t>
            </w:r>
          </w:p>
          <w:p w:rsidR="00A33CBF" w:rsidRPr="000B0F9B" w:rsidRDefault="00A33CBF" w:rsidP="00CF3C16">
            <w:pPr>
              <w:jc w:val="both"/>
              <w:rPr>
                <w:sz w:val="20"/>
              </w:rPr>
            </w:pPr>
            <w:r w:rsidRPr="000B0F9B">
              <w:rPr>
                <w:sz w:val="20"/>
              </w:rPr>
              <w:t>(Saunders, Fenlon and Grauer JJ.A.)</w:t>
            </w:r>
          </w:p>
          <w:p w:rsidR="00A33CBF" w:rsidRPr="000B0F9B" w:rsidRDefault="000B0F9B" w:rsidP="00CF3C16">
            <w:pPr>
              <w:jc w:val="both"/>
              <w:rPr>
                <w:sz w:val="20"/>
              </w:rPr>
            </w:pPr>
            <w:hyperlink r:id="rId39" w:history="1">
              <w:r w:rsidR="00A33CBF" w:rsidRPr="000B0F9B">
                <w:rPr>
                  <w:rStyle w:val="Hyperlink"/>
                  <w:sz w:val="20"/>
                </w:rPr>
                <w:t>2021 BCCA 419</w:t>
              </w:r>
            </w:hyperlink>
            <w:r w:rsidR="00A33CBF" w:rsidRPr="000B0F9B">
              <w:rPr>
                <w:sz w:val="20"/>
              </w:rPr>
              <w:t xml:space="preserve"> (Dockets: CA45397; CA45685; CA47146)</w:t>
            </w:r>
          </w:p>
          <w:p w:rsidR="00A33CBF" w:rsidRPr="000B0F9B" w:rsidRDefault="00A33CBF" w:rsidP="00CF3C16">
            <w:pPr>
              <w:jc w:val="both"/>
              <w:rPr>
                <w:sz w:val="20"/>
              </w:rPr>
            </w:pP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Applicant’s application to adduce fresh evidence dismissed. Applicant’s applications to vary the orders of July 16, 2018, and May 27, 2021, dismissed. Applicant’s appeal from the order of December 1, 2020, dismissed.</w:t>
            </w:r>
          </w:p>
        </w:tc>
      </w:tr>
      <w:tr w:rsidR="00A33CBF" w:rsidRPr="000B0F9B" w:rsidTr="00CF3C16">
        <w:tc>
          <w:tcPr>
            <w:tcW w:w="2427" w:type="pct"/>
            <w:gridSpan w:val="2"/>
          </w:tcPr>
          <w:p w:rsidR="00A33CBF" w:rsidRPr="000B0F9B" w:rsidRDefault="00A33CBF" w:rsidP="00CF3C16">
            <w:pPr>
              <w:jc w:val="both"/>
              <w:rPr>
                <w:sz w:val="20"/>
              </w:rPr>
            </w:pPr>
            <w:r w:rsidRPr="000B0F9B">
              <w:rPr>
                <w:sz w:val="20"/>
              </w:rPr>
              <w:t>December 29, 2021</w:t>
            </w:r>
          </w:p>
          <w:p w:rsidR="00A33CBF" w:rsidRPr="000B0F9B" w:rsidRDefault="00A33CBF" w:rsidP="00CF3C16">
            <w:pPr>
              <w:jc w:val="both"/>
              <w:rPr>
                <w:sz w:val="20"/>
              </w:rPr>
            </w:pPr>
            <w:r w:rsidRPr="000B0F9B">
              <w:rPr>
                <w:sz w:val="20"/>
              </w:rPr>
              <w:t>Supreme Court of Canada</w:t>
            </w:r>
          </w:p>
        </w:tc>
        <w:tc>
          <w:tcPr>
            <w:tcW w:w="243" w:type="pct"/>
          </w:tcPr>
          <w:p w:rsidR="00A33CBF" w:rsidRPr="000B0F9B" w:rsidRDefault="00A33CBF" w:rsidP="00CF3C16">
            <w:pPr>
              <w:jc w:val="both"/>
              <w:rPr>
                <w:sz w:val="20"/>
              </w:rPr>
            </w:pPr>
          </w:p>
        </w:tc>
        <w:tc>
          <w:tcPr>
            <w:tcW w:w="2330" w:type="pct"/>
          </w:tcPr>
          <w:p w:rsidR="00A33CBF" w:rsidRPr="000B0F9B" w:rsidRDefault="00A33CBF" w:rsidP="00CF3C16">
            <w:pPr>
              <w:jc w:val="both"/>
              <w:rPr>
                <w:sz w:val="20"/>
              </w:rPr>
            </w:pPr>
            <w:r w:rsidRPr="000B0F9B">
              <w:rPr>
                <w:sz w:val="20"/>
              </w:rPr>
              <w:t>Application for leave to appeal filed.</w:t>
            </w:r>
          </w:p>
          <w:p w:rsidR="00A33CBF" w:rsidRPr="000B0F9B" w:rsidRDefault="00A33CBF" w:rsidP="00CF3C16">
            <w:pPr>
              <w:jc w:val="both"/>
              <w:rPr>
                <w:sz w:val="20"/>
              </w:rPr>
            </w:pPr>
          </w:p>
        </w:tc>
      </w:tr>
    </w:tbl>
    <w:p w:rsidR="00A33CBF" w:rsidRPr="000B0F9B" w:rsidRDefault="00A33CBF" w:rsidP="00A33CBF">
      <w:pPr>
        <w:jc w:val="both"/>
        <w:rPr>
          <w:sz w:val="20"/>
        </w:rPr>
      </w:pPr>
    </w:p>
    <w:p w:rsidR="00A33CBF" w:rsidRPr="000B0F9B" w:rsidRDefault="000B0F9B" w:rsidP="00A33CBF">
      <w:pPr>
        <w:jc w:val="both"/>
        <w:rPr>
          <w:sz w:val="20"/>
        </w:rPr>
      </w:pPr>
      <w:r w:rsidRPr="000B0F9B">
        <w:rPr>
          <w:sz w:val="20"/>
        </w:rPr>
        <w:pict>
          <v:rect id="_x0000_i1040" style="width:2in;height:1pt" o:hrpct="0" o:hralign="center" o:hrstd="t" o:hrnoshade="t" o:hr="t" fillcolor="black [3213]" stroked="f"/>
        </w:pict>
      </w:r>
    </w:p>
    <w:p w:rsidR="00A33CBF" w:rsidRPr="000B0F9B" w:rsidRDefault="00A33CBF" w:rsidP="00A33CB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3CBF" w:rsidRPr="000B0F9B" w:rsidTr="00CF3C16">
        <w:tc>
          <w:tcPr>
            <w:tcW w:w="543" w:type="pct"/>
          </w:tcPr>
          <w:p w:rsidR="00A33CBF" w:rsidRPr="000B0F9B" w:rsidRDefault="00A33CBF" w:rsidP="00CF3C16">
            <w:pPr>
              <w:jc w:val="both"/>
              <w:rPr>
                <w:sz w:val="20"/>
                <w:lang w:val="fr-CA"/>
              </w:rPr>
            </w:pPr>
            <w:r w:rsidRPr="000B0F9B">
              <w:rPr>
                <w:rStyle w:val="SCCFileNumberChar"/>
                <w:sz w:val="20"/>
                <w:szCs w:val="20"/>
                <w:lang w:val="fr-CA"/>
              </w:rPr>
              <w:t>40012</w:t>
            </w:r>
          </w:p>
        </w:tc>
        <w:tc>
          <w:tcPr>
            <w:tcW w:w="4457" w:type="pct"/>
            <w:gridSpan w:val="3"/>
          </w:tcPr>
          <w:p w:rsidR="00A33CBF" w:rsidRPr="000B0F9B" w:rsidRDefault="00A33CBF" w:rsidP="00CF3C16">
            <w:pPr>
              <w:pStyle w:val="SCCLsocParty"/>
              <w:jc w:val="both"/>
              <w:rPr>
                <w:b/>
                <w:sz w:val="20"/>
                <w:szCs w:val="20"/>
              </w:rPr>
            </w:pPr>
            <w:r w:rsidRPr="000B0F9B">
              <w:rPr>
                <w:b/>
                <w:sz w:val="20"/>
                <w:szCs w:val="20"/>
              </w:rPr>
              <w:t>J.R.L. c. Q.X.</w:t>
            </w:r>
          </w:p>
          <w:p w:rsidR="00A33CBF" w:rsidRPr="000B0F9B" w:rsidRDefault="00A33CBF" w:rsidP="00CF3C16">
            <w:pPr>
              <w:jc w:val="both"/>
              <w:rPr>
                <w:sz w:val="20"/>
                <w:lang w:val="fr-CA"/>
              </w:rPr>
            </w:pPr>
            <w:r w:rsidRPr="000B0F9B">
              <w:rPr>
                <w:sz w:val="20"/>
                <w:lang w:val="fr-CA"/>
              </w:rPr>
              <w:t>(C.</w:t>
            </w:r>
            <w:r w:rsidRPr="000B0F9B">
              <w:rPr>
                <w:sz w:val="20"/>
                <w:lang w:val="fr-CA"/>
              </w:rPr>
              <w:noBreakHyphen/>
              <w:t>B.) (Civile) (Autorisation)</w:t>
            </w:r>
          </w:p>
        </w:tc>
      </w:tr>
      <w:tr w:rsidR="00A33CBF" w:rsidRPr="000B0F9B" w:rsidTr="00CF3C16">
        <w:tc>
          <w:tcPr>
            <w:tcW w:w="5000" w:type="pct"/>
            <w:gridSpan w:val="4"/>
          </w:tcPr>
          <w:p w:rsidR="00A33CBF" w:rsidRPr="000B0F9B" w:rsidRDefault="003874ED" w:rsidP="00CF3C16">
            <w:pPr>
              <w:pStyle w:val="SCCBanSummary0"/>
              <w:rPr>
                <w:smallCaps w:val="0"/>
                <w:sz w:val="20"/>
                <w:szCs w:val="20"/>
                <w:lang w:val="fr-CA"/>
              </w:rPr>
            </w:pPr>
            <w:r w:rsidRPr="000B0F9B">
              <w:rPr>
                <w:smallCaps w:val="0"/>
                <w:color w:val="000000"/>
                <w:sz w:val="20"/>
                <w:szCs w:val="20"/>
                <w:lang w:val="fr-CA"/>
              </w:rPr>
              <w:t xml:space="preserve">La requête en prorogation du délai de signification et de dépôt de la réplique est accueillie. </w:t>
            </w:r>
            <w:r w:rsidRPr="000B0F9B">
              <w:rPr>
                <w:smallCaps w:val="0"/>
                <w:sz w:val="20"/>
                <w:szCs w:val="20"/>
                <w:lang w:val="fr-CA"/>
              </w:rPr>
              <w:t>La demande d’autorisation d’appel de l’arrêt de la Cour d’appel de la Colombie-Britannique (Vancouver), numéros CA45397, CA45685 et CA47146, daté du 26 octobre 2021, est rejetée avec dépens.</w:t>
            </w:r>
          </w:p>
          <w:p w:rsidR="003874ED" w:rsidRPr="000B0F9B" w:rsidRDefault="003874ED" w:rsidP="003874ED">
            <w:pPr>
              <w:rPr>
                <w:lang w:val="fr-CA"/>
              </w:rPr>
            </w:pPr>
          </w:p>
        </w:tc>
      </w:tr>
      <w:tr w:rsidR="00A33CBF" w:rsidRPr="000B0F9B" w:rsidTr="00CF3C16">
        <w:tc>
          <w:tcPr>
            <w:tcW w:w="5000" w:type="pct"/>
            <w:gridSpan w:val="4"/>
          </w:tcPr>
          <w:p w:rsidR="00A33CBF" w:rsidRPr="000B0F9B" w:rsidRDefault="00A33CBF" w:rsidP="00CF3C16">
            <w:pPr>
              <w:pStyle w:val="SCCBanSummary0"/>
              <w:rPr>
                <w:sz w:val="20"/>
                <w:szCs w:val="20"/>
                <w:lang w:val="fr-CA"/>
              </w:rPr>
            </w:pPr>
            <w:r w:rsidRPr="000B0F9B">
              <w:rPr>
                <w:sz w:val="20"/>
                <w:szCs w:val="20"/>
                <w:lang w:val="fr-CA"/>
              </w:rPr>
              <w:t>(Ordonnance de non</w:t>
            </w:r>
            <w:r w:rsidRPr="000B0F9B">
              <w:rPr>
                <w:sz w:val="20"/>
                <w:szCs w:val="20"/>
                <w:lang w:val="fr-CA"/>
              </w:rPr>
              <w:noBreakHyphen/>
              <w:t>publication visant une partie)</w:t>
            </w:r>
          </w:p>
          <w:p w:rsidR="00A33CBF" w:rsidRPr="000B0F9B" w:rsidRDefault="00A33CBF" w:rsidP="00CF3C16">
            <w:pPr>
              <w:jc w:val="both"/>
              <w:rPr>
                <w:sz w:val="20"/>
                <w:lang w:val="fr-CA"/>
              </w:rPr>
            </w:pPr>
          </w:p>
          <w:p w:rsidR="00A33CBF" w:rsidRPr="000B0F9B" w:rsidRDefault="00A33CBF" w:rsidP="00CF3C16">
            <w:pPr>
              <w:jc w:val="both"/>
              <w:rPr>
                <w:sz w:val="20"/>
                <w:lang w:val="fr-CA"/>
              </w:rPr>
            </w:pPr>
            <w:r w:rsidRPr="000B0F9B">
              <w:rPr>
                <w:sz w:val="20"/>
                <w:lang w:val="fr-CA"/>
              </w:rPr>
              <w:t>Droit de la famille — Garde — Pension alimentaire pour le conjoint — Rejet de la demande de prorogation du délai pour interjeter appel — La violence familiale a</w:t>
            </w:r>
            <w:r w:rsidRPr="000B0F9B">
              <w:rPr>
                <w:sz w:val="20"/>
                <w:lang w:val="fr-CA"/>
              </w:rPr>
              <w:noBreakHyphen/>
              <w:t>t</w:t>
            </w:r>
            <w:r w:rsidRPr="000B0F9B">
              <w:rPr>
                <w:sz w:val="20"/>
                <w:lang w:val="fr-CA"/>
              </w:rPr>
              <w:noBreakHyphen/>
              <w:t>elle été correctement évaluée par les juridictions inférieures? — Une pension alimentaire forfaitaire de neuf ans accordée à la conjointe représente</w:t>
            </w:r>
            <w:r w:rsidRPr="000B0F9B">
              <w:rPr>
                <w:sz w:val="20"/>
                <w:lang w:val="fr-CA"/>
              </w:rPr>
              <w:noBreakHyphen/>
              <w:t>t-elle une erreur importante?</w:t>
            </w:r>
          </w:p>
        </w:tc>
      </w:tr>
      <w:tr w:rsidR="00A33CBF" w:rsidRPr="000B0F9B" w:rsidTr="00CF3C16">
        <w:tc>
          <w:tcPr>
            <w:tcW w:w="5000" w:type="pct"/>
            <w:gridSpan w:val="4"/>
          </w:tcPr>
          <w:p w:rsidR="00A33CBF" w:rsidRPr="000B0F9B" w:rsidRDefault="00A33CBF" w:rsidP="00CF3C16">
            <w:pPr>
              <w:jc w:val="both"/>
              <w:rPr>
                <w:sz w:val="20"/>
                <w:lang w:val="fr-CA"/>
              </w:rPr>
            </w:pPr>
          </w:p>
        </w:tc>
      </w:tr>
      <w:tr w:rsidR="00A33CBF" w:rsidRPr="000B0F9B" w:rsidTr="00CF3C16">
        <w:tc>
          <w:tcPr>
            <w:tcW w:w="5000" w:type="pct"/>
            <w:gridSpan w:val="4"/>
          </w:tcPr>
          <w:p w:rsidR="00A33CBF" w:rsidRPr="000B0F9B" w:rsidRDefault="00A33CBF" w:rsidP="00CF3C16">
            <w:pPr>
              <w:jc w:val="both"/>
              <w:rPr>
                <w:sz w:val="20"/>
                <w:lang w:val="fr-CA"/>
              </w:rPr>
            </w:pPr>
            <w:r w:rsidRPr="000B0F9B">
              <w:rPr>
                <w:sz w:val="20"/>
                <w:lang w:val="fr-CA"/>
              </w:rPr>
              <w:lastRenderedPageBreak/>
              <w:t>Les parties se sont mariées en juin 2010. Elles se sont séparées en novembre 2012. Elles ont un enfant né en 2011. Elles ont entamé des procédures en droit de la famille depuis 2012, quand la défenderesse a déposé une demande de divorce et de mesures accessoires. À la suite d’un procès, la Cour suprême de la Colombie</w:t>
            </w:r>
            <w:r w:rsidRPr="000B0F9B">
              <w:rPr>
                <w:sz w:val="20"/>
                <w:lang w:val="fr-CA"/>
              </w:rPr>
              <w:noBreakHyphen/>
              <w:t>Britannique a rendu une ordonnance globale sur plusieurs des questions, y compris la garde, le temps parental et la tutelle, et sur la pension alimentaire pour la conjointe. En 2018, la demande présentée par le demandeur en vue de la prorogation du délai pour interjeter appel a été rejetée. Le demandeur a en définitive présenté des demandes d’autorisation d’appel et des appels à l’encontre des ordonnances de la Cour suprême de la Colombie</w:t>
            </w:r>
            <w:r w:rsidRPr="000B0F9B">
              <w:rPr>
                <w:sz w:val="20"/>
                <w:lang w:val="fr-CA"/>
              </w:rPr>
              <w:noBreakHyphen/>
              <w:t>Britannique dans le litige. La Cour d’appel a rejeté ses demandes et son appel.</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8 mai 2015</w:t>
            </w:r>
          </w:p>
          <w:p w:rsidR="00A33CBF" w:rsidRPr="000B0F9B" w:rsidRDefault="00A33CBF" w:rsidP="00CF3C16">
            <w:pPr>
              <w:jc w:val="both"/>
              <w:rPr>
                <w:sz w:val="20"/>
                <w:lang w:val="fr-CA"/>
              </w:rPr>
            </w:pPr>
            <w:r w:rsidRPr="000B0F9B">
              <w:rPr>
                <w:sz w:val="20"/>
                <w:lang w:val="fr-CA"/>
              </w:rPr>
              <w:t>Cour suprême de la Colombie</w:t>
            </w:r>
            <w:r w:rsidRPr="000B0F9B">
              <w:rPr>
                <w:sz w:val="20"/>
                <w:lang w:val="fr-CA"/>
              </w:rPr>
              <w:noBreakHyphen/>
              <w:t>Britannique</w:t>
            </w:r>
          </w:p>
          <w:p w:rsidR="00A33CBF" w:rsidRPr="000B0F9B" w:rsidRDefault="00A33CBF" w:rsidP="00CF3C16">
            <w:pPr>
              <w:jc w:val="both"/>
              <w:rPr>
                <w:sz w:val="20"/>
                <w:lang w:val="fr-CA"/>
              </w:rPr>
            </w:pPr>
            <w:r w:rsidRPr="000B0F9B">
              <w:rPr>
                <w:sz w:val="20"/>
                <w:lang w:val="fr-CA"/>
              </w:rPr>
              <w:t>(juge Loo)</w:t>
            </w:r>
          </w:p>
          <w:p w:rsidR="00A33CBF" w:rsidRPr="000B0F9B" w:rsidRDefault="000B0F9B" w:rsidP="00CF3C16">
            <w:pPr>
              <w:jc w:val="both"/>
              <w:rPr>
                <w:sz w:val="20"/>
                <w:lang w:val="fr-CA"/>
              </w:rPr>
            </w:pPr>
            <w:hyperlink r:id="rId40" w:history="1">
              <w:r w:rsidR="00A33CBF" w:rsidRPr="000B0F9B">
                <w:rPr>
                  <w:rStyle w:val="Hyperlink"/>
                  <w:sz w:val="20"/>
                  <w:lang w:val="fr-CA"/>
                </w:rPr>
                <w:t>2015 BCSC 763</w:t>
              </w:r>
            </w:hyperlink>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 xml:space="preserve">Ordonnance globale rendue afin de régler les questions de garde et d’accès à l’enfant des parties, et de pension alimentaire pour l’enfant et pour la conjointe. </w:t>
            </w: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16 juillet 2018</w:t>
            </w:r>
          </w:p>
          <w:p w:rsidR="00A33CBF" w:rsidRPr="000B0F9B" w:rsidRDefault="00A33CBF" w:rsidP="00CF3C16">
            <w:pPr>
              <w:jc w:val="both"/>
              <w:rPr>
                <w:sz w:val="20"/>
                <w:lang w:val="fr-CA"/>
              </w:rPr>
            </w:pPr>
            <w:r w:rsidRPr="000B0F9B">
              <w:rPr>
                <w:sz w:val="20"/>
                <w:lang w:val="fr-CA"/>
              </w:rPr>
              <w:t>Cour d’appel de la Colombie</w:t>
            </w:r>
            <w:r w:rsidRPr="000B0F9B">
              <w:rPr>
                <w:sz w:val="20"/>
                <w:lang w:val="fr-CA"/>
              </w:rPr>
              <w:noBreakHyphen/>
              <w:t>Britannique</w:t>
            </w:r>
          </w:p>
          <w:p w:rsidR="00A33CBF" w:rsidRPr="000B0F9B" w:rsidRDefault="00A33CBF" w:rsidP="00CF3C16">
            <w:pPr>
              <w:jc w:val="both"/>
              <w:rPr>
                <w:sz w:val="20"/>
                <w:lang w:val="fr-CA"/>
              </w:rPr>
            </w:pPr>
            <w:r w:rsidRPr="000B0F9B">
              <w:rPr>
                <w:sz w:val="20"/>
                <w:lang w:val="fr-CA"/>
              </w:rPr>
              <w:t>(juge Savage)</w:t>
            </w:r>
          </w:p>
          <w:p w:rsidR="00A33CBF" w:rsidRPr="000B0F9B" w:rsidRDefault="000B0F9B" w:rsidP="00CF3C16">
            <w:pPr>
              <w:jc w:val="both"/>
              <w:rPr>
                <w:sz w:val="20"/>
                <w:lang w:val="fr-CA"/>
              </w:rPr>
            </w:pPr>
            <w:hyperlink r:id="rId41" w:history="1">
              <w:r w:rsidR="00A33CBF" w:rsidRPr="000B0F9B">
                <w:rPr>
                  <w:rStyle w:val="Hyperlink"/>
                  <w:sz w:val="20"/>
                  <w:lang w:val="fr-CA"/>
                </w:rPr>
                <w:t>2018 BCCA 295</w:t>
              </w:r>
            </w:hyperlink>
            <w:r w:rsidR="00A33CBF" w:rsidRPr="000B0F9B">
              <w:rPr>
                <w:sz w:val="20"/>
                <w:lang w:val="fr-CA"/>
              </w:rPr>
              <w:t xml:space="preserve"> (Dossier : CA45397) </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Rejet de la demande du demandeur en vue de la prorogation du délai pour interjeter appel.</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27 septembre 2018</w:t>
            </w:r>
          </w:p>
          <w:p w:rsidR="00A33CBF" w:rsidRPr="000B0F9B" w:rsidRDefault="00A33CBF" w:rsidP="00CF3C16">
            <w:pPr>
              <w:jc w:val="both"/>
              <w:rPr>
                <w:sz w:val="20"/>
                <w:lang w:val="fr-CA"/>
              </w:rPr>
            </w:pPr>
            <w:r w:rsidRPr="000B0F9B">
              <w:rPr>
                <w:sz w:val="20"/>
                <w:lang w:val="fr-CA"/>
              </w:rPr>
              <w:t>Cour suprême de la Colombie</w:t>
            </w:r>
            <w:r w:rsidRPr="000B0F9B">
              <w:rPr>
                <w:sz w:val="20"/>
                <w:lang w:val="fr-CA"/>
              </w:rPr>
              <w:noBreakHyphen/>
              <w:t>Britannique</w:t>
            </w:r>
          </w:p>
          <w:p w:rsidR="00A33CBF" w:rsidRPr="000B0F9B" w:rsidRDefault="00A33CBF" w:rsidP="00CF3C16">
            <w:pPr>
              <w:jc w:val="both"/>
              <w:rPr>
                <w:sz w:val="20"/>
                <w:lang w:val="fr-CA"/>
              </w:rPr>
            </w:pPr>
            <w:r w:rsidRPr="000B0F9B">
              <w:rPr>
                <w:sz w:val="20"/>
                <w:lang w:val="fr-CA"/>
              </w:rPr>
              <w:t>(juge Weatherill)</w:t>
            </w:r>
          </w:p>
          <w:p w:rsidR="00A33CBF" w:rsidRPr="000B0F9B" w:rsidRDefault="00A33CBF" w:rsidP="00CF3C16">
            <w:pPr>
              <w:jc w:val="both"/>
              <w:rPr>
                <w:sz w:val="20"/>
                <w:lang w:val="fr-CA"/>
              </w:rPr>
            </w:pPr>
            <w:r w:rsidRPr="000B0F9B">
              <w:rPr>
                <w:sz w:val="20"/>
                <w:lang w:val="fr-CA"/>
              </w:rPr>
              <w:t>Non</w:t>
            </w:r>
            <w:r w:rsidRPr="000B0F9B">
              <w:rPr>
                <w:sz w:val="20"/>
                <w:lang w:val="fr-CA"/>
              </w:rPr>
              <w:noBreakHyphen/>
              <w:t xml:space="preserve">publiée (Dossier : E123319) </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Rejet des demandes du demandeur en vue d’augmenter son temps parental et ses responsabilités parentales et d’obtenir une ordonnance de non</w:t>
            </w:r>
            <w:r w:rsidRPr="000B0F9B">
              <w:rPr>
                <w:sz w:val="20"/>
                <w:lang w:val="fr-CA"/>
              </w:rPr>
              <w:noBreakHyphen/>
              <w:t xml:space="preserve">publication et une ordonnance de mise sous scellés. Horaire parental modifié sur consentement. </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1</w:t>
            </w:r>
            <w:r w:rsidRPr="000B0F9B">
              <w:rPr>
                <w:sz w:val="20"/>
                <w:vertAlign w:val="superscript"/>
                <w:lang w:val="fr-CA"/>
              </w:rPr>
              <w:t>er</w:t>
            </w:r>
            <w:r w:rsidRPr="000B0F9B">
              <w:rPr>
                <w:sz w:val="20"/>
                <w:lang w:val="fr-CA"/>
              </w:rPr>
              <w:t xml:space="preserve"> décembre 2020</w:t>
            </w:r>
          </w:p>
          <w:p w:rsidR="00A33CBF" w:rsidRPr="000B0F9B" w:rsidRDefault="00A33CBF" w:rsidP="00CF3C16">
            <w:pPr>
              <w:jc w:val="both"/>
              <w:rPr>
                <w:sz w:val="20"/>
                <w:lang w:val="fr-CA"/>
              </w:rPr>
            </w:pPr>
            <w:r w:rsidRPr="000B0F9B">
              <w:rPr>
                <w:sz w:val="20"/>
                <w:lang w:val="fr-CA"/>
              </w:rPr>
              <w:t>Cour suprême de la Colombie</w:t>
            </w:r>
            <w:r w:rsidRPr="000B0F9B">
              <w:rPr>
                <w:sz w:val="20"/>
                <w:lang w:val="fr-CA"/>
              </w:rPr>
              <w:noBreakHyphen/>
              <w:t>Britannique</w:t>
            </w:r>
          </w:p>
          <w:p w:rsidR="00A33CBF" w:rsidRPr="000B0F9B" w:rsidRDefault="00A33CBF" w:rsidP="00CF3C16">
            <w:pPr>
              <w:jc w:val="both"/>
              <w:rPr>
                <w:sz w:val="20"/>
                <w:lang w:val="fr-CA"/>
              </w:rPr>
            </w:pPr>
            <w:r w:rsidRPr="000B0F9B">
              <w:rPr>
                <w:sz w:val="20"/>
                <w:lang w:val="fr-CA"/>
              </w:rPr>
              <w:t>(juge Ker)</w:t>
            </w:r>
          </w:p>
          <w:p w:rsidR="00A33CBF" w:rsidRPr="000B0F9B" w:rsidRDefault="000B0F9B" w:rsidP="00CF3C16">
            <w:pPr>
              <w:jc w:val="both"/>
              <w:rPr>
                <w:sz w:val="20"/>
                <w:lang w:val="fr-CA"/>
              </w:rPr>
            </w:pPr>
            <w:hyperlink r:id="rId42" w:history="1">
              <w:r w:rsidR="00A33CBF" w:rsidRPr="000B0F9B">
                <w:rPr>
                  <w:rStyle w:val="Hyperlink"/>
                  <w:sz w:val="20"/>
                  <w:lang w:val="fr-CA"/>
                </w:rPr>
                <w:t>2020 BCSC 1875</w:t>
              </w:r>
            </w:hyperlink>
          </w:p>
          <w:p w:rsidR="00A33CBF" w:rsidRPr="000B0F9B" w:rsidRDefault="00A33CBF" w:rsidP="00CF3C16">
            <w:pPr>
              <w:jc w:val="both"/>
              <w:rPr>
                <w:sz w:val="20"/>
                <w:lang w:val="fr-CA"/>
              </w:rPr>
            </w:pPr>
          </w:p>
        </w:tc>
        <w:tc>
          <w:tcPr>
            <w:tcW w:w="243" w:type="pct"/>
          </w:tcPr>
          <w:p w:rsidR="00A33CBF" w:rsidRPr="000B0F9B" w:rsidRDefault="00A33CBF" w:rsidP="00CF3C16">
            <w:pPr>
              <w:tabs>
                <w:tab w:val="left" w:pos="416"/>
              </w:tabs>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Rejet de la demande du demandeur en vue de procéder par voie d’argumentation écrite pour modifier les ordonnances de pension alimentaire pour l’enfant et pour le conjoint et pour solliciter la communication des ordonnances.</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27 mai 2021</w:t>
            </w:r>
          </w:p>
          <w:p w:rsidR="00A33CBF" w:rsidRPr="000B0F9B" w:rsidRDefault="00A33CBF" w:rsidP="00CF3C16">
            <w:pPr>
              <w:jc w:val="both"/>
              <w:rPr>
                <w:sz w:val="20"/>
                <w:lang w:val="fr-CA"/>
              </w:rPr>
            </w:pPr>
            <w:r w:rsidRPr="000B0F9B">
              <w:rPr>
                <w:sz w:val="20"/>
                <w:lang w:val="fr-CA"/>
              </w:rPr>
              <w:t>Cour d’appel de la Colombie</w:t>
            </w:r>
            <w:r w:rsidRPr="000B0F9B">
              <w:rPr>
                <w:sz w:val="20"/>
                <w:lang w:val="fr-CA"/>
              </w:rPr>
              <w:noBreakHyphen/>
              <w:t xml:space="preserve">Britannique </w:t>
            </w:r>
          </w:p>
          <w:p w:rsidR="00A33CBF" w:rsidRPr="000B0F9B" w:rsidRDefault="00A33CBF" w:rsidP="00CF3C16">
            <w:pPr>
              <w:jc w:val="both"/>
              <w:rPr>
                <w:sz w:val="20"/>
                <w:lang w:val="fr-CA"/>
              </w:rPr>
            </w:pPr>
            <w:r w:rsidRPr="000B0F9B">
              <w:rPr>
                <w:sz w:val="20"/>
                <w:lang w:val="fr-CA"/>
              </w:rPr>
              <w:t>(juge Fitch)</w:t>
            </w:r>
          </w:p>
          <w:p w:rsidR="00A33CBF" w:rsidRPr="000B0F9B" w:rsidRDefault="000B0F9B" w:rsidP="00CF3C16">
            <w:pPr>
              <w:jc w:val="both"/>
              <w:rPr>
                <w:sz w:val="20"/>
                <w:lang w:val="fr-CA"/>
              </w:rPr>
            </w:pPr>
            <w:hyperlink r:id="rId43" w:history="1">
              <w:r w:rsidR="00A33CBF" w:rsidRPr="000B0F9B">
                <w:rPr>
                  <w:rStyle w:val="Hyperlink"/>
                  <w:sz w:val="20"/>
                  <w:lang w:val="fr-CA"/>
                </w:rPr>
                <w:t>2021 BCCA 236</w:t>
              </w:r>
            </w:hyperlink>
            <w:r w:rsidR="00A33CBF" w:rsidRPr="000B0F9B">
              <w:rPr>
                <w:sz w:val="20"/>
                <w:lang w:val="fr-CA"/>
              </w:rPr>
              <w:t xml:space="preserve"> (Dossiers : CA45397; CA45685; CA47146)</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Rejet des demandes du demandeur en vue de rétablir ses appels à l’encontre du jugement de première instance et du jugement du 27 septembre 2018. Demande du demandeur en vue de la modification de l’ordonnance de la Cour d’appel du 16 juillet 2018 devant être tranchée par une section de la Cour d’appel sur la base des argumentations écrites déjà déposées. Rejet de la demande de la défenderesse en vue de l’annulation de la vie d’appel du demandeur déposé à l’encontre de l’ordonnance du 1</w:t>
            </w:r>
            <w:r w:rsidRPr="000B0F9B">
              <w:rPr>
                <w:sz w:val="20"/>
                <w:vertAlign w:val="superscript"/>
                <w:lang w:val="fr-CA"/>
              </w:rPr>
              <w:t>er</w:t>
            </w:r>
            <w:r w:rsidRPr="000B0F9B">
              <w:rPr>
                <w:sz w:val="20"/>
                <w:lang w:val="fr-CA"/>
              </w:rPr>
              <w:t xml:space="preserve"> décembre 2020. </w:t>
            </w:r>
          </w:p>
          <w:p w:rsidR="00A33CBF" w:rsidRPr="000B0F9B" w:rsidRDefault="00A33CBF" w:rsidP="00CF3C16">
            <w:pPr>
              <w:jc w:val="both"/>
              <w:rPr>
                <w:sz w:val="20"/>
                <w:lang w:val="fr-CA"/>
              </w:rPr>
            </w:pPr>
          </w:p>
        </w:tc>
      </w:tr>
      <w:tr w:rsidR="00A33CBF" w:rsidRPr="000B0F9B" w:rsidTr="00CF3C16">
        <w:tc>
          <w:tcPr>
            <w:tcW w:w="2427" w:type="pct"/>
            <w:gridSpan w:val="2"/>
          </w:tcPr>
          <w:p w:rsidR="00A33CBF" w:rsidRPr="000B0F9B" w:rsidRDefault="00A33CBF" w:rsidP="00CF3C16">
            <w:pPr>
              <w:jc w:val="both"/>
              <w:rPr>
                <w:sz w:val="20"/>
                <w:lang w:val="fr-CA"/>
              </w:rPr>
            </w:pPr>
            <w:r w:rsidRPr="000B0F9B">
              <w:rPr>
                <w:sz w:val="20"/>
                <w:lang w:val="fr-CA"/>
              </w:rPr>
              <w:t>26 octobre 2021</w:t>
            </w:r>
          </w:p>
          <w:p w:rsidR="00A33CBF" w:rsidRPr="000B0F9B" w:rsidRDefault="00A33CBF" w:rsidP="00CF3C16">
            <w:pPr>
              <w:jc w:val="both"/>
              <w:rPr>
                <w:sz w:val="20"/>
                <w:lang w:val="fr-CA"/>
              </w:rPr>
            </w:pPr>
            <w:r w:rsidRPr="000B0F9B">
              <w:rPr>
                <w:sz w:val="20"/>
                <w:lang w:val="fr-CA"/>
              </w:rPr>
              <w:t>Cour d’appel de la Colombie</w:t>
            </w:r>
            <w:r w:rsidRPr="000B0F9B">
              <w:rPr>
                <w:sz w:val="20"/>
                <w:lang w:val="fr-CA"/>
              </w:rPr>
              <w:noBreakHyphen/>
              <w:t>Britannique (Vancouver)</w:t>
            </w:r>
          </w:p>
          <w:p w:rsidR="00A33CBF" w:rsidRPr="000B0F9B" w:rsidRDefault="00A33CBF" w:rsidP="00CF3C16">
            <w:pPr>
              <w:jc w:val="both"/>
              <w:rPr>
                <w:sz w:val="20"/>
                <w:lang w:val="fr-CA"/>
              </w:rPr>
            </w:pPr>
            <w:r w:rsidRPr="000B0F9B">
              <w:rPr>
                <w:sz w:val="20"/>
                <w:lang w:val="fr-CA"/>
              </w:rPr>
              <w:t>(juges Saunders, Fenlon et Grauer)</w:t>
            </w:r>
          </w:p>
          <w:p w:rsidR="00A33CBF" w:rsidRPr="000B0F9B" w:rsidRDefault="000B0F9B" w:rsidP="00CF3C16">
            <w:pPr>
              <w:jc w:val="both"/>
              <w:rPr>
                <w:sz w:val="20"/>
                <w:lang w:val="fr-CA"/>
              </w:rPr>
            </w:pPr>
            <w:hyperlink r:id="rId44" w:history="1">
              <w:r w:rsidR="00A33CBF" w:rsidRPr="000B0F9B">
                <w:rPr>
                  <w:rStyle w:val="Hyperlink"/>
                  <w:sz w:val="20"/>
                  <w:lang w:val="fr-CA"/>
                </w:rPr>
                <w:t>2021 BCCA 419</w:t>
              </w:r>
            </w:hyperlink>
            <w:r w:rsidR="00A33CBF" w:rsidRPr="000B0F9B">
              <w:rPr>
                <w:sz w:val="20"/>
                <w:lang w:val="fr-CA"/>
              </w:rPr>
              <w:t xml:space="preserve"> (Dossiers : CA45397; CA45685; CA47146)</w:t>
            </w:r>
          </w:p>
          <w:p w:rsidR="00A33CBF" w:rsidRPr="000B0F9B" w:rsidRDefault="00A33CBF" w:rsidP="00CF3C16">
            <w:pPr>
              <w:jc w:val="both"/>
              <w:rPr>
                <w:sz w:val="20"/>
                <w:lang w:val="fr-CA"/>
              </w:rPr>
            </w:pP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Rejet de la demande du demandeur en vue de produire de nouveaux éléments de preuve. Rejet des demandes du demandeur en vue de modifier les ordonnances du 16 juillet 2018 et du 27 mai 2021. Rejet de l’appel du demandeur interjeté à l’encontre de l’ordonnance du 1</w:t>
            </w:r>
            <w:r w:rsidRPr="000B0F9B">
              <w:rPr>
                <w:sz w:val="20"/>
                <w:vertAlign w:val="superscript"/>
                <w:lang w:val="fr-CA"/>
              </w:rPr>
              <w:t>er</w:t>
            </w:r>
            <w:r w:rsidRPr="000B0F9B">
              <w:rPr>
                <w:sz w:val="20"/>
                <w:lang w:val="fr-CA"/>
              </w:rPr>
              <w:t xml:space="preserve"> décembre 2020. </w:t>
            </w:r>
          </w:p>
          <w:p w:rsidR="00A33CBF" w:rsidRPr="000B0F9B" w:rsidRDefault="00A33CBF" w:rsidP="00CF3C16">
            <w:pPr>
              <w:jc w:val="both"/>
              <w:rPr>
                <w:sz w:val="20"/>
                <w:lang w:val="fr-CA"/>
              </w:rPr>
            </w:pPr>
          </w:p>
        </w:tc>
      </w:tr>
    </w:tbl>
    <w:p w:rsidR="00734A59" w:rsidRPr="000B0F9B" w:rsidRDefault="00734A59">
      <w:pPr>
        <w:rPr>
          <w:lang w:val="fr-CA"/>
        </w:rPr>
      </w:pPr>
      <w:r w:rsidRPr="000B0F9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3CBF" w:rsidRPr="000B0F9B" w:rsidTr="00CF3C16">
        <w:tc>
          <w:tcPr>
            <w:tcW w:w="2427" w:type="pct"/>
          </w:tcPr>
          <w:p w:rsidR="00A33CBF" w:rsidRPr="000B0F9B" w:rsidRDefault="00A33CBF" w:rsidP="00CF3C16">
            <w:pPr>
              <w:jc w:val="both"/>
              <w:rPr>
                <w:sz w:val="20"/>
                <w:lang w:val="fr-CA"/>
              </w:rPr>
            </w:pPr>
            <w:r w:rsidRPr="000B0F9B">
              <w:rPr>
                <w:sz w:val="20"/>
                <w:lang w:val="fr-CA"/>
              </w:rPr>
              <w:lastRenderedPageBreak/>
              <w:t>29 décembre 2021</w:t>
            </w:r>
          </w:p>
          <w:p w:rsidR="00A33CBF" w:rsidRPr="000B0F9B" w:rsidRDefault="00A33CBF" w:rsidP="00CF3C16">
            <w:pPr>
              <w:jc w:val="both"/>
              <w:rPr>
                <w:sz w:val="20"/>
                <w:lang w:val="fr-CA"/>
              </w:rPr>
            </w:pPr>
            <w:r w:rsidRPr="000B0F9B">
              <w:rPr>
                <w:sz w:val="20"/>
                <w:lang w:val="fr-CA"/>
              </w:rPr>
              <w:t>Cour suprême du Canada</w:t>
            </w:r>
          </w:p>
        </w:tc>
        <w:tc>
          <w:tcPr>
            <w:tcW w:w="243" w:type="pct"/>
          </w:tcPr>
          <w:p w:rsidR="00A33CBF" w:rsidRPr="000B0F9B" w:rsidRDefault="00A33CBF" w:rsidP="00CF3C16">
            <w:pPr>
              <w:jc w:val="both"/>
              <w:rPr>
                <w:sz w:val="20"/>
                <w:lang w:val="fr-CA"/>
              </w:rPr>
            </w:pPr>
          </w:p>
        </w:tc>
        <w:tc>
          <w:tcPr>
            <w:tcW w:w="2330" w:type="pct"/>
          </w:tcPr>
          <w:p w:rsidR="00A33CBF" w:rsidRPr="000B0F9B" w:rsidRDefault="00A33CBF" w:rsidP="00CF3C16">
            <w:pPr>
              <w:jc w:val="both"/>
              <w:rPr>
                <w:sz w:val="20"/>
                <w:lang w:val="fr-CA"/>
              </w:rPr>
            </w:pPr>
            <w:r w:rsidRPr="000B0F9B">
              <w:rPr>
                <w:sz w:val="20"/>
                <w:lang w:val="fr-CA"/>
              </w:rPr>
              <w:t>Dépôt de la demande d’autorisation d’appel.</w:t>
            </w:r>
          </w:p>
          <w:p w:rsidR="00A33CBF" w:rsidRPr="000B0F9B" w:rsidRDefault="00A33CBF" w:rsidP="00CF3C16">
            <w:pPr>
              <w:jc w:val="both"/>
              <w:rPr>
                <w:sz w:val="20"/>
                <w:lang w:val="fr-CA"/>
              </w:rPr>
            </w:pPr>
          </w:p>
        </w:tc>
      </w:tr>
    </w:tbl>
    <w:p w:rsidR="004B2E86" w:rsidRPr="000B0F9B" w:rsidRDefault="004B2E86" w:rsidP="004B2E86">
      <w:pPr>
        <w:jc w:val="both"/>
        <w:rPr>
          <w:sz w:val="20"/>
          <w:szCs w:val="20"/>
          <w:lang w:val="fr-CA"/>
        </w:rPr>
      </w:pPr>
    </w:p>
    <w:p w:rsidR="00102792" w:rsidRPr="000B0F9B" w:rsidRDefault="000B0F9B" w:rsidP="004B2E86">
      <w:pPr>
        <w:jc w:val="both"/>
        <w:rPr>
          <w:sz w:val="20"/>
          <w:szCs w:val="20"/>
          <w:lang w:val="fr-CA"/>
        </w:rPr>
      </w:pPr>
      <w:r w:rsidRPr="000B0F9B">
        <w:rPr>
          <w:sz w:val="20"/>
          <w:szCs w:val="20"/>
        </w:rPr>
        <w:pict>
          <v:rect id="_x0000_i1041" style="width:2in;height:1pt" o:hrpct="0" o:hralign="center" o:hrstd="t" o:hrnoshade="t" o:hr="t" fillcolor="black" stroked="f"/>
        </w:pict>
      </w:r>
    </w:p>
    <w:p w:rsidR="00E06F20" w:rsidRPr="000B0F9B" w:rsidRDefault="00E06F20" w:rsidP="00102792">
      <w:pPr>
        <w:jc w:val="both"/>
        <w:rPr>
          <w:sz w:val="20"/>
          <w:lang w:val="fr-CA"/>
        </w:rPr>
      </w:pPr>
    </w:p>
    <w:p w:rsidR="00890FEB" w:rsidRPr="000B0F9B" w:rsidRDefault="00890FEB" w:rsidP="008D292F">
      <w:pPr>
        <w:rPr>
          <w:sz w:val="20"/>
          <w:szCs w:val="20"/>
          <w:lang w:val="fr-CA"/>
        </w:rPr>
      </w:pPr>
    </w:p>
    <w:p w:rsidR="00890FEB" w:rsidRPr="000B0F9B" w:rsidRDefault="00890FEB" w:rsidP="008D292F">
      <w:pPr>
        <w:rPr>
          <w:b/>
          <w:sz w:val="20"/>
          <w:szCs w:val="20"/>
          <w:lang w:val="fr-CA"/>
        </w:rPr>
        <w:sectPr w:rsidR="00890FEB" w:rsidRPr="000B0F9B"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693C38" w:rsidRPr="000B0F9B" w:rsidRDefault="00DD0BDC" w:rsidP="00567602">
      <w:pPr>
        <w:pStyle w:val="Header1StyleE"/>
        <w:pBdr>
          <w:bottom w:val="single" w:sz="12" w:space="1" w:color="auto"/>
        </w:pBdr>
        <w:rPr>
          <w:lang w:val="fr-CA"/>
        </w:rPr>
      </w:pPr>
      <w:bookmarkStart w:id="4" w:name="_Toc99695285"/>
      <w:r w:rsidRPr="000B0F9B">
        <w:rPr>
          <w:lang w:val="fr-CA"/>
        </w:rPr>
        <w:lastRenderedPageBreak/>
        <w:t>Motions</w:t>
      </w:r>
      <w:r w:rsidR="00271E1E" w:rsidRPr="000B0F9B">
        <w:rPr>
          <w:lang w:val="fr-CA"/>
        </w:rPr>
        <w:t xml:space="preserve"> / </w:t>
      </w:r>
      <w:r w:rsidR="00693C38" w:rsidRPr="000B0F9B">
        <w:rPr>
          <w:lang w:val="fr-CA"/>
        </w:rPr>
        <w:br/>
      </w:r>
      <w:r w:rsidRPr="000B0F9B">
        <w:rPr>
          <w:lang w:val="fr-CA"/>
        </w:rPr>
        <w:t>Requêtes</w:t>
      </w:r>
      <w:bookmarkEnd w:id="4"/>
    </w:p>
    <w:p w:rsidR="00890FEB" w:rsidRPr="000B0F9B" w:rsidRDefault="00890FEB" w:rsidP="00890FEB">
      <w:pPr>
        <w:rPr>
          <w:sz w:val="20"/>
          <w:szCs w:val="20"/>
          <w:lang w:val="fr-CA"/>
        </w:rPr>
      </w:pPr>
    </w:p>
    <w:p w:rsidR="008859F1" w:rsidRPr="000B0F9B" w:rsidRDefault="001B3A23" w:rsidP="008859F1">
      <w:pPr>
        <w:rPr>
          <w:b/>
          <w:sz w:val="20"/>
          <w:szCs w:val="20"/>
          <w:lang w:val="fr-CA"/>
        </w:rPr>
      </w:pPr>
      <w:r w:rsidRPr="000B0F9B">
        <w:rPr>
          <w:b/>
          <w:sz w:val="20"/>
          <w:szCs w:val="20"/>
          <w:lang w:val="fr-CA"/>
        </w:rPr>
        <w:t>MARCH</w:t>
      </w:r>
      <w:r w:rsidR="008859F1" w:rsidRPr="000B0F9B">
        <w:rPr>
          <w:b/>
          <w:sz w:val="20"/>
          <w:szCs w:val="20"/>
          <w:lang w:val="fr-CA"/>
        </w:rPr>
        <w:t xml:space="preserve"> </w:t>
      </w:r>
      <w:r w:rsidRPr="000B0F9B">
        <w:rPr>
          <w:b/>
          <w:sz w:val="20"/>
          <w:szCs w:val="20"/>
          <w:lang w:val="fr-CA"/>
        </w:rPr>
        <w:t>28</w:t>
      </w:r>
      <w:r w:rsidR="008859F1" w:rsidRPr="000B0F9B">
        <w:rPr>
          <w:b/>
          <w:sz w:val="20"/>
          <w:szCs w:val="20"/>
          <w:lang w:val="fr-CA"/>
        </w:rPr>
        <w:t>, 20</w:t>
      </w:r>
      <w:r w:rsidR="005967EF" w:rsidRPr="000B0F9B">
        <w:rPr>
          <w:b/>
          <w:sz w:val="20"/>
          <w:szCs w:val="20"/>
          <w:lang w:val="fr-CA"/>
        </w:rPr>
        <w:t>2</w:t>
      </w:r>
      <w:r w:rsidR="00E8642A" w:rsidRPr="000B0F9B">
        <w:rPr>
          <w:b/>
          <w:sz w:val="20"/>
          <w:szCs w:val="20"/>
          <w:lang w:val="fr-CA"/>
        </w:rPr>
        <w:t>2</w:t>
      </w:r>
      <w:r w:rsidR="008859F1" w:rsidRPr="000B0F9B">
        <w:rPr>
          <w:b/>
          <w:sz w:val="20"/>
          <w:szCs w:val="20"/>
          <w:lang w:val="fr-CA"/>
        </w:rPr>
        <w:t xml:space="preserve"> / LE </w:t>
      </w:r>
      <w:r w:rsidRPr="000B0F9B">
        <w:rPr>
          <w:b/>
          <w:sz w:val="20"/>
          <w:szCs w:val="20"/>
          <w:lang w:val="fr-CA"/>
        </w:rPr>
        <w:t>28</w:t>
      </w:r>
      <w:r w:rsidR="008859F1" w:rsidRPr="000B0F9B">
        <w:rPr>
          <w:b/>
          <w:sz w:val="20"/>
          <w:szCs w:val="20"/>
          <w:lang w:val="fr-CA"/>
        </w:rPr>
        <w:t xml:space="preserve"> </w:t>
      </w:r>
      <w:r w:rsidRPr="000B0F9B">
        <w:rPr>
          <w:b/>
          <w:sz w:val="20"/>
          <w:szCs w:val="20"/>
          <w:lang w:val="fr-CA"/>
        </w:rPr>
        <w:t>MARS</w:t>
      </w:r>
      <w:r w:rsidR="008859F1" w:rsidRPr="000B0F9B">
        <w:rPr>
          <w:b/>
          <w:sz w:val="20"/>
          <w:szCs w:val="20"/>
          <w:lang w:val="fr-CA"/>
        </w:rPr>
        <w:t xml:space="preserve"> 20</w:t>
      </w:r>
      <w:r w:rsidR="005967EF" w:rsidRPr="000B0F9B">
        <w:rPr>
          <w:b/>
          <w:sz w:val="20"/>
          <w:szCs w:val="20"/>
          <w:lang w:val="fr-CA"/>
        </w:rPr>
        <w:t>2</w:t>
      </w:r>
      <w:r w:rsidR="00E8642A" w:rsidRPr="000B0F9B">
        <w:rPr>
          <w:b/>
          <w:sz w:val="20"/>
          <w:szCs w:val="20"/>
          <w:lang w:val="fr-CA"/>
        </w:rPr>
        <w:t>2</w:t>
      </w:r>
    </w:p>
    <w:p w:rsidR="00102792" w:rsidRPr="000B0F9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0B0F9B" w:rsidTr="00691D1D">
        <w:tc>
          <w:tcPr>
            <w:tcW w:w="4410" w:type="dxa"/>
            <w:tcBorders>
              <w:top w:val="nil"/>
              <w:left w:val="nil"/>
              <w:bottom w:val="nil"/>
              <w:right w:val="nil"/>
            </w:tcBorders>
          </w:tcPr>
          <w:p w:rsidR="00D93A6C" w:rsidRPr="000B0F9B" w:rsidRDefault="00D93A6C" w:rsidP="00691D1D">
            <w:pPr>
              <w:jc w:val="both"/>
              <w:rPr>
                <w:rFonts w:cs="Times New Roman"/>
                <w:b/>
                <w:bCs/>
                <w:sz w:val="20"/>
                <w:szCs w:val="20"/>
                <w:lang w:val="en-US"/>
              </w:rPr>
            </w:pPr>
            <w:r w:rsidRPr="000B0F9B">
              <w:rPr>
                <w:rFonts w:eastAsia="Times New Roman" w:cs="Times New Roman"/>
                <w:b/>
                <w:sz w:val="20"/>
                <w:szCs w:val="20"/>
                <w:lang w:val="en-US" w:eastAsia="en-CA"/>
              </w:rPr>
              <w:t xml:space="preserve">Motion </w:t>
            </w:r>
            <w:r w:rsidR="001B3A23" w:rsidRPr="000B0F9B">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0B0F9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B0F9B" w:rsidRDefault="00D93A6C" w:rsidP="00691D1D">
            <w:pPr>
              <w:jc w:val="both"/>
              <w:rPr>
                <w:rFonts w:cs="Times New Roman"/>
                <w:b/>
                <w:bCs/>
                <w:sz w:val="20"/>
                <w:szCs w:val="20"/>
                <w:lang w:val="fr-CA"/>
              </w:rPr>
            </w:pPr>
            <w:r w:rsidRPr="000B0F9B">
              <w:rPr>
                <w:rFonts w:eastAsia="Times New Roman" w:cs="Times New Roman"/>
                <w:b/>
                <w:sz w:val="20"/>
                <w:szCs w:val="20"/>
                <w:lang w:val="fr-CA" w:eastAsia="en-CA"/>
              </w:rPr>
              <w:t xml:space="preserve">Requête </w:t>
            </w:r>
            <w:r w:rsidR="001B3A23" w:rsidRPr="000B0F9B">
              <w:rPr>
                <w:rFonts w:eastAsia="Times New Roman" w:cs="Times New Roman"/>
                <w:b/>
                <w:sz w:val="20"/>
                <w:szCs w:val="20"/>
                <w:lang w:val="fr-CA" w:eastAsia="en-CA"/>
              </w:rPr>
              <w:t>en prorogation du délai</w:t>
            </w:r>
          </w:p>
        </w:tc>
      </w:tr>
    </w:tbl>
    <w:p w:rsidR="00D93A6C" w:rsidRPr="000B0F9B" w:rsidRDefault="00D93A6C" w:rsidP="00102792">
      <w:pPr>
        <w:tabs>
          <w:tab w:val="left" w:pos="-1440"/>
          <w:tab w:val="left" w:pos="-720"/>
        </w:tabs>
        <w:jc w:val="both"/>
        <w:rPr>
          <w:rFonts w:eastAsia="Times New Roman" w:cs="Times New Roman"/>
          <w:sz w:val="20"/>
          <w:szCs w:val="20"/>
          <w:lang w:val="fr-CA" w:eastAsia="en-CA"/>
        </w:rPr>
      </w:pPr>
    </w:p>
    <w:p w:rsidR="00D93A6C" w:rsidRPr="000B0F9B" w:rsidRDefault="00D93A6C" w:rsidP="00102792">
      <w:pPr>
        <w:tabs>
          <w:tab w:val="left" w:pos="-1440"/>
          <w:tab w:val="left" w:pos="-720"/>
        </w:tabs>
        <w:jc w:val="both"/>
        <w:rPr>
          <w:rFonts w:eastAsia="Times New Roman" w:cs="Times New Roman"/>
          <w:sz w:val="20"/>
          <w:szCs w:val="20"/>
          <w:lang w:val="fr-CA" w:eastAsia="en-CA"/>
        </w:rPr>
      </w:pPr>
    </w:p>
    <w:p w:rsidR="001B3A23" w:rsidRPr="000B0F9B" w:rsidRDefault="001B3A23" w:rsidP="001B3A23">
      <w:pPr>
        <w:rPr>
          <w:rFonts w:cs="Times New Roman"/>
          <w:b/>
          <w:bCs/>
          <w:sz w:val="20"/>
          <w:szCs w:val="20"/>
          <w:lang w:val="fr-CA"/>
        </w:rPr>
      </w:pPr>
      <w:r w:rsidRPr="000B0F9B">
        <w:rPr>
          <w:rFonts w:cs="Times New Roman"/>
          <w:b/>
          <w:bCs/>
          <w:caps/>
          <w:sz w:val="20"/>
          <w:szCs w:val="20"/>
          <w:lang w:val="fr-CA"/>
        </w:rPr>
        <w:t xml:space="preserve">RAYNALD GRENIER </w:t>
      </w:r>
      <w:r w:rsidRPr="000B0F9B">
        <w:rPr>
          <w:rFonts w:cs="Times New Roman"/>
          <w:b/>
          <w:bCs/>
          <w:sz w:val="20"/>
          <w:szCs w:val="20"/>
          <w:lang w:val="fr-CA"/>
        </w:rPr>
        <w:t xml:space="preserve">c. </w:t>
      </w:r>
      <w:r w:rsidRPr="000B0F9B">
        <w:rPr>
          <w:rFonts w:cs="Times New Roman"/>
          <w:b/>
          <w:bCs/>
          <w:caps/>
          <w:sz w:val="20"/>
          <w:szCs w:val="20"/>
          <w:lang w:val="fr-CA"/>
        </w:rPr>
        <w:t>PROCUREUR GÉNÉRAL DU QUÉBEC</w:t>
      </w:r>
    </w:p>
    <w:p w:rsidR="001B3A23" w:rsidRPr="000B0F9B" w:rsidRDefault="001B3A23" w:rsidP="001B3A23">
      <w:pPr>
        <w:rPr>
          <w:rFonts w:cs="Times New Roman"/>
          <w:bCs/>
          <w:sz w:val="20"/>
          <w:szCs w:val="20"/>
          <w:lang w:val="fr-CA"/>
        </w:rPr>
      </w:pPr>
      <w:r w:rsidRPr="000B0F9B">
        <w:rPr>
          <w:rFonts w:cs="Times New Roman"/>
          <w:bCs/>
          <w:sz w:val="20"/>
          <w:szCs w:val="20"/>
          <w:lang w:val="fr-CA"/>
        </w:rPr>
        <w:t xml:space="preserve">(Qc) (40016) </w:t>
      </w:r>
    </w:p>
    <w:p w:rsidR="001B3A23" w:rsidRPr="000B0F9B" w:rsidRDefault="001B3A23" w:rsidP="001B3A23">
      <w:pPr>
        <w:rPr>
          <w:rFonts w:cs="Times New Roman"/>
          <w:bCs/>
          <w:sz w:val="20"/>
          <w:szCs w:val="20"/>
          <w:lang w:val="fr-CA"/>
        </w:rPr>
      </w:pPr>
    </w:p>
    <w:p w:rsidR="001B3A23" w:rsidRPr="000B0F9B" w:rsidRDefault="001B3A23" w:rsidP="001B3A23">
      <w:pPr>
        <w:rPr>
          <w:rFonts w:cs="Times New Roman"/>
          <w:sz w:val="20"/>
          <w:szCs w:val="20"/>
          <w:lang w:val="fr-CA"/>
        </w:rPr>
      </w:pPr>
      <w:r w:rsidRPr="000B0F9B">
        <w:rPr>
          <w:rFonts w:cs="Times New Roman"/>
          <w:b/>
          <w:bCs/>
          <w:sz w:val="20"/>
          <w:szCs w:val="20"/>
          <w:u w:val="single"/>
          <w:lang w:val="fr-CA"/>
        </w:rPr>
        <w:t>LA REGISTRAIRE</w:t>
      </w:r>
      <w:r w:rsidRPr="000B0F9B">
        <w:rPr>
          <w:rFonts w:cs="Times New Roman"/>
          <w:b/>
          <w:bCs/>
          <w:sz w:val="20"/>
          <w:szCs w:val="20"/>
          <w:lang w:val="fr-CA"/>
        </w:rPr>
        <w:t xml:space="preserve"> :</w:t>
      </w:r>
    </w:p>
    <w:p w:rsidR="001B3A23" w:rsidRPr="000B0F9B" w:rsidRDefault="001B3A23" w:rsidP="001B3A23">
      <w:pPr>
        <w:rPr>
          <w:rFonts w:cs="Times New Roman"/>
          <w:sz w:val="20"/>
          <w:szCs w:val="20"/>
          <w:lang w:val="fr-CA"/>
        </w:rPr>
      </w:pPr>
    </w:p>
    <w:p w:rsidR="001B3A23" w:rsidRPr="000B0F9B" w:rsidRDefault="001B3A23" w:rsidP="001B3A23">
      <w:pPr>
        <w:rPr>
          <w:rFonts w:cs="Times New Roman"/>
          <w:sz w:val="20"/>
          <w:szCs w:val="20"/>
          <w:lang w:val="fr-CA"/>
        </w:rPr>
      </w:pPr>
      <w:r w:rsidRPr="000B0F9B">
        <w:rPr>
          <w:rFonts w:cs="Times New Roman"/>
          <w:b/>
          <w:sz w:val="20"/>
          <w:szCs w:val="20"/>
          <w:lang w:val="fr-CA"/>
        </w:rPr>
        <w:t>À LA SUITE DE LA DEMANDE</w:t>
      </w:r>
      <w:r w:rsidRPr="000B0F9B">
        <w:rPr>
          <w:rFonts w:cs="Times New Roman"/>
          <w:sz w:val="20"/>
          <w:szCs w:val="20"/>
          <w:lang w:val="fr-CA"/>
        </w:rPr>
        <w:t xml:space="preserve"> présentée par le demandeur en vue d’obtenir la prorogation du délai de signification et de dépôt de sa réplique à la réponse à la demande d’autorisation d’appel;</w:t>
      </w:r>
    </w:p>
    <w:p w:rsidR="001B3A23" w:rsidRPr="000B0F9B" w:rsidRDefault="001B3A23" w:rsidP="001B3A23">
      <w:pPr>
        <w:rPr>
          <w:rFonts w:eastAsia="Times New Roman" w:cs="Times New Roman"/>
          <w:i/>
          <w:sz w:val="20"/>
          <w:szCs w:val="20"/>
          <w:lang w:val="fr-CA" w:eastAsia="en-CA"/>
        </w:rPr>
      </w:pPr>
    </w:p>
    <w:p w:rsidR="001B3A23" w:rsidRPr="000B0F9B" w:rsidRDefault="001B3A23" w:rsidP="001B3A23">
      <w:pPr>
        <w:rPr>
          <w:rFonts w:eastAsia="Times New Roman" w:cs="Times New Roman"/>
          <w:b/>
          <w:bCs/>
          <w:sz w:val="20"/>
          <w:szCs w:val="20"/>
          <w:lang w:val="fr-CA" w:eastAsia="en-CA"/>
        </w:rPr>
      </w:pPr>
      <w:r w:rsidRPr="000B0F9B">
        <w:rPr>
          <w:rFonts w:eastAsia="Times New Roman" w:cs="Times New Roman"/>
          <w:b/>
          <w:bCs/>
          <w:sz w:val="20"/>
          <w:szCs w:val="20"/>
          <w:lang w:val="fr-CA" w:eastAsia="en-CA"/>
        </w:rPr>
        <w:t xml:space="preserve">ET APRÈS EXAMEN </w:t>
      </w:r>
      <w:r w:rsidRPr="000B0F9B">
        <w:rPr>
          <w:rFonts w:eastAsia="Times New Roman" w:cs="Times New Roman"/>
          <w:sz w:val="20"/>
          <w:szCs w:val="20"/>
          <w:lang w:val="fr-CA" w:eastAsia="en-CA"/>
        </w:rPr>
        <w:t>des documents déposés;</w:t>
      </w:r>
    </w:p>
    <w:p w:rsidR="001B3A23" w:rsidRPr="000B0F9B" w:rsidRDefault="001B3A23" w:rsidP="001B3A23">
      <w:pPr>
        <w:rPr>
          <w:rFonts w:eastAsia="Times New Roman" w:cs="Times New Roman"/>
          <w:bCs/>
          <w:sz w:val="20"/>
          <w:szCs w:val="20"/>
          <w:lang w:val="fr-CA" w:eastAsia="en-CA"/>
        </w:rPr>
      </w:pPr>
    </w:p>
    <w:p w:rsidR="001B3A23" w:rsidRPr="000B0F9B" w:rsidRDefault="001B3A23" w:rsidP="001B3A23">
      <w:pPr>
        <w:rPr>
          <w:rFonts w:eastAsia="Times New Roman" w:cs="Times New Roman"/>
          <w:b/>
          <w:bCs/>
          <w:sz w:val="20"/>
          <w:szCs w:val="20"/>
          <w:lang w:val="fr-CA" w:eastAsia="en-CA"/>
        </w:rPr>
      </w:pPr>
      <w:r w:rsidRPr="000B0F9B">
        <w:rPr>
          <w:rFonts w:eastAsia="Times New Roman" w:cs="Times New Roman"/>
          <w:b/>
          <w:bCs/>
          <w:sz w:val="20"/>
          <w:szCs w:val="20"/>
          <w:lang w:val="fr-CA" w:eastAsia="en-CA"/>
        </w:rPr>
        <w:t>IL EST ORDONNÉ CE QUI SUIT :</w:t>
      </w:r>
    </w:p>
    <w:p w:rsidR="001B3A23" w:rsidRPr="000B0F9B" w:rsidRDefault="001B3A23" w:rsidP="001B3A23">
      <w:pPr>
        <w:spacing w:line="233" w:lineRule="auto"/>
        <w:rPr>
          <w:rFonts w:cs="Times New Roman"/>
          <w:sz w:val="20"/>
          <w:szCs w:val="20"/>
          <w:lang w:val="fr-CA"/>
        </w:rPr>
      </w:pPr>
    </w:p>
    <w:p w:rsidR="001B3A23" w:rsidRPr="000B0F9B" w:rsidRDefault="001B3A23" w:rsidP="001B3A23">
      <w:pPr>
        <w:spacing w:line="233" w:lineRule="auto"/>
        <w:rPr>
          <w:rFonts w:cs="Times New Roman"/>
          <w:sz w:val="20"/>
          <w:szCs w:val="20"/>
          <w:lang w:val="en-US"/>
        </w:rPr>
      </w:pPr>
      <w:r w:rsidRPr="000B0F9B">
        <w:rPr>
          <w:rFonts w:cs="Times New Roman"/>
          <w:sz w:val="20"/>
          <w:szCs w:val="20"/>
          <w:lang w:val="en-US"/>
        </w:rPr>
        <w:t>La requête est rejetée.</w:t>
      </w:r>
    </w:p>
    <w:p w:rsidR="00102792" w:rsidRPr="000B0F9B" w:rsidRDefault="00102792" w:rsidP="00102792">
      <w:pPr>
        <w:spacing w:line="228" w:lineRule="auto"/>
        <w:rPr>
          <w:sz w:val="20"/>
          <w:szCs w:val="20"/>
        </w:rPr>
      </w:pPr>
    </w:p>
    <w:p w:rsidR="005967EF" w:rsidRPr="000B0F9B" w:rsidRDefault="005967EF" w:rsidP="00102792">
      <w:pPr>
        <w:spacing w:line="228" w:lineRule="auto"/>
        <w:rPr>
          <w:sz w:val="20"/>
          <w:szCs w:val="20"/>
        </w:rPr>
      </w:pPr>
    </w:p>
    <w:p w:rsidR="00433083" w:rsidRPr="000B0F9B" w:rsidRDefault="00433083" w:rsidP="00433083">
      <w:pPr>
        <w:rPr>
          <w:rFonts w:cs="Times New Roman"/>
          <w:sz w:val="20"/>
          <w:szCs w:val="20"/>
        </w:rPr>
      </w:pPr>
      <w:r w:rsidRPr="000B0F9B">
        <w:rPr>
          <w:rFonts w:cs="Times New Roman"/>
          <w:b/>
          <w:sz w:val="20"/>
          <w:szCs w:val="20"/>
        </w:rPr>
        <w:t>UPON APPLICATION</w:t>
      </w:r>
      <w:r w:rsidRPr="000B0F9B">
        <w:rPr>
          <w:rFonts w:cs="Times New Roman"/>
          <w:sz w:val="20"/>
          <w:szCs w:val="20"/>
        </w:rPr>
        <w:t xml:space="preserve"> by the applicant for</w:t>
      </w:r>
      <w:r w:rsidRPr="000B0F9B">
        <w:rPr>
          <w:sz w:val="20"/>
          <w:szCs w:val="20"/>
        </w:rPr>
        <w:t xml:space="preserve"> </w:t>
      </w:r>
      <w:r w:rsidRPr="000B0F9B">
        <w:rPr>
          <w:rFonts w:cs="Times New Roman"/>
          <w:sz w:val="20"/>
          <w:szCs w:val="20"/>
        </w:rPr>
        <w:t>an order extending the time to serve and file his reply to the response to the application for leave to appeal;</w:t>
      </w:r>
    </w:p>
    <w:p w:rsidR="00433083" w:rsidRPr="000B0F9B" w:rsidRDefault="00433083" w:rsidP="00433083">
      <w:pPr>
        <w:rPr>
          <w:rFonts w:eastAsia="Times New Roman" w:cs="Times New Roman"/>
          <w:i/>
          <w:sz w:val="20"/>
          <w:szCs w:val="20"/>
          <w:lang w:eastAsia="en-CA"/>
        </w:rPr>
      </w:pPr>
    </w:p>
    <w:p w:rsidR="00433083" w:rsidRPr="000B0F9B" w:rsidRDefault="00433083" w:rsidP="00433083">
      <w:pPr>
        <w:rPr>
          <w:rFonts w:eastAsia="Times New Roman" w:cs="Times New Roman"/>
          <w:b/>
          <w:bCs/>
          <w:sz w:val="20"/>
          <w:szCs w:val="20"/>
          <w:lang w:eastAsia="en-CA"/>
        </w:rPr>
      </w:pPr>
      <w:r w:rsidRPr="000B0F9B">
        <w:rPr>
          <w:rFonts w:eastAsia="Times New Roman" w:cs="Times New Roman"/>
          <w:b/>
          <w:bCs/>
          <w:sz w:val="20"/>
          <w:szCs w:val="20"/>
          <w:lang w:eastAsia="en-CA"/>
        </w:rPr>
        <w:t>AND THE MATERIAL FILED</w:t>
      </w:r>
      <w:r w:rsidRPr="000B0F9B">
        <w:rPr>
          <w:rFonts w:eastAsia="Times New Roman" w:cs="Times New Roman"/>
          <w:bCs/>
          <w:sz w:val="20"/>
          <w:szCs w:val="20"/>
          <w:lang w:eastAsia="en-CA"/>
        </w:rPr>
        <w:t xml:space="preserve"> having been read</w:t>
      </w:r>
      <w:r w:rsidRPr="000B0F9B">
        <w:rPr>
          <w:rFonts w:eastAsia="Times New Roman" w:cs="Times New Roman"/>
          <w:sz w:val="20"/>
          <w:szCs w:val="20"/>
          <w:lang w:eastAsia="en-CA"/>
        </w:rPr>
        <w:t>;</w:t>
      </w:r>
    </w:p>
    <w:p w:rsidR="00433083" w:rsidRPr="000B0F9B" w:rsidRDefault="00433083" w:rsidP="00433083">
      <w:pPr>
        <w:rPr>
          <w:rFonts w:eastAsia="Times New Roman" w:cs="Times New Roman"/>
          <w:bCs/>
          <w:sz w:val="20"/>
          <w:szCs w:val="20"/>
          <w:lang w:eastAsia="en-CA"/>
        </w:rPr>
      </w:pPr>
    </w:p>
    <w:p w:rsidR="00433083" w:rsidRPr="000B0F9B" w:rsidRDefault="00433083" w:rsidP="00433083">
      <w:pPr>
        <w:rPr>
          <w:rFonts w:eastAsia="Times New Roman" w:cs="Times New Roman"/>
          <w:b/>
          <w:bCs/>
          <w:sz w:val="20"/>
          <w:szCs w:val="20"/>
          <w:lang w:eastAsia="en-CA"/>
        </w:rPr>
      </w:pPr>
      <w:r w:rsidRPr="000B0F9B">
        <w:rPr>
          <w:rFonts w:eastAsia="Times New Roman" w:cs="Times New Roman"/>
          <w:b/>
          <w:bCs/>
          <w:sz w:val="20"/>
          <w:szCs w:val="20"/>
          <w:lang w:eastAsia="en-CA"/>
        </w:rPr>
        <w:t>IT IS HEREBY ORDERED THAT:</w:t>
      </w:r>
    </w:p>
    <w:p w:rsidR="00433083" w:rsidRPr="000B0F9B" w:rsidRDefault="00433083" w:rsidP="00433083">
      <w:pPr>
        <w:spacing w:line="233" w:lineRule="auto"/>
        <w:rPr>
          <w:rFonts w:cs="Times New Roman"/>
          <w:sz w:val="20"/>
          <w:szCs w:val="20"/>
        </w:rPr>
      </w:pPr>
    </w:p>
    <w:p w:rsidR="00433083" w:rsidRPr="000B0F9B" w:rsidRDefault="00433083" w:rsidP="00433083">
      <w:pPr>
        <w:spacing w:line="233" w:lineRule="auto"/>
        <w:rPr>
          <w:rFonts w:cs="Times New Roman"/>
          <w:sz w:val="20"/>
          <w:szCs w:val="20"/>
        </w:rPr>
      </w:pPr>
      <w:r w:rsidRPr="000B0F9B">
        <w:rPr>
          <w:rFonts w:cs="Times New Roman"/>
          <w:sz w:val="20"/>
          <w:szCs w:val="20"/>
        </w:rPr>
        <w:t>The motion is dismissed.</w:t>
      </w:r>
    </w:p>
    <w:p w:rsidR="001B3A23" w:rsidRPr="000B0F9B" w:rsidRDefault="001B3A23" w:rsidP="00102792">
      <w:pPr>
        <w:spacing w:line="232" w:lineRule="auto"/>
        <w:rPr>
          <w:rFonts w:cs="Times New Roman"/>
          <w:sz w:val="20"/>
          <w:lang w:val="fr-CA"/>
        </w:rPr>
      </w:pPr>
    </w:p>
    <w:p w:rsidR="00102792" w:rsidRPr="000B0F9B" w:rsidRDefault="000B0F9B" w:rsidP="00102792">
      <w:pPr>
        <w:widowControl w:val="0"/>
        <w:rPr>
          <w:rFonts w:eastAsia="Times New Roman" w:cs="Times New Roman"/>
          <w:sz w:val="20"/>
          <w:szCs w:val="20"/>
          <w:lang w:val="fr-CA" w:eastAsia="en-CA"/>
        </w:rPr>
      </w:pPr>
      <w:r w:rsidRPr="000B0F9B">
        <w:rPr>
          <w:rFonts w:eastAsia="Times New Roman" w:cs="Times New Roman"/>
          <w:sz w:val="20"/>
          <w:szCs w:val="20"/>
          <w:lang w:val="fr-CA" w:eastAsia="en-CA"/>
        </w:rPr>
        <w:pict>
          <v:rect id="_x0000_i1044" style="width:2in;height:1pt" o:hrpct="0" o:hralign="center" o:hrstd="t" o:hrnoshade="t" o:hr="t" fillcolor="black [3213]" stroked="f"/>
        </w:pict>
      </w:r>
    </w:p>
    <w:p w:rsidR="005967EF" w:rsidRPr="000B0F9B" w:rsidRDefault="005967EF" w:rsidP="00102792">
      <w:pPr>
        <w:rPr>
          <w:rFonts w:eastAsia="Times New Roman" w:cs="Times New Roman"/>
          <w:sz w:val="20"/>
          <w:szCs w:val="20"/>
          <w:lang w:val="fr-CA" w:eastAsia="en-CA"/>
        </w:rPr>
      </w:pPr>
    </w:p>
    <w:p w:rsidR="00CA2DEA" w:rsidRPr="000B0F9B" w:rsidRDefault="00CA2DEA" w:rsidP="0010587F">
      <w:pPr>
        <w:tabs>
          <w:tab w:val="left" w:pos="-1440"/>
          <w:tab w:val="left" w:pos="-720"/>
        </w:tabs>
        <w:jc w:val="both"/>
        <w:rPr>
          <w:sz w:val="20"/>
          <w:szCs w:val="20"/>
          <w:lang w:val="fr-CA"/>
        </w:rPr>
      </w:pPr>
    </w:p>
    <w:p w:rsidR="00890FEB" w:rsidRPr="000B0F9B" w:rsidRDefault="00890FEB" w:rsidP="00831CA9">
      <w:pPr>
        <w:jc w:val="both"/>
        <w:rPr>
          <w:sz w:val="20"/>
          <w:szCs w:val="20"/>
          <w:lang w:val="fr-CA"/>
        </w:rPr>
      </w:pPr>
    </w:p>
    <w:p w:rsidR="00831CA9" w:rsidRPr="000B0F9B" w:rsidRDefault="00831CA9" w:rsidP="00831CA9">
      <w:pPr>
        <w:jc w:val="both"/>
        <w:rPr>
          <w:sz w:val="20"/>
          <w:szCs w:val="20"/>
          <w:lang w:val="fr-CA"/>
        </w:rPr>
        <w:sectPr w:rsidR="00831CA9" w:rsidRPr="000B0F9B"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0B0F9B" w:rsidRDefault="001434B9" w:rsidP="00567602">
      <w:pPr>
        <w:pStyle w:val="Header1StyleE"/>
        <w:pBdr>
          <w:bottom w:val="single" w:sz="12" w:space="1" w:color="auto"/>
        </w:pBdr>
        <w:rPr>
          <w:sz w:val="20"/>
          <w:lang w:val="en-US"/>
        </w:rPr>
      </w:pPr>
      <w:bookmarkStart w:id="5" w:name="_Toc99695286"/>
      <w:r w:rsidRPr="000B0F9B">
        <w:lastRenderedPageBreak/>
        <w:t>Notices of appeal filed since the last issue</w:t>
      </w:r>
      <w:r w:rsidR="00271E1E" w:rsidRPr="000B0F9B">
        <w:t xml:space="preserve"> / </w:t>
      </w:r>
      <w:r w:rsidR="00567602" w:rsidRPr="000B0F9B">
        <w:br/>
      </w:r>
      <w:r w:rsidRPr="000B0F9B">
        <w:rPr>
          <w:lang w:val="fr-CA"/>
        </w:rPr>
        <w:t>Avis d’appel déposés depuis la dernière parution</w:t>
      </w:r>
      <w:bookmarkEnd w:id="5"/>
    </w:p>
    <w:p w:rsidR="00FB1DB6" w:rsidRPr="000B0F9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B0F9B" w:rsidTr="005F1ED8">
        <w:trPr>
          <w:cantSplit/>
        </w:trPr>
        <w:tc>
          <w:tcPr>
            <w:tcW w:w="2206" w:type="pct"/>
            <w:tcMar>
              <w:left w:w="0" w:type="dxa"/>
              <w:right w:w="0" w:type="dxa"/>
            </w:tcMar>
          </w:tcPr>
          <w:p w:rsidR="0086340B" w:rsidRPr="000B0F9B" w:rsidRDefault="00C75777" w:rsidP="005F1ED8">
            <w:pPr>
              <w:rPr>
                <w:sz w:val="20"/>
                <w:szCs w:val="20"/>
              </w:rPr>
            </w:pPr>
            <w:r w:rsidRPr="000B0F9B">
              <w:rPr>
                <w:sz w:val="20"/>
                <w:szCs w:val="20"/>
              </w:rPr>
              <w:t>March</w:t>
            </w:r>
            <w:r w:rsidR="008859F1" w:rsidRPr="000B0F9B">
              <w:rPr>
                <w:sz w:val="20"/>
                <w:szCs w:val="20"/>
              </w:rPr>
              <w:t xml:space="preserve"> </w:t>
            </w:r>
            <w:r w:rsidR="009B36BA" w:rsidRPr="000B0F9B">
              <w:rPr>
                <w:sz w:val="20"/>
                <w:szCs w:val="20"/>
              </w:rPr>
              <w:t>1</w:t>
            </w:r>
            <w:r w:rsidRPr="000B0F9B">
              <w:rPr>
                <w:sz w:val="20"/>
                <w:szCs w:val="20"/>
              </w:rPr>
              <w:t>6</w:t>
            </w:r>
            <w:r w:rsidR="008859F1" w:rsidRPr="000B0F9B">
              <w:rPr>
                <w:sz w:val="20"/>
                <w:szCs w:val="20"/>
              </w:rPr>
              <w:t>, 20</w:t>
            </w:r>
            <w:r w:rsidR="005967EF" w:rsidRPr="000B0F9B">
              <w:rPr>
                <w:sz w:val="20"/>
                <w:szCs w:val="20"/>
              </w:rPr>
              <w:t>2</w:t>
            </w:r>
            <w:r w:rsidR="00E8642A" w:rsidRPr="000B0F9B">
              <w:rPr>
                <w:sz w:val="20"/>
                <w:szCs w:val="20"/>
              </w:rPr>
              <w:t>2</w:t>
            </w:r>
          </w:p>
          <w:p w:rsidR="0034657E" w:rsidRPr="000B0F9B" w:rsidRDefault="0034657E" w:rsidP="005F1ED8">
            <w:pPr>
              <w:rPr>
                <w:sz w:val="20"/>
                <w:szCs w:val="20"/>
              </w:rPr>
            </w:pPr>
          </w:p>
          <w:p w:rsidR="0086340B" w:rsidRPr="000B0F9B" w:rsidRDefault="00C316D4" w:rsidP="005F1ED8">
            <w:pPr>
              <w:rPr>
                <w:b/>
                <w:sz w:val="20"/>
                <w:szCs w:val="20"/>
              </w:rPr>
            </w:pPr>
            <w:r w:rsidRPr="000B0F9B">
              <w:rPr>
                <w:b/>
                <w:sz w:val="20"/>
                <w:szCs w:val="20"/>
              </w:rPr>
              <w:t>Her Majesty the Queen</w:t>
            </w:r>
          </w:p>
          <w:p w:rsidR="0086340B" w:rsidRPr="000B0F9B" w:rsidRDefault="0086340B" w:rsidP="005F1ED8">
            <w:pPr>
              <w:rPr>
                <w:sz w:val="20"/>
                <w:szCs w:val="20"/>
              </w:rPr>
            </w:pPr>
          </w:p>
          <w:p w:rsidR="0086340B" w:rsidRPr="000B0F9B" w:rsidRDefault="0086340B" w:rsidP="005F1ED8">
            <w:pPr>
              <w:rPr>
                <w:b/>
                <w:sz w:val="20"/>
                <w:szCs w:val="20"/>
              </w:rPr>
            </w:pPr>
            <w:r w:rsidRPr="000B0F9B">
              <w:rPr>
                <w:b/>
                <w:sz w:val="20"/>
                <w:szCs w:val="20"/>
              </w:rPr>
              <w:tab/>
              <w:t>v. (4</w:t>
            </w:r>
            <w:r w:rsidR="00C316D4" w:rsidRPr="000B0F9B">
              <w:rPr>
                <w:b/>
                <w:sz w:val="20"/>
                <w:szCs w:val="20"/>
              </w:rPr>
              <w:t>0063</w:t>
            </w:r>
            <w:r w:rsidRPr="000B0F9B">
              <w:rPr>
                <w:b/>
                <w:sz w:val="20"/>
                <w:szCs w:val="20"/>
              </w:rPr>
              <w:t>)</w:t>
            </w:r>
          </w:p>
          <w:p w:rsidR="0086340B" w:rsidRPr="000B0F9B" w:rsidRDefault="0086340B" w:rsidP="005F1ED8">
            <w:pPr>
              <w:rPr>
                <w:sz w:val="20"/>
                <w:szCs w:val="20"/>
              </w:rPr>
            </w:pPr>
          </w:p>
          <w:p w:rsidR="0086340B" w:rsidRPr="000B0F9B" w:rsidRDefault="00C316D4" w:rsidP="005F1ED8">
            <w:pPr>
              <w:rPr>
                <w:b/>
                <w:sz w:val="20"/>
                <w:szCs w:val="20"/>
              </w:rPr>
            </w:pPr>
            <w:r w:rsidRPr="000B0F9B">
              <w:rPr>
                <w:b/>
                <w:sz w:val="20"/>
                <w:szCs w:val="20"/>
              </w:rPr>
              <w:t>Richard Doxtator</w:t>
            </w:r>
            <w:r w:rsidR="0086340B" w:rsidRPr="000B0F9B">
              <w:rPr>
                <w:b/>
                <w:sz w:val="20"/>
                <w:szCs w:val="20"/>
              </w:rPr>
              <w:t xml:space="preserve"> (</w:t>
            </w:r>
            <w:r w:rsidRPr="000B0F9B">
              <w:rPr>
                <w:b/>
                <w:sz w:val="20"/>
                <w:szCs w:val="20"/>
              </w:rPr>
              <w:t>Ont</w:t>
            </w:r>
            <w:r w:rsidR="0086340B" w:rsidRPr="000B0F9B">
              <w:rPr>
                <w:b/>
                <w:sz w:val="20"/>
                <w:szCs w:val="20"/>
              </w:rPr>
              <w:t>.)</w:t>
            </w:r>
          </w:p>
          <w:p w:rsidR="0086340B" w:rsidRPr="000B0F9B" w:rsidRDefault="0086340B" w:rsidP="005F1ED8">
            <w:pPr>
              <w:rPr>
                <w:sz w:val="20"/>
                <w:szCs w:val="20"/>
              </w:rPr>
            </w:pPr>
          </w:p>
          <w:p w:rsidR="0086340B" w:rsidRPr="000B0F9B" w:rsidRDefault="0086340B" w:rsidP="005F1ED8">
            <w:pPr>
              <w:rPr>
                <w:sz w:val="20"/>
                <w:szCs w:val="20"/>
              </w:rPr>
            </w:pPr>
            <w:r w:rsidRPr="000B0F9B">
              <w:rPr>
                <w:sz w:val="20"/>
                <w:szCs w:val="20"/>
              </w:rPr>
              <w:t>(</w:t>
            </w:r>
            <w:r w:rsidR="00C316D4" w:rsidRPr="000B0F9B">
              <w:rPr>
                <w:sz w:val="20"/>
                <w:szCs w:val="20"/>
              </w:rPr>
              <w:t>As of Right</w:t>
            </w:r>
            <w:r w:rsidRPr="000B0F9B">
              <w:rPr>
                <w:sz w:val="20"/>
                <w:szCs w:val="20"/>
              </w:rPr>
              <w:t>)</w:t>
            </w:r>
          </w:p>
          <w:p w:rsidR="0086340B" w:rsidRPr="000B0F9B" w:rsidRDefault="0086340B" w:rsidP="005F1ED8">
            <w:pPr>
              <w:rPr>
                <w:sz w:val="20"/>
                <w:szCs w:val="20"/>
              </w:rPr>
            </w:pPr>
          </w:p>
          <w:p w:rsidR="0086340B" w:rsidRPr="000B0F9B" w:rsidRDefault="000B0F9B" w:rsidP="005F1ED8">
            <w:pPr>
              <w:rPr>
                <w:sz w:val="20"/>
                <w:szCs w:val="20"/>
                <w:lang w:val="fr-CA"/>
              </w:rPr>
            </w:pPr>
            <w:r w:rsidRPr="000B0F9B">
              <w:rPr>
                <w:sz w:val="20"/>
                <w:szCs w:val="20"/>
                <w:lang w:val="fr-CA"/>
              </w:rPr>
              <w:pict>
                <v:rect id="_x0000_i1047" style="width:106.1pt;height:1pt" o:hrpct="500" o:hrstd="t" o:hrnoshade="t" o:hr="t" fillcolor="black [3213]" stroked="f"/>
              </w:pict>
            </w:r>
          </w:p>
        </w:tc>
        <w:tc>
          <w:tcPr>
            <w:tcW w:w="588" w:type="pct"/>
          </w:tcPr>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86340B" w:rsidRPr="000B0F9B" w:rsidRDefault="0086340B" w:rsidP="005F1ED8">
            <w:pPr>
              <w:jc w:val="center"/>
              <w:rPr>
                <w:sz w:val="20"/>
                <w:szCs w:val="20"/>
              </w:rPr>
            </w:pPr>
          </w:p>
          <w:p w:rsidR="00E06F20" w:rsidRPr="000B0F9B" w:rsidRDefault="00E06F20" w:rsidP="005F1ED8">
            <w:pPr>
              <w:jc w:val="center"/>
              <w:rPr>
                <w:sz w:val="20"/>
                <w:szCs w:val="20"/>
              </w:rPr>
            </w:pPr>
          </w:p>
          <w:p w:rsidR="0086340B" w:rsidRPr="000B0F9B" w:rsidRDefault="0086340B" w:rsidP="005F1ED8">
            <w:pPr>
              <w:jc w:val="center"/>
              <w:rPr>
                <w:sz w:val="20"/>
                <w:szCs w:val="20"/>
              </w:rPr>
            </w:pPr>
          </w:p>
        </w:tc>
        <w:tc>
          <w:tcPr>
            <w:tcW w:w="2206" w:type="pct"/>
          </w:tcPr>
          <w:p w:rsidR="00924877" w:rsidRPr="000B0F9B" w:rsidRDefault="00924877" w:rsidP="00924877">
            <w:pPr>
              <w:rPr>
                <w:sz w:val="20"/>
                <w:szCs w:val="20"/>
              </w:rPr>
            </w:pPr>
            <w:r w:rsidRPr="000B0F9B">
              <w:rPr>
                <w:sz w:val="20"/>
                <w:szCs w:val="20"/>
              </w:rPr>
              <w:t>March 4, 2022</w:t>
            </w:r>
          </w:p>
          <w:p w:rsidR="00924877" w:rsidRPr="000B0F9B" w:rsidRDefault="00924877" w:rsidP="00924877">
            <w:pPr>
              <w:rPr>
                <w:sz w:val="20"/>
                <w:szCs w:val="20"/>
              </w:rPr>
            </w:pPr>
          </w:p>
          <w:p w:rsidR="00924877" w:rsidRPr="000B0F9B" w:rsidRDefault="00924877" w:rsidP="00924877">
            <w:pPr>
              <w:rPr>
                <w:b/>
                <w:sz w:val="20"/>
                <w:szCs w:val="20"/>
              </w:rPr>
            </w:pPr>
            <w:r w:rsidRPr="000B0F9B">
              <w:rPr>
                <w:b/>
                <w:sz w:val="20"/>
                <w:szCs w:val="20"/>
              </w:rPr>
              <w:t>Her Majesty the Queen</w:t>
            </w:r>
          </w:p>
          <w:p w:rsidR="00924877" w:rsidRPr="000B0F9B" w:rsidRDefault="00924877" w:rsidP="00924877">
            <w:pPr>
              <w:rPr>
                <w:sz w:val="20"/>
                <w:szCs w:val="20"/>
              </w:rPr>
            </w:pPr>
          </w:p>
          <w:p w:rsidR="00924877" w:rsidRPr="000B0F9B" w:rsidRDefault="00924877" w:rsidP="00924877">
            <w:pPr>
              <w:rPr>
                <w:b/>
                <w:sz w:val="20"/>
                <w:szCs w:val="20"/>
              </w:rPr>
            </w:pPr>
            <w:r w:rsidRPr="000B0F9B">
              <w:rPr>
                <w:b/>
                <w:sz w:val="20"/>
                <w:szCs w:val="20"/>
              </w:rPr>
              <w:tab/>
              <w:t>v. (39826)</w:t>
            </w:r>
          </w:p>
          <w:p w:rsidR="00924877" w:rsidRPr="000B0F9B" w:rsidRDefault="00924877" w:rsidP="00924877">
            <w:pPr>
              <w:rPr>
                <w:sz w:val="20"/>
                <w:szCs w:val="20"/>
              </w:rPr>
            </w:pPr>
          </w:p>
          <w:p w:rsidR="00924877" w:rsidRPr="000B0F9B" w:rsidRDefault="00924877" w:rsidP="00924877">
            <w:pPr>
              <w:rPr>
                <w:b/>
                <w:sz w:val="20"/>
                <w:szCs w:val="20"/>
              </w:rPr>
            </w:pPr>
            <w:r w:rsidRPr="000B0F9B">
              <w:rPr>
                <w:b/>
                <w:sz w:val="20"/>
                <w:szCs w:val="20"/>
              </w:rPr>
              <w:t>Walker McColman (Ont.)</w:t>
            </w:r>
          </w:p>
          <w:p w:rsidR="00924877" w:rsidRPr="000B0F9B" w:rsidRDefault="00924877" w:rsidP="00924877">
            <w:pPr>
              <w:rPr>
                <w:sz w:val="20"/>
                <w:szCs w:val="20"/>
              </w:rPr>
            </w:pPr>
          </w:p>
          <w:p w:rsidR="00924877" w:rsidRPr="000B0F9B" w:rsidRDefault="00924877" w:rsidP="00924877">
            <w:pPr>
              <w:rPr>
                <w:sz w:val="20"/>
                <w:szCs w:val="20"/>
              </w:rPr>
            </w:pPr>
            <w:r w:rsidRPr="000B0F9B">
              <w:rPr>
                <w:sz w:val="20"/>
                <w:szCs w:val="20"/>
              </w:rPr>
              <w:t>(By Leave)</w:t>
            </w:r>
          </w:p>
          <w:p w:rsidR="00924877" w:rsidRPr="000B0F9B" w:rsidRDefault="00924877" w:rsidP="00924877">
            <w:pPr>
              <w:rPr>
                <w:sz w:val="20"/>
                <w:szCs w:val="20"/>
              </w:rPr>
            </w:pPr>
          </w:p>
          <w:p w:rsidR="0086340B" w:rsidRPr="000B0F9B" w:rsidRDefault="000B0F9B" w:rsidP="00924877">
            <w:pPr>
              <w:rPr>
                <w:sz w:val="20"/>
                <w:szCs w:val="20"/>
              </w:rPr>
            </w:pPr>
            <w:r w:rsidRPr="000B0F9B">
              <w:rPr>
                <w:sz w:val="20"/>
                <w:szCs w:val="20"/>
                <w:lang w:val="fr-CA"/>
              </w:rPr>
              <w:pict>
                <v:rect id="_x0000_i1048" style="width:106.1pt;height:1pt" o:hrpct="500" o:hrstd="t" o:hrnoshade="t" o:hr="t" fillcolor="black [3213]" stroked="f"/>
              </w:pict>
            </w:r>
          </w:p>
        </w:tc>
      </w:tr>
      <w:tr w:rsidR="00924877" w:rsidRPr="000B0F9B" w:rsidTr="005F1ED8">
        <w:trPr>
          <w:cantSplit/>
        </w:trPr>
        <w:tc>
          <w:tcPr>
            <w:tcW w:w="2206" w:type="pct"/>
            <w:tcMar>
              <w:left w:w="0" w:type="dxa"/>
              <w:right w:w="0" w:type="dxa"/>
            </w:tcMar>
          </w:tcPr>
          <w:p w:rsidR="00924877" w:rsidRPr="000B0F9B" w:rsidRDefault="00924877" w:rsidP="00924877">
            <w:pPr>
              <w:rPr>
                <w:sz w:val="20"/>
                <w:szCs w:val="20"/>
                <w:lang w:val="fr-CA"/>
              </w:rPr>
            </w:pPr>
            <w:r w:rsidRPr="000B0F9B">
              <w:rPr>
                <w:sz w:val="20"/>
                <w:szCs w:val="20"/>
                <w:lang w:val="fr-CA"/>
              </w:rPr>
              <w:t>Le 14 mars 2022</w:t>
            </w:r>
          </w:p>
          <w:p w:rsidR="00924877" w:rsidRPr="000B0F9B" w:rsidRDefault="00924877" w:rsidP="00924877">
            <w:pPr>
              <w:rPr>
                <w:sz w:val="20"/>
                <w:szCs w:val="20"/>
                <w:lang w:val="fr-CA"/>
              </w:rPr>
            </w:pPr>
          </w:p>
          <w:p w:rsidR="00924877" w:rsidRPr="000B0F9B" w:rsidRDefault="00924877" w:rsidP="00924877">
            <w:pPr>
              <w:rPr>
                <w:b/>
                <w:sz w:val="20"/>
                <w:szCs w:val="20"/>
                <w:lang w:val="fr-CA"/>
              </w:rPr>
            </w:pPr>
            <w:r w:rsidRPr="000B0F9B">
              <w:rPr>
                <w:b/>
                <w:sz w:val="20"/>
                <w:szCs w:val="20"/>
                <w:lang w:val="fr-CA"/>
              </w:rPr>
              <w:t>Procureur général du Canada</w:t>
            </w:r>
          </w:p>
          <w:p w:rsidR="00924877" w:rsidRPr="000B0F9B" w:rsidRDefault="00924877" w:rsidP="00924877">
            <w:pPr>
              <w:rPr>
                <w:sz w:val="20"/>
                <w:szCs w:val="20"/>
                <w:lang w:val="fr-CA"/>
              </w:rPr>
            </w:pPr>
          </w:p>
          <w:p w:rsidR="00924877" w:rsidRPr="000B0F9B" w:rsidRDefault="00924877" w:rsidP="00924877">
            <w:pPr>
              <w:rPr>
                <w:b/>
                <w:sz w:val="20"/>
                <w:szCs w:val="20"/>
                <w:lang w:val="fr-CA"/>
              </w:rPr>
            </w:pPr>
            <w:r w:rsidRPr="000B0F9B">
              <w:rPr>
                <w:b/>
                <w:sz w:val="20"/>
                <w:szCs w:val="20"/>
                <w:lang w:val="fr-CA"/>
              </w:rPr>
              <w:tab/>
              <w:t>c. (40061)</w:t>
            </w:r>
          </w:p>
          <w:p w:rsidR="00924877" w:rsidRPr="000B0F9B" w:rsidRDefault="00924877" w:rsidP="00924877">
            <w:pPr>
              <w:rPr>
                <w:sz w:val="20"/>
                <w:szCs w:val="20"/>
                <w:lang w:val="fr-CA"/>
              </w:rPr>
            </w:pPr>
          </w:p>
          <w:p w:rsidR="00924877" w:rsidRPr="000B0F9B" w:rsidRDefault="00924877" w:rsidP="00924877">
            <w:pPr>
              <w:rPr>
                <w:b/>
                <w:sz w:val="20"/>
                <w:szCs w:val="20"/>
                <w:lang w:val="fr-CA"/>
              </w:rPr>
            </w:pPr>
            <w:r w:rsidRPr="000B0F9B">
              <w:rPr>
                <w:b/>
                <w:sz w:val="20"/>
                <w:szCs w:val="20"/>
                <w:lang w:val="fr-CA"/>
              </w:rPr>
              <w:t>Procureur général du Québec, et al. (Qc)</w:t>
            </w:r>
          </w:p>
          <w:p w:rsidR="00924877" w:rsidRPr="000B0F9B" w:rsidRDefault="00924877" w:rsidP="00924877">
            <w:pPr>
              <w:rPr>
                <w:sz w:val="20"/>
                <w:szCs w:val="20"/>
                <w:lang w:val="fr-CA"/>
              </w:rPr>
            </w:pPr>
          </w:p>
          <w:p w:rsidR="00924877" w:rsidRPr="000B0F9B" w:rsidRDefault="00924877" w:rsidP="00924877">
            <w:pPr>
              <w:rPr>
                <w:sz w:val="20"/>
                <w:szCs w:val="20"/>
                <w:lang w:val="fr-CA"/>
              </w:rPr>
            </w:pPr>
            <w:r w:rsidRPr="000B0F9B">
              <w:rPr>
                <w:sz w:val="20"/>
                <w:szCs w:val="20"/>
                <w:lang w:val="fr-CA"/>
              </w:rPr>
              <w:t>(De plein droit)</w:t>
            </w:r>
          </w:p>
          <w:p w:rsidR="00924877" w:rsidRPr="000B0F9B" w:rsidRDefault="00924877" w:rsidP="00924877">
            <w:pPr>
              <w:rPr>
                <w:sz w:val="20"/>
                <w:szCs w:val="20"/>
                <w:lang w:val="fr-CA"/>
              </w:rPr>
            </w:pPr>
          </w:p>
          <w:p w:rsidR="00924877" w:rsidRPr="000B0F9B" w:rsidRDefault="000B0F9B" w:rsidP="00924877">
            <w:pPr>
              <w:rPr>
                <w:sz w:val="20"/>
                <w:szCs w:val="20"/>
              </w:rPr>
            </w:pPr>
            <w:r w:rsidRPr="000B0F9B">
              <w:rPr>
                <w:sz w:val="20"/>
                <w:szCs w:val="20"/>
                <w:lang w:val="fr-CA"/>
              </w:rPr>
              <w:pict>
                <v:rect id="_x0000_i1049" style="width:106.1pt;height:1pt" o:hrpct="500" o:hrstd="t" o:hrnoshade="t" o:hr="t" fillcolor="black [3213]" stroked="f"/>
              </w:pict>
            </w:r>
          </w:p>
        </w:tc>
        <w:tc>
          <w:tcPr>
            <w:tcW w:w="588" w:type="pct"/>
          </w:tcPr>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p w:rsidR="00924877" w:rsidRPr="000B0F9B" w:rsidRDefault="00924877" w:rsidP="005F1ED8">
            <w:pPr>
              <w:jc w:val="center"/>
              <w:rPr>
                <w:sz w:val="20"/>
                <w:szCs w:val="20"/>
              </w:rPr>
            </w:pPr>
          </w:p>
        </w:tc>
        <w:tc>
          <w:tcPr>
            <w:tcW w:w="2206" w:type="pct"/>
          </w:tcPr>
          <w:p w:rsidR="00924877" w:rsidRPr="000B0F9B" w:rsidRDefault="00924877" w:rsidP="00924877">
            <w:pPr>
              <w:rPr>
                <w:sz w:val="20"/>
                <w:szCs w:val="20"/>
              </w:rPr>
            </w:pPr>
          </w:p>
        </w:tc>
      </w:tr>
    </w:tbl>
    <w:p w:rsidR="008277C4" w:rsidRPr="000B0F9B" w:rsidRDefault="008277C4" w:rsidP="00F40249">
      <w:pPr>
        <w:rPr>
          <w:sz w:val="20"/>
          <w:szCs w:val="20"/>
        </w:rPr>
      </w:pPr>
    </w:p>
    <w:p w:rsidR="008277C4" w:rsidRPr="000B0F9B" w:rsidRDefault="008277C4" w:rsidP="00F40249">
      <w:pPr>
        <w:rPr>
          <w:sz w:val="20"/>
          <w:szCs w:val="20"/>
        </w:rPr>
      </w:pPr>
    </w:p>
    <w:p w:rsidR="0010587F" w:rsidRPr="000B0F9B" w:rsidRDefault="0010587F" w:rsidP="00F40249">
      <w:pPr>
        <w:rPr>
          <w:sz w:val="20"/>
          <w:szCs w:val="20"/>
        </w:rPr>
      </w:pPr>
    </w:p>
    <w:p w:rsidR="00EB2B90" w:rsidRPr="000B0F9B" w:rsidRDefault="00EB2B90" w:rsidP="00F40249">
      <w:pPr>
        <w:rPr>
          <w:sz w:val="20"/>
          <w:szCs w:val="20"/>
        </w:rPr>
        <w:sectPr w:rsidR="00EB2B90" w:rsidRPr="000B0F9B"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0B0F9B" w:rsidRDefault="001434B9" w:rsidP="00567602">
      <w:pPr>
        <w:pStyle w:val="Header1StyleE"/>
        <w:pBdr>
          <w:bottom w:val="single" w:sz="12" w:space="1" w:color="auto"/>
        </w:pBdr>
        <w:rPr>
          <w:lang w:val="fr-CA"/>
        </w:rPr>
      </w:pPr>
      <w:bookmarkStart w:id="6" w:name="_Toc99695287"/>
      <w:r w:rsidRPr="000B0F9B">
        <w:rPr>
          <w:lang w:val="fr-CA"/>
        </w:rPr>
        <w:lastRenderedPageBreak/>
        <w:t>Pronouncements of reserved</w:t>
      </w:r>
      <w:r w:rsidR="00271E1E" w:rsidRPr="000B0F9B">
        <w:rPr>
          <w:lang w:val="fr-CA"/>
        </w:rPr>
        <w:t xml:space="preserve"> appeals / </w:t>
      </w:r>
      <w:r w:rsidR="00567602" w:rsidRPr="000B0F9B">
        <w:rPr>
          <w:lang w:val="fr-CA"/>
        </w:rPr>
        <w:br/>
      </w:r>
      <w:r w:rsidRPr="000B0F9B">
        <w:rPr>
          <w:lang w:val="fr-CA"/>
        </w:rPr>
        <w:t>Jugements rendus sur les appels en délibéré</w:t>
      </w:r>
      <w:bookmarkEnd w:id="6"/>
    </w:p>
    <w:p w:rsidR="00FF6EEC" w:rsidRPr="000B0F9B" w:rsidRDefault="00FF6EEC" w:rsidP="00FF6EEC">
      <w:pPr>
        <w:rPr>
          <w:sz w:val="20"/>
          <w:szCs w:val="20"/>
          <w:lang w:val="fr-CA"/>
        </w:rPr>
      </w:pPr>
    </w:p>
    <w:p w:rsidR="00102792" w:rsidRPr="000B0F9B" w:rsidRDefault="00406760" w:rsidP="00102792">
      <w:pPr>
        <w:rPr>
          <w:b/>
          <w:sz w:val="20"/>
          <w:szCs w:val="20"/>
          <w:lang w:val="fr-CA"/>
        </w:rPr>
      </w:pPr>
      <w:r w:rsidRPr="000B0F9B">
        <w:rPr>
          <w:b/>
          <w:sz w:val="20"/>
          <w:szCs w:val="20"/>
          <w:lang w:val="fr-CA"/>
        </w:rPr>
        <w:t>MARCH</w:t>
      </w:r>
      <w:r w:rsidR="00102792" w:rsidRPr="000B0F9B">
        <w:rPr>
          <w:b/>
          <w:sz w:val="20"/>
          <w:szCs w:val="20"/>
          <w:lang w:val="fr-CA"/>
        </w:rPr>
        <w:t xml:space="preserve"> </w:t>
      </w:r>
      <w:r w:rsidRPr="000B0F9B">
        <w:rPr>
          <w:b/>
          <w:sz w:val="20"/>
          <w:szCs w:val="20"/>
          <w:lang w:val="fr-CA"/>
        </w:rPr>
        <w:t>3</w:t>
      </w:r>
      <w:r w:rsidR="00E8642A" w:rsidRPr="000B0F9B">
        <w:rPr>
          <w:b/>
          <w:sz w:val="20"/>
          <w:szCs w:val="20"/>
          <w:lang w:val="fr-CA"/>
        </w:rPr>
        <w:t>1</w:t>
      </w:r>
      <w:r w:rsidR="00102792" w:rsidRPr="000B0F9B">
        <w:rPr>
          <w:b/>
          <w:sz w:val="20"/>
          <w:szCs w:val="20"/>
          <w:lang w:val="fr-CA"/>
        </w:rPr>
        <w:t xml:space="preserve">, </w:t>
      </w:r>
      <w:r w:rsidR="0034657E" w:rsidRPr="000B0F9B">
        <w:rPr>
          <w:b/>
          <w:sz w:val="20"/>
          <w:szCs w:val="20"/>
          <w:lang w:val="fr-CA"/>
        </w:rPr>
        <w:t>20</w:t>
      </w:r>
      <w:r w:rsidR="00172473" w:rsidRPr="000B0F9B">
        <w:rPr>
          <w:b/>
          <w:sz w:val="20"/>
          <w:szCs w:val="20"/>
          <w:lang w:val="fr-CA"/>
        </w:rPr>
        <w:t>2</w:t>
      </w:r>
      <w:r w:rsidR="00E8642A" w:rsidRPr="000B0F9B">
        <w:rPr>
          <w:b/>
          <w:sz w:val="20"/>
          <w:szCs w:val="20"/>
          <w:lang w:val="fr-CA"/>
        </w:rPr>
        <w:t>2</w:t>
      </w:r>
      <w:r w:rsidR="00102792" w:rsidRPr="000B0F9B">
        <w:rPr>
          <w:b/>
          <w:sz w:val="20"/>
          <w:szCs w:val="20"/>
          <w:lang w:val="fr-CA"/>
        </w:rPr>
        <w:t xml:space="preserve"> / LE </w:t>
      </w:r>
      <w:r w:rsidRPr="000B0F9B">
        <w:rPr>
          <w:b/>
          <w:sz w:val="20"/>
          <w:szCs w:val="20"/>
          <w:lang w:val="fr-CA"/>
        </w:rPr>
        <w:t>3</w:t>
      </w:r>
      <w:r w:rsidR="00E8642A" w:rsidRPr="000B0F9B">
        <w:rPr>
          <w:b/>
          <w:sz w:val="20"/>
          <w:szCs w:val="20"/>
          <w:lang w:val="fr-CA"/>
        </w:rPr>
        <w:t>1</w:t>
      </w:r>
      <w:r w:rsidR="00102792" w:rsidRPr="000B0F9B">
        <w:rPr>
          <w:b/>
          <w:sz w:val="20"/>
          <w:szCs w:val="20"/>
          <w:lang w:val="fr-CA"/>
        </w:rPr>
        <w:t xml:space="preserve"> </w:t>
      </w:r>
      <w:r w:rsidRPr="000B0F9B">
        <w:rPr>
          <w:b/>
          <w:sz w:val="20"/>
          <w:szCs w:val="20"/>
          <w:lang w:val="fr-CA"/>
        </w:rPr>
        <w:t>MARS</w:t>
      </w:r>
      <w:r w:rsidR="00102792" w:rsidRPr="000B0F9B">
        <w:rPr>
          <w:b/>
          <w:sz w:val="20"/>
          <w:szCs w:val="20"/>
          <w:lang w:val="fr-CA"/>
        </w:rPr>
        <w:t xml:space="preserve"> </w:t>
      </w:r>
      <w:r w:rsidR="0034657E" w:rsidRPr="000B0F9B">
        <w:rPr>
          <w:b/>
          <w:sz w:val="20"/>
          <w:szCs w:val="20"/>
          <w:lang w:val="fr-CA"/>
        </w:rPr>
        <w:t>20</w:t>
      </w:r>
      <w:r w:rsidR="00172473" w:rsidRPr="000B0F9B">
        <w:rPr>
          <w:b/>
          <w:sz w:val="20"/>
          <w:szCs w:val="20"/>
          <w:lang w:val="fr-CA"/>
        </w:rPr>
        <w:t>2</w:t>
      </w:r>
      <w:r w:rsidR="00E8642A" w:rsidRPr="000B0F9B">
        <w:rPr>
          <w:b/>
          <w:sz w:val="20"/>
          <w:szCs w:val="20"/>
          <w:lang w:val="fr-CA"/>
        </w:rPr>
        <w:t>2</w:t>
      </w:r>
    </w:p>
    <w:p w:rsidR="00102792" w:rsidRPr="000B0F9B" w:rsidRDefault="00102792" w:rsidP="00102792">
      <w:pPr>
        <w:rPr>
          <w:sz w:val="20"/>
          <w:szCs w:val="20"/>
          <w:lang w:val="fr-CA"/>
        </w:rPr>
      </w:pPr>
    </w:p>
    <w:p w:rsidR="00406760" w:rsidRPr="000B0F9B" w:rsidRDefault="00102792" w:rsidP="00406760">
      <w:pPr>
        <w:ind w:left="1440" w:hanging="1440"/>
        <w:jc w:val="both"/>
        <w:rPr>
          <w:sz w:val="20"/>
          <w:lang w:val="fr-CA"/>
        </w:rPr>
      </w:pPr>
      <w:r w:rsidRPr="000B0F9B">
        <w:rPr>
          <w:rFonts w:eastAsia="Times New Roman" w:cs="Times New Roman"/>
          <w:b/>
          <w:bCs/>
          <w:color w:val="000000"/>
          <w:sz w:val="20"/>
          <w:szCs w:val="20"/>
          <w:lang w:val="fr-CA"/>
        </w:rPr>
        <w:t>3</w:t>
      </w:r>
      <w:r w:rsidR="00406760" w:rsidRPr="000B0F9B">
        <w:rPr>
          <w:rFonts w:eastAsia="Times New Roman" w:cs="Times New Roman"/>
          <w:b/>
          <w:bCs/>
          <w:color w:val="000000"/>
          <w:sz w:val="20"/>
          <w:szCs w:val="20"/>
          <w:lang w:val="fr-CA"/>
        </w:rPr>
        <w:t>9162</w:t>
      </w:r>
      <w:r w:rsidR="00172473" w:rsidRPr="000B0F9B">
        <w:rPr>
          <w:rFonts w:eastAsia="Times New Roman" w:cs="Times New Roman"/>
          <w:b/>
          <w:bCs/>
          <w:color w:val="000000"/>
          <w:sz w:val="20"/>
          <w:szCs w:val="20"/>
          <w:lang w:val="fr-CA"/>
        </w:rPr>
        <w:tab/>
      </w:r>
      <w:r w:rsidR="00406760" w:rsidRPr="000B0F9B">
        <w:rPr>
          <w:b/>
          <w:sz w:val="20"/>
          <w:lang w:val="fr-CA"/>
        </w:rPr>
        <w:t xml:space="preserve">Sa Majesté la Reine c. Richard Vallières - et - Procureur général de l’Ontario et Association québécoise des avocats et des avocates de la défense </w:t>
      </w:r>
      <w:r w:rsidR="00406760" w:rsidRPr="000B0F9B">
        <w:rPr>
          <w:iCs/>
          <w:sz w:val="20"/>
          <w:lang w:val="fr-CA"/>
        </w:rPr>
        <w:t>(Qc)</w:t>
      </w:r>
    </w:p>
    <w:p w:rsidR="00102792" w:rsidRPr="000B0F9B" w:rsidRDefault="00102792" w:rsidP="00102792">
      <w:pPr>
        <w:ind w:left="1440"/>
        <w:jc w:val="both"/>
        <w:rPr>
          <w:rFonts w:eastAsia="Times New Roman" w:cs="Times New Roman"/>
          <w:color w:val="000000"/>
          <w:sz w:val="20"/>
          <w:szCs w:val="20"/>
          <w:lang w:val="fr-CA"/>
        </w:rPr>
      </w:pPr>
      <w:r w:rsidRPr="000B0F9B">
        <w:rPr>
          <w:rFonts w:eastAsia="Times New Roman" w:cs="Times New Roman"/>
          <w:b/>
          <w:bCs/>
          <w:color w:val="000000"/>
          <w:sz w:val="20"/>
          <w:szCs w:val="20"/>
          <w:lang w:val="fr-CA"/>
        </w:rPr>
        <w:t>20</w:t>
      </w:r>
      <w:r w:rsidR="00172473" w:rsidRPr="000B0F9B">
        <w:rPr>
          <w:rFonts w:eastAsia="Times New Roman" w:cs="Times New Roman"/>
          <w:b/>
          <w:bCs/>
          <w:color w:val="000000"/>
          <w:sz w:val="20"/>
          <w:szCs w:val="20"/>
          <w:lang w:val="fr-CA"/>
        </w:rPr>
        <w:t>2</w:t>
      </w:r>
      <w:r w:rsidR="00E8642A" w:rsidRPr="000B0F9B">
        <w:rPr>
          <w:rFonts w:eastAsia="Times New Roman" w:cs="Times New Roman"/>
          <w:b/>
          <w:bCs/>
          <w:color w:val="000000"/>
          <w:sz w:val="20"/>
          <w:szCs w:val="20"/>
          <w:lang w:val="fr-CA"/>
        </w:rPr>
        <w:t>2</w:t>
      </w:r>
      <w:r w:rsidRPr="000B0F9B">
        <w:rPr>
          <w:rFonts w:eastAsia="Times New Roman" w:cs="Times New Roman"/>
          <w:b/>
          <w:bCs/>
          <w:color w:val="000000"/>
          <w:sz w:val="20"/>
          <w:szCs w:val="20"/>
          <w:lang w:val="fr-CA"/>
        </w:rPr>
        <w:t xml:space="preserve"> SCC </w:t>
      </w:r>
      <w:r w:rsidR="00172473" w:rsidRPr="000B0F9B">
        <w:rPr>
          <w:rFonts w:eastAsia="Times New Roman" w:cs="Times New Roman"/>
          <w:b/>
          <w:bCs/>
          <w:color w:val="000000"/>
          <w:sz w:val="20"/>
          <w:szCs w:val="20"/>
          <w:lang w:val="fr-CA"/>
        </w:rPr>
        <w:t>1</w:t>
      </w:r>
      <w:r w:rsidR="00845892" w:rsidRPr="000B0F9B">
        <w:rPr>
          <w:rFonts w:eastAsia="Times New Roman" w:cs="Times New Roman"/>
          <w:b/>
          <w:bCs/>
          <w:color w:val="000000"/>
          <w:sz w:val="20"/>
          <w:szCs w:val="20"/>
          <w:lang w:val="fr-CA"/>
        </w:rPr>
        <w:t>0</w:t>
      </w:r>
      <w:r w:rsidRPr="000B0F9B">
        <w:rPr>
          <w:rFonts w:eastAsia="Times New Roman" w:cs="Times New Roman"/>
          <w:b/>
          <w:bCs/>
          <w:color w:val="000000"/>
          <w:sz w:val="20"/>
          <w:szCs w:val="20"/>
          <w:lang w:val="fr-CA"/>
        </w:rPr>
        <w:t xml:space="preserve"> / 20</w:t>
      </w:r>
      <w:r w:rsidR="00172473" w:rsidRPr="000B0F9B">
        <w:rPr>
          <w:rFonts w:eastAsia="Times New Roman" w:cs="Times New Roman"/>
          <w:b/>
          <w:bCs/>
          <w:color w:val="000000"/>
          <w:sz w:val="20"/>
          <w:szCs w:val="20"/>
          <w:lang w:val="fr-CA"/>
        </w:rPr>
        <w:t>2</w:t>
      </w:r>
      <w:r w:rsidR="00E8642A" w:rsidRPr="000B0F9B">
        <w:rPr>
          <w:rFonts w:eastAsia="Times New Roman" w:cs="Times New Roman"/>
          <w:b/>
          <w:bCs/>
          <w:color w:val="000000"/>
          <w:sz w:val="20"/>
          <w:szCs w:val="20"/>
          <w:lang w:val="fr-CA"/>
        </w:rPr>
        <w:t>2</w:t>
      </w:r>
      <w:r w:rsidRPr="000B0F9B">
        <w:rPr>
          <w:rFonts w:eastAsia="Times New Roman" w:cs="Times New Roman"/>
          <w:b/>
          <w:bCs/>
          <w:color w:val="000000"/>
          <w:sz w:val="20"/>
          <w:szCs w:val="20"/>
          <w:lang w:val="fr-CA"/>
        </w:rPr>
        <w:t xml:space="preserve"> CSC </w:t>
      </w:r>
      <w:r w:rsidR="00172473" w:rsidRPr="000B0F9B">
        <w:rPr>
          <w:rFonts w:eastAsia="Times New Roman" w:cs="Times New Roman"/>
          <w:b/>
          <w:bCs/>
          <w:color w:val="000000"/>
          <w:sz w:val="20"/>
          <w:szCs w:val="20"/>
          <w:lang w:val="fr-CA"/>
        </w:rPr>
        <w:t>1</w:t>
      </w:r>
      <w:r w:rsidR="00845892" w:rsidRPr="000B0F9B">
        <w:rPr>
          <w:rFonts w:eastAsia="Times New Roman" w:cs="Times New Roman"/>
          <w:b/>
          <w:bCs/>
          <w:color w:val="000000"/>
          <w:sz w:val="20"/>
          <w:szCs w:val="20"/>
          <w:lang w:val="fr-CA"/>
        </w:rPr>
        <w:t>0</w:t>
      </w:r>
    </w:p>
    <w:p w:rsidR="00102792" w:rsidRPr="000B0F9B" w:rsidRDefault="00102792" w:rsidP="00102792">
      <w:pPr>
        <w:jc w:val="both"/>
        <w:rPr>
          <w:rFonts w:eastAsia="Times New Roman" w:cs="Times New Roman"/>
          <w:color w:val="000000"/>
          <w:sz w:val="20"/>
          <w:szCs w:val="20"/>
          <w:lang w:val="fr-CA"/>
        </w:rPr>
      </w:pPr>
    </w:p>
    <w:p w:rsidR="00102792" w:rsidRPr="000B0F9B" w:rsidRDefault="00172473" w:rsidP="00102792">
      <w:pPr>
        <w:ind w:left="1440" w:hanging="1440"/>
        <w:rPr>
          <w:rFonts w:eastAsia="Times New Roman" w:cs="Times New Roman"/>
          <w:color w:val="000000"/>
          <w:sz w:val="20"/>
          <w:szCs w:val="20"/>
          <w:lang w:val="fr-CA"/>
        </w:rPr>
      </w:pPr>
      <w:r w:rsidRPr="000B0F9B">
        <w:rPr>
          <w:rFonts w:eastAsia="Times New Roman" w:cs="Times New Roman"/>
          <w:color w:val="000000"/>
          <w:sz w:val="20"/>
          <w:szCs w:val="20"/>
          <w:lang w:val="fr-CA"/>
        </w:rPr>
        <w:t>Coram:</w:t>
      </w:r>
      <w:r w:rsidRPr="000B0F9B">
        <w:rPr>
          <w:rFonts w:eastAsia="Times New Roman" w:cs="Times New Roman"/>
          <w:color w:val="000000"/>
          <w:sz w:val="20"/>
          <w:szCs w:val="20"/>
          <w:lang w:val="fr-CA"/>
        </w:rPr>
        <w:tab/>
      </w:r>
      <w:r w:rsidR="00406760" w:rsidRPr="000B0F9B">
        <w:rPr>
          <w:rFonts w:eastAsia="Times New Roman" w:cs="Times New Roman"/>
          <w:color w:val="000000"/>
          <w:sz w:val="20"/>
          <w:szCs w:val="20"/>
          <w:lang w:val="fr-CA"/>
        </w:rPr>
        <w:t>Le juge en chef Wagner et les juges Moldaver, Karakatsanis, Côté, Brown, Rowe, Martin, Kasirer et Jamal.</w:t>
      </w:r>
    </w:p>
    <w:p w:rsidR="00102792" w:rsidRPr="000B0F9B" w:rsidRDefault="00102792" w:rsidP="00102792">
      <w:pPr>
        <w:ind w:left="1440" w:hanging="1440"/>
        <w:rPr>
          <w:rFonts w:eastAsia="Times New Roman" w:cs="Times New Roman"/>
          <w:color w:val="000000"/>
          <w:sz w:val="20"/>
          <w:szCs w:val="20"/>
          <w:lang w:val="fr-CA"/>
        </w:rPr>
      </w:pPr>
    </w:p>
    <w:p w:rsidR="007F2949" w:rsidRPr="000B0F9B" w:rsidRDefault="007F2949" w:rsidP="007F2949">
      <w:pPr>
        <w:jc w:val="both"/>
        <w:rPr>
          <w:sz w:val="20"/>
          <w:szCs w:val="20"/>
          <w:lang w:val="fr-CA"/>
        </w:rPr>
      </w:pPr>
      <w:r w:rsidRPr="000B0F9B">
        <w:rPr>
          <w:sz w:val="20"/>
          <w:szCs w:val="20"/>
          <w:lang w:val="fr-CA"/>
        </w:rPr>
        <w:t xml:space="preserve">L’appel interjeté contre l’arrêt de la Cour d’appel du Québec (Québec), numéro 200-10-003300-162, 2020 QCCA 372, daté du 4 mars 2020, entendu le 12 novembre 2021, est </w:t>
      </w:r>
      <w:r w:rsidRPr="000B0F9B">
        <w:rPr>
          <w:rFonts w:cs="Times New Roman"/>
          <w:sz w:val="20"/>
          <w:szCs w:val="20"/>
          <w:lang w:val="fr-CA"/>
        </w:rPr>
        <w:t>accueilli. L’amende infligée à l’intimé est établie à 9 171 397,57 $, ce qui correspond au montant de 10 000 000 $ déduction faite de la somme de 828 602,43 $ faisant l’objet de l’ordonnance de restitution. L’intimé dispose d’un délai de 10 ans pour payer cette amende, à défaut de quoi il s’expose à un emprisonnement d’une durée de 6 ans consécutif à toute autre peine d’emprisonnement.</w:t>
      </w:r>
    </w:p>
    <w:p w:rsidR="00406760" w:rsidRPr="000B0F9B" w:rsidRDefault="00406760" w:rsidP="00102792">
      <w:pPr>
        <w:ind w:left="1440" w:hanging="1440"/>
        <w:rPr>
          <w:rFonts w:eastAsia="Times New Roman" w:cs="Times New Roman"/>
          <w:color w:val="000000"/>
          <w:sz w:val="20"/>
          <w:szCs w:val="20"/>
          <w:lang w:val="fr-CA"/>
        </w:rPr>
      </w:pPr>
    </w:p>
    <w:p w:rsidR="00102792" w:rsidRPr="000B0F9B" w:rsidRDefault="007F2949" w:rsidP="00102792">
      <w:pPr>
        <w:jc w:val="both"/>
        <w:rPr>
          <w:rFonts w:eastAsia="Times New Roman" w:cs="Times New Roman"/>
          <w:color w:val="000000"/>
          <w:sz w:val="20"/>
          <w:szCs w:val="20"/>
          <w:lang w:val="en-US"/>
        </w:rPr>
      </w:pPr>
      <w:r w:rsidRPr="000B0F9B">
        <w:rPr>
          <w:sz w:val="20"/>
          <w:szCs w:val="20"/>
        </w:rPr>
        <w:t xml:space="preserve">The appeal from the judgment of the Court of Appeal of Quebec (Québec), Number 200-10-003300-162, 2020 QCCA 372, dated March 4, 2020, heard on November 12, 2021, is </w:t>
      </w:r>
      <w:r w:rsidRPr="000B0F9B">
        <w:rPr>
          <w:rFonts w:cs="Times New Roman"/>
          <w:sz w:val="20"/>
          <w:szCs w:val="20"/>
        </w:rPr>
        <w:t>allowed. The fine imposed on the respondent is set at $9,171,397.57, that is, $10,000,000 minus the amount of the restitution order, $828,602.43. The respondent has 10 years to pay this fine, in default of which he is subject to imprisonment for 6 years consecutive to any other term of imprisonment.</w:t>
      </w:r>
    </w:p>
    <w:p w:rsidR="00102792" w:rsidRPr="000B0F9B" w:rsidRDefault="00102792" w:rsidP="00102792">
      <w:pPr>
        <w:tabs>
          <w:tab w:val="left" w:pos="1440"/>
        </w:tabs>
        <w:jc w:val="both"/>
        <w:rPr>
          <w:rFonts w:eastAsia="Times New Roman" w:cs="Times New Roman"/>
          <w:color w:val="000000"/>
          <w:sz w:val="20"/>
          <w:szCs w:val="20"/>
          <w:lang w:val="en-US"/>
        </w:rPr>
      </w:pPr>
    </w:p>
    <w:p w:rsidR="00102792" w:rsidRPr="000B0F9B" w:rsidRDefault="000B0F9B" w:rsidP="00102792">
      <w:pPr>
        <w:rPr>
          <w:sz w:val="20"/>
          <w:szCs w:val="20"/>
          <w:lang w:val="fr-CA"/>
        </w:rPr>
      </w:pPr>
      <w:hyperlink r:id="rId63" w:history="1">
        <w:r w:rsidR="00506BE1" w:rsidRPr="000B0F9B">
          <w:rPr>
            <w:rStyle w:val="Hyperlink"/>
            <w:sz w:val="20"/>
            <w:szCs w:val="20"/>
            <w:lang w:val="fr-CA"/>
          </w:rPr>
          <w:t xml:space="preserve">LINK TO </w:t>
        </w:r>
        <w:r w:rsidR="00D82BFF" w:rsidRPr="000B0F9B">
          <w:rPr>
            <w:rStyle w:val="Hyperlink"/>
            <w:sz w:val="20"/>
            <w:szCs w:val="20"/>
            <w:lang w:val="fr-CA"/>
          </w:rPr>
          <w:t>REASONS</w:t>
        </w:r>
      </w:hyperlink>
      <w:r w:rsidR="00102792" w:rsidRPr="000B0F9B">
        <w:rPr>
          <w:sz w:val="20"/>
          <w:szCs w:val="20"/>
          <w:lang w:val="fr-CA"/>
        </w:rPr>
        <w:t xml:space="preserve"> / </w:t>
      </w:r>
      <w:hyperlink r:id="rId64" w:history="1">
        <w:r w:rsidR="00D82BFF" w:rsidRPr="000B0F9B">
          <w:rPr>
            <w:rStyle w:val="Hyperlink"/>
            <w:sz w:val="20"/>
            <w:szCs w:val="20"/>
            <w:lang w:val="fr-CA"/>
          </w:rPr>
          <w:t>LIEN VERS LES MOTIFS</w:t>
        </w:r>
      </w:hyperlink>
    </w:p>
    <w:p w:rsidR="00102792" w:rsidRPr="000B0F9B" w:rsidRDefault="00102792" w:rsidP="00102792">
      <w:pPr>
        <w:rPr>
          <w:sz w:val="20"/>
          <w:szCs w:val="20"/>
          <w:lang w:val="fr-CA"/>
        </w:rPr>
      </w:pPr>
    </w:p>
    <w:p w:rsidR="00D004FC" w:rsidRPr="000B0F9B" w:rsidRDefault="000B0F9B" w:rsidP="00102792">
      <w:pPr>
        <w:jc w:val="both"/>
        <w:rPr>
          <w:rFonts w:cs="Times New Roman"/>
          <w:b/>
          <w:sz w:val="20"/>
          <w:szCs w:val="20"/>
        </w:rPr>
      </w:pPr>
      <w:r w:rsidRPr="000B0F9B">
        <w:rPr>
          <w:b/>
          <w:sz w:val="20"/>
          <w:szCs w:val="20"/>
        </w:rPr>
        <w:pict>
          <v:rect id="_x0000_i1052" style="width:144.3pt;height:1pt" o:hrpct="300" o:hralign="center" o:hrstd="t" o:hrnoshade="t" o:hr="t" fillcolor="black [3213]" stroked="f"/>
        </w:pict>
      </w:r>
    </w:p>
    <w:p w:rsidR="00D004FC" w:rsidRPr="000B0F9B" w:rsidRDefault="00D004FC" w:rsidP="00D004FC">
      <w:pPr>
        <w:jc w:val="both"/>
        <w:rPr>
          <w:rFonts w:cs="Times New Roman"/>
          <w:sz w:val="20"/>
          <w:szCs w:val="20"/>
        </w:rPr>
      </w:pPr>
    </w:p>
    <w:p w:rsidR="00281DA2" w:rsidRPr="000B0F9B" w:rsidRDefault="00281DA2" w:rsidP="00D004FC">
      <w:pPr>
        <w:jc w:val="both"/>
        <w:rPr>
          <w:rFonts w:cs="Times New Roman"/>
          <w:sz w:val="20"/>
          <w:szCs w:val="20"/>
        </w:rPr>
      </w:pPr>
    </w:p>
    <w:p w:rsidR="0056248C" w:rsidRPr="000B0F9B" w:rsidRDefault="0056248C" w:rsidP="00091BA6">
      <w:pPr>
        <w:rPr>
          <w:sz w:val="20"/>
          <w:szCs w:val="20"/>
          <w:lang w:val="fr-CA"/>
        </w:rPr>
      </w:pPr>
    </w:p>
    <w:p w:rsidR="00102926" w:rsidRPr="000B0F9B" w:rsidRDefault="00102926" w:rsidP="00782AE4">
      <w:pPr>
        <w:jc w:val="both"/>
        <w:rPr>
          <w:sz w:val="20"/>
          <w:szCs w:val="20"/>
        </w:rPr>
        <w:sectPr w:rsidR="00102926" w:rsidRPr="000B0F9B"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567602" w:rsidRPr="000B0F9B" w:rsidRDefault="001434B9" w:rsidP="001434B9">
      <w:pPr>
        <w:pStyle w:val="Header1StyleE"/>
        <w:pBdr>
          <w:bottom w:val="single" w:sz="12" w:space="0" w:color="auto"/>
        </w:pBdr>
        <w:rPr>
          <w:lang w:val="fr-CA"/>
        </w:rPr>
      </w:pPr>
      <w:bookmarkStart w:id="7" w:name="_Toc99695288"/>
      <w:r w:rsidRPr="000B0F9B">
        <w:rPr>
          <w:lang w:val="fr-CA"/>
        </w:rPr>
        <w:lastRenderedPageBreak/>
        <w:t xml:space="preserve">Agenda and case summaries for </w:t>
      </w:r>
      <w:r w:rsidR="00406760" w:rsidRPr="000B0F9B">
        <w:rPr>
          <w:lang w:val="fr-CA"/>
        </w:rPr>
        <w:t>April</w:t>
      </w:r>
      <w:r w:rsidR="00567602" w:rsidRPr="000B0F9B">
        <w:rPr>
          <w:lang w:val="fr-CA"/>
        </w:rPr>
        <w:t xml:space="preserve"> </w:t>
      </w:r>
      <w:r w:rsidR="0034657E" w:rsidRPr="000B0F9B">
        <w:rPr>
          <w:lang w:val="fr-CA"/>
        </w:rPr>
        <w:t>20</w:t>
      </w:r>
      <w:r w:rsidR="00172473" w:rsidRPr="000B0F9B">
        <w:rPr>
          <w:lang w:val="fr-CA"/>
        </w:rPr>
        <w:t>2</w:t>
      </w:r>
      <w:r w:rsidR="00E8642A" w:rsidRPr="000B0F9B">
        <w:rPr>
          <w:lang w:val="fr-CA"/>
        </w:rPr>
        <w:t>2</w:t>
      </w:r>
      <w:r w:rsidR="00271E1E" w:rsidRPr="000B0F9B">
        <w:rPr>
          <w:lang w:val="fr-CA"/>
        </w:rPr>
        <w:t xml:space="preserve"> / </w:t>
      </w:r>
      <w:r w:rsidR="00567602" w:rsidRPr="000B0F9B">
        <w:rPr>
          <w:lang w:val="fr-CA"/>
        </w:rPr>
        <w:br/>
      </w:r>
      <w:r w:rsidRPr="000B0F9B">
        <w:rPr>
          <w:lang w:val="fr-CA"/>
        </w:rPr>
        <w:t>Calendrier et sommaires des causes d</w:t>
      </w:r>
      <w:r w:rsidR="00406760" w:rsidRPr="000B0F9B">
        <w:rPr>
          <w:lang w:val="fr-CA"/>
        </w:rPr>
        <w:t>’</w:t>
      </w:r>
      <w:r w:rsidR="00172473" w:rsidRPr="000B0F9B">
        <w:rPr>
          <w:lang w:val="fr-CA"/>
        </w:rPr>
        <w:t>avr</w:t>
      </w:r>
      <w:r w:rsidR="00406760" w:rsidRPr="000B0F9B">
        <w:rPr>
          <w:lang w:val="fr-CA"/>
        </w:rPr>
        <w:t>il</w:t>
      </w:r>
      <w:r w:rsidR="00172473" w:rsidRPr="000B0F9B">
        <w:rPr>
          <w:lang w:val="fr-CA"/>
        </w:rPr>
        <w:t xml:space="preserve"> </w:t>
      </w:r>
      <w:r w:rsidR="0034657E" w:rsidRPr="000B0F9B">
        <w:rPr>
          <w:lang w:val="fr-CA"/>
        </w:rPr>
        <w:t>20</w:t>
      </w:r>
      <w:r w:rsidR="00172473" w:rsidRPr="000B0F9B">
        <w:rPr>
          <w:lang w:val="fr-CA"/>
        </w:rPr>
        <w:t>2</w:t>
      </w:r>
      <w:r w:rsidR="00E8642A" w:rsidRPr="000B0F9B">
        <w:rPr>
          <w:lang w:val="fr-CA"/>
        </w:rPr>
        <w:t>2</w:t>
      </w:r>
      <w:bookmarkEnd w:id="7"/>
    </w:p>
    <w:p w:rsidR="00567602" w:rsidRPr="000B0F9B" w:rsidRDefault="00567602" w:rsidP="004B66B4">
      <w:pPr>
        <w:rPr>
          <w:sz w:val="20"/>
          <w:szCs w:val="20"/>
          <w:lang w:val="fr-CA"/>
        </w:rPr>
      </w:pPr>
    </w:p>
    <w:p w:rsidR="00102926" w:rsidRPr="000B0F9B" w:rsidRDefault="00406760" w:rsidP="00782AE4">
      <w:pPr>
        <w:jc w:val="both"/>
        <w:rPr>
          <w:b/>
          <w:sz w:val="20"/>
          <w:szCs w:val="20"/>
          <w:lang w:val="fr-CA"/>
        </w:rPr>
      </w:pPr>
      <w:r w:rsidRPr="000B0F9B">
        <w:rPr>
          <w:b/>
          <w:sz w:val="20"/>
          <w:szCs w:val="20"/>
          <w:lang w:val="fr-CA"/>
        </w:rPr>
        <w:t>APRIL</w:t>
      </w:r>
      <w:r w:rsidR="00102792" w:rsidRPr="000B0F9B">
        <w:rPr>
          <w:b/>
          <w:sz w:val="20"/>
          <w:szCs w:val="20"/>
          <w:lang w:val="fr-CA"/>
        </w:rPr>
        <w:t xml:space="preserve"> </w:t>
      </w:r>
      <w:r w:rsidRPr="000B0F9B">
        <w:rPr>
          <w:b/>
          <w:sz w:val="20"/>
          <w:szCs w:val="20"/>
          <w:lang w:val="fr-CA"/>
        </w:rPr>
        <w:t>1</w:t>
      </w:r>
      <w:r w:rsidR="00102792" w:rsidRPr="000B0F9B">
        <w:rPr>
          <w:b/>
          <w:sz w:val="20"/>
          <w:szCs w:val="20"/>
          <w:lang w:val="fr-CA"/>
        </w:rPr>
        <w:t xml:space="preserve">, </w:t>
      </w:r>
      <w:r w:rsidR="0034657E" w:rsidRPr="000B0F9B">
        <w:rPr>
          <w:b/>
          <w:sz w:val="20"/>
          <w:szCs w:val="20"/>
          <w:lang w:val="fr-CA"/>
        </w:rPr>
        <w:t>20</w:t>
      </w:r>
      <w:r w:rsidR="00172473" w:rsidRPr="000B0F9B">
        <w:rPr>
          <w:b/>
          <w:sz w:val="20"/>
          <w:szCs w:val="20"/>
          <w:lang w:val="fr-CA"/>
        </w:rPr>
        <w:t>2</w:t>
      </w:r>
      <w:r w:rsidR="00E8642A" w:rsidRPr="000B0F9B">
        <w:rPr>
          <w:b/>
          <w:sz w:val="20"/>
          <w:szCs w:val="20"/>
          <w:lang w:val="fr-CA"/>
        </w:rPr>
        <w:t>2</w:t>
      </w:r>
      <w:r w:rsidR="00102792" w:rsidRPr="000B0F9B">
        <w:rPr>
          <w:b/>
          <w:sz w:val="20"/>
          <w:szCs w:val="20"/>
          <w:lang w:val="fr-CA"/>
        </w:rPr>
        <w:t xml:space="preserve"> / L</w:t>
      </w:r>
      <w:r w:rsidRPr="000B0F9B">
        <w:rPr>
          <w:b/>
          <w:sz w:val="20"/>
          <w:szCs w:val="20"/>
          <w:lang w:val="fr-CA"/>
        </w:rPr>
        <w:t>e</w:t>
      </w:r>
      <w:r w:rsidR="00102792" w:rsidRPr="000B0F9B">
        <w:rPr>
          <w:b/>
          <w:sz w:val="20"/>
          <w:szCs w:val="20"/>
          <w:lang w:val="fr-CA"/>
        </w:rPr>
        <w:t xml:space="preserve"> </w:t>
      </w:r>
      <w:r w:rsidRPr="000B0F9B">
        <w:rPr>
          <w:b/>
          <w:sz w:val="20"/>
          <w:szCs w:val="20"/>
          <w:lang w:val="fr-CA"/>
        </w:rPr>
        <w:t>1er</w:t>
      </w:r>
      <w:r w:rsidR="00102792" w:rsidRPr="000B0F9B">
        <w:rPr>
          <w:b/>
          <w:sz w:val="20"/>
          <w:szCs w:val="20"/>
          <w:lang w:val="fr-CA"/>
        </w:rPr>
        <w:t xml:space="preserve"> </w:t>
      </w:r>
      <w:r w:rsidR="00873743" w:rsidRPr="000B0F9B">
        <w:rPr>
          <w:b/>
          <w:sz w:val="20"/>
          <w:szCs w:val="20"/>
          <w:lang w:val="fr-CA"/>
        </w:rPr>
        <w:t>A</w:t>
      </w:r>
      <w:r w:rsidRPr="000B0F9B">
        <w:rPr>
          <w:b/>
          <w:sz w:val="20"/>
          <w:szCs w:val="20"/>
          <w:lang w:val="fr-CA"/>
        </w:rPr>
        <w:t>V</w:t>
      </w:r>
      <w:r w:rsidR="00873743" w:rsidRPr="000B0F9B">
        <w:rPr>
          <w:b/>
          <w:sz w:val="20"/>
          <w:szCs w:val="20"/>
          <w:lang w:val="fr-CA"/>
        </w:rPr>
        <w:t>R</w:t>
      </w:r>
      <w:r w:rsidRPr="000B0F9B">
        <w:rPr>
          <w:b/>
          <w:sz w:val="20"/>
          <w:szCs w:val="20"/>
          <w:lang w:val="fr-CA"/>
        </w:rPr>
        <w:t>IL</w:t>
      </w:r>
      <w:r w:rsidR="00102792" w:rsidRPr="000B0F9B">
        <w:rPr>
          <w:b/>
          <w:sz w:val="20"/>
          <w:szCs w:val="20"/>
          <w:lang w:val="fr-CA"/>
        </w:rPr>
        <w:t xml:space="preserve"> </w:t>
      </w:r>
      <w:r w:rsidR="0034657E" w:rsidRPr="000B0F9B">
        <w:rPr>
          <w:b/>
          <w:sz w:val="20"/>
          <w:szCs w:val="20"/>
          <w:lang w:val="fr-CA"/>
        </w:rPr>
        <w:t>20</w:t>
      </w:r>
      <w:r w:rsidR="00172473" w:rsidRPr="000B0F9B">
        <w:rPr>
          <w:b/>
          <w:sz w:val="20"/>
          <w:szCs w:val="20"/>
          <w:lang w:val="fr-CA"/>
        </w:rPr>
        <w:t>2</w:t>
      </w:r>
      <w:r w:rsidR="00E8642A" w:rsidRPr="000B0F9B">
        <w:rPr>
          <w:b/>
          <w:sz w:val="20"/>
          <w:szCs w:val="20"/>
          <w:lang w:val="fr-CA"/>
        </w:rPr>
        <w:t>2</w:t>
      </w:r>
    </w:p>
    <w:p w:rsidR="00102792" w:rsidRPr="000B0F9B"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0B0F9B" w:rsidTr="00406760">
        <w:tc>
          <w:tcPr>
            <w:tcW w:w="2397" w:type="dxa"/>
            <w:tcMar>
              <w:top w:w="58" w:type="dxa"/>
              <w:left w:w="58" w:type="dxa"/>
              <w:bottom w:w="58" w:type="dxa"/>
              <w:right w:w="58" w:type="dxa"/>
            </w:tcMar>
            <w:hideMark/>
          </w:tcPr>
          <w:p w:rsidR="00102792" w:rsidRPr="000B0F9B" w:rsidRDefault="00102792">
            <w:pPr>
              <w:rPr>
                <w:b/>
                <w:color w:val="000000"/>
                <w:lang w:val="en-US"/>
              </w:rPr>
            </w:pPr>
            <w:r w:rsidRPr="000B0F9B">
              <w:rPr>
                <w:b/>
                <w:color w:val="000000"/>
                <w:sz w:val="20"/>
                <w:szCs w:val="20"/>
              </w:rPr>
              <w:t>DATE OF HEARING /</w:t>
            </w:r>
          </w:p>
          <w:p w:rsidR="00102792" w:rsidRPr="000B0F9B" w:rsidRDefault="00102792">
            <w:pPr>
              <w:rPr>
                <w:color w:val="000000"/>
              </w:rPr>
            </w:pPr>
            <w:r w:rsidRPr="000B0F9B">
              <w:rPr>
                <w:b/>
                <w:color w:val="000000"/>
                <w:sz w:val="20"/>
                <w:szCs w:val="20"/>
              </w:rPr>
              <w:t>DATE D’AUDITION</w:t>
            </w:r>
          </w:p>
        </w:tc>
        <w:tc>
          <w:tcPr>
            <w:tcW w:w="7173" w:type="dxa"/>
            <w:tcMar>
              <w:top w:w="58" w:type="dxa"/>
              <w:left w:w="58" w:type="dxa"/>
              <w:bottom w:w="58" w:type="dxa"/>
              <w:right w:w="58" w:type="dxa"/>
            </w:tcMar>
            <w:hideMark/>
          </w:tcPr>
          <w:p w:rsidR="00102792" w:rsidRPr="000B0F9B" w:rsidRDefault="00102792">
            <w:pPr>
              <w:rPr>
                <w:b/>
                <w:color w:val="000000"/>
                <w:lang w:val="fr-CA"/>
              </w:rPr>
            </w:pPr>
            <w:r w:rsidRPr="000B0F9B">
              <w:rPr>
                <w:b/>
                <w:color w:val="000000"/>
                <w:sz w:val="20"/>
                <w:szCs w:val="20"/>
                <w:lang w:val="fr-CA"/>
              </w:rPr>
              <w:t>NAME AND CASE NUMBER /</w:t>
            </w:r>
          </w:p>
          <w:p w:rsidR="00102792" w:rsidRPr="000B0F9B" w:rsidRDefault="00102792">
            <w:pPr>
              <w:rPr>
                <w:color w:val="000000"/>
                <w:lang w:val="fr-CA"/>
              </w:rPr>
            </w:pPr>
            <w:r w:rsidRPr="000B0F9B">
              <w:rPr>
                <w:b/>
                <w:color w:val="000000"/>
                <w:sz w:val="20"/>
                <w:szCs w:val="20"/>
                <w:lang w:val="fr-CA"/>
              </w:rPr>
              <w:t>NOM DE LA CAUSE ET NUMÉRO</w:t>
            </w:r>
          </w:p>
        </w:tc>
      </w:tr>
      <w:tr w:rsidR="00102792" w:rsidRPr="000B0F9B" w:rsidTr="00406760">
        <w:tc>
          <w:tcPr>
            <w:tcW w:w="2397" w:type="dxa"/>
            <w:tcMar>
              <w:top w:w="58" w:type="dxa"/>
              <w:left w:w="58" w:type="dxa"/>
              <w:bottom w:w="58" w:type="dxa"/>
              <w:right w:w="58" w:type="dxa"/>
            </w:tcMar>
            <w:hideMark/>
          </w:tcPr>
          <w:p w:rsidR="00102792" w:rsidRPr="000B0F9B" w:rsidRDefault="00102792" w:rsidP="00406760">
            <w:pPr>
              <w:rPr>
                <w:color w:val="000000"/>
              </w:rPr>
            </w:pPr>
            <w:r w:rsidRPr="000B0F9B">
              <w:rPr>
                <w:color w:val="000000"/>
                <w:sz w:val="20"/>
                <w:szCs w:val="20"/>
              </w:rPr>
              <w:t>20</w:t>
            </w:r>
            <w:r w:rsidR="00172473" w:rsidRPr="000B0F9B">
              <w:rPr>
                <w:color w:val="000000"/>
                <w:sz w:val="20"/>
                <w:szCs w:val="20"/>
              </w:rPr>
              <w:t>2</w:t>
            </w:r>
            <w:r w:rsidR="00E8642A" w:rsidRPr="000B0F9B">
              <w:rPr>
                <w:color w:val="000000"/>
                <w:sz w:val="20"/>
                <w:szCs w:val="20"/>
              </w:rPr>
              <w:t>2</w:t>
            </w:r>
            <w:r w:rsidRPr="000B0F9B">
              <w:rPr>
                <w:color w:val="000000"/>
                <w:sz w:val="20"/>
                <w:szCs w:val="20"/>
              </w:rPr>
              <w:t>-</w:t>
            </w:r>
            <w:r w:rsidR="00172473" w:rsidRPr="000B0F9B">
              <w:rPr>
                <w:color w:val="000000"/>
                <w:sz w:val="20"/>
                <w:szCs w:val="20"/>
              </w:rPr>
              <w:t>0</w:t>
            </w:r>
            <w:r w:rsidR="00406760" w:rsidRPr="000B0F9B">
              <w:rPr>
                <w:color w:val="000000"/>
                <w:sz w:val="20"/>
                <w:szCs w:val="20"/>
              </w:rPr>
              <w:t>4</w:t>
            </w:r>
            <w:r w:rsidRPr="000B0F9B">
              <w:rPr>
                <w:color w:val="000000"/>
                <w:sz w:val="20"/>
                <w:szCs w:val="20"/>
              </w:rPr>
              <w:t>-</w:t>
            </w:r>
            <w:r w:rsidR="00873743" w:rsidRPr="000B0F9B">
              <w:rPr>
                <w:color w:val="000000"/>
                <w:sz w:val="20"/>
                <w:szCs w:val="20"/>
              </w:rPr>
              <w:t>1</w:t>
            </w:r>
            <w:r w:rsidR="00406760" w:rsidRPr="000B0F9B">
              <w:rPr>
                <w:color w:val="000000"/>
                <w:sz w:val="20"/>
                <w:szCs w:val="20"/>
              </w:rPr>
              <w:t>2</w:t>
            </w:r>
          </w:p>
        </w:tc>
        <w:tc>
          <w:tcPr>
            <w:tcW w:w="7173" w:type="dxa"/>
            <w:tcMar>
              <w:top w:w="58" w:type="dxa"/>
              <w:left w:w="58" w:type="dxa"/>
              <w:bottom w:w="58" w:type="dxa"/>
              <w:right w:w="58" w:type="dxa"/>
            </w:tcMar>
            <w:hideMark/>
          </w:tcPr>
          <w:p w:rsidR="00102792" w:rsidRPr="000B0F9B" w:rsidRDefault="00406760">
            <w:pPr>
              <w:rPr>
                <w:color w:val="000000"/>
              </w:rPr>
            </w:pPr>
            <w:r w:rsidRPr="000B0F9B">
              <w:rPr>
                <w:i/>
                <w:iCs/>
                <w:sz w:val="20"/>
              </w:rPr>
              <w:t>F. v. N. </w:t>
            </w:r>
            <w:r w:rsidRPr="000B0F9B">
              <w:rPr>
                <w:iCs/>
                <w:sz w:val="20"/>
              </w:rPr>
              <w:t>(Ont.) (Civil) (By Leave) (</w:t>
            </w:r>
            <w:hyperlink r:id="rId71" w:history="1">
              <w:r w:rsidRPr="000B0F9B">
                <w:rPr>
                  <w:rStyle w:val="Hyperlink"/>
                  <w:iCs/>
                  <w:sz w:val="20"/>
                </w:rPr>
                <w:t>39875</w:t>
              </w:r>
            </w:hyperlink>
            <w:r w:rsidRPr="000B0F9B">
              <w:rPr>
                <w:iCs/>
                <w:sz w:val="20"/>
              </w:rPr>
              <w:t>)</w:t>
            </w:r>
          </w:p>
        </w:tc>
      </w:tr>
      <w:tr w:rsidR="00102792" w:rsidRPr="000B0F9B" w:rsidTr="00406760">
        <w:tc>
          <w:tcPr>
            <w:tcW w:w="2397" w:type="dxa"/>
            <w:tcMar>
              <w:top w:w="58" w:type="dxa"/>
              <w:left w:w="58" w:type="dxa"/>
              <w:bottom w:w="58" w:type="dxa"/>
              <w:right w:w="58" w:type="dxa"/>
            </w:tcMar>
            <w:hideMark/>
          </w:tcPr>
          <w:p w:rsidR="00102792" w:rsidRPr="000B0F9B" w:rsidRDefault="00102792" w:rsidP="00406760">
            <w:pPr>
              <w:rPr>
                <w:color w:val="000000"/>
              </w:rPr>
            </w:pPr>
            <w:r w:rsidRPr="000B0F9B">
              <w:rPr>
                <w:color w:val="000000"/>
                <w:sz w:val="20"/>
                <w:szCs w:val="20"/>
              </w:rPr>
              <w:t>20</w:t>
            </w:r>
            <w:r w:rsidR="00172473" w:rsidRPr="000B0F9B">
              <w:rPr>
                <w:color w:val="000000"/>
                <w:sz w:val="20"/>
                <w:szCs w:val="20"/>
              </w:rPr>
              <w:t>2</w:t>
            </w:r>
            <w:r w:rsidR="00E8642A" w:rsidRPr="000B0F9B">
              <w:rPr>
                <w:color w:val="000000"/>
                <w:sz w:val="20"/>
                <w:szCs w:val="20"/>
              </w:rPr>
              <w:t>2</w:t>
            </w:r>
            <w:r w:rsidRPr="000B0F9B">
              <w:rPr>
                <w:color w:val="000000"/>
                <w:sz w:val="20"/>
                <w:szCs w:val="20"/>
              </w:rPr>
              <w:t>-</w:t>
            </w:r>
            <w:r w:rsidR="00172473" w:rsidRPr="000B0F9B">
              <w:rPr>
                <w:color w:val="000000"/>
                <w:sz w:val="20"/>
                <w:szCs w:val="20"/>
              </w:rPr>
              <w:t>0</w:t>
            </w:r>
            <w:r w:rsidR="00406760" w:rsidRPr="000B0F9B">
              <w:rPr>
                <w:color w:val="000000"/>
                <w:sz w:val="20"/>
                <w:szCs w:val="20"/>
              </w:rPr>
              <w:t>4</w:t>
            </w:r>
            <w:r w:rsidRPr="000B0F9B">
              <w:rPr>
                <w:color w:val="000000"/>
                <w:sz w:val="20"/>
                <w:szCs w:val="20"/>
              </w:rPr>
              <w:t>-</w:t>
            </w:r>
            <w:r w:rsidR="00873743" w:rsidRPr="000B0F9B">
              <w:rPr>
                <w:color w:val="000000"/>
                <w:sz w:val="20"/>
                <w:szCs w:val="20"/>
              </w:rPr>
              <w:t>1</w:t>
            </w:r>
            <w:r w:rsidR="00406760" w:rsidRPr="000B0F9B">
              <w:rPr>
                <w:color w:val="000000"/>
                <w:sz w:val="20"/>
                <w:szCs w:val="20"/>
              </w:rPr>
              <w:t>9</w:t>
            </w:r>
          </w:p>
        </w:tc>
        <w:tc>
          <w:tcPr>
            <w:tcW w:w="7173" w:type="dxa"/>
            <w:tcMar>
              <w:top w:w="58" w:type="dxa"/>
              <w:left w:w="58" w:type="dxa"/>
              <w:bottom w:w="58" w:type="dxa"/>
              <w:right w:w="58" w:type="dxa"/>
            </w:tcMar>
            <w:hideMark/>
          </w:tcPr>
          <w:p w:rsidR="00102792" w:rsidRPr="000B0F9B" w:rsidRDefault="00406760">
            <w:pPr>
              <w:rPr>
                <w:color w:val="000000"/>
                <w:lang w:val="fr-CA"/>
              </w:rPr>
            </w:pPr>
            <w:r w:rsidRPr="000B0F9B">
              <w:rPr>
                <w:i/>
                <w:iCs/>
                <w:sz w:val="20"/>
              </w:rPr>
              <w:t>Andre Aaron Gerrard v. Her Majesty the Queen </w:t>
            </w:r>
            <w:r w:rsidRPr="000B0F9B">
              <w:rPr>
                <w:iCs/>
                <w:sz w:val="20"/>
              </w:rPr>
              <w:t>(N.S.) (Criminal) (As of Right) (</w:t>
            </w:r>
            <w:hyperlink r:id="rId72" w:history="1">
              <w:r w:rsidRPr="000B0F9B">
                <w:rPr>
                  <w:rStyle w:val="Hyperlink"/>
                  <w:iCs/>
                  <w:sz w:val="20"/>
                </w:rPr>
                <w:t>39874</w:t>
              </w:r>
            </w:hyperlink>
            <w:r w:rsidRPr="000B0F9B">
              <w:rPr>
                <w:iCs/>
                <w:sz w:val="20"/>
              </w:rPr>
              <w:t>)</w:t>
            </w:r>
          </w:p>
        </w:tc>
      </w:tr>
      <w:tr w:rsidR="00102792" w:rsidRPr="000B0F9B" w:rsidTr="00406760">
        <w:tc>
          <w:tcPr>
            <w:tcW w:w="2397" w:type="dxa"/>
            <w:tcMar>
              <w:top w:w="58" w:type="dxa"/>
              <w:left w:w="58" w:type="dxa"/>
              <w:bottom w:w="58" w:type="dxa"/>
              <w:right w:w="58" w:type="dxa"/>
            </w:tcMar>
            <w:hideMark/>
          </w:tcPr>
          <w:p w:rsidR="00102792" w:rsidRPr="000B0F9B" w:rsidRDefault="00102792" w:rsidP="00406760">
            <w:pPr>
              <w:rPr>
                <w:color w:val="000000"/>
              </w:rPr>
            </w:pPr>
            <w:r w:rsidRPr="000B0F9B">
              <w:rPr>
                <w:color w:val="000000"/>
                <w:sz w:val="20"/>
                <w:szCs w:val="20"/>
              </w:rPr>
              <w:t>20</w:t>
            </w:r>
            <w:r w:rsidR="00172473" w:rsidRPr="000B0F9B">
              <w:rPr>
                <w:color w:val="000000"/>
                <w:sz w:val="20"/>
                <w:szCs w:val="20"/>
              </w:rPr>
              <w:t>2</w:t>
            </w:r>
            <w:r w:rsidR="00E8642A" w:rsidRPr="000B0F9B">
              <w:rPr>
                <w:color w:val="000000"/>
                <w:sz w:val="20"/>
                <w:szCs w:val="20"/>
              </w:rPr>
              <w:t>2</w:t>
            </w:r>
            <w:r w:rsidRPr="000B0F9B">
              <w:rPr>
                <w:color w:val="000000"/>
                <w:sz w:val="20"/>
                <w:szCs w:val="20"/>
              </w:rPr>
              <w:t>-</w:t>
            </w:r>
            <w:r w:rsidR="00172473" w:rsidRPr="000B0F9B">
              <w:rPr>
                <w:color w:val="000000"/>
                <w:sz w:val="20"/>
                <w:szCs w:val="20"/>
              </w:rPr>
              <w:t>0</w:t>
            </w:r>
            <w:r w:rsidR="00406760" w:rsidRPr="000B0F9B">
              <w:rPr>
                <w:color w:val="000000"/>
                <w:sz w:val="20"/>
                <w:szCs w:val="20"/>
              </w:rPr>
              <w:t>4</w:t>
            </w:r>
            <w:r w:rsidRPr="000B0F9B">
              <w:rPr>
                <w:color w:val="000000"/>
                <w:sz w:val="20"/>
                <w:szCs w:val="20"/>
              </w:rPr>
              <w:t>-</w:t>
            </w:r>
            <w:r w:rsidR="00406760" w:rsidRPr="000B0F9B">
              <w:rPr>
                <w:color w:val="000000"/>
                <w:sz w:val="20"/>
                <w:szCs w:val="20"/>
              </w:rPr>
              <w:t>20</w:t>
            </w:r>
          </w:p>
        </w:tc>
        <w:tc>
          <w:tcPr>
            <w:tcW w:w="7173" w:type="dxa"/>
            <w:tcMar>
              <w:top w:w="58" w:type="dxa"/>
              <w:left w:w="58" w:type="dxa"/>
              <w:bottom w:w="58" w:type="dxa"/>
              <w:right w:w="58" w:type="dxa"/>
            </w:tcMar>
            <w:hideMark/>
          </w:tcPr>
          <w:p w:rsidR="00102792" w:rsidRPr="000B0F9B" w:rsidRDefault="00406760">
            <w:pPr>
              <w:rPr>
                <w:color w:val="000000"/>
              </w:rPr>
            </w:pPr>
            <w:r w:rsidRPr="000B0F9B">
              <w:rPr>
                <w:i/>
                <w:iCs/>
                <w:sz w:val="20"/>
              </w:rPr>
              <w:t>Nova Chemicals Corporation v. Dow Chemical Company, et al. </w:t>
            </w:r>
            <w:r w:rsidRPr="000B0F9B">
              <w:rPr>
                <w:iCs/>
                <w:sz w:val="20"/>
              </w:rPr>
              <w:t>(F.C.) (Civil) (By Leave) (</w:t>
            </w:r>
            <w:hyperlink r:id="rId73" w:history="1">
              <w:r w:rsidRPr="000B0F9B">
                <w:rPr>
                  <w:rStyle w:val="Hyperlink"/>
                  <w:iCs/>
                  <w:sz w:val="20"/>
                </w:rPr>
                <w:t>39439</w:t>
              </w:r>
            </w:hyperlink>
            <w:r w:rsidRPr="000B0F9B">
              <w:rPr>
                <w:iCs/>
                <w:sz w:val="20"/>
              </w:rPr>
              <w:t>)</w:t>
            </w:r>
          </w:p>
        </w:tc>
      </w:tr>
      <w:tr w:rsidR="00102792" w:rsidRPr="000B0F9B" w:rsidTr="00406760">
        <w:trPr>
          <w:trHeight w:val="302"/>
        </w:trPr>
        <w:tc>
          <w:tcPr>
            <w:tcW w:w="2397" w:type="dxa"/>
            <w:tcMar>
              <w:top w:w="58" w:type="dxa"/>
              <w:left w:w="58" w:type="dxa"/>
              <w:bottom w:w="58" w:type="dxa"/>
              <w:right w:w="58" w:type="dxa"/>
            </w:tcMar>
            <w:hideMark/>
          </w:tcPr>
          <w:p w:rsidR="00102792" w:rsidRPr="000B0F9B" w:rsidRDefault="00102792" w:rsidP="00406760">
            <w:pPr>
              <w:rPr>
                <w:color w:val="000000"/>
              </w:rPr>
            </w:pPr>
            <w:r w:rsidRPr="000B0F9B">
              <w:rPr>
                <w:color w:val="000000"/>
                <w:sz w:val="20"/>
                <w:szCs w:val="20"/>
              </w:rPr>
              <w:t>20</w:t>
            </w:r>
            <w:r w:rsidR="00172473" w:rsidRPr="000B0F9B">
              <w:rPr>
                <w:color w:val="000000"/>
                <w:sz w:val="20"/>
                <w:szCs w:val="20"/>
              </w:rPr>
              <w:t>2</w:t>
            </w:r>
            <w:r w:rsidR="00E8642A" w:rsidRPr="000B0F9B">
              <w:rPr>
                <w:color w:val="000000"/>
                <w:sz w:val="20"/>
                <w:szCs w:val="20"/>
              </w:rPr>
              <w:t>2</w:t>
            </w:r>
            <w:r w:rsidRPr="000B0F9B">
              <w:rPr>
                <w:color w:val="000000"/>
                <w:sz w:val="20"/>
                <w:szCs w:val="20"/>
              </w:rPr>
              <w:t>-</w:t>
            </w:r>
            <w:r w:rsidR="00172473" w:rsidRPr="000B0F9B">
              <w:rPr>
                <w:color w:val="000000"/>
                <w:sz w:val="20"/>
                <w:szCs w:val="20"/>
              </w:rPr>
              <w:t>0</w:t>
            </w:r>
            <w:r w:rsidR="00406760" w:rsidRPr="000B0F9B">
              <w:rPr>
                <w:color w:val="000000"/>
                <w:sz w:val="20"/>
                <w:szCs w:val="20"/>
              </w:rPr>
              <w:t>4</w:t>
            </w:r>
            <w:r w:rsidRPr="000B0F9B">
              <w:rPr>
                <w:color w:val="000000"/>
                <w:sz w:val="20"/>
                <w:szCs w:val="20"/>
              </w:rPr>
              <w:t>-</w:t>
            </w:r>
            <w:r w:rsidR="00406760" w:rsidRPr="000B0F9B">
              <w:rPr>
                <w:color w:val="000000"/>
                <w:sz w:val="20"/>
                <w:szCs w:val="20"/>
              </w:rPr>
              <w:t>2</w:t>
            </w:r>
            <w:r w:rsidR="00873743" w:rsidRPr="000B0F9B">
              <w:rPr>
                <w:color w:val="000000"/>
                <w:sz w:val="20"/>
                <w:szCs w:val="20"/>
              </w:rPr>
              <w:t>1</w:t>
            </w:r>
          </w:p>
        </w:tc>
        <w:tc>
          <w:tcPr>
            <w:tcW w:w="7173" w:type="dxa"/>
            <w:tcMar>
              <w:top w:w="58" w:type="dxa"/>
              <w:left w:w="58" w:type="dxa"/>
              <w:bottom w:w="58" w:type="dxa"/>
              <w:right w:w="58" w:type="dxa"/>
            </w:tcMar>
            <w:hideMark/>
          </w:tcPr>
          <w:p w:rsidR="00102792" w:rsidRPr="000B0F9B" w:rsidRDefault="00406760">
            <w:pPr>
              <w:rPr>
                <w:color w:val="000000"/>
              </w:rPr>
            </w:pPr>
            <w:r w:rsidRPr="000B0F9B">
              <w:rPr>
                <w:i/>
                <w:iCs/>
                <w:sz w:val="20"/>
              </w:rPr>
              <w:t>Her Majesty the Queen v. Anthony Raul Alas </w:t>
            </w:r>
            <w:r w:rsidRPr="000B0F9B">
              <w:rPr>
                <w:iCs/>
                <w:sz w:val="20"/>
              </w:rPr>
              <w:t>(Ont.) (Criminal) (As of Right) (</w:t>
            </w:r>
            <w:hyperlink r:id="rId74" w:history="1">
              <w:r w:rsidRPr="000B0F9B">
                <w:rPr>
                  <w:rStyle w:val="Hyperlink"/>
                  <w:iCs/>
                  <w:sz w:val="20"/>
                </w:rPr>
                <w:t>39654</w:t>
              </w:r>
            </w:hyperlink>
            <w:r w:rsidRPr="000B0F9B">
              <w:rPr>
                <w:iCs/>
                <w:sz w:val="20"/>
              </w:rPr>
              <w:t>)</w:t>
            </w:r>
          </w:p>
        </w:tc>
      </w:tr>
    </w:tbl>
    <w:p w:rsidR="00102792" w:rsidRPr="000B0F9B" w:rsidRDefault="00102792" w:rsidP="00102792">
      <w:pPr>
        <w:rPr>
          <w:color w:val="000000"/>
          <w:sz w:val="20"/>
          <w:szCs w:val="20"/>
        </w:rPr>
      </w:pPr>
    </w:p>
    <w:p w:rsidR="00102792" w:rsidRPr="000B0F9B" w:rsidRDefault="00102792" w:rsidP="00102792">
      <w:pPr>
        <w:jc w:val="both"/>
        <w:rPr>
          <w:color w:val="000000"/>
          <w:sz w:val="20"/>
          <w:szCs w:val="20"/>
        </w:rPr>
      </w:pPr>
      <w:r w:rsidRPr="000B0F9B">
        <w:rPr>
          <w:b/>
          <w:bCs/>
          <w:color w:val="000000"/>
          <w:sz w:val="20"/>
          <w:szCs w:val="20"/>
        </w:rPr>
        <w:t>NOTE:</w:t>
      </w:r>
      <w:r w:rsidRPr="000B0F9B">
        <w:rPr>
          <w:color w:val="000000"/>
          <w:sz w:val="20"/>
          <w:szCs w:val="20"/>
        </w:rPr>
        <w:t> This agenda is subject to change. Hearings normally commence at 9:30 a.m.</w:t>
      </w:r>
      <w:r w:rsidR="00172473" w:rsidRPr="000B0F9B">
        <w:rPr>
          <w:color w:val="000000"/>
          <w:sz w:val="20"/>
          <w:szCs w:val="20"/>
        </w:rPr>
        <w:t>, ET</w:t>
      </w:r>
      <w:r w:rsidRPr="000B0F9B">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0B0F9B" w:rsidRDefault="00102792" w:rsidP="00102792">
      <w:pPr>
        <w:jc w:val="both"/>
        <w:rPr>
          <w:color w:val="000000"/>
          <w:sz w:val="20"/>
          <w:szCs w:val="20"/>
        </w:rPr>
      </w:pPr>
    </w:p>
    <w:p w:rsidR="00102792" w:rsidRPr="000B0F9B" w:rsidRDefault="00102792" w:rsidP="00102792">
      <w:pPr>
        <w:jc w:val="both"/>
        <w:rPr>
          <w:color w:val="000000"/>
          <w:sz w:val="20"/>
          <w:szCs w:val="20"/>
          <w:lang w:val="fr-CA"/>
        </w:rPr>
      </w:pPr>
      <w:r w:rsidRPr="000B0F9B">
        <w:rPr>
          <w:color w:val="000000"/>
          <w:sz w:val="20"/>
          <w:szCs w:val="20"/>
          <w:lang w:val="fr-CA"/>
        </w:rPr>
        <w:t>Ce calendrier est sujet à modification. Les audiences débutent normalement à 9h30</w:t>
      </w:r>
      <w:r w:rsidR="00172473" w:rsidRPr="000B0F9B">
        <w:rPr>
          <w:color w:val="000000"/>
          <w:sz w:val="20"/>
          <w:szCs w:val="20"/>
          <w:lang w:val="fr-CA"/>
        </w:rPr>
        <w:t>, HE</w:t>
      </w:r>
      <w:r w:rsidRPr="000B0F9B">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406760" w:rsidRPr="000B0F9B" w:rsidRDefault="00406760" w:rsidP="00406760">
      <w:pPr>
        <w:widowControl w:val="0"/>
        <w:jc w:val="both"/>
        <w:rPr>
          <w:sz w:val="20"/>
          <w:lang w:val="fr-CA"/>
        </w:rPr>
      </w:pPr>
    </w:p>
    <w:p w:rsidR="00406760" w:rsidRPr="000B0F9B" w:rsidRDefault="000B0F9B" w:rsidP="00406760">
      <w:pPr>
        <w:widowControl w:val="0"/>
        <w:jc w:val="both"/>
        <w:rPr>
          <w:sz w:val="20"/>
          <w:lang w:val="fr-CA"/>
        </w:rPr>
      </w:pPr>
      <w:r w:rsidRPr="000B0F9B">
        <w:rPr>
          <w:sz w:val="20"/>
        </w:rPr>
        <w:pict>
          <v:rect id="_x0000_i1055" style="width:2in;height:1pt" o:hrpct="0" o:hralign="center" o:hrstd="t" o:hrnoshade="t" o:hr="t" fillcolor="black [3213]" stroked="f"/>
        </w:pict>
      </w:r>
    </w:p>
    <w:p w:rsidR="00406760" w:rsidRPr="000B0F9B" w:rsidRDefault="00406760" w:rsidP="00406760">
      <w:pPr>
        <w:widowControl w:val="0"/>
        <w:jc w:val="both"/>
        <w:rPr>
          <w:sz w:val="20"/>
        </w:rPr>
      </w:pPr>
    </w:p>
    <w:p w:rsidR="000719FA" w:rsidRPr="000B0F9B" w:rsidRDefault="000719FA" w:rsidP="000719FA">
      <w:pPr>
        <w:widowControl w:val="0"/>
        <w:ind w:left="709" w:hanging="709"/>
        <w:jc w:val="both"/>
        <w:rPr>
          <w:b/>
          <w:i/>
          <w:sz w:val="20"/>
          <w:szCs w:val="20"/>
        </w:rPr>
      </w:pPr>
      <w:r w:rsidRPr="000B0F9B">
        <w:rPr>
          <w:b/>
          <w:sz w:val="20"/>
          <w:szCs w:val="20"/>
        </w:rPr>
        <w:fldChar w:fldCharType="begin"/>
      </w:r>
      <w:r w:rsidRPr="000B0F9B">
        <w:rPr>
          <w:b/>
          <w:sz w:val="20"/>
          <w:szCs w:val="20"/>
        </w:rPr>
        <w:instrText xml:space="preserve"> SEQ CHAPTER \h \r 1</w:instrText>
      </w:r>
      <w:r w:rsidRPr="000B0F9B">
        <w:rPr>
          <w:b/>
          <w:sz w:val="20"/>
          <w:szCs w:val="20"/>
        </w:rPr>
        <w:fldChar w:fldCharType="end"/>
      </w:r>
      <w:r w:rsidRPr="000B0F9B">
        <w:rPr>
          <w:b/>
          <w:sz w:val="20"/>
          <w:szCs w:val="20"/>
        </w:rPr>
        <w:t>39875</w:t>
      </w:r>
      <w:r w:rsidRPr="000B0F9B">
        <w:rPr>
          <w:b/>
          <w:sz w:val="20"/>
          <w:szCs w:val="20"/>
        </w:rPr>
        <w:tab/>
      </w:r>
      <w:r w:rsidRPr="000B0F9B">
        <w:rPr>
          <w:b/>
          <w:i/>
          <w:sz w:val="20"/>
        </w:rPr>
        <w:t>F. v. N.</w:t>
      </w:r>
    </w:p>
    <w:p w:rsidR="000719FA" w:rsidRPr="000B0F9B" w:rsidRDefault="000719FA" w:rsidP="000719FA">
      <w:pPr>
        <w:widowControl w:val="0"/>
        <w:ind w:left="709" w:hanging="709"/>
        <w:jc w:val="both"/>
        <w:rPr>
          <w:sz w:val="20"/>
          <w:szCs w:val="20"/>
        </w:rPr>
      </w:pPr>
      <w:r w:rsidRPr="000B0F9B">
        <w:rPr>
          <w:sz w:val="20"/>
          <w:szCs w:val="20"/>
        </w:rPr>
        <w:tab/>
        <w:t>(Ontario) (Civil) (By leave)</w:t>
      </w:r>
    </w:p>
    <w:p w:rsidR="000719FA" w:rsidRPr="000B0F9B" w:rsidRDefault="000719FA" w:rsidP="000719FA">
      <w:pPr>
        <w:widowControl w:val="0"/>
        <w:jc w:val="both"/>
        <w:rPr>
          <w:sz w:val="20"/>
        </w:rPr>
      </w:pPr>
    </w:p>
    <w:p w:rsidR="000719FA" w:rsidRPr="000B0F9B" w:rsidRDefault="000719FA" w:rsidP="000719FA">
      <w:pPr>
        <w:widowControl w:val="0"/>
        <w:jc w:val="both"/>
        <w:rPr>
          <w:smallCaps/>
          <w:sz w:val="20"/>
        </w:rPr>
      </w:pPr>
      <w:r w:rsidRPr="000B0F9B">
        <w:rPr>
          <w:b/>
          <w:smallCaps/>
          <w:sz w:val="20"/>
          <w:szCs w:val="20"/>
        </w:rPr>
        <w:t>(</w:t>
      </w:r>
      <w:r w:rsidRPr="000B0F9B">
        <w:rPr>
          <w:smallCaps/>
          <w:sz w:val="20"/>
          <w:szCs w:val="20"/>
        </w:rPr>
        <w:t>Publication Ban)</w:t>
      </w:r>
    </w:p>
    <w:p w:rsidR="000719FA" w:rsidRPr="000B0F9B" w:rsidRDefault="000719FA" w:rsidP="000719FA">
      <w:pPr>
        <w:widowControl w:val="0"/>
        <w:jc w:val="both"/>
        <w:rPr>
          <w:sz w:val="20"/>
          <w:szCs w:val="20"/>
        </w:rPr>
      </w:pPr>
    </w:p>
    <w:p w:rsidR="000719FA" w:rsidRPr="000B0F9B" w:rsidRDefault="000719FA" w:rsidP="000719FA">
      <w:pPr>
        <w:widowControl w:val="0"/>
        <w:jc w:val="both"/>
        <w:rPr>
          <w:sz w:val="20"/>
          <w:szCs w:val="20"/>
        </w:rPr>
      </w:pPr>
      <w:r w:rsidRPr="000B0F9B">
        <w:rPr>
          <w:sz w:val="20"/>
          <w:szCs w:val="20"/>
        </w:rPr>
        <w:t>Family law – Custody – Parental authority – Courts – Jurisdiction – Mother leaving non-</w:t>
      </w:r>
      <w:r w:rsidRPr="000B0F9B">
        <w:rPr>
          <w:i/>
          <w:sz w:val="20"/>
          <w:szCs w:val="20"/>
        </w:rPr>
        <w:t>Hague Convention</w:t>
      </w:r>
      <w:r w:rsidRPr="000B0F9B">
        <w:rPr>
          <w:sz w:val="20"/>
          <w:szCs w:val="20"/>
        </w:rPr>
        <w:t xml:space="preserve"> country with children without father’s consent and retaining them in Ontario -  Did the majority of the Court of Appeal err by affirming the trial judge’s decision to decline jurisdiction pursuant to s. 23 of the </w:t>
      </w:r>
      <w:r w:rsidRPr="000B0F9B">
        <w:rPr>
          <w:i/>
          <w:sz w:val="20"/>
          <w:szCs w:val="20"/>
        </w:rPr>
        <w:t>CLRA</w:t>
      </w:r>
      <w:r w:rsidRPr="000B0F9B">
        <w:rPr>
          <w:sz w:val="20"/>
          <w:szCs w:val="20"/>
        </w:rPr>
        <w:t xml:space="preserve">? – What factors and to what extent should the “best interests of the child” principle inform a s. 23 analysis in determining the risk of serious harm? -  Did the majority of the Court of Appeal err by affirming the trial judge’s decision to return the children to the UAE pursuant to s. 40 of the </w:t>
      </w:r>
      <w:r w:rsidRPr="000B0F9B">
        <w:rPr>
          <w:i/>
          <w:sz w:val="20"/>
          <w:szCs w:val="20"/>
        </w:rPr>
        <w:t>CLRA</w:t>
      </w:r>
      <w:r w:rsidRPr="000B0F9B">
        <w:rPr>
          <w:sz w:val="20"/>
          <w:szCs w:val="20"/>
        </w:rPr>
        <w:t xml:space="preserve">? - How and to what extent should the “best interests of the child” principle inform the exercise of judicial discretion and available remedies under s. 40 of the </w:t>
      </w:r>
      <w:r w:rsidRPr="000B0F9B">
        <w:rPr>
          <w:i/>
          <w:sz w:val="20"/>
          <w:szCs w:val="20"/>
        </w:rPr>
        <w:t>CLRA</w:t>
      </w:r>
      <w:r w:rsidRPr="000B0F9B">
        <w:rPr>
          <w:sz w:val="20"/>
          <w:szCs w:val="20"/>
        </w:rPr>
        <w:t>?</w:t>
      </w:r>
    </w:p>
    <w:p w:rsidR="000719FA" w:rsidRPr="000B0F9B" w:rsidRDefault="000719FA" w:rsidP="000719FA">
      <w:pPr>
        <w:widowControl w:val="0"/>
        <w:jc w:val="both"/>
        <w:rPr>
          <w:sz w:val="20"/>
          <w:szCs w:val="20"/>
        </w:rPr>
      </w:pPr>
    </w:p>
    <w:p w:rsidR="000719FA" w:rsidRPr="000B0F9B" w:rsidRDefault="000719FA" w:rsidP="000719FA">
      <w:pPr>
        <w:widowControl w:val="0"/>
        <w:jc w:val="both"/>
        <w:rPr>
          <w:sz w:val="20"/>
          <w:szCs w:val="20"/>
        </w:rPr>
      </w:pPr>
      <w:r w:rsidRPr="000B0F9B">
        <w:rPr>
          <w:sz w:val="20"/>
          <w:szCs w:val="20"/>
        </w:rPr>
        <w:t>The appellant and her former husband, the respondent, were married in Pakistan in 2012.  They have two children under the age of five who are both Canadian citizens, as is the mother.  The father is a Pakistani citizen.   The parties resided in Dubai, United Arab Emirates (“UAE”) during the entire course of their marriage under a series of temporary residence visas directly linked to the father’s employment there. The mother and children were issued visas as dependents of the father, who had discretion over the renewal process.   The mother advised the father shortly after arriving in Canada with the children in June 2020 to visit with her family that she would not be returning to Dubai with the children.</w:t>
      </w:r>
    </w:p>
    <w:p w:rsidR="000719FA" w:rsidRPr="000B0F9B" w:rsidRDefault="000719FA" w:rsidP="000719FA">
      <w:pPr>
        <w:widowControl w:val="0"/>
        <w:jc w:val="both"/>
        <w:rPr>
          <w:sz w:val="20"/>
          <w:szCs w:val="20"/>
        </w:rPr>
      </w:pPr>
    </w:p>
    <w:p w:rsidR="000719FA" w:rsidRPr="000B0F9B" w:rsidRDefault="000719FA" w:rsidP="000719FA">
      <w:pPr>
        <w:widowControl w:val="0"/>
        <w:jc w:val="both"/>
        <w:rPr>
          <w:b/>
          <w:sz w:val="20"/>
          <w:szCs w:val="20"/>
        </w:rPr>
      </w:pPr>
      <w:r w:rsidRPr="000B0F9B">
        <w:rPr>
          <w:sz w:val="20"/>
          <w:szCs w:val="20"/>
        </w:rPr>
        <w:t xml:space="preserve">The father initiated proceedings for divorce in Dubai, and brought an application under s. 40 of the </w:t>
      </w:r>
      <w:r w:rsidRPr="000B0F9B">
        <w:rPr>
          <w:i/>
          <w:sz w:val="20"/>
          <w:szCs w:val="20"/>
        </w:rPr>
        <w:t>CLRA</w:t>
      </w:r>
      <w:r w:rsidRPr="000B0F9B">
        <w:rPr>
          <w:sz w:val="20"/>
          <w:szCs w:val="20"/>
        </w:rPr>
        <w:t xml:space="preserve"> for an order requiring the children to be returned to Dubai to have the matters of custody and access decided there, as the children’s habitual residence. The UAE is not a signatory country to the </w:t>
      </w:r>
      <w:r w:rsidRPr="000B0F9B">
        <w:rPr>
          <w:i/>
          <w:sz w:val="20"/>
          <w:szCs w:val="20"/>
        </w:rPr>
        <w:t>Hague Convention</w:t>
      </w:r>
      <w:r w:rsidRPr="000B0F9B">
        <w:rPr>
          <w:sz w:val="20"/>
          <w:szCs w:val="20"/>
        </w:rPr>
        <w:t xml:space="preserve">.  The father obtained a divorce from the court in Dubai and was also granted custody and guardianship of the children.  The mother did not participate in the proceedings in Dubai.  The mother asked the Ontario court to assume jurisdiction in this case under ss. 22 or 23 of the </w:t>
      </w:r>
      <w:r w:rsidRPr="000B0F9B">
        <w:rPr>
          <w:i/>
          <w:sz w:val="20"/>
          <w:szCs w:val="20"/>
        </w:rPr>
        <w:t xml:space="preserve">CLRA </w:t>
      </w:r>
      <w:r w:rsidRPr="000B0F9B">
        <w:rPr>
          <w:sz w:val="20"/>
          <w:szCs w:val="20"/>
        </w:rPr>
        <w:t>to decide the parenting issues.</w:t>
      </w:r>
    </w:p>
    <w:p w:rsidR="00406760" w:rsidRPr="000B0F9B" w:rsidRDefault="00406760" w:rsidP="00406760">
      <w:pPr>
        <w:widowControl w:val="0"/>
        <w:jc w:val="both"/>
        <w:rPr>
          <w:sz w:val="20"/>
        </w:rPr>
      </w:pPr>
    </w:p>
    <w:p w:rsidR="00406760" w:rsidRPr="000B0F9B" w:rsidRDefault="000B0F9B" w:rsidP="00406760">
      <w:pPr>
        <w:widowControl w:val="0"/>
        <w:jc w:val="both"/>
        <w:rPr>
          <w:sz w:val="20"/>
        </w:rPr>
      </w:pPr>
      <w:r w:rsidRPr="000B0F9B">
        <w:rPr>
          <w:sz w:val="20"/>
        </w:rPr>
        <w:pict>
          <v:rect id="_x0000_i1056" style="width:2in;height:1pt" o:hrpct="0" o:hralign="center" o:hrstd="t" o:hrnoshade="t" o:hr="t" fillcolor="black [3213]" stroked="f"/>
        </w:pict>
      </w:r>
    </w:p>
    <w:p w:rsidR="00845892" w:rsidRPr="000B0F9B" w:rsidRDefault="00845892" w:rsidP="00845892">
      <w:pPr>
        <w:widowControl w:val="0"/>
        <w:tabs>
          <w:tab w:val="left" w:pos="720"/>
        </w:tabs>
        <w:ind w:left="1440" w:hanging="1440"/>
        <w:jc w:val="both"/>
        <w:rPr>
          <w:b/>
          <w:i/>
          <w:sz w:val="20"/>
          <w:szCs w:val="20"/>
          <w:lang w:val="fr-CA"/>
        </w:rPr>
      </w:pPr>
      <w:r w:rsidRPr="000B0F9B">
        <w:rPr>
          <w:b/>
          <w:sz w:val="20"/>
          <w:szCs w:val="20"/>
        </w:rPr>
        <w:lastRenderedPageBreak/>
        <w:fldChar w:fldCharType="begin"/>
      </w:r>
      <w:r w:rsidRPr="000B0F9B">
        <w:rPr>
          <w:b/>
          <w:sz w:val="20"/>
          <w:szCs w:val="20"/>
          <w:lang w:val="fr-CA"/>
        </w:rPr>
        <w:instrText xml:space="preserve"> SEQ CHAPTER \h \r 1</w:instrText>
      </w:r>
      <w:r w:rsidRPr="000B0F9B">
        <w:rPr>
          <w:b/>
          <w:sz w:val="20"/>
          <w:szCs w:val="20"/>
        </w:rPr>
        <w:fldChar w:fldCharType="end"/>
      </w:r>
      <w:r w:rsidRPr="000B0F9B">
        <w:rPr>
          <w:b/>
          <w:sz w:val="20"/>
          <w:szCs w:val="20"/>
          <w:lang w:val="fr-CA"/>
        </w:rPr>
        <w:t>39875</w:t>
      </w:r>
      <w:r w:rsidRPr="000B0F9B">
        <w:rPr>
          <w:sz w:val="20"/>
          <w:szCs w:val="20"/>
          <w:lang w:val="fr-CA"/>
        </w:rPr>
        <w:tab/>
      </w:r>
      <w:r w:rsidRPr="000B0F9B">
        <w:rPr>
          <w:b/>
          <w:i/>
          <w:sz w:val="20"/>
          <w:szCs w:val="20"/>
          <w:lang w:val="fr-CA"/>
        </w:rPr>
        <w:t>F. c</w:t>
      </w:r>
      <w:r w:rsidRPr="000B0F9B">
        <w:rPr>
          <w:b/>
          <w:i/>
          <w:sz w:val="20"/>
          <w:lang w:val="fr-CA"/>
        </w:rPr>
        <w:t>. N.</w:t>
      </w:r>
    </w:p>
    <w:p w:rsidR="00845892" w:rsidRPr="000B0F9B" w:rsidRDefault="00845892" w:rsidP="00845892">
      <w:pPr>
        <w:widowControl w:val="0"/>
        <w:tabs>
          <w:tab w:val="left" w:pos="720"/>
        </w:tabs>
        <w:ind w:left="1440" w:hanging="1440"/>
        <w:jc w:val="both"/>
        <w:rPr>
          <w:sz w:val="20"/>
          <w:szCs w:val="20"/>
          <w:lang w:val="fr-CA"/>
        </w:rPr>
      </w:pPr>
      <w:r w:rsidRPr="000B0F9B">
        <w:rPr>
          <w:sz w:val="20"/>
          <w:lang w:val="fr-CA"/>
        </w:rPr>
        <w:tab/>
      </w:r>
      <w:r w:rsidRPr="000B0F9B">
        <w:rPr>
          <w:sz w:val="20"/>
          <w:szCs w:val="20"/>
          <w:lang w:val="fr-CA"/>
        </w:rPr>
        <w:t>(Ontario) (Civile) (Autorisation)</w:t>
      </w:r>
    </w:p>
    <w:p w:rsidR="00845892" w:rsidRPr="000B0F9B" w:rsidRDefault="00845892" w:rsidP="00845892">
      <w:pPr>
        <w:widowControl w:val="0"/>
        <w:jc w:val="both"/>
        <w:rPr>
          <w:sz w:val="20"/>
          <w:lang w:val="fr-CA"/>
        </w:rPr>
      </w:pPr>
    </w:p>
    <w:p w:rsidR="00845892" w:rsidRPr="000B0F9B" w:rsidRDefault="00845892" w:rsidP="00845892">
      <w:pPr>
        <w:widowControl w:val="0"/>
        <w:jc w:val="both"/>
        <w:rPr>
          <w:smallCaps/>
          <w:sz w:val="20"/>
          <w:lang w:val="fr-CA"/>
        </w:rPr>
      </w:pPr>
      <w:r w:rsidRPr="000B0F9B">
        <w:rPr>
          <w:smallCaps/>
          <w:sz w:val="20"/>
          <w:szCs w:val="20"/>
          <w:lang w:val="fr-CA"/>
        </w:rPr>
        <w:t>(Interdiction de publication)</w:t>
      </w:r>
    </w:p>
    <w:p w:rsidR="00845892" w:rsidRPr="000B0F9B" w:rsidRDefault="00845892" w:rsidP="00845892">
      <w:pPr>
        <w:widowControl w:val="0"/>
        <w:jc w:val="both"/>
        <w:rPr>
          <w:sz w:val="20"/>
          <w:szCs w:val="20"/>
          <w:lang w:val="fr-CA"/>
        </w:rPr>
      </w:pPr>
    </w:p>
    <w:p w:rsidR="00845892" w:rsidRPr="000B0F9B" w:rsidRDefault="00845892" w:rsidP="00845892">
      <w:pPr>
        <w:widowControl w:val="0"/>
        <w:jc w:val="both"/>
        <w:rPr>
          <w:sz w:val="20"/>
          <w:szCs w:val="20"/>
          <w:lang w:val="fr-CA"/>
        </w:rPr>
      </w:pPr>
      <w:r w:rsidRPr="000B0F9B">
        <w:rPr>
          <w:sz w:val="20"/>
          <w:szCs w:val="20"/>
          <w:lang w:val="fr-CA"/>
        </w:rPr>
        <w:t>Droit de la famille — Garde — Autorité parentale — Tribunaux — Compétence — Mère quittant un pays non</w:t>
      </w:r>
      <w:r w:rsidRPr="000B0F9B">
        <w:rPr>
          <w:sz w:val="20"/>
          <w:szCs w:val="20"/>
          <w:lang w:val="fr-CA"/>
        </w:rPr>
        <w:noBreakHyphen/>
        <w:t xml:space="preserve">signataire de la </w:t>
      </w:r>
      <w:r w:rsidRPr="000B0F9B">
        <w:rPr>
          <w:i/>
          <w:sz w:val="20"/>
          <w:szCs w:val="20"/>
          <w:lang w:val="fr-CA"/>
        </w:rPr>
        <w:t xml:space="preserve">Convention de La Haye </w:t>
      </w:r>
      <w:r w:rsidRPr="000B0F9B">
        <w:rPr>
          <w:sz w:val="20"/>
          <w:szCs w:val="20"/>
          <w:lang w:val="fr-CA"/>
        </w:rPr>
        <w:t>avec les enfants, sans le consentement du père et les retenant en Ontario — Les juges majoritaires de la Cour d’appel ont</w:t>
      </w:r>
      <w:r w:rsidRPr="000B0F9B">
        <w:rPr>
          <w:sz w:val="20"/>
          <w:szCs w:val="20"/>
          <w:lang w:val="fr-CA"/>
        </w:rPr>
        <w:noBreakHyphen/>
        <w:t xml:space="preserve">ils erronément confirmé la décision du juge de première instance de décliner sa compétence, au titre de l’art. 23 de la </w:t>
      </w:r>
      <w:r w:rsidRPr="000B0F9B">
        <w:rPr>
          <w:i/>
          <w:sz w:val="20"/>
          <w:szCs w:val="20"/>
          <w:lang w:val="fr-CA"/>
        </w:rPr>
        <w:t>LRDE</w:t>
      </w:r>
      <w:r w:rsidRPr="000B0F9B">
        <w:rPr>
          <w:sz w:val="20"/>
          <w:szCs w:val="20"/>
          <w:lang w:val="fr-CA"/>
        </w:rPr>
        <w:t>? — Quels facteurs et quelle portée devraient être accordés au principe de « l’intérêt véritable de l’enfant » dans une analyse menée au titre de l’art. 23, lorsqu’il s’agit de déterminer le risque de préjudice grave causé à l’enfant? — Les juges majoritaires de la Cour d’appel ont</w:t>
      </w:r>
      <w:r w:rsidRPr="000B0F9B">
        <w:rPr>
          <w:sz w:val="20"/>
          <w:szCs w:val="20"/>
          <w:lang w:val="fr-CA"/>
        </w:rPr>
        <w:noBreakHyphen/>
        <w:t xml:space="preserve">ils erronément confirmé la décision du juge de première instance de renvoyer les enfants aux Émirats arabes unis, en application de l’art. 40 de la </w:t>
      </w:r>
      <w:r w:rsidRPr="000B0F9B">
        <w:rPr>
          <w:i/>
          <w:sz w:val="20"/>
          <w:szCs w:val="20"/>
          <w:lang w:val="fr-CA"/>
        </w:rPr>
        <w:t>LRDE</w:t>
      </w:r>
      <w:r w:rsidRPr="000B0F9B">
        <w:rPr>
          <w:sz w:val="20"/>
          <w:szCs w:val="20"/>
          <w:lang w:val="fr-CA"/>
        </w:rPr>
        <w:t>? — Comment le principe de « l’intérêt véritable de l’enfant » devrait</w:t>
      </w:r>
      <w:r w:rsidRPr="000B0F9B">
        <w:rPr>
          <w:sz w:val="20"/>
          <w:szCs w:val="20"/>
          <w:lang w:val="fr-CA"/>
        </w:rPr>
        <w:noBreakHyphen/>
        <w:t xml:space="preserve">il éclairer l’exercice du pouvoir discrétionnaire du tribunal, quelle en est la portée, et quelles sont les réparations offertes au titre de l’art. 40 de la </w:t>
      </w:r>
      <w:r w:rsidRPr="000B0F9B">
        <w:rPr>
          <w:i/>
          <w:sz w:val="20"/>
          <w:szCs w:val="20"/>
          <w:lang w:val="fr-CA"/>
        </w:rPr>
        <w:t>LRDE</w:t>
      </w:r>
      <w:r w:rsidRPr="000B0F9B">
        <w:rPr>
          <w:sz w:val="20"/>
          <w:szCs w:val="20"/>
          <w:lang w:val="fr-CA"/>
        </w:rPr>
        <w:t>?</w:t>
      </w:r>
    </w:p>
    <w:p w:rsidR="00845892" w:rsidRPr="000B0F9B" w:rsidRDefault="00845892" w:rsidP="00845892">
      <w:pPr>
        <w:widowControl w:val="0"/>
        <w:jc w:val="both"/>
        <w:rPr>
          <w:sz w:val="20"/>
          <w:szCs w:val="20"/>
          <w:lang w:val="fr-CA"/>
        </w:rPr>
      </w:pPr>
    </w:p>
    <w:p w:rsidR="00845892" w:rsidRPr="000B0F9B" w:rsidRDefault="00845892" w:rsidP="00845892">
      <w:pPr>
        <w:widowControl w:val="0"/>
        <w:jc w:val="both"/>
        <w:rPr>
          <w:sz w:val="20"/>
          <w:szCs w:val="20"/>
          <w:lang w:val="fr-CA"/>
        </w:rPr>
      </w:pPr>
      <w:r w:rsidRPr="000B0F9B">
        <w:rPr>
          <w:sz w:val="20"/>
          <w:szCs w:val="20"/>
          <w:lang w:val="fr-CA"/>
        </w:rPr>
        <w:t>L’appelante et son ex</w:t>
      </w:r>
      <w:r w:rsidRPr="000B0F9B">
        <w:rPr>
          <w:sz w:val="20"/>
          <w:szCs w:val="20"/>
          <w:lang w:val="fr-CA"/>
        </w:rPr>
        <w:noBreakHyphen/>
        <w:t>époux, l’intimé, se sont mariés au Pakistan, en 2012. Ils ont deux enfants âgés de moins de cinq ans qui sont tous les deux des citoyens canadiens, tout comme la mère. Le père est un citoyen pakistanais. Les parties ont résidé à Dubaï, aux Émirats arabes unis (ÉAU) pendant toute la durée de leur mariage, au titre des nombreux visas de résident temporaires directement liés à l’emploi du père dans ce pays</w:t>
      </w:r>
      <w:r w:rsidRPr="000B0F9B">
        <w:rPr>
          <w:sz w:val="20"/>
          <w:szCs w:val="20"/>
          <w:lang w:val="fr-CA"/>
        </w:rPr>
        <w:noBreakHyphen/>
        <w:t>là. La mère et les enfants ont obtenu des visas, en tant que personnes à charge du père, le processus de renouvellement des visas était laissé à la discrétion du père. Peu après son arrivée au Canada avec les enfants en juin 2020 pour rendre visite à sa famille, la mère a avisé le père qu’elle ne retournerait pas à Dubaï avec les enfants.</w:t>
      </w:r>
    </w:p>
    <w:p w:rsidR="00845892" w:rsidRPr="000B0F9B" w:rsidRDefault="00845892" w:rsidP="00845892">
      <w:pPr>
        <w:widowControl w:val="0"/>
        <w:jc w:val="both"/>
        <w:rPr>
          <w:sz w:val="20"/>
          <w:szCs w:val="20"/>
          <w:lang w:val="fr-CA"/>
        </w:rPr>
      </w:pPr>
    </w:p>
    <w:p w:rsidR="00845892" w:rsidRPr="000B0F9B" w:rsidRDefault="00845892" w:rsidP="00845892">
      <w:pPr>
        <w:widowControl w:val="0"/>
        <w:jc w:val="both"/>
        <w:rPr>
          <w:sz w:val="20"/>
          <w:szCs w:val="20"/>
          <w:lang w:val="fr-CA"/>
        </w:rPr>
      </w:pPr>
      <w:r w:rsidRPr="000B0F9B">
        <w:rPr>
          <w:sz w:val="20"/>
          <w:szCs w:val="20"/>
          <w:lang w:val="fr-CA"/>
        </w:rPr>
        <w:t xml:space="preserve">Le père a commencé une procédure de divorce à Dubaï et a présenté une requête au titre de l’art. 40 de la </w:t>
      </w:r>
      <w:r w:rsidRPr="000B0F9B">
        <w:rPr>
          <w:i/>
          <w:sz w:val="20"/>
          <w:szCs w:val="20"/>
          <w:lang w:val="fr-CA"/>
        </w:rPr>
        <w:t>LRDE</w:t>
      </w:r>
      <w:r w:rsidRPr="000B0F9B">
        <w:rPr>
          <w:sz w:val="20"/>
          <w:szCs w:val="20"/>
          <w:lang w:val="fr-CA"/>
        </w:rPr>
        <w:t xml:space="preserve">, en vue d’obtenir une ordonnance enjoignant le renvoi des enfants à Dubaï pour que les questions relatives à la garde et à l’accès y soit tranchées, car les enfants y ont leur résidence habituelle. Les ÉAU ne sont pas un pays signataire de la </w:t>
      </w:r>
      <w:r w:rsidRPr="000B0F9B">
        <w:rPr>
          <w:i/>
          <w:sz w:val="20"/>
          <w:szCs w:val="20"/>
          <w:lang w:val="fr-CA"/>
        </w:rPr>
        <w:t>Convention de La Haye</w:t>
      </w:r>
      <w:r w:rsidRPr="000B0F9B">
        <w:rPr>
          <w:sz w:val="20"/>
          <w:szCs w:val="20"/>
          <w:lang w:val="fr-CA"/>
        </w:rPr>
        <w:t xml:space="preserve">. Le père a obtenu le divorce auprès d’un tribunal de Dubaï ainsi que la garde et la tutelle des enfants. La mère n’a pas participé à la procédure à Dubaï. La mère a demandé à un tribunal de l’Ontario d’exercer sa compétence dans la cause, au titre des art. 22 ou 23 de la </w:t>
      </w:r>
      <w:r w:rsidRPr="000B0F9B">
        <w:rPr>
          <w:i/>
          <w:sz w:val="20"/>
          <w:szCs w:val="20"/>
          <w:lang w:val="fr-CA"/>
        </w:rPr>
        <w:t>LRDE</w:t>
      </w:r>
      <w:r w:rsidRPr="000B0F9B">
        <w:rPr>
          <w:sz w:val="20"/>
          <w:szCs w:val="20"/>
          <w:lang w:val="fr-CA"/>
        </w:rPr>
        <w:t>, afin de statuer sur les questions parentales.</w:t>
      </w:r>
    </w:p>
    <w:p w:rsidR="00406760" w:rsidRPr="000B0F9B" w:rsidRDefault="00406760" w:rsidP="00406760">
      <w:pPr>
        <w:widowControl w:val="0"/>
        <w:jc w:val="both"/>
        <w:rPr>
          <w:sz w:val="20"/>
          <w:lang w:val="fr-CA"/>
        </w:rPr>
      </w:pPr>
    </w:p>
    <w:p w:rsidR="00406760" w:rsidRPr="000B0F9B" w:rsidRDefault="000B0F9B" w:rsidP="00406760">
      <w:pPr>
        <w:widowControl w:val="0"/>
        <w:jc w:val="both"/>
        <w:rPr>
          <w:sz w:val="20"/>
        </w:rPr>
      </w:pPr>
      <w:r w:rsidRPr="000B0F9B">
        <w:rPr>
          <w:sz w:val="20"/>
        </w:rPr>
        <w:pict>
          <v:rect id="_x0000_i1057" style="width:2in;height:1pt" o:hrpct="0" o:hralign="center" o:hrstd="t" o:hrnoshade="t" o:hr="t" fillcolor="black [3213]" stroked="f"/>
        </w:pict>
      </w:r>
    </w:p>
    <w:p w:rsidR="00406760" w:rsidRPr="000B0F9B" w:rsidRDefault="00406760" w:rsidP="00406760">
      <w:pPr>
        <w:widowControl w:val="0"/>
        <w:jc w:val="both"/>
        <w:rPr>
          <w:sz w:val="20"/>
        </w:rPr>
      </w:pPr>
    </w:p>
    <w:p w:rsidR="00406760" w:rsidRPr="000B0F9B" w:rsidRDefault="00406760" w:rsidP="00406760">
      <w:pPr>
        <w:widowControl w:val="0"/>
        <w:ind w:left="709" w:hanging="709"/>
        <w:jc w:val="both"/>
        <w:rPr>
          <w:b/>
          <w:i/>
          <w:sz w:val="20"/>
        </w:rPr>
      </w:pPr>
      <w:r w:rsidRPr="000B0F9B">
        <w:rPr>
          <w:b/>
          <w:sz w:val="20"/>
        </w:rPr>
        <w:fldChar w:fldCharType="begin"/>
      </w:r>
      <w:r w:rsidRPr="000B0F9B">
        <w:rPr>
          <w:b/>
          <w:sz w:val="20"/>
        </w:rPr>
        <w:instrText xml:space="preserve"> SEQ CHAPTER \h \r 1</w:instrText>
      </w:r>
      <w:r w:rsidRPr="000B0F9B">
        <w:rPr>
          <w:b/>
          <w:sz w:val="20"/>
        </w:rPr>
        <w:fldChar w:fldCharType="end"/>
      </w:r>
      <w:r w:rsidRPr="000B0F9B">
        <w:rPr>
          <w:b/>
          <w:sz w:val="20"/>
        </w:rPr>
        <w:t>39874</w:t>
      </w:r>
      <w:r w:rsidRPr="000B0F9B">
        <w:rPr>
          <w:b/>
          <w:sz w:val="20"/>
        </w:rPr>
        <w:tab/>
      </w:r>
      <w:bookmarkStart w:id="8" w:name="3"/>
      <w:bookmarkEnd w:id="8"/>
      <w:r w:rsidRPr="000B0F9B">
        <w:rPr>
          <w:b/>
          <w:i/>
          <w:sz w:val="20"/>
        </w:rPr>
        <w:t>Andre Aaron Gerrard v. Her Majesty the Queen</w:t>
      </w:r>
    </w:p>
    <w:p w:rsidR="00406760" w:rsidRPr="000B0F9B" w:rsidRDefault="00406760" w:rsidP="00406760">
      <w:pPr>
        <w:widowControl w:val="0"/>
        <w:ind w:left="709" w:hanging="709"/>
        <w:jc w:val="both"/>
        <w:rPr>
          <w:sz w:val="20"/>
        </w:rPr>
      </w:pPr>
      <w:r w:rsidRPr="000B0F9B">
        <w:rPr>
          <w:sz w:val="20"/>
        </w:rPr>
        <w:tab/>
        <w:t>(N.S.) (Criminal) (As of Right)</w:t>
      </w:r>
    </w:p>
    <w:p w:rsidR="00406760" w:rsidRPr="000B0F9B" w:rsidRDefault="00406760" w:rsidP="00406760">
      <w:pPr>
        <w:widowControl w:val="0"/>
        <w:jc w:val="both"/>
        <w:rPr>
          <w:sz w:val="20"/>
        </w:rPr>
      </w:pPr>
    </w:p>
    <w:p w:rsidR="00406760" w:rsidRPr="000B0F9B" w:rsidRDefault="00406760" w:rsidP="00406760">
      <w:pPr>
        <w:widowControl w:val="0"/>
        <w:tabs>
          <w:tab w:val="right" w:pos="9792"/>
        </w:tabs>
        <w:kinsoku w:val="0"/>
        <w:overflowPunct w:val="0"/>
        <w:jc w:val="both"/>
        <w:textAlignment w:val="baseline"/>
        <w:rPr>
          <w:sz w:val="20"/>
        </w:rPr>
      </w:pPr>
      <w:r w:rsidRPr="000B0F9B">
        <w:rPr>
          <w:sz w:val="20"/>
        </w:rPr>
        <w:t xml:space="preserve">Criminal law — Evidence — Credibility — Whether the trial judge erred in her application of the test in </w:t>
      </w:r>
      <w:r w:rsidRPr="000B0F9B">
        <w:rPr>
          <w:i/>
          <w:sz w:val="20"/>
        </w:rPr>
        <w:t>R. v. W.(D.)</w:t>
      </w:r>
      <w:r w:rsidRPr="000B0F9B">
        <w:rPr>
          <w:sz w:val="20"/>
        </w:rPr>
        <w:t>, [1991] 1 S.C.R. 742 — Whether the trial judge erred in assessing the credibility of the Crown witness, the complainant.</w:t>
      </w:r>
    </w:p>
    <w:p w:rsidR="00406760" w:rsidRPr="000B0F9B" w:rsidRDefault="00406760" w:rsidP="00406760">
      <w:pPr>
        <w:widowControl w:val="0"/>
        <w:jc w:val="both"/>
        <w:rPr>
          <w:sz w:val="20"/>
        </w:rPr>
      </w:pPr>
    </w:p>
    <w:p w:rsidR="00406760" w:rsidRPr="000B0F9B" w:rsidRDefault="00406760" w:rsidP="00406760">
      <w:pPr>
        <w:jc w:val="both"/>
        <w:rPr>
          <w:sz w:val="20"/>
        </w:rPr>
      </w:pPr>
      <w:r w:rsidRPr="000B0F9B">
        <w:rPr>
          <w:sz w:val="20"/>
        </w:rPr>
        <w:t xml:space="preserve">The appellant was convicted after trial before a judge alone of thirteen counts relating to various offences committed against his common-law spouse. Applying the principles set out in </w:t>
      </w:r>
      <w:r w:rsidRPr="000B0F9B">
        <w:rPr>
          <w:i/>
          <w:sz w:val="20"/>
        </w:rPr>
        <w:t>R. v. W.(D.)</w:t>
      </w:r>
      <w:r w:rsidRPr="000B0F9B">
        <w:rPr>
          <w:sz w:val="20"/>
        </w:rPr>
        <w:t>, [1991] 1 S.C.R. 742, the trial judge concluded that the complainant had not been motivated to lie, and that the evidence did not give rise to such an inference. The trial judge accepted the complainant’s evidence and found that it did not raise a reasonable doubt, and she rejected the appellant’s evidence and concluded that it also did not raise a reasonable doubt.</w:t>
      </w:r>
    </w:p>
    <w:p w:rsidR="00406760" w:rsidRPr="000B0F9B" w:rsidRDefault="00406760" w:rsidP="00406760">
      <w:pPr>
        <w:jc w:val="both"/>
        <w:rPr>
          <w:sz w:val="20"/>
        </w:rPr>
      </w:pPr>
    </w:p>
    <w:p w:rsidR="00406760" w:rsidRPr="000B0F9B" w:rsidRDefault="00406760" w:rsidP="00406760">
      <w:pPr>
        <w:jc w:val="both"/>
        <w:rPr>
          <w:sz w:val="20"/>
        </w:rPr>
      </w:pPr>
      <w:r w:rsidRPr="000B0F9B">
        <w:rPr>
          <w:sz w:val="20"/>
        </w:rPr>
        <w:t xml:space="preserve">A majority of the Nova Scotia Court of Appeal dismissed the appellant’s appeal and upheld the convictions. In the majority’s view, the trial judge did not misapply </w:t>
      </w:r>
      <w:r w:rsidRPr="000B0F9B">
        <w:rPr>
          <w:i/>
          <w:sz w:val="20"/>
        </w:rPr>
        <w:t>W.(D.)</w:t>
      </w:r>
      <w:r w:rsidRPr="000B0F9B">
        <w:rPr>
          <w:sz w:val="20"/>
        </w:rPr>
        <w:t xml:space="preserve"> and she did not err in assessing the complainant’s credibility. In dissent, Bryson J.A. would have allowed the appeal and ordered a new trial.</w:t>
      </w:r>
    </w:p>
    <w:p w:rsidR="00406760" w:rsidRPr="000B0F9B" w:rsidRDefault="00406760" w:rsidP="00406760">
      <w:pPr>
        <w:jc w:val="both"/>
        <w:rPr>
          <w:sz w:val="20"/>
        </w:rPr>
      </w:pPr>
    </w:p>
    <w:p w:rsidR="00406760" w:rsidRPr="000B0F9B" w:rsidRDefault="000B0F9B" w:rsidP="00406760">
      <w:pPr>
        <w:jc w:val="both"/>
        <w:rPr>
          <w:sz w:val="20"/>
        </w:rPr>
      </w:pPr>
      <w:r w:rsidRPr="000B0F9B">
        <w:rPr>
          <w:sz w:val="20"/>
        </w:rPr>
        <w:pict>
          <v:rect id="_x0000_i1058" style="width:2in;height:1pt" o:hrpct="0" o:hralign="center" o:hrstd="t" o:hrnoshade="t" o:hr="t" fillcolor="black [3213]" stroked="f"/>
        </w:pict>
      </w:r>
    </w:p>
    <w:p w:rsidR="00406760" w:rsidRPr="000B0F9B" w:rsidRDefault="00406760" w:rsidP="00406760">
      <w:pPr>
        <w:jc w:val="both"/>
        <w:rPr>
          <w:sz w:val="20"/>
        </w:rPr>
      </w:pPr>
    </w:p>
    <w:p w:rsidR="00845892" w:rsidRPr="000B0F9B" w:rsidRDefault="00845892">
      <w:pPr>
        <w:rPr>
          <w:b/>
          <w:sz w:val="20"/>
        </w:rPr>
      </w:pPr>
      <w:r w:rsidRPr="000B0F9B">
        <w:rPr>
          <w:b/>
          <w:sz w:val="20"/>
        </w:rPr>
        <w:br w:type="page"/>
      </w:r>
    </w:p>
    <w:p w:rsidR="00406760" w:rsidRPr="000B0F9B" w:rsidRDefault="00406760" w:rsidP="00406760">
      <w:pPr>
        <w:widowControl w:val="0"/>
        <w:tabs>
          <w:tab w:val="left" w:pos="720"/>
        </w:tabs>
        <w:ind w:left="1440" w:hanging="1440"/>
        <w:jc w:val="both"/>
        <w:rPr>
          <w:b/>
          <w:i/>
          <w:sz w:val="20"/>
          <w:lang w:val="fr-CA"/>
        </w:rPr>
      </w:pPr>
      <w:r w:rsidRPr="000B0F9B">
        <w:rPr>
          <w:b/>
          <w:sz w:val="20"/>
        </w:rPr>
        <w:lastRenderedPageBreak/>
        <w:fldChar w:fldCharType="begin"/>
      </w:r>
      <w:r w:rsidRPr="000B0F9B">
        <w:rPr>
          <w:b/>
          <w:sz w:val="20"/>
          <w:lang w:val="fr-CA"/>
        </w:rPr>
        <w:instrText xml:space="preserve"> SEQ CHAPTER \h \r 1</w:instrText>
      </w:r>
      <w:r w:rsidRPr="000B0F9B">
        <w:rPr>
          <w:b/>
          <w:sz w:val="20"/>
        </w:rPr>
        <w:fldChar w:fldCharType="end"/>
      </w:r>
      <w:r w:rsidRPr="000B0F9B">
        <w:rPr>
          <w:b/>
          <w:sz w:val="20"/>
          <w:lang w:val="fr-CA"/>
        </w:rPr>
        <w:t>39874</w:t>
      </w:r>
      <w:r w:rsidRPr="000B0F9B">
        <w:rPr>
          <w:sz w:val="20"/>
          <w:lang w:val="fr-CA"/>
        </w:rPr>
        <w:tab/>
      </w:r>
      <w:r w:rsidRPr="000B0F9B">
        <w:rPr>
          <w:b/>
          <w:i/>
          <w:sz w:val="20"/>
          <w:lang w:val="fr-CA"/>
        </w:rPr>
        <w:t>Andre Aaron Gerrard c. Sa Majesté la Reine</w:t>
      </w:r>
    </w:p>
    <w:p w:rsidR="00406760" w:rsidRPr="000B0F9B" w:rsidRDefault="00406760" w:rsidP="00406760">
      <w:pPr>
        <w:widowControl w:val="0"/>
        <w:tabs>
          <w:tab w:val="left" w:pos="720"/>
        </w:tabs>
        <w:ind w:left="1440" w:hanging="1440"/>
        <w:jc w:val="both"/>
        <w:rPr>
          <w:sz w:val="20"/>
          <w:lang w:val="fr-CA"/>
        </w:rPr>
      </w:pPr>
      <w:r w:rsidRPr="000B0F9B">
        <w:rPr>
          <w:sz w:val="20"/>
          <w:lang w:val="fr-CA"/>
        </w:rPr>
        <w:tab/>
        <w:t>(N.</w:t>
      </w:r>
      <w:r w:rsidRPr="000B0F9B">
        <w:rPr>
          <w:sz w:val="20"/>
          <w:lang w:val="fr-CA"/>
        </w:rPr>
        <w:noBreakHyphen/>
        <w:t>É.) (Criminelle) (De plein droit)</w:t>
      </w:r>
    </w:p>
    <w:p w:rsidR="00406760" w:rsidRPr="000B0F9B" w:rsidRDefault="00406760" w:rsidP="00406760">
      <w:pPr>
        <w:widowControl w:val="0"/>
        <w:tabs>
          <w:tab w:val="right" w:pos="9792"/>
        </w:tabs>
        <w:kinsoku w:val="0"/>
        <w:overflowPunct w:val="0"/>
        <w:jc w:val="both"/>
        <w:textAlignment w:val="baseline"/>
        <w:rPr>
          <w:sz w:val="20"/>
          <w:lang w:val="fr-CA"/>
        </w:rPr>
      </w:pPr>
    </w:p>
    <w:p w:rsidR="00406760" w:rsidRPr="000B0F9B" w:rsidRDefault="00406760" w:rsidP="00406760">
      <w:pPr>
        <w:widowControl w:val="0"/>
        <w:tabs>
          <w:tab w:val="right" w:pos="9792"/>
        </w:tabs>
        <w:kinsoku w:val="0"/>
        <w:overflowPunct w:val="0"/>
        <w:jc w:val="both"/>
        <w:textAlignment w:val="baseline"/>
        <w:rPr>
          <w:sz w:val="20"/>
          <w:lang w:val="fr-CA"/>
        </w:rPr>
      </w:pPr>
      <w:r w:rsidRPr="000B0F9B">
        <w:rPr>
          <w:sz w:val="20"/>
          <w:lang w:val="fr-CA"/>
        </w:rPr>
        <w:t xml:space="preserve">Droit criminel </w:t>
      </w:r>
      <w:r w:rsidRPr="000B0F9B">
        <w:rPr>
          <w:sz w:val="20"/>
          <w:lang w:val="fr-CA"/>
        </w:rPr>
        <w:noBreakHyphen/>
        <w:t xml:space="preserve"> Preuve </w:t>
      </w:r>
      <w:r w:rsidRPr="000B0F9B">
        <w:rPr>
          <w:sz w:val="20"/>
          <w:lang w:val="fr-CA"/>
        </w:rPr>
        <w:noBreakHyphen/>
        <w:t xml:space="preserve"> Crédibilité </w:t>
      </w:r>
      <w:r w:rsidRPr="000B0F9B">
        <w:rPr>
          <w:sz w:val="20"/>
          <w:lang w:val="fr-CA"/>
        </w:rPr>
        <w:noBreakHyphen/>
        <w:t xml:space="preserve"> La juge du procès a</w:t>
      </w:r>
      <w:r w:rsidRPr="000B0F9B">
        <w:rPr>
          <w:sz w:val="20"/>
          <w:lang w:val="fr-CA"/>
        </w:rPr>
        <w:noBreakHyphen/>
        <w:t>t</w:t>
      </w:r>
      <w:r w:rsidRPr="000B0F9B">
        <w:rPr>
          <w:sz w:val="20"/>
          <w:lang w:val="fr-CA"/>
        </w:rPr>
        <w:noBreakHyphen/>
        <w:t xml:space="preserve">elle fait erreur en appliquant le test énoncé dans l’arrêt </w:t>
      </w:r>
      <w:r w:rsidRPr="000B0F9B">
        <w:rPr>
          <w:i/>
          <w:sz w:val="20"/>
          <w:lang w:val="fr-CA"/>
        </w:rPr>
        <w:t>R. c. W.(D.)</w:t>
      </w:r>
      <w:r w:rsidRPr="000B0F9B">
        <w:rPr>
          <w:sz w:val="20"/>
          <w:lang w:val="fr-CA"/>
        </w:rPr>
        <w:t xml:space="preserve">, [1991] 1 R.C.S. 742? </w:t>
      </w:r>
      <w:r w:rsidRPr="000B0F9B">
        <w:rPr>
          <w:sz w:val="20"/>
          <w:lang w:val="fr-CA"/>
        </w:rPr>
        <w:noBreakHyphen/>
        <w:t xml:space="preserve"> La juge du procès a</w:t>
      </w:r>
      <w:r w:rsidRPr="000B0F9B">
        <w:rPr>
          <w:sz w:val="20"/>
          <w:lang w:val="fr-CA"/>
        </w:rPr>
        <w:noBreakHyphen/>
        <w:t>t</w:t>
      </w:r>
      <w:r w:rsidRPr="000B0F9B">
        <w:rPr>
          <w:sz w:val="20"/>
          <w:lang w:val="fr-CA"/>
        </w:rPr>
        <w:noBreakHyphen/>
        <w:t>elle commis une erreur en évaluant la crédibilité du témoin de la Couronne, la plaignante?</w:t>
      </w:r>
    </w:p>
    <w:p w:rsidR="00406760" w:rsidRPr="000B0F9B" w:rsidRDefault="00406760" w:rsidP="00406760">
      <w:pPr>
        <w:widowControl w:val="0"/>
        <w:jc w:val="both"/>
        <w:rPr>
          <w:sz w:val="20"/>
          <w:lang w:val="fr-CA"/>
        </w:rPr>
      </w:pPr>
    </w:p>
    <w:p w:rsidR="00406760" w:rsidRPr="000B0F9B" w:rsidRDefault="00406760" w:rsidP="00406760">
      <w:pPr>
        <w:jc w:val="both"/>
        <w:rPr>
          <w:sz w:val="20"/>
          <w:lang w:val="fr-CA"/>
        </w:rPr>
      </w:pPr>
      <w:r w:rsidRPr="000B0F9B">
        <w:rPr>
          <w:sz w:val="20"/>
          <w:lang w:val="fr-CA"/>
        </w:rPr>
        <w:t xml:space="preserve">L’appelant a été déclaré coupable au terme d’un procès devant juge seul sur treize chefs d’accusation liés à diverses infractions commises contre sa conjointe de fait. Après avoir appliqué les principes formulés dans </w:t>
      </w:r>
      <w:r w:rsidRPr="000B0F9B">
        <w:rPr>
          <w:i/>
          <w:sz w:val="20"/>
          <w:lang w:val="fr-CA"/>
        </w:rPr>
        <w:t>R. c. W.(D.)</w:t>
      </w:r>
      <w:r w:rsidRPr="000B0F9B">
        <w:rPr>
          <w:sz w:val="20"/>
          <w:lang w:val="fr-CA"/>
        </w:rPr>
        <w:t>, [1991] 1 R.C.S. 742, la juge du procès a conclu que la plaignante n’avait aucune raison de mentir, et que la preuve ne donnait pas lieu à une telle inférence. La juge du procès a accepté le témoignage de la plaignante, et statué qu’il ne soulevait aucun doute raisonnable, et elle a rejeté le témoignage de l’appelant et conclu qu’il ne soulevait aucun doute raisonnable.</w:t>
      </w:r>
    </w:p>
    <w:p w:rsidR="00406760" w:rsidRPr="000B0F9B" w:rsidRDefault="00406760" w:rsidP="00406760">
      <w:pPr>
        <w:jc w:val="both"/>
        <w:rPr>
          <w:sz w:val="20"/>
          <w:lang w:val="fr-CA"/>
        </w:rPr>
      </w:pPr>
    </w:p>
    <w:p w:rsidR="00406760" w:rsidRPr="000B0F9B" w:rsidRDefault="00406760" w:rsidP="00406760">
      <w:pPr>
        <w:jc w:val="both"/>
        <w:rPr>
          <w:sz w:val="20"/>
          <w:lang w:val="fr-CA"/>
        </w:rPr>
      </w:pPr>
      <w:r w:rsidRPr="000B0F9B">
        <w:rPr>
          <w:sz w:val="20"/>
          <w:lang w:val="fr-CA"/>
        </w:rPr>
        <w:t>Les juges majoritaires de la Cour d’appel de la Nouvelle</w:t>
      </w:r>
      <w:r w:rsidRPr="000B0F9B">
        <w:rPr>
          <w:sz w:val="20"/>
          <w:lang w:val="fr-CA"/>
        </w:rPr>
        <w:noBreakHyphen/>
        <w:t>Écosse ont rejeté l’appel de l’appelant et confirmé les déclarations de culpabilité. Selon elles, la juge du procès n’a pas mal appliqué l’arrêt </w:t>
      </w:r>
      <w:r w:rsidRPr="000B0F9B">
        <w:rPr>
          <w:i/>
          <w:sz w:val="20"/>
          <w:lang w:val="fr-CA"/>
        </w:rPr>
        <w:t>W.(D.)</w:t>
      </w:r>
      <w:r w:rsidRPr="000B0F9B">
        <w:rPr>
          <w:sz w:val="20"/>
          <w:lang w:val="fr-CA"/>
        </w:rPr>
        <w:t>, et elle n’a pas commis d’erreur en évaluant la crédibilité de la plaignante. Le juge Bryson, dissident, aurait accueilli l’appel et ordonné la tenue d’un nouveau procès.</w:t>
      </w:r>
    </w:p>
    <w:p w:rsidR="00406760" w:rsidRPr="000B0F9B" w:rsidRDefault="00406760" w:rsidP="00406760">
      <w:pPr>
        <w:jc w:val="both"/>
        <w:rPr>
          <w:sz w:val="20"/>
          <w:lang w:val="fr-CA"/>
        </w:rPr>
      </w:pPr>
    </w:p>
    <w:p w:rsidR="00406760" w:rsidRPr="000B0F9B" w:rsidRDefault="000B0F9B" w:rsidP="00406760">
      <w:pPr>
        <w:widowControl w:val="0"/>
        <w:jc w:val="both"/>
        <w:rPr>
          <w:sz w:val="20"/>
          <w:lang w:val="fr-CA"/>
        </w:rPr>
      </w:pPr>
      <w:r w:rsidRPr="000B0F9B">
        <w:rPr>
          <w:sz w:val="20"/>
        </w:rPr>
        <w:pict>
          <v:rect id="_x0000_i1059" style="width:2in;height:1pt" o:hrpct="0" o:hralign="center" o:hrstd="t" o:hrnoshade="t" o:hr="t" fillcolor="black [3213]" stroked="f"/>
        </w:pict>
      </w:r>
    </w:p>
    <w:p w:rsidR="00406760" w:rsidRPr="000B0F9B" w:rsidRDefault="00406760" w:rsidP="00406760">
      <w:pPr>
        <w:widowControl w:val="0"/>
        <w:jc w:val="both"/>
        <w:rPr>
          <w:sz w:val="20"/>
          <w:lang w:val="fr-CA"/>
        </w:rPr>
      </w:pPr>
    </w:p>
    <w:p w:rsidR="00406760" w:rsidRPr="000B0F9B" w:rsidRDefault="00406760" w:rsidP="00406760">
      <w:pPr>
        <w:pStyle w:val="SCCLsocParty"/>
        <w:ind w:left="720" w:hanging="720"/>
        <w:jc w:val="both"/>
        <w:rPr>
          <w:b/>
          <w:i/>
          <w:sz w:val="20"/>
          <w:szCs w:val="20"/>
          <w:lang w:val="en-US"/>
        </w:rPr>
      </w:pPr>
      <w:r w:rsidRPr="000B0F9B">
        <w:rPr>
          <w:b/>
          <w:sz w:val="20"/>
          <w:szCs w:val="20"/>
        </w:rPr>
        <w:fldChar w:fldCharType="begin"/>
      </w:r>
      <w:r w:rsidRPr="000B0F9B">
        <w:rPr>
          <w:b/>
          <w:sz w:val="20"/>
          <w:szCs w:val="20"/>
          <w:lang w:val="en-US"/>
        </w:rPr>
        <w:instrText xml:space="preserve"> SEQ CHAPTER \h \r 1</w:instrText>
      </w:r>
      <w:r w:rsidRPr="000B0F9B">
        <w:rPr>
          <w:b/>
          <w:sz w:val="20"/>
          <w:szCs w:val="20"/>
        </w:rPr>
        <w:fldChar w:fldCharType="end"/>
      </w:r>
      <w:r w:rsidRPr="000B0F9B">
        <w:rPr>
          <w:b/>
          <w:sz w:val="20"/>
          <w:szCs w:val="20"/>
          <w:lang w:val="en-US"/>
        </w:rPr>
        <w:t>39439</w:t>
      </w:r>
      <w:r w:rsidRPr="000B0F9B">
        <w:rPr>
          <w:b/>
          <w:sz w:val="20"/>
          <w:szCs w:val="20"/>
          <w:lang w:val="en-US"/>
        </w:rPr>
        <w:tab/>
      </w:r>
      <w:r w:rsidRPr="000B0F9B">
        <w:rPr>
          <w:b/>
          <w:i/>
          <w:sz w:val="20"/>
          <w:szCs w:val="20"/>
          <w:lang w:val="en-US"/>
        </w:rPr>
        <w:t xml:space="preserve">Nova Chemicals Corporation v. The Dow Chemical Company, Dow Global </w:t>
      </w:r>
      <w:r w:rsidRPr="000B0F9B">
        <w:rPr>
          <w:b/>
          <w:i/>
          <w:sz w:val="20"/>
          <w:szCs w:val="20"/>
          <w:lang w:val="en-US"/>
        </w:rPr>
        <w:tab/>
        <w:t>Technologies Inc. and Dow Chemical Canada ULC</w:t>
      </w:r>
    </w:p>
    <w:p w:rsidR="00406760" w:rsidRPr="000B0F9B" w:rsidRDefault="00406760" w:rsidP="00406760">
      <w:pPr>
        <w:widowControl w:val="0"/>
        <w:jc w:val="both"/>
        <w:rPr>
          <w:sz w:val="20"/>
        </w:rPr>
      </w:pPr>
      <w:r w:rsidRPr="000B0F9B">
        <w:rPr>
          <w:sz w:val="20"/>
        </w:rPr>
        <w:tab/>
        <w:t>(Federal Court of Appeal) (Civil) (By leave)</w:t>
      </w:r>
    </w:p>
    <w:p w:rsidR="00406760" w:rsidRPr="000B0F9B" w:rsidRDefault="00406760" w:rsidP="00406760">
      <w:pPr>
        <w:widowControl w:val="0"/>
        <w:ind w:left="1440" w:hanging="1440"/>
        <w:jc w:val="both"/>
        <w:rPr>
          <w:sz w:val="20"/>
        </w:rPr>
      </w:pPr>
    </w:p>
    <w:p w:rsidR="00406760" w:rsidRPr="000B0F9B" w:rsidRDefault="00406760" w:rsidP="00406760">
      <w:pPr>
        <w:widowControl w:val="0"/>
        <w:ind w:left="1440" w:hanging="1440"/>
        <w:jc w:val="both"/>
        <w:rPr>
          <w:smallCaps/>
          <w:sz w:val="20"/>
        </w:rPr>
      </w:pPr>
      <w:r w:rsidRPr="000B0F9B">
        <w:rPr>
          <w:smallCaps/>
          <w:sz w:val="20"/>
        </w:rPr>
        <w:t>(S</w:t>
      </w:r>
      <w:r w:rsidR="00845892" w:rsidRPr="000B0F9B">
        <w:rPr>
          <w:smallCaps/>
          <w:sz w:val="20"/>
        </w:rPr>
        <w:t>ealing</w:t>
      </w:r>
      <w:r w:rsidRPr="000B0F9B">
        <w:rPr>
          <w:smallCaps/>
          <w:sz w:val="20"/>
        </w:rPr>
        <w:t xml:space="preserve"> O</w:t>
      </w:r>
      <w:r w:rsidR="00845892" w:rsidRPr="000B0F9B">
        <w:rPr>
          <w:smallCaps/>
          <w:sz w:val="20"/>
        </w:rPr>
        <w:t>rder</w:t>
      </w:r>
      <w:r w:rsidRPr="000B0F9B">
        <w:rPr>
          <w:smallCaps/>
          <w:sz w:val="20"/>
        </w:rPr>
        <w:t>)</w:t>
      </w:r>
    </w:p>
    <w:p w:rsidR="00406760" w:rsidRPr="000B0F9B" w:rsidRDefault="00406760" w:rsidP="00406760">
      <w:pPr>
        <w:widowControl w:val="0"/>
        <w:jc w:val="both"/>
        <w:rPr>
          <w:sz w:val="20"/>
        </w:rPr>
      </w:pPr>
    </w:p>
    <w:p w:rsidR="00406760" w:rsidRPr="000B0F9B" w:rsidRDefault="00406760" w:rsidP="00406760">
      <w:pPr>
        <w:widowControl w:val="0"/>
        <w:jc w:val="both"/>
        <w:rPr>
          <w:sz w:val="20"/>
        </w:rPr>
      </w:pPr>
      <w:r w:rsidRPr="000B0F9B">
        <w:rPr>
          <w:sz w:val="20"/>
        </w:rPr>
        <w:t>Intellectual property - Patents - Medicines - Damages - Respondent seeking remedy of accounting of profits following determination applicant had infringed respondent’s patent - What is the proper conceptual approach to determining how to calculate a disgorgement of profits in the patent context? - Are “springboard profits” on products sold after patent expiry available at law?</w:t>
      </w:r>
    </w:p>
    <w:p w:rsidR="00406760" w:rsidRPr="000B0F9B" w:rsidRDefault="00406760" w:rsidP="00406760">
      <w:pPr>
        <w:widowControl w:val="0"/>
        <w:jc w:val="both"/>
        <w:rPr>
          <w:sz w:val="20"/>
        </w:rPr>
      </w:pPr>
    </w:p>
    <w:p w:rsidR="00406760" w:rsidRPr="000B0F9B" w:rsidRDefault="00406760" w:rsidP="00406760">
      <w:pPr>
        <w:jc w:val="both"/>
        <w:rPr>
          <w:sz w:val="20"/>
        </w:rPr>
      </w:pPr>
      <w:r w:rsidRPr="000B0F9B">
        <w:rPr>
          <w:sz w:val="20"/>
        </w:rPr>
        <w:t xml:space="preserve">In 2014, the Federal Court, in the liability phase of the trial, held that the respondents’ (collectively “Dow”) 705 Patent for fabricated products made from ethylene polymer blends was found to be valid and infringed by a product manufactured by Nova Chemicals Corporation (“Nova”). The 705 Patent issued in 2006 and expired on April 19, 2014. Dow was held to be entitled to damages under the </w:t>
      </w:r>
      <w:r w:rsidRPr="000B0F9B">
        <w:rPr>
          <w:i/>
          <w:sz w:val="20"/>
        </w:rPr>
        <w:t>Patent Act</w:t>
      </w:r>
      <w:r w:rsidRPr="000B0F9B">
        <w:rPr>
          <w:sz w:val="20"/>
        </w:rPr>
        <w:t>, R.S.C. 1985, c. P-4, and had to elect either an accounting of Nova’s profits or damages sustained by reason of Nova’s infringement under s. 55(1) of the Act. The quantum of that award was to be assessed by reference. Dow elected an accounting of profits. The reference judge was required to determine the manner in which damages payable to Dow pursuant to ss. 55(1) and 55(2) of the Act should be calculated. The principles articulated by the reference judge allowed for the calculation of the accounting of profits to be disgorged by Nova and made payable to Dow. That decision was upheld on appeal.</w:t>
      </w:r>
    </w:p>
    <w:p w:rsidR="00406760" w:rsidRPr="000B0F9B" w:rsidRDefault="00406760" w:rsidP="00406760">
      <w:pPr>
        <w:jc w:val="both"/>
        <w:rPr>
          <w:sz w:val="20"/>
        </w:rPr>
      </w:pPr>
    </w:p>
    <w:p w:rsidR="00406760" w:rsidRPr="000B0F9B" w:rsidRDefault="000B0F9B" w:rsidP="00406760">
      <w:pPr>
        <w:jc w:val="both"/>
        <w:rPr>
          <w:sz w:val="20"/>
        </w:rPr>
      </w:pPr>
      <w:r w:rsidRPr="000B0F9B">
        <w:rPr>
          <w:sz w:val="20"/>
        </w:rPr>
        <w:pict>
          <v:rect id="_x0000_i1060" style="width:2in;height:1pt" o:hrpct="0" o:hralign="center" o:hrstd="t" o:hrnoshade="t" o:hr="t" fillcolor="black [3213]" stroked="f"/>
        </w:pict>
      </w:r>
    </w:p>
    <w:p w:rsidR="00406760" w:rsidRPr="000B0F9B" w:rsidRDefault="00406760" w:rsidP="00406760">
      <w:pPr>
        <w:jc w:val="both"/>
        <w:rPr>
          <w:sz w:val="20"/>
        </w:rPr>
      </w:pPr>
    </w:p>
    <w:p w:rsidR="00406760" w:rsidRPr="000B0F9B" w:rsidRDefault="00406760" w:rsidP="00406760">
      <w:pPr>
        <w:pStyle w:val="SCCLsocParty"/>
        <w:ind w:left="720" w:hanging="720"/>
        <w:jc w:val="both"/>
        <w:rPr>
          <w:b/>
          <w:i/>
          <w:sz w:val="20"/>
          <w:szCs w:val="20"/>
          <w:lang w:val="en-US"/>
        </w:rPr>
      </w:pPr>
      <w:r w:rsidRPr="000B0F9B">
        <w:rPr>
          <w:rStyle w:val="SCCFileNumberChar"/>
          <w:sz w:val="20"/>
          <w:szCs w:val="20"/>
          <w:lang w:val="en-US"/>
        </w:rPr>
        <w:t>39439</w:t>
      </w:r>
      <w:r w:rsidRPr="000B0F9B">
        <w:rPr>
          <w:rStyle w:val="SCCFileNumberChar"/>
          <w:sz w:val="20"/>
          <w:szCs w:val="20"/>
          <w:lang w:val="en-US"/>
        </w:rPr>
        <w:tab/>
      </w:r>
      <w:r w:rsidRPr="000B0F9B">
        <w:rPr>
          <w:b/>
          <w:i/>
          <w:sz w:val="20"/>
          <w:szCs w:val="20"/>
          <w:lang w:val="en-US"/>
        </w:rPr>
        <w:t>Nova Chemicals Corporation c. The Dow Chemical Company, Dow Global Technologies Inc. et Dow Chemical Canada ULC</w:t>
      </w:r>
    </w:p>
    <w:p w:rsidR="00406760" w:rsidRPr="000B0F9B" w:rsidRDefault="00406760" w:rsidP="00406760">
      <w:pPr>
        <w:ind w:firstLine="720"/>
        <w:jc w:val="both"/>
        <w:rPr>
          <w:sz w:val="20"/>
          <w:lang w:val="fr-CA"/>
        </w:rPr>
      </w:pPr>
      <w:r w:rsidRPr="000B0F9B">
        <w:rPr>
          <w:sz w:val="20"/>
          <w:lang w:val="fr-CA"/>
        </w:rPr>
        <w:t>(Cour d’appel fédérale) (Civile) (Sur autorisation)</w:t>
      </w:r>
    </w:p>
    <w:p w:rsidR="00406760" w:rsidRPr="000B0F9B" w:rsidRDefault="00406760" w:rsidP="00406760">
      <w:pPr>
        <w:jc w:val="both"/>
        <w:rPr>
          <w:sz w:val="20"/>
          <w:lang w:val="fr-CA"/>
        </w:rPr>
      </w:pPr>
    </w:p>
    <w:p w:rsidR="00406760" w:rsidRPr="000B0F9B" w:rsidRDefault="00406760" w:rsidP="00406760">
      <w:pPr>
        <w:pStyle w:val="SCCBanSummary0"/>
        <w:rPr>
          <w:sz w:val="20"/>
          <w:szCs w:val="20"/>
          <w:lang w:val="fr-CA"/>
        </w:rPr>
      </w:pPr>
      <w:r w:rsidRPr="000B0F9B">
        <w:rPr>
          <w:sz w:val="20"/>
          <w:szCs w:val="20"/>
          <w:lang w:val="fr-CA"/>
        </w:rPr>
        <w:t>(Ordonnance de mise sous scellés)</w:t>
      </w:r>
    </w:p>
    <w:p w:rsidR="00406760" w:rsidRPr="000B0F9B" w:rsidRDefault="00406760" w:rsidP="00406760">
      <w:pPr>
        <w:jc w:val="both"/>
        <w:rPr>
          <w:sz w:val="20"/>
          <w:lang w:val="fr-CA"/>
        </w:rPr>
      </w:pPr>
    </w:p>
    <w:p w:rsidR="00406760" w:rsidRPr="000B0F9B" w:rsidRDefault="00406760" w:rsidP="00406760">
      <w:pPr>
        <w:jc w:val="both"/>
        <w:rPr>
          <w:sz w:val="20"/>
          <w:lang w:val="fr-CA"/>
        </w:rPr>
      </w:pPr>
      <w:r w:rsidRPr="000B0F9B">
        <w:rPr>
          <w:sz w:val="20"/>
          <w:lang w:val="fr-CA"/>
        </w:rPr>
        <w:t>Propriété intellectuelle - Brevets - Médicaments - Dommages</w:t>
      </w:r>
      <w:r w:rsidRPr="000B0F9B">
        <w:rPr>
          <w:sz w:val="20"/>
          <w:lang w:val="fr-CA"/>
        </w:rPr>
        <w:noBreakHyphen/>
        <w:t>intérêts - L’intimée sollicite la remise des profits à la suite d’un jugement portant que la demanderesse avait contrefait le brevet de l’intimée - Quelle est l’approche conceptuelle appropriée pour déterminer comment calculer la restitution des profits dans le contexte des brevets? - Le droit permet</w:t>
      </w:r>
      <w:r w:rsidRPr="000B0F9B">
        <w:rPr>
          <w:sz w:val="20"/>
          <w:lang w:val="fr-CA"/>
        </w:rPr>
        <w:noBreakHyphen/>
        <w:t>il les « bénéfices de rebond » sur les produits vendus après l’expiration d’un brevet?</w:t>
      </w:r>
    </w:p>
    <w:p w:rsidR="00406760" w:rsidRPr="000B0F9B" w:rsidRDefault="00406760" w:rsidP="00406760">
      <w:pPr>
        <w:jc w:val="both"/>
        <w:rPr>
          <w:sz w:val="20"/>
          <w:lang w:val="fr-CA"/>
        </w:rPr>
      </w:pPr>
    </w:p>
    <w:p w:rsidR="00406760" w:rsidRPr="000B0F9B" w:rsidRDefault="00406760" w:rsidP="00406760">
      <w:pPr>
        <w:jc w:val="both"/>
        <w:rPr>
          <w:sz w:val="20"/>
          <w:lang w:val="fr-CA"/>
        </w:rPr>
      </w:pPr>
      <w:r w:rsidRPr="000B0F9B">
        <w:rPr>
          <w:sz w:val="20"/>
          <w:lang w:val="fr-CA"/>
        </w:rPr>
        <w:lastRenderedPageBreak/>
        <w:t xml:space="preserve">En 2014, la Cour fédérale, dans la phase du procès ayant pour objet l’examen de la responsabilité, a statué que le brevet 705 des intimées (collectivement « Dow ») portant sur les articles produits à partir de mélanges de polymères éthyléniques avait été jugé valide et qu’il avait été contrefait par un produit fabriqué par Nova Chemicals Corporation (« Nova »). Le brevet 705 avait été émis en 2006 et est arrivé à échéance le 19 avril 2014. Le tribunal a statué que Dow avait droit à des dommages-intérêts en vertu de la </w:t>
      </w:r>
      <w:r w:rsidRPr="000B0F9B">
        <w:rPr>
          <w:i/>
          <w:sz w:val="20"/>
          <w:lang w:val="fr-CA"/>
        </w:rPr>
        <w:t>Loi sur les brevets</w:t>
      </w:r>
      <w:r w:rsidRPr="000B0F9B">
        <w:rPr>
          <w:sz w:val="20"/>
          <w:lang w:val="fr-CA"/>
        </w:rPr>
        <w:t>, L.R.C. 1985, ch. P</w:t>
      </w:r>
      <w:r w:rsidRPr="000B0F9B">
        <w:rPr>
          <w:sz w:val="20"/>
          <w:lang w:val="fr-CA"/>
        </w:rPr>
        <w:noBreakHyphen/>
        <w:t>4, et devait choisir entre la restitution des profits de Nova ou les dommages</w:t>
      </w:r>
      <w:r w:rsidRPr="000B0F9B">
        <w:rPr>
          <w:sz w:val="20"/>
          <w:lang w:val="fr-CA"/>
        </w:rPr>
        <w:noBreakHyphen/>
        <w:t>intérêts liés à la contrefaçon par Nova du brevet 705 en vertu du par. 55(1) de la Loi. Le montant de cet octroi devait être évalué par un renvoi. Dow a choisi la remise des profits. Le juge chargé du renvoi devait déterminer méthode de calcul des dommages-intérêts payables à Dow en vertu des par. 55(1) et 55(2) de la Loi. Les principes formulés par le juge chargé du renvoi ont permis de calculer la remise des profits à restituer par Nova et payables à Dow. Cette décision a été confirmée en appel.</w:t>
      </w:r>
    </w:p>
    <w:p w:rsidR="00406760" w:rsidRPr="000B0F9B" w:rsidRDefault="00406760" w:rsidP="00406760">
      <w:pPr>
        <w:jc w:val="both"/>
        <w:rPr>
          <w:sz w:val="20"/>
          <w:lang w:val="fr-CA"/>
        </w:rPr>
      </w:pPr>
    </w:p>
    <w:p w:rsidR="00406760" w:rsidRPr="000B0F9B" w:rsidRDefault="000B0F9B" w:rsidP="00406760">
      <w:pPr>
        <w:widowControl w:val="0"/>
        <w:jc w:val="both"/>
        <w:rPr>
          <w:sz w:val="20"/>
          <w:lang w:val="fr-CA"/>
        </w:rPr>
      </w:pPr>
      <w:r w:rsidRPr="000B0F9B">
        <w:rPr>
          <w:sz w:val="20"/>
        </w:rPr>
        <w:pict>
          <v:rect id="_x0000_i1061" style="width:2in;height:1pt" o:hrpct="0" o:hralign="center" o:hrstd="t" o:hrnoshade="t" o:hr="t" fillcolor="black [3213]" stroked="f"/>
        </w:pict>
      </w:r>
    </w:p>
    <w:p w:rsidR="00406760" w:rsidRPr="000B0F9B" w:rsidRDefault="00406760" w:rsidP="00406760">
      <w:pPr>
        <w:widowControl w:val="0"/>
        <w:jc w:val="both"/>
        <w:rPr>
          <w:sz w:val="20"/>
        </w:rPr>
      </w:pPr>
    </w:p>
    <w:p w:rsidR="00406760" w:rsidRPr="000B0F9B" w:rsidRDefault="00406760" w:rsidP="00406760">
      <w:pPr>
        <w:pStyle w:val="SCCLsocParty"/>
        <w:jc w:val="both"/>
        <w:rPr>
          <w:b/>
          <w:i/>
          <w:sz w:val="20"/>
          <w:szCs w:val="20"/>
          <w:lang w:val="en-CA"/>
        </w:rPr>
      </w:pPr>
      <w:r w:rsidRPr="000B0F9B">
        <w:rPr>
          <w:b/>
          <w:sz w:val="20"/>
          <w:szCs w:val="20"/>
          <w:lang w:val="en-CA"/>
        </w:rPr>
        <w:fldChar w:fldCharType="begin"/>
      </w:r>
      <w:r w:rsidRPr="000B0F9B">
        <w:rPr>
          <w:b/>
          <w:sz w:val="20"/>
          <w:szCs w:val="20"/>
          <w:lang w:val="en-US"/>
        </w:rPr>
        <w:instrText xml:space="preserve"> SEQ CHAPTER \h \r 1</w:instrText>
      </w:r>
      <w:r w:rsidRPr="000B0F9B">
        <w:rPr>
          <w:b/>
          <w:sz w:val="20"/>
          <w:szCs w:val="20"/>
        </w:rPr>
        <w:fldChar w:fldCharType="end"/>
      </w:r>
      <w:r w:rsidRPr="000B0F9B">
        <w:rPr>
          <w:b/>
          <w:sz w:val="20"/>
          <w:szCs w:val="20"/>
          <w:lang w:val="en-CA"/>
        </w:rPr>
        <w:t>39654</w:t>
      </w:r>
      <w:r w:rsidRPr="000B0F9B">
        <w:rPr>
          <w:b/>
          <w:sz w:val="20"/>
          <w:szCs w:val="20"/>
          <w:lang w:val="en-CA"/>
        </w:rPr>
        <w:tab/>
      </w:r>
      <w:r w:rsidRPr="000B0F9B">
        <w:rPr>
          <w:b/>
          <w:i/>
          <w:sz w:val="20"/>
          <w:szCs w:val="20"/>
          <w:lang w:val="en-CA"/>
        </w:rPr>
        <w:t>Her Majesty the Queen v. Anthony Raul Alas</w:t>
      </w:r>
    </w:p>
    <w:p w:rsidR="00406760" w:rsidRPr="000B0F9B" w:rsidRDefault="00406760" w:rsidP="00406760">
      <w:pPr>
        <w:widowControl w:val="0"/>
        <w:jc w:val="both"/>
        <w:rPr>
          <w:sz w:val="20"/>
        </w:rPr>
      </w:pPr>
      <w:r w:rsidRPr="000B0F9B">
        <w:rPr>
          <w:sz w:val="20"/>
        </w:rPr>
        <w:tab/>
        <w:t>(Ont.) (Criminal) (As of Right)</w:t>
      </w:r>
    </w:p>
    <w:p w:rsidR="00406760" w:rsidRPr="000B0F9B" w:rsidRDefault="00406760" w:rsidP="00406760">
      <w:pPr>
        <w:widowControl w:val="0"/>
        <w:jc w:val="both"/>
        <w:rPr>
          <w:sz w:val="20"/>
        </w:rPr>
      </w:pPr>
    </w:p>
    <w:p w:rsidR="00406760" w:rsidRPr="000B0F9B" w:rsidRDefault="00406760" w:rsidP="00406760">
      <w:pPr>
        <w:widowControl w:val="0"/>
        <w:jc w:val="both"/>
        <w:rPr>
          <w:sz w:val="20"/>
        </w:rPr>
      </w:pPr>
      <w:r w:rsidRPr="000B0F9B">
        <w:rPr>
          <w:sz w:val="20"/>
        </w:rPr>
        <w:t>Criminal law - Defences - Provocation - Air of reality - Whether the majority of the Court of Appeal erred in finding that the trial judge should have put the defence of provocation to the jury.</w:t>
      </w:r>
    </w:p>
    <w:p w:rsidR="00406760" w:rsidRPr="000B0F9B" w:rsidRDefault="00406760" w:rsidP="00406760">
      <w:pPr>
        <w:widowControl w:val="0"/>
        <w:jc w:val="both"/>
        <w:rPr>
          <w:sz w:val="20"/>
        </w:rPr>
      </w:pPr>
    </w:p>
    <w:p w:rsidR="00406760" w:rsidRPr="000B0F9B" w:rsidRDefault="00406760" w:rsidP="00406760">
      <w:pPr>
        <w:jc w:val="both"/>
        <w:rPr>
          <w:sz w:val="20"/>
        </w:rPr>
      </w:pPr>
      <w:r w:rsidRPr="000B0F9B">
        <w:rPr>
          <w:sz w:val="20"/>
        </w:rPr>
        <w:t>The respondent was convicted by a jury of second-degree murder. At the pre-charge conference, both parties had agreed that there was no air of reality to a defence of provocation, and the trial judge ruled that the defence should not be put to the jury. The respondent appealed his conviction, alleging that the trial judge had erred in failing to open the defence of provocation. A majority of the Court of Appeal for Ontario held that provocation should have been put to the jury, set aside the conviction, and ordered a new trial. In dissent, MacPherson J.A. would have upheld the conviction.</w:t>
      </w:r>
    </w:p>
    <w:p w:rsidR="00406760" w:rsidRPr="000B0F9B" w:rsidRDefault="00406760" w:rsidP="00406760">
      <w:pPr>
        <w:jc w:val="both"/>
        <w:rPr>
          <w:sz w:val="20"/>
        </w:rPr>
      </w:pPr>
    </w:p>
    <w:p w:rsidR="00406760" w:rsidRPr="000B0F9B" w:rsidRDefault="000B0F9B" w:rsidP="00406760">
      <w:pPr>
        <w:jc w:val="both"/>
        <w:rPr>
          <w:sz w:val="20"/>
        </w:rPr>
      </w:pPr>
      <w:r w:rsidRPr="000B0F9B">
        <w:rPr>
          <w:sz w:val="20"/>
        </w:rPr>
        <w:pict>
          <v:rect id="_x0000_i1062" style="width:2in;height:1pt" o:hrpct="0" o:hralign="center" o:hrstd="t" o:hrnoshade="t" o:hr="t" fillcolor="black [3213]" stroked="f"/>
        </w:pict>
      </w:r>
    </w:p>
    <w:p w:rsidR="00406760" w:rsidRPr="000B0F9B" w:rsidRDefault="00406760" w:rsidP="00406760">
      <w:pPr>
        <w:jc w:val="both"/>
        <w:rPr>
          <w:sz w:val="20"/>
        </w:rPr>
      </w:pPr>
    </w:p>
    <w:p w:rsidR="00406760" w:rsidRPr="000B0F9B" w:rsidRDefault="00406760" w:rsidP="00406760">
      <w:pPr>
        <w:pStyle w:val="SCCLsocParty"/>
        <w:jc w:val="both"/>
        <w:rPr>
          <w:b/>
          <w:i/>
          <w:sz w:val="20"/>
          <w:szCs w:val="20"/>
        </w:rPr>
      </w:pPr>
      <w:r w:rsidRPr="000B0F9B">
        <w:rPr>
          <w:b/>
          <w:sz w:val="20"/>
          <w:szCs w:val="20"/>
        </w:rPr>
        <w:fldChar w:fldCharType="begin"/>
      </w:r>
      <w:r w:rsidRPr="000B0F9B">
        <w:rPr>
          <w:b/>
          <w:sz w:val="20"/>
          <w:szCs w:val="20"/>
        </w:rPr>
        <w:instrText xml:space="preserve"> SEQ CHAPTER \h \r 1</w:instrText>
      </w:r>
      <w:r w:rsidRPr="000B0F9B">
        <w:rPr>
          <w:b/>
          <w:sz w:val="20"/>
          <w:szCs w:val="20"/>
        </w:rPr>
        <w:fldChar w:fldCharType="end"/>
      </w:r>
      <w:r w:rsidRPr="000B0F9B">
        <w:rPr>
          <w:b/>
          <w:sz w:val="20"/>
          <w:szCs w:val="20"/>
        </w:rPr>
        <w:t>39654</w:t>
      </w:r>
      <w:r w:rsidRPr="000B0F9B">
        <w:rPr>
          <w:b/>
          <w:sz w:val="20"/>
          <w:szCs w:val="20"/>
        </w:rPr>
        <w:tab/>
      </w:r>
      <w:r w:rsidRPr="000B0F9B">
        <w:rPr>
          <w:b/>
          <w:i/>
          <w:sz w:val="20"/>
          <w:szCs w:val="20"/>
        </w:rPr>
        <w:t>Sa Majesté la Reine c. Anthony Raul Alas</w:t>
      </w:r>
    </w:p>
    <w:p w:rsidR="00406760" w:rsidRPr="000B0F9B" w:rsidRDefault="00406760" w:rsidP="00406760">
      <w:pPr>
        <w:widowControl w:val="0"/>
        <w:jc w:val="both"/>
        <w:rPr>
          <w:sz w:val="20"/>
          <w:lang w:val="fr-CA"/>
        </w:rPr>
      </w:pPr>
      <w:r w:rsidRPr="000B0F9B">
        <w:rPr>
          <w:sz w:val="20"/>
          <w:lang w:val="fr-CA"/>
        </w:rPr>
        <w:tab/>
        <w:t>(Ont.) (Criminelle) (De plein droit)</w:t>
      </w:r>
    </w:p>
    <w:p w:rsidR="00406760" w:rsidRPr="000B0F9B" w:rsidRDefault="00406760" w:rsidP="00406760">
      <w:pPr>
        <w:widowControl w:val="0"/>
        <w:jc w:val="both"/>
        <w:rPr>
          <w:sz w:val="20"/>
          <w:lang w:val="fr-CA"/>
        </w:rPr>
      </w:pPr>
    </w:p>
    <w:p w:rsidR="00406760" w:rsidRPr="000B0F9B" w:rsidRDefault="00406760" w:rsidP="00406760">
      <w:pPr>
        <w:widowControl w:val="0"/>
        <w:jc w:val="both"/>
        <w:rPr>
          <w:sz w:val="20"/>
          <w:lang w:val="fr-CA"/>
        </w:rPr>
      </w:pPr>
      <w:r w:rsidRPr="000B0F9B">
        <w:rPr>
          <w:sz w:val="20"/>
          <w:lang w:val="fr-CA"/>
        </w:rPr>
        <w:t>Droit criminel - Moyens de défense - Provocation - Vraisemblance - La Cour d’appel a-t-elle commis une erreur en concluant à la majorité que le juge de première instance aurait dû soumettre le moyen de défense de provocation au jury?</w:t>
      </w:r>
    </w:p>
    <w:p w:rsidR="00406760" w:rsidRPr="000B0F9B" w:rsidRDefault="00406760" w:rsidP="00406760">
      <w:pPr>
        <w:widowControl w:val="0"/>
        <w:jc w:val="both"/>
        <w:rPr>
          <w:sz w:val="20"/>
          <w:lang w:val="fr-CA"/>
        </w:rPr>
      </w:pPr>
    </w:p>
    <w:p w:rsidR="00406760" w:rsidRPr="000B0F9B" w:rsidRDefault="00406760" w:rsidP="00406760">
      <w:pPr>
        <w:jc w:val="both"/>
        <w:rPr>
          <w:sz w:val="20"/>
          <w:lang w:val="fr-CA"/>
        </w:rPr>
      </w:pPr>
      <w:r w:rsidRPr="000B0F9B">
        <w:rPr>
          <w:sz w:val="20"/>
          <w:lang w:val="fr-CA"/>
        </w:rPr>
        <w:t>Un jury a reconnu l’intimé coupable de meurtre au deuxième degré. Lors de la conférence préalable à l’exposé, les parties ont toutes les deux convenus que la défense de provocation était dépourvue de vraisemblance, et le juge a conclu que la défense ne devrait pas être soumise au jury. L’intimé a porté sa déclaration de culpabilité en appel, faisant valoir que le juge de première instance avait commis une erreur en ne lui permettant pas d’invoquer la défense de provocation. La Cour d’appel de l’Ontario a jugé à la majorité que la défense de provocation aurait dû être soumise au jury, a annulé la déclaration de culpabilité et a ordonné la tenue d’un nouveau procès. Le juge MacPherson, dissident, aurait confirmé la déclaration de culpabilité.</w:t>
      </w:r>
    </w:p>
    <w:p w:rsidR="00406760" w:rsidRPr="000B0F9B" w:rsidRDefault="00406760" w:rsidP="00406760">
      <w:pPr>
        <w:widowControl w:val="0"/>
        <w:jc w:val="both"/>
        <w:rPr>
          <w:sz w:val="20"/>
          <w:lang w:val="fr-CA"/>
        </w:rPr>
      </w:pPr>
    </w:p>
    <w:p w:rsidR="00102792" w:rsidRPr="000B0F9B" w:rsidRDefault="000B0F9B" w:rsidP="00782AE4">
      <w:pPr>
        <w:jc w:val="both"/>
        <w:rPr>
          <w:sz w:val="20"/>
          <w:szCs w:val="20"/>
          <w:lang w:val="fr-CA"/>
        </w:rPr>
      </w:pPr>
      <w:r w:rsidRPr="000B0F9B">
        <w:rPr>
          <w:sz w:val="20"/>
          <w:szCs w:val="20"/>
        </w:rPr>
        <w:pict>
          <v:rect id="_x0000_i1063" style="width:2in;height:1pt" o:hrpct="0" o:hralign="center" o:hrstd="t" o:hrnoshade="t" o:hr="t" fillcolor="black [3213]" stroked="f"/>
        </w:pict>
      </w:r>
    </w:p>
    <w:p w:rsidR="00172473" w:rsidRPr="000B0F9B" w:rsidRDefault="00172473" w:rsidP="00782AE4">
      <w:pPr>
        <w:jc w:val="both"/>
        <w:rPr>
          <w:sz w:val="20"/>
          <w:szCs w:val="20"/>
          <w:lang w:val="fr-CA"/>
        </w:rPr>
      </w:pPr>
    </w:p>
    <w:p w:rsidR="00102792" w:rsidRPr="000B0F9B" w:rsidRDefault="00102792" w:rsidP="00782AE4">
      <w:pPr>
        <w:jc w:val="both"/>
        <w:rPr>
          <w:sz w:val="20"/>
          <w:szCs w:val="20"/>
          <w:lang w:val="fr-CA"/>
        </w:rPr>
      </w:pPr>
    </w:p>
    <w:p w:rsidR="0022323B" w:rsidRPr="000B0F9B" w:rsidRDefault="0022323B" w:rsidP="00782AE4">
      <w:pPr>
        <w:jc w:val="both"/>
        <w:rPr>
          <w:sz w:val="20"/>
          <w:szCs w:val="20"/>
          <w:lang w:val="fr-CA"/>
        </w:rPr>
        <w:sectPr w:rsidR="0022323B" w:rsidRPr="000B0F9B" w:rsidSect="0022323B">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3F414B" w:rsidRPr="000B0F9B" w:rsidRDefault="003F414B" w:rsidP="003F414B">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0B0F9B">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0B0F9B"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r w:rsidRPr="000B0F9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r w:rsidRPr="000B0F9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r w:rsidRPr="000B0F9B">
              <w:rPr>
                <w:rFonts w:ascii="Arial" w:eastAsia="Arial" w:hAnsi="Arial"/>
                <w:b/>
                <w:color w:val="000000"/>
                <w:sz w:val="13"/>
              </w:rPr>
              <w:t>DECEMBER – DÉCEMBRE</w:t>
            </w:r>
          </w:p>
        </w:tc>
      </w:tr>
      <w:tr w:rsidR="003F414B" w:rsidRPr="000B0F9B"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S</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M</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T</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W</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T</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F</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S</w:t>
            </w:r>
          </w:p>
          <w:p w:rsidR="003F414B" w:rsidRPr="000B0F9B" w:rsidRDefault="003F414B" w:rsidP="00E8642A">
            <w:pPr>
              <w:jc w:val="center"/>
              <w:textAlignment w:val="baseline"/>
              <w:rPr>
                <w:rFonts w:ascii="Arial" w:eastAsia="Arial" w:hAnsi="Arial"/>
                <w:b/>
                <w:color w:val="000000"/>
                <w:sz w:val="13"/>
                <w:szCs w:val="13"/>
              </w:rPr>
            </w:pPr>
            <w:r w:rsidRPr="000B0F9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T</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W</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T</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F</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T</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W</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T</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F</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S</w:t>
            </w:r>
          </w:p>
        </w:tc>
      </w:tr>
      <w:tr w:rsidR="003F414B" w:rsidRPr="000B0F9B"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CC</w:t>
            </w:r>
          </w:p>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4</w:t>
            </w:r>
          </w:p>
        </w:tc>
      </w:tr>
      <w:tr w:rsidR="003F414B" w:rsidRPr="000B0F9B"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H</w:t>
            </w:r>
          </w:p>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11</w:t>
            </w:r>
          </w:p>
        </w:tc>
      </w:tr>
      <w:tr w:rsidR="003F414B" w:rsidRPr="000B0F9B"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18</w:t>
            </w:r>
          </w:p>
        </w:tc>
      </w:tr>
      <w:tr w:rsidR="003F414B" w:rsidRPr="000B0F9B"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25</w:t>
            </w:r>
          </w:p>
        </w:tc>
      </w:tr>
      <w:tr w:rsidR="003F414B" w:rsidRPr="000B0F9B"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 xml:space="preserve">  24 /</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rPr>
            </w:pPr>
            <w:r w:rsidRPr="000B0F9B">
              <w:rPr>
                <w:rFonts w:ascii="Arial" w:eastAsia="Arial" w:hAnsi="Arial" w:cs="Arial"/>
                <w:b/>
                <w:color w:val="000000"/>
                <w:sz w:val="13"/>
              </w:rPr>
              <w:t>CC</w:t>
            </w:r>
          </w:p>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rPr>
            </w:pPr>
            <w:r w:rsidRPr="000B0F9B">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b/>
                <w:sz w:val="13"/>
                <w:szCs w:val="13"/>
              </w:rPr>
            </w:pPr>
            <w:r w:rsidRPr="000B0F9B">
              <w:rPr>
                <w:rFonts w:ascii="Arial" w:hAnsi="Arial" w:cs="Arial"/>
                <w:b/>
                <w:sz w:val="13"/>
                <w:szCs w:val="13"/>
              </w:rPr>
              <w:t>H</w:t>
            </w:r>
          </w:p>
          <w:p w:rsidR="003F414B" w:rsidRPr="000B0F9B" w:rsidRDefault="003F414B" w:rsidP="00E8642A">
            <w:pPr>
              <w:jc w:val="center"/>
              <w:rPr>
                <w:rFonts w:ascii="Arial" w:hAnsi="Arial" w:cs="Arial"/>
                <w:sz w:val="13"/>
                <w:szCs w:val="13"/>
              </w:rPr>
            </w:pPr>
            <w:r w:rsidRPr="000B0F9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b/>
                <w:sz w:val="13"/>
                <w:szCs w:val="13"/>
              </w:rPr>
            </w:pPr>
            <w:r w:rsidRPr="000B0F9B">
              <w:rPr>
                <w:rFonts w:ascii="Arial" w:hAnsi="Arial" w:cs="Arial"/>
                <w:b/>
                <w:sz w:val="13"/>
                <w:szCs w:val="13"/>
              </w:rPr>
              <w:t>H</w:t>
            </w:r>
          </w:p>
          <w:p w:rsidR="003F414B" w:rsidRPr="000B0F9B" w:rsidRDefault="003F414B" w:rsidP="00E8642A">
            <w:pPr>
              <w:jc w:val="center"/>
              <w:rPr>
                <w:rFonts w:ascii="Arial" w:hAnsi="Arial" w:cs="Arial"/>
                <w:sz w:val="13"/>
                <w:szCs w:val="13"/>
              </w:rPr>
            </w:pPr>
            <w:r w:rsidRPr="000B0F9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r w:rsidRPr="000B0F9B">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rPr>
                <w:rFonts w:ascii="Arial" w:hAnsi="Arial" w:cs="Arial"/>
                <w:sz w:val="13"/>
                <w:szCs w:val="13"/>
              </w:rPr>
            </w:pPr>
          </w:p>
        </w:tc>
      </w:tr>
    </w:tbl>
    <w:p w:rsidR="003F414B" w:rsidRPr="000B0F9B" w:rsidRDefault="003F414B" w:rsidP="003F414B">
      <w:pPr>
        <w:tabs>
          <w:tab w:val="center" w:pos="5220"/>
          <w:tab w:val="right" w:pos="10440"/>
        </w:tabs>
        <w:spacing w:before="120"/>
        <w:jc w:val="center"/>
        <w:rPr>
          <w:rFonts w:ascii="Arial" w:hAnsi="Arial" w:cs="Arial"/>
          <w:szCs w:val="24"/>
        </w:rPr>
      </w:pPr>
      <w:r w:rsidRPr="000B0F9B">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0B0F9B"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MARCH – MARS</w:t>
            </w:r>
          </w:p>
        </w:tc>
      </w:tr>
      <w:tr w:rsidR="003F414B" w:rsidRPr="000B0F9B"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spacing w:before="241" w:after="34"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0F9B" w:rsidRDefault="003F414B" w:rsidP="00E8642A">
            <w:pPr>
              <w:spacing w:before="91" w:line="148" w:lineRule="exact"/>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spacing w:before="2" w:after="34"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spacing w:before="240"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spacing w:before="91" w:line="148" w:lineRule="exact"/>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spacing w:before="1"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spacing w:before="212"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spacing w:before="212"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r>
      <w:tr w:rsidR="003F414B" w:rsidRPr="000B0F9B"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B0F9B" w:rsidRDefault="003F414B" w:rsidP="00E8642A">
            <w:pPr>
              <w:spacing w:before="77" w:after="35"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 xml:space="preserve">  23 /</w:t>
            </w:r>
          </w:p>
          <w:p w:rsidR="003F414B" w:rsidRPr="000B0F9B" w:rsidRDefault="003F414B" w:rsidP="00E8642A">
            <w:pPr>
              <w:spacing w:before="39"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B0F9B" w:rsidRDefault="003F414B" w:rsidP="00E8642A">
            <w:pPr>
              <w:spacing w:before="77" w:after="35"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 xml:space="preserve">  24 /</w:t>
            </w:r>
          </w:p>
          <w:p w:rsidR="003F414B" w:rsidRPr="000B0F9B" w:rsidRDefault="003F414B" w:rsidP="00E8642A">
            <w:pPr>
              <w:spacing w:before="39" w:after="30" w:line="147" w:lineRule="exact"/>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r>
      <w:tr w:rsidR="003F414B" w:rsidRPr="000B0F9B"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JUNE – JUIN</w:t>
            </w:r>
          </w:p>
        </w:tc>
      </w:tr>
      <w:tr w:rsidR="003F414B" w:rsidRPr="000B0F9B"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0F9B"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4</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0F9B" w:rsidRDefault="003F414B" w:rsidP="00E8642A">
            <w:pPr>
              <w:jc w:val="center"/>
              <w:textAlignment w:val="baseline"/>
              <w:rPr>
                <w:rFonts w:ascii="Arial" w:eastAsia="Arial" w:hAnsi="Arial"/>
                <w:b/>
                <w:color w:val="000000"/>
                <w:sz w:val="13"/>
              </w:rPr>
            </w:pPr>
            <w:r w:rsidRPr="000B0F9B">
              <w:rPr>
                <w:rFonts w:ascii="Arial" w:eastAsia="Arial" w:hAnsi="Arial"/>
                <w:b/>
                <w:color w:val="000000"/>
                <w:sz w:val="13"/>
              </w:rPr>
              <w:t>CC</w:t>
            </w:r>
          </w:p>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11</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CC</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18</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OR</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OR</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25</w:t>
            </w:r>
          </w:p>
        </w:tc>
      </w:tr>
      <w:tr w:rsidR="003F414B" w:rsidRPr="000B0F9B"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OR</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OR</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olor w:val="000000"/>
                <w:sz w:val="13"/>
              </w:rPr>
            </w:pPr>
            <w:r w:rsidRPr="000B0F9B">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eastAsia="Times New Roman"/>
                <w:color w:val="000000"/>
              </w:rPr>
            </w:pPr>
          </w:p>
        </w:tc>
      </w:tr>
      <w:tr w:rsidR="003F414B" w:rsidRPr="000B0F9B"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SEPTEMBER – SEPTEMBRE</w:t>
            </w:r>
          </w:p>
        </w:tc>
      </w:tr>
      <w:tr w:rsidR="003F414B" w:rsidRPr="000B0F9B"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6"/>
                <w:szCs w:val="16"/>
              </w:rPr>
            </w:pPr>
            <w:r w:rsidRPr="000B0F9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0F9B"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W</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T</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F</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p w:rsidR="003F414B" w:rsidRPr="000B0F9B" w:rsidRDefault="003F414B" w:rsidP="00E8642A">
            <w:pPr>
              <w:tabs>
                <w:tab w:val="center" w:pos="5220"/>
                <w:tab w:val="right" w:pos="10440"/>
              </w:tabs>
              <w:jc w:val="center"/>
              <w:rPr>
                <w:rFonts w:ascii="Arial" w:hAnsi="Arial" w:cs="Arial"/>
                <w:b/>
                <w:sz w:val="13"/>
                <w:szCs w:val="13"/>
              </w:rPr>
            </w:pPr>
            <w:r w:rsidRPr="000B0F9B">
              <w:rPr>
                <w:rFonts w:ascii="Arial" w:hAnsi="Arial" w:cs="Arial"/>
                <w:b/>
                <w:sz w:val="13"/>
                <w:szCs w:val="13"/>
              </w:rPr>
              <w:t>S</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r>
      <w:tr w:rsidR="003F414B" w:rsidRPr="000B0F9B"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r>
      <w:tr w:rsidR="003F414B" w:rsidRPr="000B0F9B"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24</w:t>
            </w:r>
          </w:p>
        </w:tc>
      </w:tr>
      <w:tr w:rsidR="003F414B" w:rsidRPr="000B0F9B"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 xml:space="preserve">  24 /</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0F9B"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RH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RH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Arial" w:hAnsi="Arial" w:cs="Arial"/>
                <w:b/>
                <w:color w:val="000000"/>
                <w:sz w:val="13"/>
                <w:szCs w:val="13"/>
              </w:rPr>
            </w:pPr>
            <w:r w:rsidRPr="000B0F9B">
              <w:rPr>
                <w:rFonts w:ascii="Arial" w:eastAsia="Arial" w:hAnsi="Arial" w:cs="Arial"/>
                <w:b/>
                <w:color w:val="000000"/>
                <w:sz w:val="13"/>
                <w:szCs w:val="13"/>
              </w:rPr>
              <w:t>H</w:t>
            </w:r>
          </w:p>
          <w:p w:rsidR="003F414B" w:rsidRPr="000B0F9B" w:rsidRDefault="003F414B" w:rsidP="00E8642A">
            <w:pPr>
              <w:jc w:val="center"/>
              <w:textAlignment w:val="baseline"/>
              <w:rPr>
                <w:rFonts w:ascii="Arial" w:eastAsia="Arial" w:hAnsi="Arial" w:cs="Arial"/>
                <w:color w:val="000000"/>
                <w:sz w:val="13"/>
                <w:szCs w:val="13"/>
              </w:rPr>
            </w:pPr>
            <w:r w:rsidRPr="000B0F9B">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0B0F9B" w:rsidRDefault="003F414B" w:rsidP="00E8642A">
            <w:pPr>
              <w:jc w:val="center"/>
              <w:textAlignment w:val="baseline"/>
              <w:rPr>
                <w:rFonts w:ascii="Arial" w:eastAsia="Times New Roman" w:hAnsi="Arial" w:cs="Arial"/>
                <w:color w:val="000000"/>
                <w:sz w:val="13"/>
                <w:szCs w:val="13"/>
              </w:rPr>
            </w:pPr>
          </w:p>
        </w:tc>
      </w:tr>
      <w:tr w:rsidR="003F414B" w:rsidRPr="000B0F9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0B0F9B" w:rsidRDefault="003F414B" w:rsidP="00E8642A">
            <w:pPr>
              <w:spacing w:before="40"/>
              <w:jc w:val="right"/>
              <w:rPr>
                <w:rFonts w:ascii="Arial" w:hAnsi="Arial" w:cs="Arial"/>
                <w:b/>
                <w:sz w:val="13"/>
                <w:szCs w:val="13"/>
              </w:rPr>
            </w:pPr>
            <w:r w:rsidRPr="000B0F9B">
              <w:rPr>
                <w:rFonts w:ascii="Arial" w:hAnsi="Arial" w:cs="Arial"/>
                <w:b/>
                <w:sz w:val="13"/>
                <w:szCs w:val="13"/>
              </w:rPr>
              <w:t>Sitting of the Court /</w:t>
            </w:r>
          </w:p>
          <w:p w:rsidR="003F414B" w:rsidRPr="000B0F9B" w:rsidRDefault="003F414B" w:rsidP="00E8642A">
            <w:pPr>
              <w:jc w:val="right"/>
              <w:rPr>
                <w:rFonts w:ascii="Arial" w:hAnsi="Arial" w:cs="Arial"/>
                <w:b/>
                <w:sz w:val="13"/>
                <w:szCs w:val="13"/>
              </w:rPr>
            </w:pPr>
            <w:r w:rsidRPr="000B0F9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0B0F9B"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0B0F9B" w:rsidRDefault="003F414B" w:rsidP="00E8642A">
            <w:pPr>
              <w:tabs>
                <w:tab w:val="left" w:pos="203"/>
              </w:tabs>
              <w:spacing w:before="40" w:after="120"/>
              <w:rPr>
                <w:rFonts w:ascii="Arial" w:hAnsi="Arial" w:cs="Arial"/>
                <w:b/>
                <w:sz w:val="13"/>
                <w:szCs w:val="13"/>
                <w:lang w:val="fr-CA"/>
              </w:rPr>
            </w:pPr>
            <w:r w:rsidRPr="000B0F9B">
              <w:rPr>
                <w:rFonts w:ascii="Arial" w:hAnsi="Arial" w:cs="Arial"/>
                <w:b/>
                <w:sz w:val="13"/>
                <w:szCs w:val="13"/>
                <w:lang w:val="fr-CA"/>
              </w:rPr>
              <w:t>18</w:t>
            </w:r>
            <w:r w:rsidRPr="000B0F9B">
              <w:rPr>
                <w:rFonts w:ascii="Arial" w:hAnsi="Arial" w:cs="Arial"/>
                <w:b/>
                <w:sz w:val="13"/>
                <w:szCs w:val="13"/>
                <w:lang w:val="fr-CA"/>
              </w:rPr>
              <w:tab/>
              <w:t xml:space="preserve"> sitting weeks / semaines séances de la Cour</w:t>
            </w:r>
          </w:p>
          <w:p w:rsidR="003F414B" w:rsidRPr="000B0F9B" w:rsidRDefault="003F414B" w:rsidP="00E8642A">
            <w:pPr>
              <w:tabs>
                <w:tab w:val="left" w:pos="203"/>
              </w:tabs>
              <w:rPr>
                <w:rFonts w:ascii="Arial" w:hAnsi="Arial" w:cs="Arial"/>
                <w:b/>
                <w:sz w:val="13"/>
                <w:szCs w:val="13"/>
                <w:lang w:val="fr-CA"/>
              </w:rPr>
            </w:pPr>
            <w:r w:rsidRPr="000B0F9B">
              <w:rPr>
                <w:rFonts w:ascii="Arial" w:hAnsi="Arial" w:cs="Arial"/>
                <w:b/>
                <w:sz w:val="13"/>
                <w:szCs w:val="13"/>
                <w:lang w:val="fr-CA"/>
              </w:rPr>
              <w:t>88</w:t>
            </w:r>
            <w:r w:rsidRPr="000B0F9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0B0F9B" w:rsidRDefault="003F414B" w:rsidP="00E8642A">
            <w:pPr>
              <w:spacing w:before="40" w:after="120"/>
              <w:jc w:val="right"/>
              <w:rPr>
                <w:rFonts w:ascii="Arial" w:hAnsi="Arial" w:cs="Arial"/>
                <w:b/>
                <w:sz w:val="13"/>
                <w:szCs w:val="13"/>
                <w:lang w:val="fr-FR"/>
              </w:rPr>
            </w:pPr>
            <w:r w:rsidRPr="000B0F9B">
              <w:rPr>
                <w:rFonts w:ascii="Arial" w:hAnsi="Arial" w:cs="Arial"/>
                <w:b/>
                <w:sz w:val="13"/>
                <w:szCs w:val="13"/>
                <w:lang w:val="fr-FR"/>
              </w:rPr>
              <w:t>Rosh Hashanah / Nouvel An juif</w:t>
            </w:r>
          </w:p>
          <w:p w:rsidR="003F414B" w:rsidRPr="000B0F9B" w:rsidRDefault="003F414B" w:rsidP="00E8642A">
            <w:pPr>
              <w:jc w:val="right"/>
              <w:rPr>
                <w:rFonts w:ascii="Arial" w:hAnsi="Arial" w:cs="Arial"/>
                <w:b/>
                <w:sz w:val="13"/>
                <w:szCs w:val="13"/>
                <w:lang w:val="fr-CA"/>
              </w:rPr>
            </w:pPr>
            <w:r w:rsidRPr="000B0F9B">
              <w:rPr>
                <w:rFonts w:ascii="Arial" w:hAnsi="Arial" w:cs="Arial"/>
                <w:b/>
                <w:sz w:val="13"/>
                <w:szCs w:val="13"/>
                <w:lang w:val="fr-FR"/>
              </w:rPr>
              <w:t>Yom Kippur / Yom Kippour</w:t>
            </w:r>
          </w:p>
        </w:tc>
        <w:tc>
          <w:tcPr>
            <w:tcW w:w="271" w:type="pct"/>
            <w:gridSpan w:val="2"/>
            <w:hideMark/>
          </w:tcPr>
          <w:p w:rsidR="003F414B" w:rsidRPr="000B0F9B" w:rsidRDefault="003F414B" w:rsidP="00E8642A">
            <w:pPr>
              <w:spacing w:before="40" w:after="120"/>
              <w:jc w:val="center"/>
              <w:rPr>
                <w:rFonts w:ascii="Arial" w:hAnsi="Arial" w:cs="Arial"/>
                <w:b/>
                <w:sz w:val="13"/>
                <w:szCs w:val="13"/>
                <w:lang w:val="fr-CA"/>
              </w:rPr>
            </w:pPr>
            <w:r w:rsidRPr="000B0F9B">
              <w:rPr>
                <w:rFonts w:ascii="Arial" w:hAnsi="Arial" w:cs="Arial"/>
                <w:b/>
                <w:sz w:val="13"/>
                <w:szCs w:val="13"/>
                <w:lang w:val="fr-CA"/>
              </w:rPr>
              <w:t>RH</w:t>
            </w:r>
          </w:p>
          <w:p w:rsidR="003F414B" w:rsidRPr="000B0F9B" w:rsidRDefault="003F414B" w:rsidP="00E8642A">
            <w:pPr>
              <w:jc w:val="center"/>
              <w:rPr>
                <w:rFonts w:ascii="Arial" w:hAnsi="Arial" w:cs="Arial"/>
                <w:b/>
                <w:sz w:val="13"/>
                <w:szCs w:val="13"/>
                <w:lang w:val="fr-CA"/>
              </w:rPr>
            </w:pPr>
            <w:r w:rsidRPr="000B0F9B">
              <w:rPr>
                <w:rFonts w:ascii="Arial" w:hAnsi="Arial" w:cs="Arial"/>
                <w:b/>
                <w:sz w:val="13"/>
                <w:szCs w:val="13"/>
                <w:lang w:val="fr-CA"/>
              </w:rPr>
              <w:t>YK</w:t>
            </w:r>
          </w:p>
        </w:tc>
      </w:tr>
      <w:tr w:rsidR="003F414B" w:rsidRPr="000B0F9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0B0F9B" w:rsidRDefault="003F414B" w:rsidP="00E8642A">
            <w:pPr>
              <w:jc w:val="right"/>
              <w:rPr>
                <w:rFonts w:ascii="Arial" w:hAnsi="Arial" w:cs="Arial"/>
                <w:b/>
                <w:sz w:val="13"/>
                <w:szCs w:val="13"/>
                <w:lang w:val="fr-CA"/>
              </w:rPr>
            </w:pPr>
            <w:r w:rsidRPr="000B0F9B">
              <w:rPr>
                <w:rFonts w:ascii="Arial" w:hAnsi="Arial" w:cs="Arial"/>
                <w:b/>
                <w:sz w:val="13"/>
                <w:szCs w:val="13"/>
                <w:lang w:val="fr-CA"/>
              </w:rPr>
              <w:t>Court conference /</w:t>
            </w:r>
          </w:p>
          <w:p w:rsidR="003F414B" w:rsidRPr="000B0F9B" w:rsidRDefault="003F414B" w:rsidP="00E8642A">
            <w:pPr>
              <w:jc w:val="right"/>
              <w:rPr>
                <w:rFonts w:ascii="Arial" w:hAnsi="Arial" w:cs="Arial"/>
                <w:b/>
                <w:sz w:val="13"/>
                <w:szCs w:val="13"/>
                <w:lang w:val="fr-CA"/>
              </w:rPr>
            </w:pPr>
            <w:r w:rsidRPr="000B0F9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0B0F9B" w:rsidRDefault="003F414B" w:rsidP="00E8642A">
            <w:pPr>
              <w:jc w:val="center"/>
              <w:rPr>
                <w:rFonts w:ascii="Arial" w:hAnsi="Arial" w:cs="Arial"/>
                <w:b/>
                <w:sz w:val="13"/>
                <w:szCs w:val="13"/>
                <w:lang w:val="fr-FR"/>
              </w:rPr>
            </w:pPr>
            <w:r w:rsidRPr="000B0F9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0B0F9B" w:rsidRDefault="003F414B" w:rsidP="00E8642A">
            <w:pPr>
              <w:tabs>
                <w:tab w:val="left" w:pos="203"/>
              </w:tabs>
              <w:rPr>
                <w:rFonts w:ascii="Arial" w:hAnsi="Arial" w:cs="Arial"/>
                <w:b/>
                <w:sz w:val="13"/>
                <w:szCs w:val="13"/>
                <w:lang w:val="fr-CA"/>
              </w:rPr>
            </w:pPr>
            <w:r w:rsidRPr="000B0F9B">
              <w:rPr>
                <w:rFonts w:ascii="Arial" w:hAnsi="Arial" w:cs="Arial"/>
                <w:b/>
                <w:sz w:val="13"/>
                <w:szCs w:val="13"/>
                <w:lang w:val="fr-CA"/>
              </w:rPr>
              <w:t>9</w:t>
            </w:r>
            <w:r w:rsidRPr="000B0F9B">
              <w:rPr>
                <w:rFonts w:ascii="Arial" w:hAnsi="Arial" w:cs="Arial"/>
                <w:b/>
                <w:sz w:val="13"/>
                <w:szCs w:val="13"/>
                <w:lang w:val="fr-CA"/>
              </w:rPr>
              <w:tab/>
              <w:t>Court conference days /</w:t>
            </w:r>
          </w:p>
          <w:p w:rsidR="003F414B" w:rsidRPr="000B0F9B" w:rsidRDefault="003F414B" w:rsidP="00E8642A">
            <w:pPr>
              <w:tabs>
                <w:tab w:val="left" w:pos="203"/>
              </w:tabs>
              <w:rPr>
                <w:rFonts w:ascii="Arial" w:hAnsi="Arial" w:cs="Arial"/>
                <w:b/>
                <w:sz w:val="13"/>
                <w:szCs w:val="13"/>
                <w:lang w:val="fr-CA"/>
              </w:rPr>
            </w:pPr>
            <w:r w:rsidRPr="000B0F9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0B0F9B" w:rsidRDefault="003F414B" w:rsidP="00E8642A">
            <w:pPr>
              <w:rPr>
                <w:rFonts w:ascii="Arial" w:hAnsi="Arial" w:cs="Arial"/>
                <w:b/>
                <w:sz w:val="13"/>
                <w:szCs w:val="13"/>
                <w:lang w:val="fr-CA"/>
              </w:rPr>
            </w:pPr>
          </w:p>
        </w:tc>
        <w:tc>
          <w:tcPr>
            <w:tcW w:w="271" w:type="pct"/>
            <w:gridSpan w:val="2"/>
          </w:tcPr>
          <w:p w:rsidR="003F414B" w:rsidRPr="000B0F9B" w:rsidRDefault="003F414B" w:rsidP="00E8642A">
            <w:pPr>
              <w:jc w:val="center"/>
              <w:rPr>
                <w:rFonts w:ascii="Arial" w:hAnsi="Arial" w:cs="Arial"/>
                <w:b/>
                <w:sz w:val="13"/>
                <w:szCs w:val="13"/>
                <w:lang w:val="fr-CA"/>
              </w:rPr>
            </w:pPr>
          </w:p>
        </w:tc>
      </w:tr>
      <w:tr w:rsidR="003F414B" w:rsidRPr="0054360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0B0F9B" w:rsidRDefault="003F414B" w:rsidP="00E8642A">
            <w:pPr>
              <w:jc w:val="right"/>
              <w:rPr>
                <w:rFonts w:ascii="Arial" w:hAnsi="Arial" w:cs="Arial"/>
                <w:b/>
                <w:sz w:val="13"/>
                <w:szCs w:val="13"/>
              </w:rPr>
            </w:pPr>
            <w:r w:rsidRPr="000B0F9B">
              <w:rPr>
                <w:rFonts w:ascii="Arial" w:hAnsi="Arial" w:cs="Arial"/>
                <w:b/>
                <w:sz w:val="13"/>
                <w:szCs w:val="13"/>
              </w:rPr>
              <w:t xml:space="preserve">Holiday / </w:t>
            </w:r>
            <w:r w:rsidRPr="000B0F9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0B0F9B" w:rsidRDefault="003F414B" w:rsidP="00E8642A">
            <w:pPr>
              <w:jc w:val="center"/>
              <w:rPr>
                <w:rFonts w:ascii="Arial" w:hAnsi="Arial" w:cs="Arial"/>
                <w:b/>
                <w:sz w:val="13"/>
                <w:szCs w:val="13"/>
              </w:rPr>
            </w:pPr>
            <w:r w:rsidRPr="000B0F9B">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0B0F9B" w:rsidRDefault="003F414B" w:rsidP="00E8642A">
            <w:pPr>
              <w:tabs>
                <w:tab w:val="left" w:pos="203"/>
              </w:tabs>
              <w:rPr>
                <w:rFonts w:ascii="Arial" w:hAnsi="Arial" w:cs="Arial"/>
                <w:b/>
                <w:sz w:val="13"/>
                <w:szCs w:val="13"/>
              </w:rPr>
            </w:pPr>
            <w:r w:rsidRPr="000B0F9B">
              <w:rPr>
                <w:rFonts w:ascii="Arial" w:hAnsi="Arial" w:cs="Arial"/>
                <w:b/>
                <w:sz w:val="13"/>
                <w:szCs w:val="13"/>
              </w:rPr>
              <w:t>2</w:t>
            </w:r>
            <w:r w:rsidRPr="000B0F9B">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0B0F9B">
              <w:rPr>
                <w:rFonts w:ascii="Arial" w:hAnsi="Arial" w:cs="Arial"/>
                <w:b/>
                <w:sz w:val="13"/>
                <w:szCs w:val="13"/>
              </w:rPr>
              <w:tab/>
            </w:r>
            <w:r w:rsidRPr="000B0F9B">
              <w:rPr>
                <w:rFonts w:ascii="Arial" w:hAnsi="Arial" w:cs="Arial"/>
                <w:b/>
                <w:sz w:val="13"/>
                <w:szCs w:val="13"/>
                <w:lang w:val="fr-CA"/>
              </w:rPr>
              <w:t>jours fériés durant les séances</w:t>
            </w:r>
            <w:bookmarkStart w:id="11" w:name="_GoBack"/>
            <w:bookmarkEnd w:id="11"/>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81"/>
      <w:footerReference w:type="default" r:id="rId8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16" w:rsidRDefault="00CF3C16" w:rsidP="00A87207">
      <w:r>
        <w:separator/>
      </w:r>
    </w:p>
  </w:endnote>
  <w:endnote w:type="continuationSeparator" w:id="0">
    <w:p w:rsidR="00CF3C16" w:rsidRDefault="00CF3C1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A87207">
    <w:pPr>
      <w:pStyle w:val="Footer"/>
    </w:pPr>
    <w:r>
      <w:pict>
        <v:rect id="_x0000_i1030" style="width:480.95pt;height:1pt" o:hralign="center" o:hrstd="t" o:hrnoshade="t" o:hr="t" fillcolor="black [3213]" stroked="f"/>
      </w:pict>
    </w:r>
  </w:p>
  <w:p w:rsidR="00CF3C16" w:rsidRPr="00B7374B" w:rsidRDefault="00CF3C1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16D4">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CF3C16" w:rsidRDefault="00CF3C1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pPr>
      <w:pStyle w:val="Footer"/>
      <w:rPr>
        <w:lang w:val="fr-CA"/>
      </w:rPr>
    </w:pPr>
    <w:r>
      <w:rPr>
        <w:lang w:val="fr-CA"/>
      </w:rPr>
      <w:pict>
        <v:rect id="_x0000_i1051" style="width:480.95pt;height:1pt" o:hralign="center" o:hrstd="t" o:hrnoshade="t" o:hr="t" fillcolor="black [3213]" stroked="f"/>
      </w:pict>
    </w:r>
  </w:p>
  <w:p w:rsidR="00CF3C16" w:rsidRDefault="00CF3C16" w:rsidP="00EB2B90">
    <w:pPr>
      <w:tabs>
        <w:tab w:val="center" w:pos="4680"/>
      </w:tabs>
    </w:pPr>
    <w:r>
      <w:tab/>
      <w:t xml:space="preserve">- </w:t>
    </w:r>
    <w:r>
      <w:fldChar w:fldCharType="begin"/>
    </w:r>
    <w:r>
      <w:instrText xml:space="preserve"> PAGE   \* MERGEFORMAT </w:instrText>
    </w:r>
    <w:r>
      <w:fldChar w:fldCharType="separate"/>
    </w:r>
    <w:r w:rsidR="000B0F9B">
      <w:rPr>
        <w:noProof/>
      </w:rPr>
      <w:t>14</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16" w:rsidRDefault="00CF3C16">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16" w:rsidRDefault="000B0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CF3C16" w:rsidRDefault="00CF3C1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782AE4">
    <w:pPr>
      <w:tabs>
        <w:tab w:val="center" w:pos="4680"/>
      </w:tabs>
    </w:pPr>
    <w:r>
      <w:pict>
        <v:rect id="_x0000_i1054" style="width:480.95pt;height:1pt" o:hralign="center" o:hrstd="t" o:hrnoshade="t" o:hr="t" fillcolor="black [3213]" stroked="f"/>
      </w:pict>
    </w:r>
  </w:p>
  <w:p w:rsidR="00CF3C16" w:rsidRDefault="00CF3C1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B0F9B">
      <w:rPr>
        <w:noProof/>
        <w:szCs w:val="24"/>
      </w:rPr>
      <w:t>15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F3C16" w:rsidRDefault="00CF3C1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F3C16" w:rsidRDefault="00CF3C16">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22323B">
    <w:r>
      <w:pict>
        <v:rect id="_x0000_i1064" style="width:480.95pt;height:1pt" o:hralign="center" o:hrstd="t" o:hrnoshade="t" o:hr="t" fillcolor="black [3213]" stroked="f"/>
      </w:pict>
    </w:r>
  </w:p>
  <w:p w:rsidR="00CF3C16" w:rsidRDefault="00CF3C16">
    <w:pPr>
      <w:tabs>
        <w:tab w:val="center" w:pos="4740"/>
      </w:tabs>
      <w:spacing w:line="0" w:lineRule="atLeast"/>
    </w:pPr>
    <w:r>
      <w:tab/>
      <w:t xml:space="preserve">- </w:t>
    </w:r>
    <w:r>
      <w:fldChar w:fldCharType="begin"/>
    </w:r>
    <w:r>
      <w:instrText xml:space="preserve"> PAGE   \* MERGEFORMAT </w:instrText>
    </w:r>
    <w:r>
      <w:fldChar w:fldCharType="separate"/>
    </w:r>
    <w:r w:rsidR="000B0F9B">
      <w:rPr>
        <w:noProof/>
      </w:rPr>
      <w:t>19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22323B">
    <w:r>
      <w:pict>
        <v:rect id="_x0000_i1065" style="width:480.95pt;height:1pt" o:hralign="center" o:hrstd="t" o:hrnoshade="t" o:hr="t" fillcolor="black [3213]" stroked="f"/>
      </w:pict>
    </w:r>
  </w:p>
  <w:p w:rsidR="00CF3C16" w:rsidRDefault="00CF3C16" w:rsidP="0022323B">
    <w:pPr>
      <w:tabs>
        <w:tab w:val="center" w:pos="4740"/>
      </w:tabs>
      <w:spacing w:line="0" w:lineRule="atLeast"/>
    </w:pPr>
    <w:r>
      <w:tab/>
      <w:t xml:space="preserve">- </w:t>
    </w:r>
    <w:r>
      <w:fldChar w:fldCharType="begin"/>
    </w:r>
    <w:r>
      <w:instrText xml:space="preserve"> PAGE   \* MERGEFORMAT </w:instrText>
    </w:r>
    <w:r>
      <w:fldChar w:fldCharType="separate"/>
    </w:r>
    <w:r w:rsidR="000B0F9B">
      <w:rPr>
        <w:noProof/>
      </w:rPr>
      <w:t>16</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Pr="00924065" w:rsidRDefault="00CF3C1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755F22">
    <w:pPr>
      <w:tabs>
        <w:tab w:val="left" w:pos="-1440"/>
        <w:tab w:val="left" w:pos="-720"/>
      </w:tabs>
    </w:pPr>
    <w:r>
      <w:pict>
        <v:rect id="_x0000_i1031" style="width:480.95pt;height:1pt" o:hralign="center" o:hrstd="t" o:hrnoshade="t" o:hr="t" fillcolor="black [3213]" stroked="f"/>
      </w:pict>
    </w:r>
  </w:p>
  <w:p w:rsidR="00CF3C16" w:rsidRPr="00954D22" w:rsidRDefault="00CF3C1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B0F9B">
      <w:rPr>
        <w:noProof/>
        <w:szCs w:val="24"/>
      </w:rPr>
      <w:t>1</w:t>
    </w:r>
    <w:r>
      <w:rPr>
        <w:szCs w:val="24"/>
      </w:rPr>
      <w:fldChar w:fldCharType="end"/>
    </w:r>
    <w:r w:rsidRPr="00954D22">
      <w:rPr>
        <w:szCs w:val="24"/>
      </w:rPr>
      <w:t xml:space="preserve"> -</w:t>
    </w:r>
  </w:p>
  <w:p w:rsidR="00CF3C16" w:rsidRDefault="00CF3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16" w:rsidRDefault="00CF3C16">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CF3C16" w:rsidRPr="0009648D" w:rsidRDefault="00CF3C16" w:rsidP="00ED7E83">
    <w:pPr>
      <w:tabs>
        <w:tab w:val="center" w:pos="4680"/>
      </w:tabs>
    </w:pPr>
    <w:r>
      <w:tab/>
    </w:r>
    <w:r w:rsidRPr="0009648D">
      <w:t xml:space="preserve">- </w:t>
    </w:r>
    <w:r>
      <w:fldChar w:fldCharType="begin"/>
    </w:r>
    <w:r>
      <w:instrText xml:space="preserve"> PAGE   \* MERGEFORMAT </w:instrText>
    </w:r>
    <w:r>
      <w:fldChar w:fldCharType="separate"/>
    </w:r>
    <w:r w:rsidR="000B0F9B">
      <w:rPr>
        <w:noProof/>
      </w:rPr>
      <w:t>12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pPr>
      <w:pStyle w:val="Footer"/>
      <w:rPr>
        <w:lang w:val="fr-CA"/>
      </w:rPr>
    </w:pPr>
    <w:r>
      <w:rPr>
        <w:lang w:val="fr-CA"/>
      </w:rPr>
      <w:pict>
        <v:rect id="_x0000_i1043" style="width:480.95pt;height:1pt" o:hralign="center" o:hrstd="t" o:hrnoshade="t" o:hr="t" fillcolor="black [3213]" stroked="f"/>
      </w:pict>
    </w:r>
  </w:p>
  <w:p w:rsidR="00CF3C16" w:rsidRDefault="00CF3C16" w:rsidP="00245129">
    <w:pPr>
      <w:tabs>
        <w:tab w:val="center" w:pos="4680"/>
      </w:tabs>
    </w:pPr>
    <w:r>
      <w:tab/>
    </w:r>
    <w:r w:rsidRPr="0009648D">
      <w:t xml:space="preserve">- </w:t>
    </w:r>
    <w:r>
      <w:fldChar w:fldCharType="begin"/>
    </w:r>
    <w:r>
      <w:instrText xml:space="preserve"> PAGE   \* MERGEFORMAT </w:instrText>
    </w:r>
    <w:r>
      <w:fldChar w:fldCharType="separate"/>
    </w:r>
    <w:r w:rsidR="000B0F9B">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16" w:rsidRDefault="00CF3C1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755F22">
    <w:pPr>
      <w:tabs>
        <w:tab w:val="left" w:pos="-1440"/>
        <w:tab w:val="left" w:pos="-720"/>
      </w:tabs>
    </w:pPr>
    <w:r>
      <w:pict>
        <v:rect id="_x0000_i1045" style="width:480.95pt;height:1pt" o:hralign="center" o:hrstd="t" o:hrnoshade="t" o:hr="t" fillcolor="black [3213]" stroked="f"/>
      </w:pict>
    </w:r>
  </w:p>
  <w:p w:rsidR="00CF3C16" w:rsidRDefault="00CF3C16"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0B0F9B" w:rsidP="00EB2B90">
    <w:pPr>
      <w:tabs>
        <w:tab w:val="center" w:pos="4680"/>
      </w:tabs>
    </w:pPr>
    <w:r>
      <w:pict>
        <v:rect id="_x0000_i1046" style="width:480.95pt;height:1pt" o:hralign="center" o:hrstd="t" o:hrnoshade="t" o:hr="t" fillcolor="black [3213]" stroked="f"/>
      </w:pict>
    </w:r>
  </w:p>
  <w:p w:rsidR="00CF3C16" w:rsidRPr="0031432F" w:rsidRDefault="00CF3C16" w:rsidP="00EB2B90">
    <w:pPr>
      <w:tabs>
        <w:tab w:val="center" w:pos="4680"/>
      </w:tabs>
    </w:pPr>
    <w:r>
      <w:tab/>
      <w:t xml:space="preserve">- </w:t>
    </w:r>
    <w:r>
      <w:fldChar w:fldCharType="begin"/>
    </w:r>
    <w:r>
      <w:instrText xml:space="preserve"> PAGE   \* MERGEFORMAT </w:instrText>
    </w:r>
    <w:r>
      <w:fldChar w:fldCharType="separate"/>
    </w:r>
    <w:r w:rsidR="000B0F9B">
      <w:rPr>
        <w:noProof/>
      </w:rPr>
      <w:t>13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3C16" w:rsidRDefault="00CF3C1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16" w:rsidRDefault="00CF3C16" w:rsidP="00A87207">
      <w:r>
        <w:separator/>
      </w:r>
    </w:p>
  </w:footnote>
  <w:footnote w:type="continuationSeparator" w:id="0">
    <w:p w:rsidR="00CF3C16" w:rsidRDefault="00CF3C1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F3C16" w:rsidRPr="0044776A" w:rsidTr="00245129">
      <w:tc>
        <w:tcPr>
          <w:tcW w:w="4290" w:type="dxa"/>
          <w:tcMar>
            <w:left w:w="0" w:type="dxa"/>
            <w:right w:w="0" w:type="dxa"/>
          </w:tcMar>
        </w:tcPr>
        <w:p w:rsidR="00CF3C16" w:rsidRPr="00D31809" w:rsidRDefault="00CF3C16" w:rsidP="00D31809">
          <w:pPr>
            <w:keepNext/>
            <w:keepLines/>
            <w:rPr>
              <w:sz w:val="20"/>
              <w:szCs w:val="20"/>
              <w:lang w:val="en-US"/>
            </w:rPr>
          </w:pPr>
          <w:r w:rsidRPr="00D31809">
            <w:rPr>
              <w:sz w:val="20"/>
              <w:szCs w:val="20"/>
              <w:lang w:val="en-US"/>
            </w:rPr>
            <w:t>Applications for leave to appeal filed</w:t>
          </w:r>
        </w:p>
        <w:p w:rsidR="00CF3C16" w:rsidRPr="00D31809" w:rsidRDefault="00CF3C16" w:rsidP="00D31809">
          <w:pPr>
            <w:keepNext/>
            <w:keepLines/>
            <w:rPr>
              <w:sz w:val="20"/>
              <w:szCs w:val="20"/>
            </w:rPr>
          </w:pPr>
        </w:p>
      </w:tc>
      <w:tc>
        <w:tcPr>
          <w:tcW w:w="1200" w:type="dxa"/>
          <w:tcMar>
            <w:left w:w="0" w:type="dxa"/>
            <w:right w:w="0" w:type="dxa"/>
          </w:tcMar>
        </w:tcPr>
        <w:p w:rsidR="00CF3C16" w:rsidRPr="00D31809" w:rsidRDefault="00CF3C16" w:rsidP="002E2327">
          <w:pPr>
            <w:keepNext/>
            <w:keepLines/>
            <w:tabs>
              <w:tab w:val="left" w:pos="-1440"/>
              <w:tab w:val="left" w:pos="-720"/>
            </w:tabs>
            <w:jc w:val="center"/>
            <w:rPr>
              <w:sz w:val="20"/>
              <w:szCs w:val="20"/>
            </w:rPr>
          </w:pPr>
        </w:p>
      </w:tc>
      <w:tc>
        <w:tcPr>
          <w:tcW w:w="4320" w:type="dxa"/>
          <w:tcMar>
            <w:left w:w="0" w:type="dxa"/>
            <w:right w:w="0" w:type="dxa"/>
          </w:tcMar>
        </w:tcPr>
        <w:p w:rsidR="00CF3C16" w:rsidRPr="00D31809" w:rsidRDefault="00CF3C16" w:rsidP="002E2327">
          <w:pPr>
            <w:keepLines/>
            <w:rPr>
              <w:sz w:val="20"/>
              <w:szCs w:val="20"/>
              <w:lang w:val="fr-CA"/>
            </w:rPr>
          </w:pPr>
          <w:r w:rsidRPr="00D31809">
            <w:rPr>
              <w:sz w:val="20"/>
              <w:szCs w:val="20"/>
              <w:lang w:val="fr-CA"/>
            </w:rPr>
            <w:t>Demandes d’autorisation d’appel déposées</w:t>
          </w:r>
        </w:p>
      </w:tc>
    </w:tr>
  </w:tbl>
  <w:p w:rsidR="00CF3C16" w:rsidRDefault="00CF3C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F3C16" w:rsidRPr="000B0F9B" w:rsidTr="00245129">
      <w:tc>
        <w:tcPr>
          <w:tcW w:w="4200" w:type="dxa"/>
          <w:tcMar>
            <w:left w:w="0" w:type="dxa"/>
            <w:right w:w="0" w:type="dxa"/>
          </w:tcMar>
        </w:tcPr>
        <w:p w:rsidR="00CF3C16" w:rsidRPr="00F40249" w:rsidRDefault="00CF3C1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F3C16" w:rsidRDefault="00CF3C16" w:rsidP="00102926">
          <w:pPr>
            <w:keepNext/>
            <w:keepLines/>
            <w:tabs>
              <w:tab w:val="left" w:pos="-1440"/>
              <w:tab w:val="left" w:pos="-720"/>
            </w:tabs>
            <w:jc w:val="center"/>
            <w:rPr>
              <w:sz w:val="20"/>
              <w:szCs w:val="20"/>
            </w:rPr>
          </w:pPr>
        </w:p>
        <w:p w:rsidR="00CF3C16" w:rsidRDefault="00CF3C16" w:rsidP="00102926">
          <w:pPr>
            <w:keepNext/>
            <w:keepLines/>
            <w:tabs>
              <w:tab w:val="left" w:pos="-1440"/>
              <w:tab w:val="left" w:pos="-720"/>
            </w:tabs>
            <w:jc w:val="center"/>
            <w:rPr>
              <w:sz w:val="20"/>
              <w:szCs w:val="20"/>
            </w:rPr>
          </w:pPr>
        </w:p>
        <w:p w:rsidR="00CF3C16" w:rsidRPr="00F40249" w:rsidRDefault="00CF3C16" w:rsidP="00102926">
          <w:pPr>
            <w:keepNext/>
            <w:keepLines/>
            <w:tabs>
              <w:tab w:val="left" w:pos="-1440"/>
              <w:tab w:val="left" w:pos="-720"/>
            </w:tabs>
            <w:jc w:val="center"/>
            <w:rPr>
              <w:sz w:val="20"/>
              <w:szCs w:val="20"/>
            </w:rPr>
          </w:pPr>
        </w:p>
      </w:tc>
      <w:tc>
        <w:tcPr>
          <w:tcW w:w="4230" w:type="dxa"/>
          <w:tcMar>
            <w:left w:w="0" w:type="dxa"/>
            <w:right w:w="0" w:type="dxa"/>
          </w:tcMar>
        </w:tcPr>
        <w:p w:rsidR="00CF3C16" w:rsidRPr="00F40249" w:rsidRDefault="00CF3C1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F3C16" w:rsidRPr="00B01A03" w:rsidRDefault="00CF3C1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3C16">
      <w:tc>
        <w:tcPr>
          <w:tcW w:w="423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F3C16"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3C16" w:rsidRPr="00782AE4" w:rsidTr="00245129">
      <w:tc>
        <w:tcPr>
          <w:tcW w:w="4230" w:type="dxa"/>
          <w:tcMar>
            <w:left w:w="0" w:type="dxa"/>
            <w:right w:w="0" w:type="dxa"/>
          </w:tcMar>
        </w:tcPr>
        <w:p w:rsidR="00CF3C16" w:rsidRPr="00782AE4" w:rsidRDefault="00CF3C16" w:rsidP="00102926">
          <w:pPr>
            <w:keepNext/>
            <w:keepLines/>
            <w:tabs>
              <w:tab w:val="left" w:pos="-1440"/>
              <w:tab w:val="left" w:pos="-720"/>
            </w:tabs>
            <w:rPr>
              <w:sz w:val="20"/>
              <w:szCs w:val="20"/>
            </w:rPr>
          </w:pPr>
          <w:r w:rsidRPr="00782AE4">
            <w:rPr>
              <w:sz w:val="20"/>
              <w:szCs w:val="20"/>
            </w:rPr>
            <w:t xml:space="preserve">HEADNOTES OF RECENT </w:t>
          </w:r>
        </w:p>
        <w:p w:rsidR="00CF3C16" w:rsidRPr="00782AE4"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F3C16" w:rsidRDefault="00CF3C16" w:rsidP="00102926">
          <w:pPr>
            <w:keepNext/>
            <w:keepLines/>
            <w:tabs>
              <w:tab w:val="left" w:pos="-1440"/>
              <w:tab w:val="left" w:pos="-720"/>
            </w:tabs>
            <w:jc w:val="center"/>
            <w:rPr>
              <w:sz w:val="20"/>
              <w:szCs w:val="20"/>
            </w:rPr>
          </w:pPr>
        </w:p>
        <w:p w:rsidR="00CF3C16" w:rsidRDefault="00CF3C16" w:rsidP="00102926">
          <w:pPr>
            <w:keepNext/>
            <w:keepLines/>
            <w:tabs>
              <w:tab w:val="left" w:pos="-1440"/>
              <w:tab w:val="left" w:pos="-720"/>
            </w:tabs>
            <w:jc w:val="center"/>
            <w:rPr>
              <w:sz w:val="20"/>
              <w:szCs w:val="20"/>
            </w:rPr>
          </w:pPr>
        </w:p>
        <w:p w:rsidR="00CF3C16" w:rsidRPr="00782AE4" w:rsidRDefault="00CF3C16" w:rsidP="00102926">
          <w:pPr>
            <w:keepNext/>
            <w:keepLines/>
            <w:tabs>
              <w:tab w:val="left" w:pos="-1440"/>
              <w:tab w:val="left" w:pos="-720"/>
            </w:tabs>
            <w:jc w:val="center"/>
            <w:rPr>
              <w:sz w:val="20"/>
              <w:szCs w:val="20"/>
            </w:rPr>
          </w:pPr>
        </w:p>
      </w:tc>
      <w:tc>
        <w:tcPr>
          <w:tcW w:w="4080" w:type="dxa"/>
          <w:tcMar>
            <w:left w:w="0" w:type="dxa"/>
            <w:right w:w="0" w:type="dxa"/>
          </w:tcMar>
        </w:tcPr>
        <w:p w:rsidR="00CF3C16" w:rsidRPr="0010292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F3C16" w:rsidRPr="00782AE4" w:rsidRDefault="00CF3C16" w:rsidP="00102926">
          <w:pPr>
            <w:keepLines/>
            <w:tabs>
              <w:tab w:val="left" w:pos="-1440"/>
              <w:tab w:val="left" w:pos="-720"/>
            </w:tabs>
            <w:rPr>
              <w:sz w:val="20"/>
              <w:szCs w:val="20"/>
            </w:rPr>
          </w:pPr>
          <w:r w:rsidRPr="00102926">
            <w:rPr>
              <w:sz w:val="20"/>
              <w:szCs w:val="20"/>
              <w:lang w:val="fr-CA"/>
            </w:rPr>
            <w:t>RÉCENTS</w:t>
          </w:r>
        </w:p>
      </w:tc>
    </w:tr>
  </w:tbl>
  <w:p w:rsidR="00CF3C16" w:rsidRDefault="00CF3C1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3C16">
      <w:tc>
        <w:tcPr>
          <w:tcW w:w="4200" w:type="dxa"/>
          <w:tcMar>
            <w:left w:w="0" w:type="dxa"/>
            <w:right w:w="0" w:type="dxa"/>
          </w:tcMar>
        </w:tcPr>
        <w:p w:rsidR="00CF3C16" w:rsidRDefault="00CF3C1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F3C16" w:rsidRDefault="00CF3C1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F3C16" w:rsidRDefault="00CF3C1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F3C16" w:rsidRDefault="00CF3C1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F3C16" w:rsidRDefault="00CF3C1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F3C16" w:rsidRDefault="00CF3C1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3C16" w:rsidRPr="000B0F9B" w:rsidTr="00245129">
      <w:tc>
        <w:tcPr>
          <w:tcW w:w="4200" w:type="dxa"/>
          <w:tcMar>
            <w:left w:w="0" w:type="dxa"/>
            <w:right w:w="0" w:type="dxa"/>
          </w:tcMar>
        </w:tcPr>
        <w:p w:rsidR="00CF3C16" w:rsidRPr="00102792" w:rsidRDefault="00CF3C16" w:rsidP="00406760">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April</w:t>
          </w:r>
          <w:r w:rsidRPr="00102792">
            <w:rPr>
              <w:szCs w:val="24"/>
            </w:rPr>
            <w:t xml:space="preserve"> 20</w:t>
          </w:r>
          <w:r>
            <w:rPr>
              <w:szCs w:val="24"/>
            </w:rPr>
            <w:t>22</w:t>
          </w:r>
        </w:p>
      </w:tc>
      <w:tc>
        <w:tcPr>
          <w:tcW w:w="1200" w:type="dxa"/>
          <w:tcMar>
            <w:left w:w="0" w:type="dxa"/>
            <w:right w:w="0" w:type="dxa"/>
          </w:tcMar>
        </w:tcPr>
        <w:p w:rsidR="00CF3C16" w:rsidRDefault="00CF3C16" w:rsidP="00102792">
          <w:pPr>
            <w:keepNext/>
            <w:keepLines/>
            <w:jc w:val="center"/>
            <w:rPr>
              <w:szCs w:val="24"/>
            </w:rPr>
          </w:pPr>
        </w:p>
        <w:p w:rsidR="00CF3C16" w:rsidRPr="00102792" w:rsidRDefault="00CF3C16" w:rsidP="00102792">
          <w:pPr>
            <w:keepNext/>
            <w:keepLines/>
            <w:jc w:val="center"/>
            <w:rPr>
              <w:szCs w:val="24"/>
            </w:rPr>
          </w:pPr>
        </w:p>
        <w:p w:rsidR="00CF3C16" w:rsidRPr="00102792" w:rsidRDefault="00CF3C16" w:rsidP="00102792">
          <w:pPr>
            <w:keepNext/>
            <w:keepLines/>
            <w:jc w:val="center"/>
            <w:rPr>
              <w:szCs w:val="24"/>
            </w:rPr>
          </w:pPr>
        </w:p>
      </w:tc>
      <w:tc>
        <w:tcPr>
          <w:tcW w:w="4080" w:type="dxa"/>
          <w:tcMar>
            <w:left w:w="0" w:type="dxa"/>
            <w:right w:w="0" w:type="dxa"/>
          </w:tcMar>
        </w:tcPr>
        <w:p w:rsidR="00CF3C16" w:rsidRPr="00102792" w:rsidRDefault="00CF3C16" w:rsidP="00406760">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’avril</w:t>
          </w:r>
          <w:r w:rsidRPr="00102792">
            <w:rPr>
              <w:szCs w:val="24"/>
              <w:lang w:val="fr-CA"/>
            </w:rPr>
            <w:t xml:space="preserve"> 20</w:t>
          </w:r>
          <w:r>
            <w:rPr>
              <w:szCs w:val="24"/>
              <w:lang w:val="fr-CA"/>
            </w:rPr>
            <w:t>22</w:t>
          </w:r>
        </w:p>
      </w:tc>
    </w:tr>
  </w:tbl>
  <w:p w:rsidR="00CF3C16" w:rsidRPr="00567602" w:rsidRDefault="00CF3C1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3C16" w:rsidRPr="000B0F9B">
      <w:tc>
        <w:tcPr>
          <w:tcW w:w="420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F3C16"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16" w:rsidRPr="00FF6BA5"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F3C16" w:rsidRPr="00FF6BA5"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F3C16" w:rsidRPr="00FF6BA5"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F3C16" w:rsidRPr="00FF6BA5"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3C16" w:rsidRPr="000B0F9B" w:rsidTr="00245129">
      <w:tc>
        <w:tcPr>
          <w:tcW w:w="4200" w:type="dxa"/>
          <w:tcMar>
            <w:left w:w="0" w:type="dxa"/>
            <w:right w:w="0" w:type="dxa"/>
          </w:tcMar>
        </w:tcPr>
        <w:p w:rsidR="00CF3C16" w:rsidRPr="00634F42" w:rsidRDefault="00CF3C1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F3C16" w:rsidRPr="00755F22" w:rsidRDefault="00CF3C1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3C16" w:rsidRPr="00755F22" w:rsidRDefault="00CF3C1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F3C16" w:rsidRPr="00755F22"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F3C16" w:rsidRPr="00FF6BA5" w:rsidRDefault="00CF3C16"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3C16">
      <w:tc>
        <w:tcPr>
          <w:tcW w:w="423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F3C16"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16"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F3C16">
      <w:trPr>
        <w:gridAfter w:val="2"/>
        <w:wAfter w:w="5250" w:type="dxa"/>
      </w:trPr>
      <w:tc>
        <w:tcPr>
          <w:tcW w:w="4230" w:type="dxa"/>
          <w:tcMar>
            <w:left w:w="0" w:type="dxa"/>
            <w:right w:w="0" w:type="dxa"/>
          </w:tcMar>
        </w:tcPr>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3C16"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3C16" w:rsidRPr="00755F22" w:rsidTr="00245129">
      <w:tc>
        <w:tcPr>
          <w:tcW w:w="4230" w:type="dxa"/>
          <w:tcMar>
            <w:left w:w="0" w:type="dxa"/>
            <w:right w:w="0" w:type="dxa"/>
          </w:tcMar>
        </w:tcPr>
        <w:p w:rsidR="00CF3C16" w:rsidRPr="00755F22" w:rsidRDefault="00CF3C16" w:rsidP="00831CA9">
          <w:pPr>
            <w:keepNext/>
            <w:keepLines/>
            <w:rPr>
              <w:sz w:val="20"/>
              <w:szCs w:val="20"/>
            </w:rPr>
          </w:pPr>
          <w:r w:rsidRPr="00755F22">
            <w:rPr>
              <w:sz w:val="20"/>
              <w:szCs w:val="20"/>
            </w:rPr>
            <w:t>Motions</w:t>
          </w:r>
        </w:p>
      </w:tc>
      <w:tc>
        <w:tcPr>
          <w:tcW w:w="1170" w:type="dxa"/>
          <w:tcMar>
            <w:left w:w="0" w:type="dxa"/>
            <w:right w:w="0" w:type="dxa"/>
          </w:tcMar>
        </w:tcPr>
        <w:p w:rsidR="00CF3C16" w:rsidRPr="00755F22" w:rsidRDefault="00CF3C16" w:rsidP="00831CA9">
          <w:pPr>
            <w:keepLines/>
            <w:jc w:val="center"/>
            <w:rPr>
              <w:sz w:val="20"/>
              <w:szCs w:val="20"/>
            </w:rPr>
          </w:pPr>
        </w:p>
        <w:p w:rsidR="00CF3C16" w:rsidRPr="00755F22" w:rsidRDefault="00CF3C16" w:rsidP="00831CA9">
          <w:pPr>
            <w:keepLines/>
            <w:tabs>
              <w:tab w:val="left" w:pos="-1440"/>
              <w:tab w:val="left" w:pos="-720"/>
            </w:tabs>
            <w:jc w:val="center"/>
            <w:rPr>
              <w:sz w:val="20"/>
              <w:szCs w:val="20"/>
            </w:rPr>
          </w:pPr>
        </w:p>
      </w:tc>
      <w:tc>
        <w:tcPr>
          <w:tcW w:w="4080" w:type="dxa"/>
          <w:tcMar>
            <w:left w:w="0" w:type="dxa"/>
            <w:right w:w="0" w:type="dxa"/>
          </w:tcMar>
        </w:tcPr>
        <w:p w:rsidR="00CF3C16" w:rsidRPr="00BA6468" w:rsidRDefault="00CF3C16" w:rsidP="00BA6468">
          <w:pPr>
            <w:keepLines/>
            <w:rPr>
              <w:sz w:val="20"/>
              <w:szCs w:val="20"/>
              <w:lang w:val="fr-CA"/>
            </w:rPr>
          </w:pPr>
          <w:r w:rsidRPr="00BA6468">
            <w:rPr>
              <w:sz w:val="20"/>
              <w:szCs w:val="20"/>
              <w:lang w:val="fr-CA"/>
            </w:rPr>
            <w:t>Requêtes</w:t>
          </w:r>
        </w:p>
      </w:tc>
    </w:tr>
  </w:tbl>
  <w:p w:rsidR="00CF3C16" w:rsidRDefault="00CF3C16"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16" w:rsidRDefault="00CF3C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3C16" w:rsidRPr="000B0F9B">
      <w:tc>
        <w:tcPr>
          <w:tcW w:w="420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F3C16" w:rsidRDefault="00CF3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3C16" w:rsidRPr="00B01A03" w:rsidRDefault="00CF3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F3C16" w:rsidRPr="00B01A03"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F3C16" w:rsidRPr="00B01A03" w:rsidRDefault="00CF3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16"/>
    <w:rsid w:val="00002704"/>
    <w:rsid w:val="00020DC3"/>
    <w:rsid w:val="0003223B"/>
    <w:rsid w:val="000327B2"/>
    <w:rsid w:val="00033A57"/>
    <w:rsid w:val="0004528B"/>
    <w:rsid w:val="00045DE3"/>
    <w:rsid w:val="00064FBA"/>
    <w:rsid w:val="000719FA"/>
    <w:rsid w:val="00091BA6"/>
    <w:rsid w:val="00091FA6"/>
    <w:rsid w:val="0009686C"/>
    <w:rsid w:val="00096BD9"/>
    <w:rsid w:val="000B0F9B"/>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3A23"/>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653E"/>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874ED"/>
    <w:rsid w:val="00393AB2"/>
    <w:rsid w:val="003B3977"/>
    <w:rsid w:val="003D49B1"/>
    <w:rsid w:val="003E1D4C"/>
    <w:rsid w:val="003E5F3E"/>
    <w:rsid w:val="003F414B"/>
    <w:rsid w:val="00406760"/>
    <w:rsid w:val="00407C5D"/>
    <w:rsid w:val="0041245B"/>
    <w:rsid w:val="004137A0"/>
    <w:rsid w:val="00422D9A"/>
    <w:rsid w:val="004317DE"/>
    <w:rsid w:val="00432989"/>
    <w:rsid w:val="00433083"/>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360B"/>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4701"/>
    <w:rsid w:val="00717608"/>
    <w:rsid w:val="00727571"/>
    <w:rsid w:val="00732DB7"/>
    <w:rsid w:val="00734A59"/>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2949"/>
    <w:rsid w:val="007F387B"/>
    <w:rsid w:val="00802863"/>
    <w:rsid w:val="008112A9"/>
    <w:rsid w:val="0081473A"/>
    <w:rsid w:val="00815B3C"/>
    <w:rsid w:val="0081610A"/>
    <w:rsid w:val="008277C4"/>
    <w:rsid w:val="0082783A"/>
    <w:rsid w:val="00831CA9"/>
    <w:rsid w:val="00842B6B"/>
    <w:rsid w:val="00844E40"/>
    <w:rsid w:val="00845892"/>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24877"/>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3CBF"/>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4E16"/>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316D4"/>
    <w:rsid w:val="00C406CA"/>
    <w:rsid w:val="00C46376"/>
    <w:rsid w:val="00C50A5C"/>
    <w:rsid w:val="00C50FDF"/>
    <w:rsid w:val="00C63381"/>
    <w:rsid w:val="00C73D06"/>
    <w:rsid w:val="00C73D76"/>
    <w:rsid w:val="00C73E1B"/>
    <w:rsid w:val="00C73EE8"/>
    <w:rsid w:val="00C7556C"/>
    <w:rsid w:val="00C75777"/>
    <w:rsid w:val="00C759B4"/>
    <w:rsid w:val="00C77713"/>
    <w:rsid w:val="00C8528C"/>
    <w:rsid w:val="00C85BB7"/>
    <w:rsid w:val="00C86E0F"/>
    <w:rsid w:val="00CA2DEA"/>
    <w:rsid w:val="00CB3520"/>
    <w:rsid w:val="00CB43D5"/>
    <w:rsid w:val="00CC4D84"/>
    <w:rsid w:val="00CE198A"/>
    <w:rsid w:val="00CF08C8"/>
    <w:rsid w:val="00CF3C16"/>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06760"/>
    <w:pPr>
      <w:jc w:val="both"/>
    </w:pPr>
    <w:rPr>
      <w:rFonts w:eastAsia="Calibri" w:cs="Times New Roman"/>
      <w:smallCaps/>
    </w:rPr>
  </w:style>
  <w:style w:type="character" w:customStyle="1" w:styleId="SCCBanSummaryChar">
    <w:name w:val="SCC.BanSummary Char"/>
    <w:link w:val="SCCBanSummary0"/>
    <w:rsid w:val="00406760"/>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3180005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33137397">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1/2021qcca1185/2021qcca1185.pdf" TargetMode="External"/><Relationship Id="rId26" Type="http://schemas.openxmlformats.org/officeDocument/2006/relationships/hyperlink" Target="https://www.canlii.org/en/mb/mbca/doc/2021/2021mbca70/2021mbca70.html" TargetMode="External"/><Relationship Id="rId39" Type="http://schemas.openxmlformats.org/officeDocument/2006/relationships/hyperlink" Target="https://www.canlii.org/en/bc/bcca/doc/2021/2021bcca419/2021bcca419.html" TargetMode="External"/><Relationship Id="rId21" Type="http://schemas.openxmlformats.org/officeDocument/2006/relationships/hyperlink" Target="https://www.canlii.org/en/on/onca/doc/2021/2021onca594/2021onca594.html?autocompleteStr=MDS%20Inc&amp;autocompletePos=5" TargetMode="External"/><Relationship Id="rId34" Type="http://schemas.openxmlformats.org/officeDocument/2006/relationships/hyperlink" Target="https://www.canlii.org/en/ab/abca/doc/2021/2021abca329/2021abca329.html?resultIndex=1" TargetMode="External"/><Relationship Id="rId42" Type="http://schemas.openxmlformats.org/officeDocument/2006/relationships/hyperlink" Target="https://www.canlii.org/en/bc/bcsc/doc/2020/2020bcsc1875/2020bcsc1875.html"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yperlink" Target="https://decisions.scc-csc.ca/scc-csc/scc-csc/en/item/19276/index.do" TargetMode="External"/><Relationship Id="rId68" Type="http://schemas.openxmlformats.org/officeDocument/2006/relationships/footer" Target="footer13.xml"/><Relationship Id="rId76" Type="http://schemas.openxmlformats.org/officeDocument/2006/relationships/header" Target="header1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cc-csc.ca/case-dossier/info/sum-som-eng.aspx?cas=39875" TargetMode="External"/><Relationship Id="rId2" Type="http://schemas.openxmlformats.org/officeDocument/2006/relationships/numbering" Target="numbering.xml"/><Relationship Id="rId16" Type="http://schemas.openxmlformats.org/officeDocument/2006/relationships/hyperlink" Target="https://www.canlii.org/fr/qc/qcca/doc/2021/2021qcca1185/2021qcca1185.pdf" TargetMode="External"/><Relationship Id="rId29" Type="http://schemas.openxmlformats.org/officeDocument/2006/relationships/hyperlink" Target="https://www.canlii.org/en/ab/abqb/doc/2019/2019abqb913/2019abqb913.html?resultIndex=1" TargetMode="External"/><Relationship Id="rId11" Type="http://schemas.openxmlformats.org/officeDocument/2006/relationships/header" Target="header1.xml"/><Relationship Id="rId24" Type="http://schemas.openxmlformats.org/officeDocument/2006/relationships/hyperlink" Target="https://www.canlii.org/en/on/onca/doc/2021/2021onca594/2021onca594.html?autocompleteStr=MDS%20Inc&amp;autocompletePos=5" TargetMode="External"/><Relationship Id="rId32" Type="http://schemas.openxmlformats.org/officeDocument/2006/relationships/hyperlink" Target="https://www.canlii.org/en/ab/abqb/doc/2019/2019abqb913/2019abqb913.html?resultIndex=1" TargetMode="External"/><Relationship Id="rId37" Type="http://schemas.openxmlformats.org/officeDocument/2006/relationships/hyperlink" Target="https://www.canlii.org/en/bc/bcsc/doc/2020/2020bcsc1875/2020bcsc1875.html" TargetMode="External"/><Relationship Id="rId40" Type="http://schemas.openxmlformats.org/officeDocument/2006/relationships/hyperlink" Target="https://www.canlii.org/en/bc/bcsc/doc/2015/2015bcsc763/2015bcsc763.html"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hyperlink" Target="https://www.scc-csc.ca/case-dossier/info/sum-som-eng.aspx?cas=39654" TargetMode="External"/><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footer" Target="footer18.xml"/><Relationship Id="rId10" Type="http://schemas.openxmlformats.org/officeDocument/2006/relationships/hyperlink" Target="https://www.scc-csc.ca" TargetMode="External"/><Relationship Id="rId19" Type="http://schemas.openxmlformats.org/officeDocument/2006/relationships/hyperlink" Target="https://www.canlii.org/en/on/onsc/doc/2020/2020onsc1924/2020onsc1924.html" TargetMode="External"/><Relationship Id="rId31" Type="http://schemas.openxmlformats.org/officeDocument/2006/relationships/hyperlink" Target="https://www.canlii.org/en/ab/abca/doc/2021/2021abca329/2021abca329.html?resultIndex=1" TargetMode="External"/><Relationship Id="rId44" Type="http://schemas.openxmlformats.org/officeDocument/2006/relationships/hyperlink" Target="https://www.canlii.org/en/bc/bcca/doc/2021/2021bcca419/2021bcca419.html" TargetMode="External"/><Relationship Id="rId52" Type="http://schemas.openxmlformats.org/officeDocument/2006/relationships/header" Target="header7.xml"/><Relationship Id="rId60" Type="http://schemas.openxmlformats.org/officeDocument/2006/relationships/footer" Target="footer10.xml"/><Relationship Id="rId65" Type="http://schemas.openxmlformats.org/officeDocument/2006/relationships/header" Target="header12.xml"/><Relationship Id="rId73" Type="http://schemas.openxmlformats.org/officeDocument/2006/relationships/hyperlink" Target="https://www.scc-csc.ca/case-dossier/info/sum-som-eng.aspx?cas=39439" TargetMode="External"/><Relationship Id="rId78" Type="http://schemas.openxmlformats.org/officeDocument/2006/relationships/footer" Target="footer16.xml"/><Relationship Id="rId8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sc/doc/2020/2020onsc1924/2020onsc1924.html" TargetMode="External"/><Relationship Id="rId27" Type="http://schemas.openxmlformats.org/officeDocument/2006/relationships/hyperlink" Target="https://www.canlii.org/en/mb/mbls/doc/2019/2019mbls13/2019mbls13.html" TargetMode="External"/><Relationship Id="rId30" Type="http://schemas.openxmlformats.org/officeDocument/2006/relationships/hyperlink" Target="https://www.canlii.org/en/ab/abqb/doc/2020/2020abqb765/2020abqb765.html?resultIndex=1" TargetMode="External"/><Relationship Id="rId35" Type="http://schemas.openxmlformats.org/officeDocument/2006/relationships/hyperlink" Target="https://www.canlii.org/en/bc/bcsc/doc/2015/2015bcsc763/2015bcsc763.html" TargetMode="External"/><Relationship Id="rId43" Type="http://schemas.openxmlformats.org/officeDocument/2006/relationships/hyperlink" Target="https://www.canlii.org/en/bc/bcca/doc/2021/2021bcca236/2021bcca236.html"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hyperlink" Target="https://decisions.scc-csc.ca/scc-csc/scc-csc/fr/item/19276/index.do" TargetMode="External"/><Relationship Id="rId69" Type="http://schemas.openxmlformats.org/officeDocument/2006/relationships/header" Target="header14.xml"/><Relationship Id="rId77"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s://www.scc-csc.ca/case-dossier/info/sum-som-eng.aspx?cas=39874" TargetMode="External"/><Relationship Id="rId80"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20/2020qccs4256/2020qccs4256.pdf" TargetMode="External"/><Relationship Id="rId25" Type="http://schemas.openxmlformats.org/officeDocument/2006/relationships/hyperlink" Target="https://www.canlii.org/en/mb/mbls/doc/2019/2019mbls13/2019mbls13.html" TargetMode="External"/><Relationship Id="rId33" Type="http://schemas.openxmlformats.org/officeDocument/2006/relationships/hyperlink" Target="https://www.canlii.org/en/ab/abqb/doc/2020/2020abqb765/2020abqb765.html?resultIndex=1" TargetMode="External"/><Relationship Id="rId38" Type="http://schemas.openxmlformats.org/officeDocument/2006/relationships/hyperlink" Target="https://www.canlii.org/en/bc/bcca/doc/2021/2021bcca236/2021bcca236.html" TargetMode="External"/><Relationship Id="rId46" Type="http://schemas.openxmlformats.org/officeDocument/2006/relationships/header" Target="header4.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canlii.org/en/on/onsc/doc/2020/2020onsc4464/2020onsc4464.html" TargetMode="External"/><Relationship Id="rId41" Type="http://schemas.openxmlformats.org/officeDocument/2006/relationships/hyperlink" Target="https://www.canlii.org/en/bc/bcca/doc/2018/2018bcca295/2018bcca295.html"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oter" Target="footer14.xml"/><Relationship Id="rId75" Type="http://schemas.openxmlformats.org/officeDocument/2006/relationships/header" Target="header1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20/2020qccs4256/2020qccs4256.pdf" TargetMode="External"/><Relationship Id="rId23" Type="http://schemas.openxmlformats.org/officeDocument/2006/relationships/hyperlink" Target="https://www.canlii.org/en/on/onsc/doc/2020/2020onsc4464/2020onsc4464.html" TargetMode="External"/><Relationship Id="rId28" Type="http://schemas.openxmlformats.org/officeDocument/2006/relationships/hyperlink" Target="https://www.canlii.org/en/mb/mbca/doc/2021/2021mbca70/2021mbca70.html" TargetMode="External"/><Relationship Id="rId36" Type="http://schemas.openxmlformats.org/officeDocument/2006/relationships/hyperlink" Target="https://www.canlii.org/en/bc/bcca/doc/2018/2018bcca295/2018bcca295.html" TargetMode="External"/><Relationship Id="rId49" Type="http://schemas.openxmlformats.org/officeDocument/2006/relationships/header" Target="header5.xml"/><Relationship Id="rId5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3CB4-E3A0-4FDE-8374-FA0D01A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22</Pages>
  <Words>8731</Words>
  <Characters>49769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2022-03-17T19:04:00Z</dcterms:created>
  <dcterms:modified xsi:type="dcterms:W3CDTF">2022-04-01T12:47:00Z</dcterms:modified>
</cp:coreProperties>
</file>