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7078A" w:rsidTr="00F138C1">
        <w:tc>
          <w:tcPr>
            <w:tcW w:w="9648" w:type="dxa"/>
            <w:gridSpan w:val="3"/>
          </w:tcPr>
          <w:p w:rsidR="008C2D9E" w:rsidRPr="00F7078A" w:rsidRDefault="008C2D9E" w:rsidP="00F138C1">
            <w:pPr>
              <w:tabs>
                <w:tab w:val="left" w:pos="6075"/>
              </w:tabs>
              <w:jc w:val="center"/>
              <w:rPr>
                <w:b/>
                <w:sz w:val="32"/>
                <w:szCs w:val="32"/>
                <w:lang w:val="fr-CA"/>
              </w:rPr>
            </w:pPr>
            <w:r w:rsidRPr="00F7078A">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F7078A" w:rsidRDefault="008C2D9E" w:rsidP="00F138C1">
            <w:pPr>
              <w:tabs>
                <w:tab w:val="left" w:pos="6075"/>
              </w:tabs>
              <w:jc w:val="center"/>
              <w:rPr>
                <w:b/>
                <w:sz w:val="32"/>
                <w:szCs w:val="32"/>
                <w:lang w:val="fr-CA"/>
              </w:rPr>
            </w:pPr>
          </w:p>
        </w:tc>
      </w:tr>
      <w:tr w:rsidR="00F138C1" w:rsidRPr="00F7078A" w:rsidTr="00F138C1">
        <w:tc>
          <w:tcPr>
            <w:tcW w:w="4599" w:type="dxa"/>
            <w:tcMar>
              <w:top w:w="284" w:type="dxa"/>
            </w:tcMar>
          </w:tcPr>
          <w:p w:rsidR="00F138C1" w:rsidRPr="00F7078A" w:rsidRDefault="00F138C1" w:rsidP="00F138C1">
            <w:pPr>
              <w:tabs>
                <w:tab w:val="left" w:pos="6075"/>
              </w:tabs>
              <w:jc w:val="center"/>
              <w:rPr>
                <w:b/>
                <w:sz w:val="32"/>
                <w:szCs w:val="32"/>
              </w:rPr>
            </w:pPr>
            <w:r w:rsidRPr="00F7078A">
              <w:rPr>
                <w:b/>
                <w:sz w:val="32"/>
                <w:szCs w:val="32"/>
              </w:rPr>
              <w:t>SUPREME COURT OF CANADA</w:t>
            </w:r>
          </w:p>
        </w:tc>
        <w:tc>
          <w:tcPr>
            <w:tcW w:w="483" w:type="dxa"/>
          </w:tcPr>
          <w:p w:rsidR="00F138C1" w:rsidRPr="00F7078A" w:rsidRDefault="00F138C1" w:rsidP="00F138C1">
            <w:pPr>
              <w:tabs>
                <w:tab w:val="left" w:pos="6075"/>
              </w:tabs>
              <w:jc w:val="center"/>
              <w:rPr>
                <w:sz w:val="32"/>
                <w:szCs w:val="32"/>
              </w:rPr>
            </w:pPr>
          </w:p>
        </w:tc>
        <w:tc>
          <w:tcPr>
            <w:tcW w:w="4566" w:type="dxa"/>
            <w:tcMar>
              <w:top w:w="284" w:type="dxa"/>
            </w:tcMar>
          </w:tcPr>
          <w:p w:rsidR="00F138C1" w:rsidRPr="00F7078A" w:rsidRDefault="00F138C1" w:rsidP="00F138C1">
            <w:pPr>
              <w:tabs>
                <w:tab w:val="left" w:pos="6075"/>
              </w:tabs>
              <w:jc w:val="center"/>
              <w:rPr>
                <w:b/>
                <w:sz w:val="32"/>
                <w:szCs w:val="32"/>
                <w:lang w:val="fr-CA"/>
              </w:rPr>
            </w:pPr>
            <w:r w:rsidRPr="00F7078A">
              <w:rPr>
                <w:b/>
                <w:sz w:val="32"/>
                <w:szCs w:val="32"/>
                <w:lang w:val="fr-CA"/>
              </w:rPr>
              <w:t>COUR SUPRÊME DU CANADA</w:t>
            </w:r>
          </w:p>
        </w:tc>
      </w:tr>
      <w:tr w:rsidR="00F138C1" w:rsidRPr="00F7078A" w:rsidTr="00F138C1">
        <w:tc>
          <w:tcPr>
            <w:tcW w:w="4599" w:type="dxa"/>
            <w:tcMar>
              <w:top w:w="567" w:type="dxa"/>
            </w:tcMar>
          </w:tcPr>
          <w:p w:rsidR="00F138C1" w:rsidRPr="00F7078A" w:rsidRDefault="00F138C1" w:rsidP="00F138C1">
            <w:pPr>
              <w:tabs>
                <w:tab w:val="left" w:pos="6075"/>
              </w:tabs>
              <w:jc w:val="center"/>
              <w:rPr>
                <w:sz w:val="28"/>
                <w:szCs w:val="28"/>
              </w:rPr>
            </w:pPr>
            <w:r w:rsidRPr="00F7078A">
              <w:rPr>
                <w:sz w:val="28"/>
                <w:szCs w:val="28"/>
              </w:rPr>
              <w:t>BULLETIN OF</w:t>
            </w:r>
            <w:r w:rsidRPr="00F7078A">
              <w:rPr>
                <w:sz w:val="28"/>
                <w:szCs w:val="28"/>
              </w:rPr>
              <w:br/>
              <w:t xml:space="preserve"> PROCEEDINGS</w:t>
            </w:r>
          </w:p>
        </w:tc>
        <w:tc>
          <w:tcPr>
            <w:tcW w:w="483" w:type="dxa"/>
          </w:tcPr>
          <w:p w:rsidR="00F138C1" w:rsidRPr="00F7078A" w:rsidRDefault="00F138C1" w:rsidP="00F138C1">
            <w:pPr>
              <w:tabs>
                <w:tab w:val="left" w:pos="6075"/>
              </w:tabs>
            </w:pPr>
          </w:p>
        </w:tc>
        <w:tc>
          <w:tcPr>
            <w:tcW w:w="4566" w:type="dxa"/>
            <w:tcMar>
              <w:top w:w="567" w:type="dxa"/>
            </w:tcMar>
          </w:tcPr>
          <w:p w:rsidR="00F138C1" w:rsidRPr="00F7078A" w:rsidRDefault="00F138C1" w:rsidP="00F138C1">
            <w:pPr>
              <w:tabs>
                <w:tab w:val="left" w:pos="6075"/>
              </w:tabs>
              <w:jc w:val="center"/>
              <w:rPr>
                <w:sz w:val="28"/>
                <w:szCs w:val="28"/>
                <w:lang w:val="fr-CA"/>
              </w:rPr>
            </w:pPr>
            <w:r w:rsidRPr="00F7078A">
              <w:rPr>
                <w:sz w:val="28"/>
                <w:szCs w:val="28"/>
                <w:lang w:val="fr-CA"/>
              </w:rPr>
              <w:t>BULLETIN DES</w:t>
            </w:r>
            <w:r w:rsidRPr="00F7078A">
              <w:rPr>
                <w:sz w:val="28"/>
                <w:szCs w:val="28"/>
                <w:lang w:val="fr-CA"/>
              </w:rPr>
              <w:br/>
              <w:t xml:space="preserve"> PROCÉDURES</w:t>
            </w:r>
          </w:p>
        </w:tc>
      </w:tr>
      <w:tr w:rsidR="00F138C1" w:rsidRPr="008075AD" w:rsidTr="00F138C1">
        <w:tc>
          <w:tcPr>
            <w:tcW w:w="4599" w:type="dxa"/>
            <w:tcMar>
              <w:top w:w="567" w:type="dxa"/>
            </w:tcMar>
          </w:tcPr>
          <w:p w:rsidR="00F138C1" w:rsidRPr="00F7078A" w:rsidRDefault="00F138C1" w:rsidP="00F138C1">
            <w:pPr>
              <w:tabs>
                <w:tab w:val="left" w:pos="6075"/>
              </w:tabs>
              <w:jc w:val="both"/>
              <w:rPr>
                <w:rFonts w:ascii="Arial" w:hAnsi="Arial" w:cs="Arial"/>
                <w:i/>
                <w:sz w:val="20"/>
                <w:szCs w:val="20"/>
              </w:rPr>
            </w:pPr>
            <w:r w:rsidRPr="00F7078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7078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7078A" w:rsidRDefault="00F138C1" w:rsidP="00F138C1">
            <w:pPr>
              <w:tabs>
                <w:tab w:val="left" w:pos="6075"/>
              </w:tabs>
              <w:jc w:val="both"/>
              <w:rPr>
                <w:rFonts w:ascii="Arial" w:hAnsi="Arial" w:cs="Arial"/>
                <w:i/>
                <w:sz w:val="20"/>
                <w:szCs w:val="20"/>
                <w:lang w:val="fr-CA"/>
              </w:rPr>
            </w:pPr>
            <w:r w:rsidRPr="00F7078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075AD" w:rsidTr="00F138C1">
        <w:tc>
          <w:tcPr>
            <w:tcW w:w="4599" w:type="dxa"/>
            <w:tcMar>
              <w:top w:w="567" w:type="dxa"/>
            </w:tcMar>
          </w:tcPr>
          <w:p w:rsidR="00F138C1" w:rsidRPr="00F7078A" w:rsidRDefault="00F138C1" w:rsidP="00F138C1">
            <w:pPr>
              <w:tabs>
                <w:tab w:val="left" w:pos="6075"/>
              </w:tabs>
              <w:jc w:val="both"/>
              <w:rPr>
                <w:rFonts w:ascii="Arial" w:hAnsi="Arial" w:cs="Arial"/>
                <w:i/>
                <w:sz w:val="20"/>
                <w:szCs w:val="20"/>
              </w:rPr>
            </w:pPr>
            <w:r w:rsidRPr="00F7078A">
              <w:rPr>
                <w:rFonts w:ascii="Arial" w:hAnsi="Arial" w:cs="Arial"/>
                <w:i/>
                <w:sz w:val="20"/>
                <w:szCs w:val="20"/>
              </w:rPr>
              <w:t>During Court sessions, the Bulletin is usually issued weekly.</w:t>
            </w:r>
          </w:p>
        </w:tc>
        <w:tc>
          <w:tcPr>
            <w:tcW w:w="483" w:type="dxa"/>
          </w:tcPr>
          <w:p w:rsidR="00F138C1" w:rsidRPr="00F7078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7078A" w:rsidRDefault="00F138C1" w:rsidP="00F138C1">
            <w:pPr>
              <w:tabs>
                <w:tab w:val="left" w:pos="6075"/>
              </w:tabs>
              <w:jc w:val="both"/>
              <w:rPr>
                <w:rFonts w:ascii="Arial" w:hAnsi="Arial" w:cs="Arial"/>
                <w:i/>
                <w:sz w:val="20"/>
                <w:szCs w:val="20"/>
                <w:lang w:val="fr-CA"/>
              </w:rPr>
            </w:pPr>
            <w:r w:rsidRPr="00F7078A">
              <w:rPr>
                <w:rFonts w:ascii="Arial" w:hAnsi="Arial" w:cs="Arial"/>
                <w:i/>
                <w:sz w:val="20"/>
                <w:szCs w:val="20"/>
                <w:lang w:val="fr-CA"/>
              </w:rPr>
              <w:t>Le Bulletin paraît en principe toutes les semaines pendant les sessions de la Cour.</w:t>
            </w:r>
          </w:p>
        </w:tc>
      </w:tr>
      <w:tr w:rsidR="00F138C1" w:rsidRPr="008075AD" w:rsidTr="00F138C1">
        <w:tc>
          <w:tcPr>
            <w:tcW w:w="4599" w:type="dxa"/>
            <w:tcMar>
              <w:top w:w="567" w:type="dxa"/>
            </w:tcMar>
          </w:tcPr>
          <w:p w:rsidR="00F138C1" w:rsidRPr="00F7078A" w:rsidRDefault="00F138C1" w:rsidP="00F138C1">
            <w:pPr>
              <w:tabs>
                <w:tab w:val="left" w:pos="6075"/>
              </w:tabs>
              <w:jc w:val="both"/>
              <w:rPr>
                <w:rFonts w:ascii="Arial" w:hAnsi="Arial" w:cs="Arial"/>
                <w:i/>
                <w:sz w:val="20"/>
                <w:szCs w:val="20"/>
              </w:rPr>
            </w:pPr>
            <w:r w:rsidRPr="00F7078A">
              <w:rPr>
                <w:rFonts w:ascii="Arial" w:hAnsi="Arial" w:cs="Arial"/>
                <w:i/>
                <w:sz w:val="20"/>
                <w:szCs w:val="20"/>
              </w:rPr>
              <w:fldChar w:fldCharType="begin"/>
            </w:r>
            <w:r w:rsidRPr="00F7078A">
              <w:rPr>
                <w:rFonts w:ascii="Arial" w:hAnsi="Arial" w:cs="Arial"/>
                <w:i/>
                <w:sz w:val="20"/>
                <w:szCs w:val="20"/>
              </w:rPr>
              <w:instrText xml:space="preserve"> SEQ CHAPTER \h \r 1</w:instrText>
            </w:r>
            <w:r w:rsidRPr="00F7078A">
              <w:rPr>
                <w:rFonts w:ascii="Arial" w:hAnsi="Arial" w:cs="Arial"/>
                <w:i/>
                <w:sz w:val="20"/>
                <w:szCs w:val="20"/>
              </w:rPr>
              <w:fldChar w:fldCharType="end"/>
            </w:r>
            <w:r w:rsidRPr="00F7078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F7078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7078A" w:rsidRDefault="00F138C1" w:rsidP="00F138C1">
            <w:pPr>
              <w:tabs>
                <w:tab w:val="left" w:pos="6075"/>
              </w:tabs>
              <w:jc w:val="both"/>
              <w:rPr>
                <w:rFonts w:ascii="Arial" w:hAnsi="Arial" w:cs="Arial"/>
                <w:i/>
                <w:sz w:val="20"/>
                <w:szCs w:val="20"/>
                <w:lang w:val="fr-CA"/>
              </w:rPr>
            </w:pPr>
            <w:r w:rsidRPr="00F7078A">
              <w:rPr>
                <w:rFonts w:ascii="Arial" w:hAnsi="Arial" w:cs="Arial"/>
                <w:i/>
                <w:sz w:val="20"/>
                <w:szCs w:val="20"/>
                <w:lang w:val="fr-CA"/>
              </w:rPr>
              <w:fldChar w:fldCharType="begin"/>
            </w:r>
            <w:r w:rsidRPr="00F7078A">
              <w:rPr>
                <w:rFonts w:ascii="Arial" w:hAnsi="Arial" w:cs="Arial"/>
                <w:i/>
                <w:sz w:val="20"/>
                <w:szCs w:val="20"/>
                <w:lang w:val="fr-CA"/>
              </w:rPr>
              <w:instrText xml:space="preserve"> SEQ CHAPTER \h \r 1</w:instrText>
            </w:r>
            <w:r w:rsidRPr="00F7078A">
              <w:rPr>
                <w:rFonts w:ascii="Arial" w:hAnsi="Arial" w:cs="Arial"/>
                <w:i/>
                <w:sz w:val="20"/>
                <w:szCs w:val="20"/>
                <w:lang w:val="fr-CA"/>
              </w:rPr>
              <w:fldChar w:fldCharType="end"/>
            </w:r>
            <w:r w:rsidRPr="00F7078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8075AD" w:rsidTr="00F138C1">
        <w:tc>
          <w:tcPr>
            <w:tcW w:w="4599" w:type="dxa"/>
            <w:tcMar>
              <w:top w:w="567" w:type="dxa"/>
            </w:tcMar>
          </w:tcPr>
          <w:p w:rsidR="00F138C1" w:rsidRPr="00F7078A" w:rsidRDefault="00F138C1" w:rsidP="00F138C1">
            <w:pPr>
              <w:tabs>
                <w:tab w:val="left" w:pos="6075"/>
              </w:tabs>
              <w:jc w:val="both"/>
              <w:rPr>
                <w:rFonts w:ascii="Arial" w:hAnsi="Arial" w:cs="Arial"/>
                <w:i/>
                <w:sz w:val="20"/>
                <w:szCs w:val="20"/>
              </w:rPr>
            </w:pPr>
            <w:r w:rsidRPr="00F7078A">
              <w:rPr>
                <w:rFonts w:ascii="Arial" w:hAnsi="Arial" w:cs="Arial"/>
                <w:i/>
                <w:sz w:val="20"/>
                <w:szCs w:val="20"/>
                <w:lang w:val="en-US"/>
              </w:rPr>
              <w:t>Please c</w:t>
            </w:r>
            <w:r w:rsidRPr="00F7078A">
              <w:rPr>
                <w:rFonts w:ascii="Arial" w:hAnsi="Arial" w:cs="Arial"/>
                <w:i/>
                <w:sz w:val="20"/>
                <w:szCs w:val="20"/>
              </w:rPr>
              <w:t xml:space="preserve">onsult the Supreme Court of Canada website at </w:t>
            </w:r>
            <w:hyperlink r:id="rId9" w:history="1">
              <w:r w:rsidRPr="00F7078A">
                <w:rPr>
                  <w:rStyle w:val="Hyperlink"/>
                  <w:rFonts w:ascii="Arial" w:hAnsi="Arial" w:cs="Arial"/>
                  <w:i/>
                  <w:sz w:val="20"/>
                  <w:szCs w:val="20"/>
                </w:rPr>
                <w:t>www.scc-csc.ca</w:t>
              </w:r>
            </w:hyperlink>
            <w:r w:rsidRPr="00F7078A">
              <w:rPr>
                <w:rFonts w:ascii="Arial" w:hAnsi="Arial" w:cs="Arial"/>
                <w:i/>
                <w:sz w:val="20"/>
                <w:szCs w:val="20"/>
              </w:rPr>
              <w:t xml:space="preserve"> for more information.</w:t>
            </w:r>
          </w:p>
        </w:tc>
        <w:tc>
          <w:tcPr>
            <w:tcW w:w="483" w:type="dxa"/>
          </w:tcPr>
          <w:p w:rsidR="00F138C1" w:rsidRPr="00F7078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7078A" w:rsidRDefault="00F138C1" w:rsidP="00F138C1">
            <w:pPr>
              <w:tabs>
                <w:tab w:val="left" w:pos="6075"/>
              </w:tabs>
              <w:jc w:val="both"/>
              <w:rPr>
                <w:rFonts w:ascii="Arial" w:hAnsi="Arial" w:cs="Arial"/>
                <w:i/>
                <w:sz w:val="20"/>
                <w:szCs w:val="20"/>
                <w:lang w:val="fr-CA"/>
              </w:rPr>
            </w:pPr>
            <w:r w:rsidRPr="00F7078A">
              <w:rPr>
                <w:rFonts w:ascii="Arial" w:hAnsi="Arial" w:cs="Arial"/>
                <w:i/>
                <w:sz w:val="20"/>
                <w:szCs w:val="20"/>
                <w:lang w:val="fr-CA"/>
              </w:rPr>
              <w:t xml:space="preserve">Pour de plus amples informations, veuillez consulter le site Web de la Cour suprême du Canada à l’adresse suivante : </w:t>
            </w:r>
            <w:hyperlink r:id="rId10" w:history="1">
              <w:r w:rsidRPr="00F7078A">
                <w:rPr>
                  <w:rStyle w:val="Hyperlink"/>
                  <w:rFonts w:ascii="Arial" w:hAnsi="Arial" w:cs="Arial"/>
                  <w:i/>
                  <w:sz w:val="20"/>
                  <w:szCs w:val="20"/>
                  <w:lang w:val="fr-CA"/>
                </w:rPr>
                <w:t>www.scc-csc.ca</w:t>
              </w:r>
            </w:hyperlink>
            <w:r w:rsidRPr="00F7078A">
              <w:rPr>
                <w:rFonts w:ascii="Arial" w:hAnsi="Arial" w:cs="Arial"/>
                <w:i/>
                <w:sz w:val="20"/>
                <w:szCs w:val="20"/>
                <w:lang w:val="fr-CA"/>
              </w:rPr>
              <w:t xml:space="preserve"> </w:t>
            </w:r>
          </w:p>
        </w:tc>
      </w:tr>
    </w:tbl>
    <w:p w:rsidR="00F138C1" w:rsidRPr="00F7078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7078A" w:rsidTr="00F138C1">
        <w:tc>
          <w:tcPr>
            <w:tcW w:w="2250" w:type="pct"/>
            <w:tcBorders>
              <w:top w:val="single" w:sz="4" w:space="0" w:color="auto"/>
            </w:tcBorders>
            <w:tcMar>
              <w:top w:w="284" w:type="dxa"/>
              <w:bottom w:w="284" w:type="dxa"/>
            </w:tcMar>
          </w:tcPr>
          <w:p w:rsidR="00F138C1" w:rsidRPr="00F7078A" w:rsidRDefault="00FC7090" w:rsidP="00132E30">
            <w:pPr>
              <w:tabs>
                <w:tab w:val="left" w:pos="6075"/>
              </w:tabs>
              <w:rPr>
                <w:rFonts w:ascii="Arial" w:hAnsi="Arial" w:cs="Arial"/>
                <w:i/>
                <w:sz w:val="20"/>
                <w:szCs w:val="20"/>
              </w:rPr>
            </w:pPr>
            <w:r w:rsidRPr="00F7078A">
              <w:rPr>
                <w:lang w:val="fr-CA"/>
              </w:rPr>
              <w:t>January</w:t>
            </w:r>
            <w:r w:rsidR="00F138C1" w:rsidRPr="00F7078A">
              <w:rPr>
                <w:lang w:val="fr-CA"/>
              </w:rPr>
              <w:t xml:space="preserve"> </w:t>
            </w:r>
            <w:r w:rsidR="00132E30" w:rsidRPr="00F7078A">
              <w:rPr>
                <w:lang w:val="fr-CA"/>
              </w:rPr>
              <w:t>20</w:t>
            </w:r>
            <w:r w:rsidR="00F138C1" w:rsidRPr="00F7078A">
              <w:rPr>
                <w:lang w:val="fr-CA"/>
              </w:rPr>
              <w:t>, 20</w:t>
            </w:r>
            <w:r w:rsidR="009B36BA" w:rsidRPr="00F7078A">
              <w:rPr>
                <w:lang w:val="fr-CA"/>
              </w:rPr>
              <w:t>2</w:t>
            </w:r>
            <w:r w:rsidRPr="00F7078A">
              <w:rPr>
                <w:lang w:val="fr-CA"/>
              </w:rPr>
              <w:t>3</w:t>
            </w:r>
          </w:p>
        </w:tc>
        <w:tc>
          <w:tcPr>
            <w:tcW w:w="500" w:type="pct"/>
            <w:tcBorders>
              <w:top w:val="single" w:sz="4" w:space="0" w:color="auto"/>
            </w:tcBorders>
            <w:tcMar>
              <w:top w:w="284" w:type="dxa"/>
              <w:bottom w:w="284" w:type="dxa"/>
            </w:tcMar>
          </w:tcPr>
          <w:p w:rsidR="00F138C1" w:rsidRPr="00F7078A" w:rsidRDefault="00F138C1" w:rsidP="00F7078A">
            <w:pPr>
              <w:tabs>
                <w:tab w:val="left" w:pos="6075"/>
              </w:tabs>
              <w:jc w:val="center"/>
              <w:rPr>
                <w:rFonts w:ascii="Arial" w:hAnsi="Arial" w:cs="Arial"/>
                <w:i/>
                <w:sz w:val="20"/>
                <w:szCs w:val="20"/>
              </w:rPr>
            </w:pPr>
            <w:r w:rsidRPr="00F7078A">
              <w:rPr>
                <w:lang w:val="fr-CA"/>
              </w:rPr>
              <w:t xml:space="preserve">1 - </w:t>
            </w:r>
            <w:r w:rsidR="00F7078A" w:rsidRPr="00F7078A">
              <w:rPr>
                <w:lang w:val="fr-CA"/>
              </w:rPr>
              <w:t>9</w:t>
            </w:r>
          </w:p>
        </w:tc>
        <w:tc>
          <w:tcPr>
            <w:tcW w:w="2250" w:type="pct"/>
            <w:tcBorders>
              <w:top w:val="single" w:sz="4" w:space="0" w:color="auto"/>
            </w:tcBorders>
            <w:tcMar>
              <w:top w:w="284" w:type="dxa"/>
              <w:bottom w:w="284" w:type="dxa"/>
            </w:tcMar>
          </w:tcPr>
          <w:p w:rsidR="00F138C1" w:rsidRPr="00F7078A" w:rsidRDefault="00F138C1" w:rsidP="00132E30">
            <w:pPr>
              <w:tabs>
                <w:tab w:val="left" w:pos="6075"/>
              </w:tabs>
              <w:jc w:val="right"/>
              <w:rPr>
                <w:rFonts w:ascii="Arial" w:hAnsi="Arial" w:cs="Arial"/>
                <w:i/>
                <w:sz w:val="20"/>
                <w:szCs w:val="20"/>
                <w:lang w:val="fr-CA"/>
              </w:rPr>
            </w:pPr>
            <w:r w:rsidRPr="00F7078A">
              <w:rPr>
                <w:lang w:val="fr-CA"/>
              </w:rPr>
              <w:t xml:space="preserve">Le </w:t>
            </w:r>
            <w:r w:rsidR="00132E30" w:rsidRPr="00F7078A">
              <w:rPr>
                <w:lang w:val="fr-CA"/>
              </w:rPr>
              <w:t>20</w:t>
            </w:r>
            <w:r w:rsidRPr="00F7078A">
              <w:rPr>
                <w:lang w:val="fr-CA"/>
              </w:rPr>
              <w:t xml:space="preserve"> </w:t>
            </w:r>
            <w:r w:rsidR="00FC7090" w:rsidRPr="00F7078A">
              <w:rPr>
                <w:lang w:val="fr-CA"/>
              </w:rPr>
              <w:t>janvier</w:t>
            </w:r>
            <w:r w:rsidR="00BE5B3E" w:rsidRPr="00F7078A">
              <w:rPr>
                <w:lang w:val="fr-CA"/>
              </w:rPr>
              <w:t xml:space="preserve"> </w:t>
            </w:r>
            <w:r w:rsidRPr="00F7078A">
              <w:rPr>
                <w:lang w:val="fr-CA"/>
              </w:rPr>
              <w:t>202</w:t>
            </w:r>
            <w:r w:rsidR="00FC7090" w:rsidRPr="00F7078A">
              <w:rPr>
                <w:lang w:val="fr-CA"/>
              </w:rPr>
              <w:t>3</w:t>
            </w:r>
          </w:p>
        </w:tc>
      </w:tr>
      <w:tr w:rsidR="00F138C1" w:rsidRPr="008075AD" w:rsidTr="00F138C1">
        <w:tc>
          <w:tcPr>
            <w:tcW w:w="2250" w:type="pct"/>
            <w:tcBorders>
              <w:bottom w:val="single" w:sz="4" w:space="0" w:color="auto"/>
            </w:tcBorders>
            <w:tcMar>
              <w:top w:w="284" w:type="dxa"/>
              <w:bottom w:w="284" w:type="dxa"/>
            </w:tcMar>
          </w:tcPr>
          <w:p w:rsidR="00F138C1" w:rsidRPr="00F7078A" w:rsidRDefault="00F138C1" w:rsidP="00FC7090">
            <w:pPr>
              <w:tabs>
                <w:tab w:val="left" w:pos="6075"/>
              </w:tabs>
              <w:rPr>
                <w:rFonts w:ascii="Arial" w:hAnsi="Arial" w:cs="Arial"/>
                <w:i/>
                <w:sz w:val="20"/>
                <w:szCs w:val="20"/>
              </w:rPr>
            </w:pPr>
            <w:r w:rsidRPr="00F7078A">
              <w:rPr>
                <w:sz w:val="18"/>
                <w:szCs w:val="18"/>
                <w:lang w:val="en-US"/>
              </w:rPr>
              <w:t>© Supreme Court of Canada (202</w:t>
            </w:r>
            <w:r w:rsidR="00FC7090" w:rsidRPr="00F7078A">
              <w:rPr>
                <w:sz w:val="18"/>
                <w:szCs w:val="18"/>
                <w:lang w:val="en-US"/>
              </w:rPr>
              <w:t>3</w:t>
            </w:r>
            <w:r w:rsidRPr="00F7078A">
              <w:rPr>
                <w:sz w:val="18"/>
                <w:szCs w:val="18"/>
                <w:lang w:val="en-US"/>
              </w:rPr>
              <w:t>)</w:t>
            </w:r>
            <w:r w:rsidRPr="00F7078A">
              <w:rPr>
                <w:sz w:val="18"/>
                <w:szCs w:val="18"/>
                <w:lang w:val="en-US"/>
              </w:rPr>
              <w:br/>
              <w:t>ISSN 1918-8358 (Online)</w:t>
            </w:r>
          </w:p>
        </w:tc>
        <w:tc>
          <w:tcPr>
            <w:tcW w:w="500" w:type="pct"/>
            <w:tcBorders>
              <w:bottom w:val="single" w:sz="4" w:space="0" w:color="auto"/>
            </w:tcBorders>
            <w:tcMar>
              <w:top w:w="284" w:type="dxa"/>
              <w:bottom w:w="284" w:type="dxa"/>
            </w:tcMar>
          </w:tcPr>
          <w:p w:rsidR="00F138C1" w:rsidRPr="00F7078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F7078A" w:rsidRDefault="00F138C1" w:rsidP="00FC7090">
            <w:pPr>
              <w:tabs>
                <w:tab w:val="left" w:pos="6075"/>
              </w:tabs>
              <w:jc w:val="right"/>
              <w:rPr>
                <w:rFonts w:ascii="Arial" w:hAnsi="Arial" w:cs="Arial"/>
                <w:i/>
                <w:sz w:val="20"/>
                <w:szCs w:val="20"/>
                <w:lang w:val="fr-CA"/>
              </w:rPr>
            </w:pPr>
            <w:r w:rsidRPr="00F7078A">
              <w:rPr>
                <w:sz w:val="18"/>
                <w:szCs w:val="18"/>
                <w:lang w:val="fr-CA"/>
              </w:rPr>
              <w:t>© Cour suprême du Canada (202</w:t>
            </w:r>
            <w:r w:rsidR="00FC7090" w:rsidRPr="00F7078A">
              <w:rPr>
                <w:sz w:val="18"/>
                <w:szCs w:val="18"/>
                <w:lang w:val="fr-CA"/>
              </w:rPr>
              <w:t>3</w:t>
            </w:r>
            <w:proofErr w:type="gramStart"/>
            <w:r w:rsidRPr="00F7078A">
              <w:rPr>
                <w:sz w:val="18"/>
                <w:szCs w:val="18"/>
                <w:lang w:val="fr-CA"/>
              </w:rPr>
              <w:t>)</w:t>
            </w:r>
            <w:proofErr w:type="gramEnd"/>
            <w:r w:rsidRPr="00F7078A">
              <w:rPr>
                <w:sz w:val="18"/>
                <w:szCs w:val="18"/>
                <w:lang w:val="fr-CA"/>
              </w:rPr>
              <w:br/>
              <w:t>ISSN 1918-8358 (En ligne)</w:t>
            </w:r>
          </w:p>
        </w:tc>
      </w:tr>
    </w:tbl>
    <w:p w:rsidR="0030050B" w:rsidRPr="00F7078A" w:rsidRDefault="0030050B" w:rsidP="00F138C1">
      <w:pPr>
        <w:tabs>
          <w:tab w:val="left" w:pos="6075"/>
        </w:tabs>
        <w:rPr>
          <w:lang w:val="fr-CA"/>
        </w:rPr>
      </w:pPr>
    </w:p>
    <w:p w:rsidR="00560DF1" w:rsidRPr="00F7078A" w:rsidRDefault="00560DF1" w:rsidP="0095096B">
      <w:pPr>
        <w:tabs>
          <w:tab w:val="right" w:pos="9360"/>
        </w:tabs>
        <w:rPr>
          <w:lang w:val="fr-CA"/>
        </w:rPr>
      </w:pPr>
    </w:p>
    <w:p w:rsidR="00F138C1" w:rsidRPr="00F7078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7078A" w:rsidRDefault="00DC6B2E" w:rsidP="00693C38">
          <w:pPr>
            <w:pStyle w:val="Title"/>
            <w:jc w:val="center"/>
            <w:rPr>
              <w:rFonts w:ascii="Times New Roman" w:hAnsi="Times New Roman" w:cs="Times New Roman"/>
              <w:b/>
              <w:sz w:val="24"/>
              <w:szCs w:val="28"/>
              <w:lang w:val="fr-CA"/>
            </w:rPr>
          </w:pPr>
          <w:r w:rsidRPr="00F7078A">
            <w:rPr>
              <w:rFonts w:ascii="Times New Roman" w:hAnsi="Times New Roman" w:cs="Times New Roman"/>
              <w:b/>
              <w:sz w:val="24"/>
              <w:szCs w:val="28"/>
              <w:lang w:val="fr-CA"/>
            </w:rPr>
            <w:t>Contents</w:t>
          </w:r>
        </w:p>
        <w:p w:rsidR="00693C38" w:rsidRPr="00F7078A" w:rsidRDefault="00DC6B2E" w:rsidP="00693C38">
          <w:pPr>
            <w:jc w:val="center"/>
            <w:rPr>
              <w:b/>
              <w:szCs w:val="28"/>
              <w:lang w:val="fr-CA"/>
            </w:rPr>
          </w:pPr>
          <w:r w:rsidRPr="00F7078A">
            <w:rPr>
              <w:b/>
              <w:szCs w:val="28"/>
              <w:lang w:val="fr-CA"/>
            </w:rPr>
            <w:t>Table des matières</w:t>
          </w:r>
        </w:p>
        <w:p w:rsidR="00693C38" w:rsidRPr="00F7078A" w:rsidRDefault="00693C38" w:rsidP="00693C38">
          <w:pPr>
            <w:rPr>
              <w:lang w:val="fr-CA"/>
            </w:rPr>
          </w:pPr>
        </w:p>
        <w:p w:rsidR="00F7078A" w:rsidRPr="00F7078A" w:rsidRDefault="00DC6B2E">
          <w:pPr>
            <w:pStyle w:val="TOC1"/>
            <w:tabs>
              <w:tab w:val="right" w:leader="dot" w:pos="9638"/>
            </w:tabs>
            <w:rPr>
              <w:rFonts w:asciiTheme="minorHAnsi" w:eastAsiaTheme="minorEastAsia" w:hAnsiTheme="minorHAnsi"/>
              <w:noProof/>
              <w:sz w:val="22"/>
              <w:lang w:val="en-US"/>
            </w:rPr>
          </w:pPr>
          <w:r w:rsidRPr="00F7078A">
            <w:rPr>
              <w:b/>
              <w:bCs/>
              <w:noProof/>
            </w:rPr>
            <w:fldChar w:fldCharType="begin"/>
          </w:r>
          <w:r w:rsidRPr="00F7078A">
            <w:rPr>
              <w:b/>
              <w:bCs/>
              <w:noProof/>
            </w:rPr>
            <w:instrText xml:space="preserve"> TOC \o "1-3" \h \z \u </w:instrText>
          </w:r>
          <w:r w:rsidRPr="00F7078A">
            <w:rPr>
              <w:b/>
              <w:bCs/>
              <w:noProof/>
            </w:rPr>
            <w:fldChar w:fldCharType="separate"/>
          </w:r>
          <w:hyperlink w:anchor="_Toc125094995" w:history="1">
            <w:r w:rsidR="00F7078A" w:rsidRPr="00F7078A">
              <w:rPr>
                <w:rStyle w:val="Hyperlink"/>
                <w:noProof/>
                <w:lang w:val="fr-CA"/>
              </w:rPr>
              <w:t>Judgments on applications for leave /  Jugements rendus sur les demandes d’autorisation</w:t>
            </w:r>
            <w:r w:rsidR="00F7078A" w:rsidRPr="00F7078A">
              <w:rPr>
                <w:noProof/>
                <w:webHidden/>
              </w:rPr>
              <w:tab/>
            </w:r>
            <w:r w:rsidR="00F7078A" w:rsidRPr="00F7078A">
              <w:rPr>
                <w:noProof/>
                <w:webHidden/>
              </w:rPr>
              <w:fldChar w:fldCharType="begin"/>
            </w:r>
            <w:r w:rsidR="00F7078A" w:rsidRPr="00F7078A">
              <w:rPr>
                <w:noProof/>
                <w:webHidden/>
              </w:rPr>
              <w:instrText xml:space="preserve"> PAGEREF _Toc125094995 \h </w:instrText>
            </w:r>
            <w:r w:rsidR="00F7078A" w:rsidRPr="00F7078A">
              <w:rPr>
                <w:noProof/>
                <w:webHidden/>
              </w:rPr>
            </w:r>
            <w:r w:rsidR="00F7078A" w:rsidRPr="00F7078A">
              <w:rPr>
                <w:noProof/>
                <w:webHidden/>
              </w:rPr>
              <w:fldChar w:fldCharType="separate"/>
            </w:r>
            <w:r w:rsidR="00F7078A" w:rsidRPr="00F7078A">
              <w:rPr>
                <w:noProof/>
                <w:webHidden/>
              </w:rPr>
              <w:t>1</w:t>
            </w:r>
            <w:r w:rsidR="00F7078A" w:rsidRPr="00F7078A">
              <w:rPr>
                <w:noProof/>
                <w:webHidden/>
              </w:rPr>
              <w:fldChar w:fldCharType="end"/>
            </w:r>
          </w:hyperlink>
        </w:p>
        <w:p w:rsidR="00F7078A" w:rsidRPr="00F7078A" w:rsidRDefault="008075AD">
          <w:pPr>
            <w:pStyle w:val="TOC1"/>
            <w:tabs>
              <w:tab w:val="right" w:leader="dot" w:pos="9638"/>
            </w:tabs>
            <w:rPr>
              <w:rFonts w:asciiTheme="minorHAnsi" w:eastAsiaTheme="minorEastAsia" w:hAnsiTheme="minorHAnsi"/>
              <w:noProof/>
              <w:sz w:val="22"/>
              <w:lang w:val="en-US"/>
            </w:rPr>
          </w:pPr>
          <w:hyperlink w:anchor="_Toc125094996" w:history="1">
            <w:r w:rsidR="00F7078A" w:rsidRPr="00F7078A">
              <w:rPr>
                <w:rStyle w:val="Hyperlink"/>
                <w:noProof/>
                <w:lang w:val="fr-CA"/>
              </w:rPr>
              <w:t>Motions /  Requêtes</w:t>
            </w:r>
            <w:r w:rsidR="00F7078A" w:rsidRPr="00F7078A">
              <w:rPr>
                <w:noProof/>
                <w:webHidden/>
              </w:rPr>
              <w:tab/>
            </w:r>
            <w:r w:rsidR="00F7078A" w:rsidRPr="00F7078A">
              <w:rPr>
                <w:noProof/>
                <w:webHidden/>
              </w:rPr>
              <w:fldChar w:fldCharType="begin"/>
            </w:r>
            <w:r w:rsidR="00F7078A" w:rsidRPr="00F7078A">
              <w:rPr>
                <w:noProof/>
                <w:webHidden/>
              </w:rPr>
              <w:instrText xml:space="preserve"> PAGEREF _Toc125094996 \h </w:instrText>
            </w:r>
            <w:r w:rsidR="00F7078A" w:rsidRPr="00F7078A">
              <w:rPr>
                <w:noProof/>
                <w:webHidden/>
              </w:rPr>
            </w:r>
            <w:r w:rsidR="00F7078A" w:rsidRPr="00F7078A">
              <w:rPr>
                <w:noProof/>
                <w:webHidden/>
              </w:rPr>
              <w:fldChar w:fldCharType="separate"/>
            </w:r>
            <w:r w:rsidR="00F7078A" w:rsidRPr="00F7078A">
              <w:rPr>
                <w:noProof/>
                <w:webHidden/>
              </w:rPr>
              <w:t>7</w:t>
            </w:r>
            <w:r w:rsidR="00F7078A" w:rsidRPr="00F7078A">
              <w:rPr>
                <w:noProof/>
                <w:webHidden/>
              </w:rPr>
              <w:fldChar w:fldCharType="end"/>
            </w:r>
          </w:hyperlink>
        </w:p>
        <w:p w:rsidR="00F7078A" w:rsidRPr="00F7078A" w:rsidRDefault="008075AD">
          <w:pPr>
            <w:pStyle w:val="TOC1"/>
            <w:tabs>
              <w:tab w:val="right" w:leader="dot" w:pos="9638"/>
            </w:tabs>
            <w:rPr>
              <w:rFonts w:asciiTheme="minorHAnsi" w:eastAsiaTheme="minorEastAsia" w:hAnsiTheme="minorHAnsi"/>
              <w:noProof/>
              <w:sz w:val="22"/>
              <w:lang w:val="en-US"/>
            </w:rPr>
          </w:pPr>
          <w:hyperlink w:anchor="_Toc125094997" w:history="1">
            <w:r w:rsidR="00F7078A" w:rsidRPr="00F7078A">
              <w:rPr>
                <w:rStyle w:val="Hyperlink"/>
                <w:noProof/>
                <w:lang w:val="fr-CA"/>
              </w:rPr>
              <w:t>Appeals heard since the last issue and disposition /  Appels entendus depuis la dernière parution et résultat</w:t>
            </w:r>
            <w:r w:rsidR="00F7078A" w:rsidRPr="00F7078A">
              <w:rPr>
                <w:noProof/>
                <w:webHidden/>
              </w:rPr>
              <w:tab/>
            </w:r>
            <w:r w:rsidR="00F7078A" w:rsidRPr="00F7078A">
              <w:rPr>
                <w:noProof/>
                <w:webHidden/>
              </w:rPr>
              <w:fldChar w:fldCharType="begin"/>
            </w:r>
            <w:r w:rsidR="00F7078A" w:rsidRPr="00F7078A">
              <w:rPr>
                <w:noProof/>
                <w:webHidden/>
              </w:rPr>
              <w:instrText xml:space="preserve"> PAGEREF _Toc125094997 \h </w:instrText>
            </w:r>
            <w:r w:rsidR="00F7078A" w:rsidRPr="00F7078A">
              <w:rPr>
                <w:noProof/>
                <w:webHidden/>
              </w:rPr>
            </w:r>
            <w:r w:rsidR="00F7078A" w:rsidRPr="00F7078A">
              <w:rPr>
                <w:noProof/>
                <w:webHidden/>
              </w:rPr>
              <w:fldChar w:fldCharType="separate"/>
            </w:r>
            <w:r w:rsidR="00F7078A" w:rsidRPr="00F7078A">
              <w:rPr>
                <w:noProof/>
                <w:webHidden/>
              </w:rPr>
              <w:t>9</w:t>
            </w:r>
            <w:r w:rsidR="00F7078A" w:rsidRPr="00F7078A">
              <w:rPr>
                <w:noProof/>
                <w:webHidden/>
              </w:rPr>
              <w:fldChar w:fldCharType="end"/>
            </w:r>
          </w:hyperlink>
        </w:p>
        <w:p w:rsidR="00560DF1" w:rsidRPr="00F7078A" w:rsidRDefault="00DC6B2E">
          <w:r w:rsidRPr="00F7078A">
            <w:rPr>
              <w:b/>
              <w:bCs/>
              <w:noProof/>
              <w:sz w:val="20"/>
            </w:rPr>
            <w:fldChar w:fldCharType="end"/>
          </w:r>
        </w:p>
      </w:sdtContent>
    </w:sdt>
    <w:p w:rsidR="00560DF1" w:rsidRPr="00F7078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8075AD" w:rsidTr="00F138C1">
        <w:trPr>
          <w:jc w:val="center"/>
        </w:trPr>
        <w:tc>
          <w:tcPr>
            <w:tcW w:w="9638" w:type="dxa"/>
          </w:tcPr>
          <w:p w:rsidR="00F138C1" w:rsidRPr="00F7078A" w:rsidRDefault="00F138C1" w:rsidP="00F138C1">
            <w:pPr>
              <w:keepNext/>
              <w:tabs>
                <w:tab w:val="right" w:pos="9360"/>
              </w:tabs>
              <w:spacing w:after="120"/>
              <w:jc w:val="center"/>
              <w:rPr>
                <w:szCs w:val="24"/>
              </w:rPr>
            </w:pPr>
            <w:r w:rsidRPr="00F7078A">
              <w:rPr>
                <w:szCs w:val="24"/>
              </w:rPr>
              <w:t>NOTICE</w:t>
            </w:r>
          </w:p>
          <w:p w:rsidR="00F138C1" w:rsidRPr="00F7078A" w:rsidRDefault="00F138C1" w:rsidP="00F138C1">
            <w:pPr>
              <w:keepNext/>
              <w:tabs>
                <w:tab w:val="right" w:pos="9360"/>
              </w:tabs>
              <w:spacing w:after="120"/>
              <w:jc w:val="both"/>
              <w:rPr>
                <w:szCs w:val="24"/>
              </w:rPr>
            </w:pPr>
            <w:r w:rsidRPr="00F7078A">
              <w:rPr>
                <w:szCs w:val="24"/>
              </w:rPr>
              <w:t>Case summaries included in the Bulletin are prepared by the Office of the Registrar of the Supreme Court of Canada (Law Branch) for information purposes only.</w:t>
            </w:r>
          </w:p>
          <w:p w:rsidR="00F138C1" w:rsidRPr="00F7078A" w:rsidRDefault="00F138C1" w:rsidP="00F138C1">
            <w:pPr>
              <w:keepNext/>
              <w:tabs>
                <w:tab w:val="right" w:pos="9360"/>
              </w:tabs>
              <w:spacing w:after="120"/>
              <w:jc w:val="center"/>
              <w:rPr>
                <w:szCs w:val="24"/>
                <w:lang w:val="fr-CA"/>
              </w:rPr>
            </w:pPr>
            <w:r w:rsidRPr="00F7078A">
              <w:rPr>
                <w:szCs w:val="24"/>
                <w:lang w:val="fr-CA"/>
              </w:rPr>
              <w:t>AVIS</w:t>
            </w:r>
          </w:p>
          <w:p w:rsidR="00F138C1" w:rsidRPr="00F7078A" w:rsidRDefault="00F138C1" w:rsidP="00F138C1">
            <w:pPr>
              <w:keepNext/>
              <w:tabs>
                <w:tab w:val="right" w:pos="9360"/>
              </w:tabs>
              <w:spacing w:after="120"/>
              <w:jc w:val="both"/>
              <w:rPr>
                <w:sz w:val="20"/>
                <w:szCs w:val="20"/>
                <w:lang w:val="fr-CA"/>
              </w:rPr>
            </w:pPr>
            <w:r w:rsidRPr="00F7078A">
              <w:rPr>
                <w:szCs w:val="24"/>
                <w:lang w:val="fr-CA"/>
              </w:rPr>
              <w:t>Les résumés des causes publiés dans le bulletin sont préparés par le Bureau du registraire (Direction générale du droit) uniquement à titre d’information.</w:t>
            </w:r>
          </w:p>
        </w:tc>
      </w:tr>
    </w:tbl>
    <w:p w:rsidR="00F138C1" w:rsidRPr="00F7078A" w:rsidRDefault="00F138C1" w:rsidP="00F138C1">
      <w:pPr>
        <w:tabs>
          <w:tab w:val="right" w:pos="9360"/>
        </w:tabs>
        <w:rPr>
          <w:lang w:val="fr-CA"/>
        </w:rPr>
      </w:pPr>
    </w:p>
    <w:p w:rsidR="00F138C1" w:rsidRPr="00F7078A" w:rsidRDefault="00F138C1" w:rsidP="00F138C1">
      <w:pPr>
        <w:tabs>
          <w:tab w:val="right" w:pos="9360"/>
        </w:tabs>
        <w:rPr>
          <w:lang w:val="fr-CA"/>
        </w:rPr>
      </w:pPr>
    </w:p>
    <w:p w:rsidR="00C01FCB" w:rsidRPr="00F7078A" w:rsidRDefault="00C01FCB" w:rsidP="0095096B">
      <w:pPr>
        <w:tabs>
          <w:tab w:val="right" w:pos="9360"/>
        </w:tabs>
        <w:rPr>
          <w:lang w:val="fr-CA"/>
        </w:rPr>
      </w:pPr>
    </w:p>
    <w:p w:rsidR="00A87207" w:rsidRPr="00F7078A" w:rsidRDefault="00A87207" w:rsidP="0095096B">
      <w:pPr>
        <w:tabs>
          <w:tab w:val="right" w:pos="9360"/>
        </w:tabs>
        <w:rPr>
          <w:lang w:val="fr-CA"/>
        </w:rPr>
        <w:sectPr w:rsidR="00A87207" w:rsidRPr="00F7078A" w:rsidSect="0044776A">
          <w:pgSz w:w="12240" w:h="15840"/>
          <w:pgMar w:top="720" w:right="1152" w:bottom="1080" w:left="1440" w:header="706" w:footer="706" w:gutter="0"/>
          <w:cols w:space="708"/>
          <w:titlePg/>
          <w:docGrid w:linePitch="360"/>
        </w:sectPr>
      </w:pPr>
    </w:p>
    <w:p w:rsidR="00693C38" w:rsidRPr="00F7078A" w:rsidRDefault="00DD0BDC" w:rsidP="00567602">
      <w:pPr>
        <w:pStyle w:val="Header1StyleE"/>
        <w:pBdr>
          <w:bottom w:val="single" w:sz="12" w:space="1" w:color="auto"/>
        </w:pBdr>
        <w:rPr>
          <w:lang w:val="fr-CA"/>
        </w:rPr>
      </w:pPr>
      <w:bookmarkStart w:id="0" w:name="QuickMark_1"/>
      <w:bookmarkStart w:id="1" w:name="_Toc125094995"/>
      <w:bookmarkEnd w:id="0"/>
      <w:r w:rsidRPr="00F7078A">
        <w:rPr>
          <w:lang w:val="fr-CA"/>
        </w:rPr>
        <w:lastRenderedPageBreak/>
        <w:t>Judgments on applications</w:t>
      </w:r>
      <w:r w:rsidR="000C1D9D" w:rsidRPr="00F7078A">
        <w:rPr>
          <w:lang w:val="fr-CA"/>
        </w:rPr>
        <w:t xml:space="preserve"> </w:t>
      </w:r>
      <w:r w:rsidRPr="00F7078A">
        <w:rPr>
          <w:lang w:val="fr-CA"/>
        </w:rPr>
        <w:t>for leave</w:t>
      </w:r>
      <w:r w:rsidR="00693C38" w:rsidRPr="00F7078A">
        <w:rPr>
          <w:noProof/>
          <w:sz w:val="20"/>
          <w:lang w:val="fr-CA"/>
        </w:rPr>
        <w:t xml:space="preserve"> </w:t>
      </w:r>
      <w:r w:rsidR="00271E1E" w:rsidRPr="00F7078A">
        <w:rPr>
          <w:noProof/>
          <w:sz w:val="20"/>
          <w:lang w:val="fr-CA"/>
        </w:rPr>
        <w:t xml:space="preserve">/ </w:t>
      </w:r>
      <w:r w:rsidR="00693C38" w:rsidRPr="00F7078A">
        <w:rPr>
          <w:noProof/>
          <w:sz w:val="20"/>
          <w:lang w:val="fr-CA"/>
        </w:rPr>
        <w:br/>
      </w:r>
      <w:r w:rsidRPr="00F7078A">
        <w:rPr>
          <w:lang w:val="fr-CA"/>
        </w:rPr>
        <w:t>Jugements rendus sur les demandes d’autorisation</w:t>
      </w:r>
      <w:bookmarkEnd w:id="1"/>
    </w:p>
    <w:p w:rsidR="00FB1DB6" w:rsidRPr="00F7078A" w:rsidRDefault="00FB1DB6" w:rsidP="00693C38">
      <w:pPr>
        <w:rPr>
          <w:sz w:val="20"/>
          <w:szCs w:val="20"/>
          <w:lang w:val="fr-CA"/>
        </w:rPr>
      </w:pPr>
    </w:p>
    <w:p w:rsidR="00F16063" w:rsidRPr="00F7078A" w:rsidRDefault="00FC7090" w:rsidP="00F16063">
      <w:pPr>
        <w:rPr>
          <w:b/>
          <w:sz w:val="20"/>
          <w:szCs w:val="20"/>
        </w:rPr>
      </w:pPr>
      <w:r w:rsidRPr="00F7078A">
        <w:rPr>
          <w:b/>
          <w:sz w:val="20"/>
          <w:szCs w:val="20"/>
        </w:rPr>
        <w:t>JANUARY</w:t>
      </w:r>
      <w:r w:rsidR="00F16063" w:rsidRPr="00F7078A">
        <w:rPr>
          <w:b/>
          <w:sz w:val="20"/>
          <w:szCs w:val="20"/>
        </w:rPr>
        <w:t xml:space="preserve"> </w:t>
      </w:r>
      <w:r w:rsidR="00691D1D" w:rsidRPr="00F7078A">
        <w:rPr>
          <w:b/>
          <w:sz w:val="20"/>
          <w:szCs w:val="20"/>
        </w:rPr>
        <w:t>1</w:t>
      </w:r>
      <w:r w:rsidR="00132E30" w:rsidRPr="00F7078A">
        <w:rPr>
          <w:b/>
          <w:sz w:val="20"/>
          <w:szCs w:val="20"/>
        </w:rPr>
        <w:t>9</w:t>
      </w:r>
      <w:r w:rsidR="00F16063" w:rsidRPr="00F7078A">
        <w:rPr>
          <w:b/>
          <w:sz w:val="20"/>
          <w:szCs w:val="20"/>
        </w:rPr>
        <w:t xml:space="preserve">, </w:t>
      </w:r>
      <w:r w:rsidR="0034657E" w:rsidRPr="00F7078A">
        <w:rPr>
          <w:b/>
          <w:sz w:val="20"/>
          <w:szCs w:val="20"/>
        </w:rPr>
        <w:t>20</w:t>
      </w:r>
      <w:r w:rsidR="005967EF" w:rsidRPr="00F7078A">
        <w:rPr>
          <w:b/>
          <w:sz w:val="20"/>
          <w:szCs w:val="20"/>
        </w:rPr>
        <w:t>2</w:t>
      </w:r>
      <w:r w:rsidRPr="00F7078A">
        <w:rPr>
          <w:b/>
          <w:sz w:val="20"/>
          <w:szCs w:val="20"/>
        </w:rPr>
        <w:t>3</w:t>
      </w:r>
      <w:r w:rsidR="00F16063" w:rsidRPr="00F7078A">
        <w:rPr>
          <w:b/>
          <w:sz w:val="20"/>
          <w:szCs w:val="20"/>
        </w:rPr>
        <w:t xml:space="preserve"> / LE </w:t>
      </w:r>
      <w:r w:rsidR="00691D1D" w:rsidRPr="00F7078A">
        <w:rPr>
          <w:b/>
          <w:sz w:val="20"/>
          <w:szCs w:val="20"/>
        </w:rPr>
        <w:t>1</w:t>
      </w:r>
      <w:r w:rsidR="00132E30" w:rsidRPr="00F7078A">
        <w:rPr>
          <w:b/>
          <w:sz w:val="20"/>
          <w:szCs w:val="20"/>
        </w:rPr>
        <w:t>9</w:t>
      </w:r>
      <w:r w:rsidR="002C13E1" w:rsidRPr="00F7078A">
        <w:rPr>
          <w:b/>
          <w:sz w:val="20"/>
          <w:szCs w:val="20"/>
        </w:rPr>
        <w:t xml:space="preserve"> </w:t>
      </w:r>
      <w:r w:rsidRPr="00F7078A">
        <w:rPr>
          <w:b/>
          <w:sz w:val="20"/>
          <w:szCs w:val="20"/>
        </w:rPr>
        <w:t>JANVIER</w:t>
      </w:r>
      <w:r w:rsidR="00F16063" w:rsidRPr="00F7078A">
        <w:rPr>
          <w:b/>
          <w:sz w:val="20"/>
          <w:szCs w:val="20"/>
        </w:rPr>
        <w:t xml:space="preserve"> </w:t>
      </w:r>
      <w:r w:rsidR="0034657E" w:rsidRPr="00F7078A">
        <w:rPr>
          <w:b/>
          <w:sz w:val="20"/>
          <w:szCs w:val="20"/>
        </w:rPr>
        <w:t>20</w:t>
      </w:r>
      <w:r w:rsidR="005967EF" w:rsidRPr="00F7078A">
        <w:rPr>
          <w:b/>
          <w:sz w:val="20"/>
          <w:szCs w:val="20"/>
        </w:rPr>
        <w:t>2</w:t>
      </w:r>
      <w:r w:rsidRPr="00F7078A">
        <w:rPr>
          <w:b/>
          <w:sz w:val="20"/>
          <w:szCs w:val="20"/>
        </w:rPr>
        <w:t>3</w:t>
      </w:r>
    </w:p>
    <w:p w:rsidR="0085735C" w:rsidRPr="00F7078A" w:rsidRDefault="0085735C" w:rsidP="0085735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35C" w:rsidRPr="00F7078A" w:rsidTr="005A2216">
        <w:tc>
          <w:tcPr>
            <w:tcW w:w="543" w:type="pct"/>
          </w:tcPr>
          <w:p w:rsidR="0085735C" w:rsidRPr="00F7078A" w:rsidRDefault="0085735C" w:rsidP="005A2216">
            <w:pPr>
              <w:jc w:val="both"/>
              <w:rPr>
                <w:sz w:val="20"/>
              </w:rPr>
            </w:pPr>
            <w:r w:rsidRPr="00F7078A">
              <w:rPr>
                <w:rStyle w:val="SCCFileNumberChar"/>
                <w:sz w:val="20"/>
                <w:szCs w:val="20"/>
              </w:rPr>
              <w:t>40209</w:t>
            </w:r>
          </w:p>
        </w:tc>
        <w:tc>
          <w:tcPr>
            <w:tcW w:w="4457" w:type="pct"/>
            <w:gridSpan w:val="3"/>
          </w:tcPr>
          <w:p w:rsidR="0085735C" w:rsidRPr="00F7078A" w:rsidRDefault="0085735C" w:rsidP="005A2216">
            <w:pPr>
              <w:pStyle w:val="SCCLsocParty"/>
              <w:jc w:val="both"/>
              <w:rPr>
                <w:b/>
                <w:sz w:val="20"/>
                <w:szCs w:val="20"/>
                <w:lang w:val="en-CA"/>
              </w:rPr>
            </w:pPr>
            <w:r w:rsidRPr="00F7078A">
              <w:rPr>
                <w:b/>
                <w:sz w:val="20"/>
                <w:szCs w:val="20"/>
                <w:lang w:val="en-CA"/>
              </w:rPr>
              <w:t>Leandro Azevedo v. His Majesty the King</w:t>
            </w:r>
          </w:p>
          <w:p w:rsidR="0085735C" w:rsidRPr="00F7078A" w:rsidRDefault="0085735C" w:rsidP="005A2216">
            <w:pPr>
              <w:jc w:val="both"/>
              <w:rPr>
                <w:sz w:val="20"/>
              </w:rPr>
            </w:pPr>
            <w:r w:rsidRPr="00F7078A">
              <w:rPr>
                <w:sz w:val="20"/>
              </w:rPr>
              <w:t>(Que.) (Criminal) (By Leave)</w:t>
            </w:r>
          </w:p>
        </w:tc>
      </w:tr>
      <w:tr w:rsidR="0085735C" w:rsidRPr="00F7078A" w:rsidTr="005A2216">
        <w:tc>
          <w:tcPr>
            <w:tcW w:w="5000" w:type="pct"/>
            <w:gridSpan w:val="4"/>
          </w:tcPr>
          <w:p w:rsidR="00CF3BF6" w:rsidRPr="00F7078A" w:rsidRDefault="00CF3BF6" w:rsidP="00CF3BF6">
            <w:pPr>
              <w:jc w:val="both"/>
              <w:rPr>
                <w:sz w:val="20"/>
                <w:szCs w:val="20"/>
              </w:rPr>
            </w:pPr>
            <w:r w:rsidRPr="00F7078A">
              <w:rPr>
                <w:sz w:val="20"/>
                <w:szCs w:val="20"/>
              </w:rPr>
              <w:t>The motion for extension of time to serve and file the application for leave to appeal is granted. The application for leave to appeal from the judgment of the</w:t>
            </w:r>
            <w:bookmarkStart w:id="2" w:name="BM_1_"/>
            <w:bookmarkEnd w:id="2"/>
            <w:r w:rsidRPr="00F7078A">
              <w:rPr>
                <w:sz w:val="20"/>
                <w:szCs w:val="20"/>
              </w:rPr>
              <w:t xml:space="preserve"> Court of Appeal of Quebec (Montréal), Number 500-10-007320-201, 2021 QCCA 1688, dated November 5, 2021, is dismissed.</w:t>
            </w:r>
          </w:p>
          <w:p w:rsidR="0085735C" w:rsidRPr="00F7078A" w:rsidRDefault="0085735C" w:rsidP="005A2216">
            <w:pPr>
              <w:jc w:val="both"/>
              <w:rPr>
                <w:sz w:val="20"/>
              </w:rPr>
            </w:pPr>
          </w:p>
        </w:tc>
      </w:tr>
      <w:tr w:rsidR="0085735C" w:rsidRPr="00F7078A" w:rsidTr="005A2216">
        <w:tc>
          <w:tcPr>
            <w:tcW w:w="5000" w:type="pct"/>
            <w:gridSpan w:val="4"/>
          </w:tcPr>
          <w:p w:rsidR="0085735C" w:rsidRPr="00F7078A" w:rsidRDefault="0085735C" w:rsidP="005A2216">
            <w:pPr>
              <w:jc w:val="both"/>
              <w:rPr>
                <w:smallCaps/>
                <w:sz w:val="20"/>
              </w:rPr>
            </w:pPr>
            <w:r w:rsidRPr="00F7078A">
              <w:rPr>
                <w:smallCaps/>
                <w:sz w:val="20"/>
              </w:rPr>
              <w:t>(Publication ban)</w:t>
            </w:r>
          </w:p>
          <w:p w:rsidR="0085735C" w:rsidRPr="00F7078A" w:rsidRDefault="0085735C" w:rsidP="005A2216">
            <w:pPr>
              <w:jc w:val="both"/>
              <w:rPr>
                <w:sz w:val="20"/>
              </w:rPr>
            </w:pPr>
          </w:p>
          <w:p w:rsidR="0085735C" w:rsidRPr="00F7078A" w:rsidRDefault="0085735C" w:rsidP="005A2216">
            <w:pPr>
              <w:jc w:val="both"/>
              <w:rPr>
                <w:sz w:val="20"/>
              </w:rPr>
            </w:pPr>
            <w:r w:rsidRPr="00F7078A">
              <w:rPr>
                <w:sz w:val="20"/>
              </w:rPr>
              <w:t>Criminal law — Sentencing — Long-term offender — Aggravating and mitigating factors — Offender’s mental health — Whether trial judge and Court of Appeal erred in law by unduly minimizing, at sentencing stage, applicant’s mental illness, namely post-traumatic stress disorder (PTSD) arising from his military past — Whether trial judge and Court of Appeal erred in law by focusing unduly on applicant’s personality traits, to detriment of mental illness (PTSD) arising from his military past — If mental illness (PTSD) contributes to acting out, whether judge should not consider it as relevant and determinative factor at sentencing stage — Whether trial judge erred in law in finding applicant to be long-term offender for period of 10 years without really taking account of fact that mental illness (PTSD) arising from his military past was factor in his acting out.</w:t>
            </w:r>
          </w:p>
        </w:tc>
      </w:tr>
      <w:tr w:rsidR="0085735C" w:rsidRPr="00F7078A" w:rsidTr="005A2216">
        <w:tc>
          <w:tcPr>
            <w:tcW w:w="5000" w:type="pct"/>
            <w:gridSpan w:val="4"/>
          </w:tcPr>
          <w:p w:rsidR="0085735C" w:rsidRPr="00F7078A" w:rsidRDefault="0085735C" w:rsidP="005A2216">
            <w:pPr>
              <w:jc w:val="both"/>
              <w:rPr>
                <w:sz w:val="20"/>
              </w:rPr>
            </w:pPr>
          </w:p>
          <w:p w:rsidR="0085735C" w:rsidRPr="00F7078A" w:rsidRDefault="0085735C" w:rsidP="005A2216">
            <w:pPr>
              <w:jc w:val="both"/>
              <w:rPr>
                <w:sz w:val="20"/>
              </w:rPr>
            </w:pPr>
            <w:r w:rsidRPr="00F7078A">
              <w:rPr>
                <w:sz w:val="20"/>
              </w:rPr>
              <w:t>The applicant was convicted of several counts of violent offences against two victims with whom he had been in conjugal relationships, as well as counts of breach of a recognizance and obstruction of justice. At the time of sentencing, the prosecution sought an aggregate sentence of imprisonment of 12 years and 90 days and applied to have the applicant found to be a long-term offender for the maximum period of 10 years. The applicant sought a sentence equal to the time spent in remand accompanied by a period of probation, and he opposed the application for a long-term offender order. The trial judge imposed an aggregate sentence of imprisonment of eight and a half years, minus the time already served by the applicant in remand.</w:t>
            </w:r>
            <w:r w:rsidRPr="00F7078A">
              <w:rPr>
                <w:sz w:val="20"/>
                <w:lang w:eastAsia="en-CA"/>
              </w:rPr>
              <w:t xml:space="preserve"> He found the applicant to be a long-term offender and ordered that he be subject to supervision for the maximum period of 10 years. The Court of Appeal dismissed the applicant’s appeal.</w:t>
            </w:r>
          </w:p>
        </w:tc>
      </w:tr>
      <w:tr w:rsidR="0085735C" w:rsidRPr="00F7078A" w:rsidTr="005A2216">
        <w:tc>
          <w:tcPr>
            <w:tcW w:w="5000" w:type="pct"/>
            <w:gridSpan w:val="4"/>
          </w:tcPr>
          <w:p w:rsidR="0085735C" w:rsidRPr="00F7078A" w:rsidRDefault="0085735C" w:rsidP="005A2216">
            <w:pPr>
              <w:jc w:val="both"/>
              <w:rPr>
                <w:sz w:val="20"/>
              </w:rPr>
            </w:pPr>
          </w:p>
        </w:tc>
      </w:tr>
      <w:tr w:rsidR="0085735C" w:rsidRPr="00F7078A" w:rsidTr="005A2216">
        <w:tc>
          <w:tcPr>
            <w:tcW w:w="2427" w:type="pct"/>
            <w:gridSpan w:val="2"/>
          </w:tcPr>
          <w:p w:rsidR="0085735C" w:rsidRPr="00F7078A" w:rsidRDefault="0085735C" w:rsidP="005A2216">
            <w:pPr>
              <w:jc w:val="both"/>
              <w:rPr>
                <w:sz w:val="20"/>
              </w:rPr>
            </w:pPr>
            <w:r w:rsidRPr="00F7078A">
              <w:rPr>
                <w:sz w:val="20"/>
              </w:rPr>
              <w:t>March 10, 2020</w:t>
            </w:r>
          </w:p>
          <w:p w:rsidR="0085735C" w:rsidRPr="00F7078A" w:rsidRDefault="0085735C" w:rsidP="005A2216">
            <w:pPr>
              <w:jc w:val="both"/>
              <w:rPr>
                <w:sz w:val="20"/>
              </w:rPr>
            </w:pPr>
            <w:r w:rsidRPr="00F7078A">
              <w:rPr>
                <w:sz w:val="20"/>
              </w:rPr>
              <w:t>Court of Québec</w:t>
            </w:r>
          </w:p>
          <w:p w:rsidR="0085735C" w:rsidRPr="00F7078A" w:rsidRDefault="0085735C" w:rsidP="005A2216">
            <w:pPr>
              <w:jc w:val="both"/>
              <w:rPr>
                <w:sz w:val="20"/>
              </w:rPr>
            </w:pPr>
            <w:r w:rsidRPr="00F7078A">
              <w:rPr>
                <w:sz w:val="20"/>
              </w:rPr>
              <w:t>(Judge Dalmau)</w:t>
            </w:r>
          </w:p>
          <w:p w:rsidR="0085735C" w:rsidRPr="00F7078A" w:rsidRDefault="008075AD" w:rsidP="005A2216">
            <w:pPr>
              <w:jc w:val="both"/>
              <w:rPr>
                <w:sz w:val="20"/>
              </w:rPr>
            </w:pPr>
            <w:hyperlink r:id="rId11" w:history="1">
              <w:r w:rsidR="0085735C" w:rsidRPr="00F7078A">
                <w:rPr>
                  <w:rStyle w:val="Hyperlink"/>
                  <w:sz w:val="20"/>
                </w:rPr>
                <w:t>2020 QCCQ 3129</w:t>
              </w:r>
            </w:hyperlink>
          </w:p>
          <w:p w:rsidR="0085735C" w:rsidRPr="00F7078A" w:rsidRDefault="0085735C" w:rsidP="005A2216">
            <w:pPr>
              <w:jc w:val="both"/>
              <w:rPr>
                <w:sz w:val="20"/>
              </w:rPr>
            </w:pPr>
          </w:p>
        </w:tc>
        <w:tc>
          <w:tcPr>
            <w:tcW w:w="243" w:type="pct"/>
          </w:tcPr>
          <w:p w:rsidR="0085735C" w:rsidRPr="00F7078A" w:rsidRDefault="0085735C" w:rsidP="005A2216">
            <w:pPr>
              <w:jc w:val="both"/>
              <w:rPr>
                <w:sz w:val="20"/>
              </w:rPr>
            </w:pPr>
          </w:p>
        </w:tc>
        <w:tc>
          <w:tcPr>
            <w:tcW w:w="2330" w:type="pct"/>
          </w:tcPr>
          <w:p w:rsidR="0085735C" w:rsidRPr="00F7078A" w:rsidRDefault="0085735C" w:rsidP="005A2216">
            <w:pPr>
              <w:jc w:val="both"/>
              <w:rPr>
                <w:sz w:val="20"/>
              </w:rPr>
            </w:pPr>
            <w:r w:rsidRPr="00F7078A">
              <w:rPr>
                <w:sz w:val="20"/>
              </w:rPr>
              <w:t>Aggregate sentence of imprisonment of eight and half years imposed and long-term offender order made with supervision for period of 10 years</w:t>
            </w:r>
          </w:p>
          <w:p w:rsidR="0085735C" w:rsidRPr="00F7078A" w:rsidRDefault="0085735C" w:rsidP="005A2216">
            <w:pPr>
              <w:jc w:val="both"/>
              <w:rPr>
                <w:sz w:val="20"/>
              </w:rPr>
            </w:pPr>
          </w:p>
        </w:tc>
      </w:tr>
      <w:tr w:rsidR="0085735C" w:rsidRPr="00F7078A" w:rsidTr="005A2216">
        <w:tc>
          <w:tcPr>
            <w:tcW w:w="2427" w:type="pct"/>
            <w:gridSpan w:val="2"/>
          </w:tcPr>
          <w:p w:rsidR="0085735C" w:rsidRPr="00F7078A" w:rsidRDefault="0085735C" w:rsidP="005A2216">
            <w:pPr>
              <w:jc w:val="both"/>
              <w:rPr>
                <w:sz w:val="20"/>
              </w:rPr>
            </w:pPr>
            <w:r w:rsidRPr="00F7078A">
              <w:rPr>
                <w:sz w:val="20"/>
              </w:rPr>
              <w:t>November 5, 2021</w:t>
            </w:r>
          </w:p>
          <w:p w:rsidR="0085735C" w:rsidRPr="00F7078A" w:rsidRDefault="0085735C" w:rsidP="005A2216">
            <w:pPr>
              <w:jc w:val="both"/>
              <w:rPr>
                <w:sz w:val="20"/>
              </w:rPr>
            </w:pPr>
            <w:r w:rsidRPr="00F7078A">
              <w:rPr>
                <w:sz w:val="20"/>
              </w:rPr>
              <w:t>Quebec Court of Appeal (Montréal)</w:t>
            </w:r>
          </w:p>
          <w:p w:rsidR="0085735C" w:rsidRPr="00F7078A" w:rsidRDefault="0085735C" w:rsidP="005A2216">
            <w:pPr>
              <w:jc w:val="both"/>
              <w:rPr>
                <w:sz w:val="20"/>
              </w:rPr>
            </w:pPr>
            <w:r w:rsidRPr="00F7078A">
              <w:rPr>
                <w:sz w:val="20"/>
              </w:rPr>
              <w:t>(Thibault, Gagnon and Bachand JJ.A.)</w:t>
            </w:r>
          </w:p>
          <w:p w:rsidR="0085735C" w:rsidRPr="00F7078A" w:rsidRDefault="008075AD" w:rsidP="005A2216">
            <w:pPr>
              <w:jc w:val="both"/>
              <w:rPr>
                <w:sz w:val="20"/>
              </w:rPr>
            </w:pPr>
            <w:hyperlink r:id="rId12" w:history="1">
              <w:r w:rsidR="0085735C" w:rsidRPr="00F7078A">
                <w:rPr>
                  <w:rStyle w:val="Hyperlink"/>
                  <w:sz w:val="20"/>
                </w:rPr>
                <w:t>2021 QCCA 1688</w:t>
              </w:r>
            </w:hyperlink>
          </w:p>
          <w:p w:rsidR="0085735C" w:rsidRPr="00F7078A" w:rsidRDefault="0085735C" w:rsidP="005A2216">
            <w:pPr>
              <w:jc w:val="both"/>
              <w:rPr>
                <w:sz w:val="20"/>
              </w:rPr>
            </w:pPr>
          </w:p>
        </w:tc>
        <w:tc>
          <w:tcPr>
            <w:tcW w:w="243" w:type="pct"/>
          </w:tcPr>
          <w:p w:rsidR="0085735C" w:rsidRPr="00F7078A" w:rsidRDefault="0085735C" w:rsidP="005A2216">
            <w:pPr>
              <w:jc w:val="both"/>
              <w:rPr>
                <w:sz w:val="20"/>
              </w:rPr>
            </w:pPr>
          </w:p>
        </w:tc>
        <w:tc>
          <w:tcPr>
            <w:tcW w:w="2330" w:type="pct"/>
          </w:tcPr>
          <w:p w:rsidR="0085735C" w:rsidRPr="00F7078A" w:rsidRDefault="0085735C" w:rsidP="005A2216">
            <w:pPr>
              <w:jc w:val="both"/>
              <w:rPr>
                <w:sz w:val="20"/>
              </w:rPr>
            </w:pPr>
            <w:r w:rsidRPr="00F7078A">
              <w:rPr>
                <w:sz w:val="20"/>
              </w:rPr>
              <w:t>Appeal dismissed</w:t>
            </w:r>
          </w:p>
          <w:p w:rsidR="0085735C" w:rsidRPr="00F7078A" w:rsidRDefault="0085735C" w:rsidP="005A2216">
            <w:pPr>
              <w:jc w:val="both"/>
              <w:rPr>
                <w:sz w:val="20"/>
              </w:rPr>
            </w:pPr>
          </w:p>
        </w:tc>
      </w:tr>
      <w:tr w:rsidR="0085735C" w:rsidRPr="00F7078A" w:rsidTr="005A2216">
        <w:tc>
          <w:tcPr>
            <w:tcW w:w="2427" w:type="pct"/>
            <w:gridSpan w:val="2"/>
          </w:tcPr>
          <w:p w:rsidR="0085735C" w:rsidRPr="00F7078A" w:rsidRDefault="0085735C" w:rsidP="005A2216">
            <w:pPr>
              <w:jc w:val="both"/>
              <w:rPr>
                <w:sz w:val="20"/>
              </w:rPr>
            </w:pPr>
            <w:r w:rsidRPr="00F7078A">
              <w:rPr>
                <w:sz w:val="20"/>
              </w:rPr>
              <w:t>June 1, 2022</w:t>
            </w:r>
          </w:p>
          <w:p w:rsidR="0085735C" w:rsidRPr="00F7078A" w:rsidRDefault="0085735C" w:rsidP="005A2216">
            <w:pPr>
              <w:jc w:val="both"/>
              <w:rPr>
                <w:sz w:val="20"/>
              </w:rPr>
            </w:pPr>
            <w:r w:rsidRPr="00F7078A">
              <w:rPr>
                <w:sz w:val="20"/>
              </w:rPr>
              <w:t>Supreme Court of Canada</w:t>
            </w:r>
          </w:p>
        </w:tc>
        <w:tc>
          <w:tcPr>
            <w:tcW w:w="243" w:type="pct"/>
          </w:tcPr>
          <w:p w:rsidR="0085735C" w:rsidRPr="00F7078A" w:rsidRDefault="0085735C" w:rsidP="005A2216">
            <w:pPr>
              <w:jc w:val="both"/>
              <w:rPr>
                <w:sz w:val="20"/>
              </w:rPr>
            </w:pPr>
          </w:p>
        </w:tc>
        <w:tc>
          <w:tcPr>
            <w:tcW w:w="2330" w:type="pct"/>
          </w:tcPr>
          <w:p w:rsidR="0085735C" w:rsidRPr="00F7078A" w:rsidRDefault="0085735C" w:rsidP="005A2216">
            <w:pPr>
              <w:jc w:val="both"/>
              <w:rPr>
                <w:sz w:val="20"/>
              </w:rPr>
            </w:pPr>
            <w:r w:rsidRPr="00F7078A">
              <w:rPr>
                <w:sz w:val="20"/>
              </w:rPr>
              <w:t>Motion to extend time to serve and file leave application and application for leave to appeal filed</w:t>
            </w:r>
          </w:p>
        </w:tc>
      </w:tr>
    </w:tbl>
    <w:p w:rsidR="0085735C" w:rsidRPr="00F7078A" w:rsidRDefault="0085735C" w:rsidP="0085735C">
      <w:pPr>
        <w:jc w:val="both"/>
        <w:rPr>
          <w:sz w:val="20"/>
        </w:rPr>
      </w:pPr>
    </w:p>
    <w:p w:rsidR="0085735C" w:rsidRPr="00F7078A" w:rsidRDefault="008075AD" w:rsidP="0085735C">
      <w:pPr>
        <w:jc w:val="both"/>
        <w:rPr>
          <w:sz w:val="20"/>
        </w:rPr>
      </w:pPr>
      <w:r>
        <w:rPr>
          <w:sz w:val="20"/>
        </w:rPr>
        <w:pict>
          <v:rect id="_x0000_i1025" style="width:2in;height:1pt" o:hrpct="0" o:hralign="center" o:hrstd="t" o:hrnoshade="t" o:hr="t" fillcolor="black [3213]" stroked="f"/>
        </w:pict>
      </w:r>
    </w:p>
    <w:p w:rsidR="0085735C" w:rsidRPr="00F7078A" w:rsidRDefault="0085735C" w:rsidP="008573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35C" w:rsidRPr="00F7078A" w:rsidTr="005A2216">
        <w:tc>
          <w:tcPr>
            <w:tcW w:w="543" w:type="pct"/>
          </w:tcPr>
          <w:p w:rsidR="0085735C" w:rsidRPr="00F7078A" w:rsidRDefault="0085735C" w:rsidP="005A2216">
            <w:pPr>
              <w:jc w:val="both"/>
              <w:rPr>
                <w:sz w:val="20"/>
              </w:rPr>
            </w:pPr>
            <w:r w:rsidRPr="00F7078A">
              <w:rPr>
                <w:rStyle w:val="SCCFileNumberChar"/>
                <w:sz w:val="20"/>
                <w:szCs w:val="20"/>
              </w:rPr>
              <w:t>40209</w:t>
            </w:r>
          </w:p>
        </w:tc>
        <w:tc>
          <w:tcPr>
            <w:tcW w:w="4457" w:type="pct"/>
            <w:gridSpan w:val="3"/>
          </w:tcPr>
          <w:p w:rsidR="0085735C" w:rsidRPr="00F7078A" w:rsidRDefault="0085735C" w:rsidP="005A2216">
            <w:pPr>
              <w:pStyle w:val="SCCLsocParty"/>
              <w:jc w:val="both"/>
              <w:rPr>
                <w:b/>
                <w:sz w:val="20"/>
                <w:szCs w:val="20"/>
              </w:rPr>
            </w:pPr>
            <w:r w:rsidRPr="00F7078A">
              <w:rPr>
                <w:b/>
                <w:sz w:val="20"/>
                <w:szCs w:val="20"/>
              </w:rPr>
              <w:t>Leandro Azevedo c. Sa Majesté le Roi</w:t>
            </w:r>
          </w:p>
          <w:p w:rsidR="0085735C" w:rsidRPr="00F7078A" w:rsidRDefault="0085735C" w:rsidP="005A2216">
            <w:pPr>
              <w:jc w:val="both"/>
              <w:rPr>
                <w:sz w:val="20"/>
              </w:rPr>
            </w:pPr>
            <w:r w:rsidRPr="00F7078A">
              <w:rPr>
                <w:sz w:val="20"/>
              </w:rPr>
              <w:t>(Qc) (Criminelle) (Autorisation)</w:t>
            </w:r>
          </w:p>
        </w:tc>
      </w:tr>
      <w:tr w:rsidR="0085735C" w:rsidRPr="008075AD" w:rsidTr="005A2216">
        <w:tc>
          <w:tcPr>
            <w:tcW w:w="5000" w:type="pct"/>
            <w:gridSpan w:val="4"/>
          </w:tcPr>
          <w:p w:rsidR="00CF3BF6" w:rsidRPr="00F7078A" w:rsidRDefault="00CF3BF6" w:rsidP="00CF3BF6">
            <w:pPr>
              <w:jc w:val="both"/>
              <w:rPr>
                <w:sz w:val="20"/>
                <w:szCs w:val="20"/>
                <w:lang w:val="fr-CA"/>
              </w:rPr>
            </w:pPr>
            <w:r w:rsidRPr="00F7078A">
              <w:rPr>
                <w:sz w:val="20"/>
                <w:szCs w:val="20"/>
                <w:lang w:val="fr-CA"/>
              </w:rPr>
              <w:t>La requête en prorogation du délai pour signifier et déposer la demande d’autorisation d’appel est accueillie. La demande d’autorisation d’appel de l’arrêt de la Cour d’appel du Québec (Montréal), numéro 500-10-007320-201, 2021 QCCA 1688, daté du 5 novembre 2021, est rejetée.</w:t>
            </w:r>
          </w:p>
          <w:p w:rsidR="0085735C" w:rsidRPr="00F7078A" w:rsidRDefault="0085735C" w:rsidP="005A2216">
            <w:pPr>
              <w:jc w:val="both"/>
              <w:rPr>
                <w:sz w:val="20"/>
                <w:lang w:val="fr-CA"/>
              </w:rPr>
            </w:pPr>
          </w:p>
        </w:tc>
      </w:tr>
      <w:tr w:rsidR="0085735C" w:rsidRPr="008075AD" w:rsidTr="005A2216">
        <w:tc>
          <w:tcPr>
            <w:tcW w:w="5000" w:type="pct"/>
            <w:gridSpan w:val="4"/>
          </w:tcPr>
          <w:p w:rsidR="0085735C" w:rsidRPr="00F7078A" w:rsidRDefault="0085735C" w:rsidP="005A2216">
            <w:pPr>
              <w:jc w:val="both"/>
              <w:rPr>
                <w:smallCaps/>
                <w:sz w:val="20"/>
                <w:lang w:val="fr-CA"/>
              </w:rPr>
            </w:pPr>
            <w:r w:rsidRPr="00F7078A">
              <w:rPr>
                <w:smallCaps/>
                <w:sz w:val="20"/>
                <w:lang w:val="fr-CA"/>
              </w:rPr>
              <w:lastRenderedPageBreak/>
              <w:t>(Ordonnance de non-publication)</w:t>
            </w:r>
          </w:p>
          <w:p w:rsidR="0085735C" w:rsidRPr="00F7078A" w:rsidRDefault="0085735C" w:rsidP="005A2216">
            <w:pPr>
              <w:jc w:val="both"/>
              <w:rPr>
                <w:sz w:val="20"/>
                <w:lang w:val="fr-CA"/>
              </w:rPr>
            </w:pPr>
          </w:p>
          <w:p w:rsidR="0085735C" w:rsidRPr="00F7078A" w:rsidRDefault="0085735C" w:rsidP="005A2216">
            <w:pPr>
              <w:jc w:val="both"/>
              <w:rPr>
                <w:sz w:val="20"/>
                <w:lang w:val="fr-CA"/>
              </w:rPr>
            </w:pPr>
            <w:r w:rsidRPr="00F7078A">
              <w:rPr>
                <w:sz w:val="20"/>
                <w:lang w:val="fr-CA"/>
              </w:rPr>
              <w:t>Droit criminel — Détermination de la peine — Délinquant à contrôler — Facteurs aggravants et atténuants — État de santé mentale du délinquant — Le juge de première instance et la Cour d’appel ont-ils commis une erreur de droit en minimisant de façon excessive, au stade de la sentence, la maladie mentale du demandeur, soit le trouble du stress post-traumatique (TSPT) issu de son passé militaire? — Le juge de première instance et la Cour d’appel ont-ils commis une erreur de droit en considérant de manière excessive les traits de personnalités du demandeur au détriment de la maladie mentale (TSPT) issue de son passé militaire? — Dès lors que la maladie mentale (TSPT) contribue au passage à l’acte, le juge ne devrait-il pas la considérer comme étant un facteur pertinent et déterminant au stade de la sentence? — Le juge de première instance a-t-il commis une erreur de droit en déclarant le demandeur délinquant à contrôler pour une durée de 10 ans sans véritablement tenir compte du fait que la maladie mentale (TSPT) issue de son passé militaire a été un facteur du passage à l’acte du demandeur?</w:t>
            </w:r>
          </w:p>
        </w:tc>
      </w:tr>
      <w:tr w:rsidR="0085735C" w:rsidRPr="00F7078A" w:rsidTr="005A2216">
        <w:tc>
          <w:tcPr>
            <w:tcW w:w="5000" w:type="pct"/>
            <w:gridSpan w:val="4"/>
          </w:tcPr>
          <w:p w:rsidR="0085735C" w:rsidRPr="00F7078A" w:rsidRDefault="0085735C" w:rsidP="005A2216">
            <w:pPr>
              <w:jc w:val="both"/>
              <w:rPr>
                <w:sz w:val="20"/>
                <w:lang w:val="fr-CA"/>
              </w:rPr>
            </w:pPr>
          </w:p>
          <w:p w:rsidR="0085735C" w:rsidRPr="00F7078A" w:rsidRDefault="0085735C" w:rsidP="005A2216">
            <w:pPr>
              <w:jc w:val="both"/>
              <w:rPr>
                <w:sz w:val="20"/>
              </w:rPr>
            </w:pPr>
            <w:r w:rsidRPr="00F7078A">
              <w:rPr>
                <w:sz w:val="20"/>
                <w:lang w:val="fr-CA"/>
              </w:rPr>
              <w:t xml:space="preserve">Le demandeur a été déclaré coupable de plusieurs chefs d’accusation d’infractions violentes à l’égard de deux victimes avec qui il a entretenu des relations conjugales, et de chefs de bris d’engagement et d’entrave à la justice. Lors de la détermination de la peine, la poursuite sollicite une peine globale de 12 ans et 90 jours d’emprisonnement et demande que le demandeur soit déclaré délinquant à contrôler pour la période maximale de 10 ans. Le demandeur réclame une peine équivalente au temps passé en détention provisoire, accompagnée d’une période de probation, et il s’oppose à la demande d’ordonnance de délinquant à contrôler. </w:t>
            </w:r>
            <w:r w:rsidRPr="00F7078A">
              <w:rPr>
                <w:sz w:val="20"/>
                <w:lang w:val="fr-CA" w:eastAsia="en-CA"/>
              </w:rPr>
              <w:t xml:space="preserve">Le juge de première instance impose une peine globale de huit ans et demi d’emprisonnement, moins le temps de détention provisoire déjà purgée par le demandeur. Il déclare le demandeur délinquant à contrôler et ordonne qu’il soit surveillé pour la période maximale de 10 ans. </w:t>
            </w:r>
            <w:r w:rsidRPr="00F7078A">
              <w:rPr>
                <w:sz w:val="20"/>
                <w:lang w:eastAsia="en-CA"/>
              </w:rPr>
              <w:t>La Cour d’appel rejette l’appel du demandeur.</w:t>
            </w:r>
          </w:p>
        </w:tc>
      </w:tr>
      <w:tr w:rsidR="0085735C" w:rsidRPr="00F7078A" w:rsidTr="005A2216">
        <w:tc>
          <w:tcPr>
            <w:tcW w:w="5000" w:type="pct"/>
            <w:gridSpan w:val="4"/>
          </w:tcPr>
          <w:p w:rsidR="0085735C" w:rsidRPr="00F7078A" w:rsidRDefault="0085735C" w:rsidP="005A2216">
            <w:pPr>
              <w:jc w:val="both"/>
              <w:rPr>
                <w:sz w:val="20"/>
              </w:rPr>
            </w:pPr>
          </w:p>
        </w:tc>
      </w:tr>
      <w:tr w:rsidR="0085735C" w:rsidRPr="008075AD" w:rsidTr="005A2216">
        <w:tc>
          <w:tcPr>
            <w:tcW w:w="2427" w:type="pct"/>
            <w:gridSpan w:val="2"/>
          </w:tcPr>
          <w:p w:rsidR="0085735C" w:rsidRPr="00F7078A" w:rsidRDefault="0085735C" w:rsidP="005A2216">
            <w:pPr>
              <w:jc w:val="both"/>
              <w:rPr>
                <w:sz w:val="20"/>
                <w:lang w:val="fr-CA"/>
              </w:rPr>
            </w:pPr>
            <w:r w:rsidRPr="00F7078A">
              <w:rPr>
                <w:sz w:val="20"/>
                <w:lang w:val="fr-CA"/>
              </w:rPr>
              <w:t>Le 10 mars 2020</w:t>
            </w:r>
          </w:p>
          <w:p w:rsidR="0085735C" w:rsidRPr="00F7078A" w:rsidRDefault="0085735C" w:rsidP="005A2216">
            <w:pPr>
              <w:jc w:val="both"/>
              <w:rPr>
                <w:sz w:val="20"/>
                <w:lang w:val="fr-CA"/>
              </w:rPr>
            </w:pPr>
            <w:r w:rsidRPr="00F7078A">
              <w:rPr>
                <w:sz w:val="20"/>
                <w:lang w:val="fr-CA"/>
              </w:rPr>
              <w:t>Cour du Québec</w:t>
            </w:r>
          </w:p>
          <w:p w:rsidR="0085735C" w:rsidRPr="00F7078A" w:rsidRDefault="0085735C" w:rsidP="005A2216">
            <w:pPr>
              <w:jc w:val="both"/>
              <w:rPr>
                <w:sz w:val="20"/>
                <w:lang w:val="fr-CA"/>
              </w:rPr>
            </w:pPr>
            <w:r w:rsidRPr="00F7078A">
              <w:rPr>
                <w:sz w:val="20"/>
                <w:lang w:val="fr-CA"/>
              </w:rPr>
              <w:t>(Le juge Dalmau)</w:t>
            </w:r>
          </w:p>
          <w:p w:rsidR="0085735C" w:rsidRPr="00F7078A" w:rsidRDefault="008075AD" w:rsidP="005A2216">
            <w:pPr>
              <w:jc w:val="both"/>
              <w:rPr>
                <w:sz w:val="20"/>
              </w:rPr>
            </w:pPr>
            <w:hyperlink r:id="rId13" w:history="1">
              <w:r w:rsidR="0085735C" w:rsidRPr="00F7078A">
                <w:rPr>
                  <w:rStyle w:val="Hyperlink"/>
                  <w:sz w:val="20"/>
                </w:rPr>
                <w:t>2020 QCCQ 3129</w:t>
              </w:r>
            </w:hyperlink>
          </w:p>
          <w:p w:rsidR="0085735C" w:rsidRPr="00F7078A" w:rsidRDefault="0085735C" w:rsidP="005A2216">
            <w:pPr>
              <w:jc w:val="both"/>
              <w:rPr>
                <w:sz w:val="20"/>
              </w:rPr>
            </w:pPr>
          </w:p>
        </w:tc>
        <w:tc>
          <w:tcPr>
            <w:tcW w:w="243" w:type="pct"/>
          </w:tcPr>
          <w:p w:rsidR="0085735C" w:rsidRPr="00F7078A" w:rsidRDefault="0085735C" w:rsidP="005A2216">
            <w:pPr>
              <w:jc w:val="both"/>
              <w:rPr>
                <w:sz w:val="20"/>
              </w:rPr>
            </w:pPr>
          </w:p>
        </w:tc>
        <w:tc>
          <w:tcPr>
            <w:tcW w:w="2330" w:type="pct"/>
          </w:tcPr>
          <w:p w:rsidR="0085735C" w:rsidRPr="00F7078A" w:rsidRDefault="0085735C" w:rsidP="005A2216">
            <w:pPr>
              <w:jc w:val="both"/>
              <w:rPr>
                <w:sz w:val="20"/>
                <w:lang w:val="fr-CA"/>
              </w:rPr>
            </w:pPr>
            <w:r w:rsidRPr="00F7078A">
              <w:rPr>
                <w:sz w:val="20"/>
                <w:lang w:val="fr-CA"/>
              </w:rPr>
              <w:t>Peine globale de huit ans et demi d’emprisonnement; ordonnance de délinquant à contrôler avec surveillance pour une période de 10 ans.</w:t>
            </w:r>
          </w:p>
          <w:p w:rsidR="0085735C" w:rsidRPr="00F7078A" w:rsidRDefault="0085735C" w:rsidP="005A2216">
            <w:pPr>
              <w:jc w:val="both"/>
              <w:rPr>
                <w:sz w:val="20"/>
                <w:lang w:val="fr-CA"/>
              </w:rPr>
            </w:pPr>
          </w:p>
        </w:tc>
      </w:tr>
      <w:tr w:rsidR="0085735C" w:rsidRPr="00F7078A" w:rsidTr="005A2216">
        <w:tc>
          <w:tcPr>
            <w:tcW w:w="2427" w:type="pct"/>
            <w:gridSpan w:val="2"/>
          </w:tcPr>
          <w:p w:rsidR="0085735C" w:rsidRPr="00F7078A" w:rsidRDefault="0085735C" w:rsidP="005A2216">
            <w:pPr>
              <w:jc w:val="both"/>
              <w:rPr>
                <w:sz w:val="20"/>
                <w:lang w:val="fr-CA"/>
              </w:rPr>
            </w:pPr>
            <w:r w:rsidRPr="00F7078A">
              <w:rPr>
                <w:sz w:val="20"/>
                <w:lang w:val="fr-CA"/>
              </w:rPr>
              <w:t>Le 5 novembre 2021</w:t>
            </w:r>
          </w:p>
          <w:p w:rsidR="0085735C" w:rsidRPr="00F7078A" w:rsidRDefault="0085735C" w:rsidP="005A2216">
            <w:pPr>
              <w:jc w:val="both"/>
              <w:rPr>
                <w:sz w:val="20"/>
                <w:lang w:val="fr-CA"/>
              </w:rPr>
            </w:pPr>
            <w:r w:rsidRPr="00F7078A">
              <w:rPr>
                <w:sz w:val="20"/>
                <w:lang w:val="fr-CA"/>
              </w:rPr>
              <w:t>Cour d’appel du Québec (Montréal)</w:t>
            </w:r>
          </w:p>
          <w:p w:rsidR="0085735C" w:rsidRPr="00F7078A" w:rsidRDefault="0085735C" w:rsidP="005A2216">
            <w:pPr>
              <w:jc w:val="both"/>
              <w:rPr>
                <w:sz w:val="20"/>
                <w:lang w:val="fr-CA"/>
              </w:rPr>
            </w:pPr>
            <w:r w:rsidRPr="00F7078A">
              <w:rPr>
                <w:sz w:val="20"/>
                <w:lang w:val="fr-CA"/>
              </w:rPr>
              <w:t>(Les juges Thibault, Gagnon et Bachand)</w:t>
            </w:r>
          </w:p>
          <w:p w:rsidR="0085735C" w:rsidRPr="00F7078A" w:rsidRDefault="008075AD" w:rsidP="005A2216">
            <w:pPr>
              <w:jc w:val="both"/>
              <w:rPr>
                <w:sz w:val="20"/>
              </w:rPr>
            </w:pPr>
            <w:hyperlink r:id="rId14" w:history="1">
              <w:r w:rsidR="0085735C" w:rsidRPr="00F7078A">
                <w:rPr>
                  <w:rStyle w:val="Hyperlink"/>
                  <w:sz w:val="20"/>
                </w:rPr>
                <w:t>2021 QCCA 1688</w:t>
              </w:r>
            </w:hyperlink>
          </w:p>
          <w:p w:rsidR="0085735C" w:rsidRPr="00F7078A" w:rsidRDefault="0085735C" w:rsidP="005A2216">
            <w:pPr>
              <w:jc w:val="both"/>
              <w:rPr>
                <w:sz w:val="20"/>
              </w:rPr>
            </w:pPr>
          </w:p>
        </w:tc>
        <w:tc>
          <w:tcPr>
            <w:tcW w:w="243" w:type="pct"/>
          </w:tcPr>
          <w:p w:rsidR="0085735C" w:rsidRPr="00F7078A" w:rsidRDefault="0085735C" w:rsidP="005A2216">
            <w:pPr>
              <w:jc w:val="both"/>
              <w:rPr>
                <w:sz w:val="20"/>
              </w:rPr>
            </w:pPr>
          </w:p>
        </w:tc>
        <w:tc>
          <w:tcPr>
            <w:tcW w:w="2330" w:type="pct"/>
          </w:tcPr>
          <w:p w:rsidR="0085735C" w:rsidRPr="00F7078A" w:rsidRDefault="0085735C" w:rsidP="005A2216">
            <w:pPr>
              <w:jc w:val="both"/>
              <w:rPr>
                <w:sz w:val="20"/>
              </w:rPr>
            </w:pPr>
            <w:r w:rsidRPr="00F7078A">
              <w:rPr>
                <w:sz w:val="20"/>
              </w:rPr>
              <w:t>Appel rejeté.</w:t>
            </w:r>
          </w:p>
          <w:p w:rsidR="0085735C" w:rsidRPr="00F7078A" w:rsidRDefault="0085735C" w:rsidP="005A2216">
            <w:pPr>
              <w:jc w:val="both"/>
              <w:rPr>
                <w:sz w:val="20"/>
              </w:rPr>
            </w:pPr>
          </w:p>
        </w:tc>
      </w:tr>
      <w:tr w:rsidR="0085735C" w:rsidRPr="008075AD" w:rsidTr="005A2216">
        <w:tc>
          <w:tcPr>
            <w:tcW w:w="2427" w:type="pct"/>
            <w:gridSpan w:val="2"/>
          </w:tcPr>
          <w:p w:rsidR="0085735C" w:rsidRPr="00F7078A" w:rsidRDefault="0085735C" w:rsidP="005A2216">
            <w:pPr>
              <w:jc w:val="both"/>
              <w:rPr>
                <w:sz w:val="20"/>
                <w:lang w:val="fr-CA"/>
              </w:rPr>
            </w:pPr>
            <w:r w:rsidRPr="00F7078A">
              <w:rPr>
                <w:sz w:val="20"/>
                <w:lang w:val="fr-CA"/>
              </w:rPr>
              <w:t>Le 1 juin 2022</w:t>
            </w:r>
          </w:p>
          <w:p w:rsidR="0085735C" w:rsidRPr="00F7078A" w:rsidRDefault="0085735C" w:rsidP="005A2216">
            <w:pPr>
              <w:jc w:val="both"/>
              <w:rPr>
                <w:sz w:val="20"/>
                <w:lang w:val="fr-CA"/>
              </w:rPr>
            </w:pPr>
            <w:r w:rsidRPr="00F7078A">
              <w:rPr>
                <w:sz w:val="20"/>
                <w:lang w:val="fr-CA"/>
              </w:rPr>
              <w:t>Cour suprême du Canada</w:t>
            </w:r>
          </w:p>
          <w:p w:rsidR="0085735C" w:rsidRPr="00F7078A" w:rsidRDefault="0085735C" w:rsidP="005A2216">
            <w:pPr>
              <w:jc w:val="both"/>
              <w:rPr>
                <w:sz w:val="20"/>
                <w:lang w:val="fr-CA"/>
              </w:rPr>
            </w:pPr>
          </w:p>
        </w:tc>
        <w:tc>
          <w:tcPr>
            <w:tcW w:w="243" w:type="pct"/>
          </w:tcPr>
          <w:p w:rsidR="0085735C" w:rsidRPr="00F7078A" w:rsidRDefault="0085735C" w:rsidP="005A2216">
            <w:pPr>
              <w:jc w:val="both"/>
              <w:rPr>
                <w:sz w:val="20"/>
                <w:lang w:val="fr-CA"/>
              </w:rPr>
            </w:pPr>
          </w:p>
        </w:tc>
        <w:tc>
          <w:tcPr>
            <w:tcW w:w="2330" w:type="pct"/>
          </w:tcPr>
          <w:p w:rsidR="0085735C" w:rsidRPr="00F7078A" w:rsidRDefault="0085735C" w:rsidP="005A2216">
            <w:pPr>
              <w:jc w:val="both"/>
              <w:rPr>
                <w:sz w:val="20"/>
                <w:lang w:val="fr-CA"/>
              </w:rPr>
            </w:pPr>
            <w:r w:rsidRPr="00F7078A">
              <w:rPr>
                <w:sz w:val="20"/>
                <w:lang w:val="fr-CA"/>
              </w:rPr>
              <w:t>Requête en prorogation du délai pour signifier et déposer la demande d’autorisation et demande d'autorisation d'appel déposées.</w:t>
            </w:r>
          </w:p>
        </w:tc>
      </w:tr>
    </w:tbl>
    <w:p w:rsidR="0085735C" w:rsidRPr="00F7078A" w:rsidRDefault="0085735C" w:rsidP="0085735C">
      <w:pPr>
        <w:jc w:val="both"/>
        <w:rPr>
          <w:sz w:val="20"/>
          <w:lang w:val="fr-CA"/>
        </w:rPr>
      </w:pPr>
    </w:p>
    <w:p w:rsidR="0085735C" w:rsidRPr="00F7078A" w:rsidRDefault="008075AD" w:rsidP="0085735C">
      <w:pPr>
        <w:jc w:val="both"/>
        <w:rPr>
          <w:sz w:val="20"/>
          <w:lang w:val="fr-CA"/>
        </w:rPr>
      </w:pPr>
      <w:r>
        <w:rPr>
          <w:sz w:val="20"/>
        </w:rPr>
        <w:pict>
          <v:rect id="_x0000_i1026" style="width:2in;height:1pt" o:hrpct="0" o:hralign="center" o:hrstd="t" o:hrnoshade="t" o:hr="t" fillcolor="black [3213]" stroked="f"/>
        </w:pict>
      </w:r>
    </w:p>
    <w:p w:rsidR="0085735C" w:rsidRPr="00F7078A" w:rsidRDefault="0085735C" w:rsidP="0085735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5735C" w:rsidRPr="00F7078A" w:rsidTr="005A2216">
        <w:tc>
          <w:tcPr>
            <w:tcW w:w="543" w:type="pct"/>
          </w:tcPr>
          <w:p w:rsidR="0085735C" w:rsidRPr="00F7078A" w:rsidRDefault="0085735C" w:rsidP="005A2216">
            <w:pPr>
              <w:jc w:val="both"/>
              <w:rPr>
                <w:sz w:val="20"/>
              </w:rPr>
            </w:pPr>
            <w:r w:rsidRPr="00F7078A">
              <w:rPr>
                <w:rStyle w:val="SCCFileNumberChar"/>
                <w:sz w:val="20"/>
                <w:szCs w:val="20"/>
              </w:rPr>
              <w:t>40135</w:t>
            </w:r>
          </w:p>
        </w:tc>
        <w:tc>
          <w:tcPr>
            <w:tcW w:w="4457" w:type="pct"/>
          </w:tcPr>
          <w:p w:rsidR="0085735C" w:rsidRPr="00F7078A" w:rsidRDefault="0085735C" w:rsidP="005A2216">
            <w:pPr>
              <w:pStyle w:val="SCCLsocParty"/>
              <w:jc w:val="both"/>
              <w:rPr>
                <w:b/>
                <w:sz w:val="20"/>
                <w:szCs w:val="20"/>
              </w:rPr>
            </w:pPr>
            <w:r w:rsidRPr="00F7078A">
              <w:rPr>
                <w:b/>
                <w:sz w:val="20"/>
                <w:szCs w:val="20"/>
              </w:rPr>
              <w:t xml:space="preserve">Michael Kinlock v. </w:t>
            </w:r>
            <w:r w:rsidR="00CF3BF6" w:rsidRPr="00F7078A">
              <w:rPr>
                <w:b/>
                <w:sz w:val="20"/>
                <w:szCs w:val="20"/>
              </w:rPr>
              <w:t>Mathieu Jetté, Étienne Bordeleau, François Paulin and McGill University Health Centre</w:t>
            </w:r>
          </w:p>
          <w:p w:rsidR="0085735C" w:rsidRPr="00F7078A" w:rsidRDefault="0085735C" w:rsidP="005A2216">
            <w:pPr>
              <w:jc w:val="both"/>
              <w:rPr>
                <w:sz w:val="20"/>
              </w:rPr>
            </w:pPr>
            <w:r w:rsidRPr="00F7078A">
              <w:rPr>
                <w:sz w:val="20"/>
              </w:rPr>
              <w:t>(Que.) (Civil) (By Leave)</w:t>
            </w:r>
          </w:p>
        </w:tc>
      </w:tr>
      <w:tr w:rsidR="0085735C" w:rsidRPr="00F7078A" w:rsidTr="005A2216">
        <w:tc>
          <w:tcPr>
            <w:tcW w:w="5000" w:type="pct"/>
            <w:gridSpan w:val="2"/>
          </w:tcPr>
          <w:p w:rsidR="0085735C" w:rsidRPr="00F7078A" w:rsidRDefault="00CF3BF6" w:rsidP="005A2216">
            <w:pPr>
              <w:jc w:val="both"/>
              <w:rPr>
                <w:sz w:val="20"/>
                <w:szCs w:val="20"/>
              </w:rPr>
            </w:pPr>
            <w:r w:rsidRPr="00F7078A">
              <w:rPr>
                <w:sz w:val="20"/>
                <w:szCs w:val="20"/>
              </w:rPr>
              <w:t>The application for leave to appeal from the judgment of the Court of Appeal of Quebec (Montréal), Number 500-09-029737-210, 2021 QCCA 1920, dated December 21, 2021, is dismissed without costs.</w:t>
            </w:r>
          </w:p>
          <w:p w:rsidR="00CF3BF6" w:rsidRPr="00F7078A" w:rsidRDefault="00CF3BF6" w:rsidP="005A2216">
            <w:pPr>
              <w:jc w:val="both"/>
              <w:rPr>
                <w:sz w:val="20"/>
              </w:rPr>
            </w:pPr>
          </w:p>
        </w:tc>
      </w:tr>
    </w:tbl>
    <w:p w:rsidR="00CF3BF6" w:rsidRPr="00F7078A" w:rsidRDefault="00CF3BF6">
      <w:r w:rsidRPr="00F7078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735C" w:rsidRPr="00F7078A" w:rsidTr="005A2216">
        <w:tc>
          <w:tcPr>
            <w:tcW w:w="5000" w:type="pct"/>
            <w:gridSpan w:val="3"/>
          </w:tcPr>
          <w:p w:rsidR="0085735C" w:rsidRPr="00F7078A" w:rsidRDefault="0085735C" w:rsidP="005A2216">
            <w:pPr>
              <w:jc w:val="both"/>
              <w:rPr>
                <w:sz w:val="20"/>
              </w:rPr>
            </w:pPr>
            <w:r w:rsidRPr="00F7078A">
              <w:rPr>
                <w:sz w:val="20"/>
              </w:rPr>
              <w:t xml:space="preserve">Civil procedure — Originating application — Appeal — Procedural fairness — Whether the decision </w:t>
            </w:r>
            <w:r w:rsidRPr="00F7078A">
              <w:rPr>
                <w:i/>
                <w:sz w:val="20"/>
              </w:rPr>
              <w:t>Deblois v. Attorney General of Canada</w:t>
            </w:r>
            <w:r w:rsidRPr="00F7078A">
              <w:rPr>
                <w:sz w:val="20"/>
              </w:rPr>
              <w:t xml:space="preserve">, 2020 QCCA 843, or the Court of Appeal’s decision, override the applicant’s right to procedural fairness leading up to the Supreme Court and Court of Appeal decisions — Whether the recent decision </w:t>
            </w:r>
            <w:r w:rsidRPr="00F7078A">
              <w:rPr>
                <w:i/>
                <w:sz w:val="20"/>
              </w:rPr>
              <w:t xml:space="preserve">Deblois v. Attorney General of Canada </w:t>
            </w:r>
            <w:r w:rsidRPr="00F7078A">
              <w:rPr>
                <w:sz w:val="20"/>
              </w:rPr>
              <w:t>or the Court of Appeal’s decision, can limit the extent of the Court of Appeal’s jurisdictional ability to address the two questions of law and principle presented to the Court of Appeal by the applicant — If the answer to questions 1 or 2 above is yes, what would be the new procedure of recourse to citizens to address the matters of principles and law; such as spoliation and breaches of procedural fairness leading up to these decisions?</w:t>
            </w:r>
          </w:p>
          <w:p w:rsidR="0085735C" w:rsidRPr="00F7078A" w:rsidRDefault="0085735C" w:rsidP="005A2216">
            <w:pPr>
              <w:jc w:val="both"/>
              <w:rPr>
                <w:sz w:val="20"/>
              </w:rPr>
            </w:pPr>
          </w:p>
        </w:tc>
      </w:tr>
      <w:tr w:rsidR="0085735C" w:rsidRPr="00F7078A" w:rsidTr="005A2216">
        <w:tc>
          <w:tcPr>
            <w:tcW w:w="5000" w:type="pct"/>
            <w:gridSpan w:val="3"/>
          </w:tcPr>
          <w:p w:rsidR="0085735C" w:rsidRPr="00F7078A" w:rsidRDefault="0085735C" w:rsidP="005A2216">
            <w:pPr>
              <w:jc w:val="both"/>
              <w:rPr>
                <w:sz w:val="20"/>
              </w:rPr>
            </w:pPr>
            <w:r w:rsidRPr="00F7078A">
              <w:rPr>
                <w:sz w:val="20"/>
              </w:rPr>
              <w:t xml:space="preserve">The applicant, Michael Kinlock, brought an application in the Quebec Superior Court to annul a transaction and to order damages. The court dismissed his application, declared it was abusive and ordered him to pay damages to the respondents. The Quebec Court of Appeal dismissed the applicant’s application for leave to appeal. </w:t>
            </w:r>
          </w:p>
        </w:tc>
      </w:tr>
      <w:tr w:rsidR="0085735C" w:rsidRPr="00F7078A" w:rsidTr="005A2216">
        <w:tc>
          <w:tcPr>
            <w:tcW w:w="5000" w:type="pct"/>
            <w:gridSpan w:val="3"/>
          </w:tcPr>
          <w:p w:rsidR="0085735C" w:rsidRPr="00F7078A" w:rsidRDefault="0085735C" w:rsidP="005A2216">
            <w:pPr>
              <w:jc w:val="both"/>
              <w:rPr>
                <w:sz w:val="20"/>
              </w:rPr>
            </w:pPr>
          </w:p>
        </w:tc>
      </w:tr>
      <w:tr w:rsidR="0085735C" w:rsidRPr="00F7078A" w:rsidTr="005A2216">
        <w:tc>
          <w:tcPr>
            <w:tcW w:w="2427" w:type="pct"/>
          </w:tcPr>
          <w:p w:rsidR="0085735C" w:rsidRPr="00F7078A" w:rsidRDefault="0085735C" w:rsidP="005A2216">
            <w:pPr>
              <w:jc w:val="both"/>
              <w:rPr>
                <w:sz w:val="20"/>
              </w:rPr>
            </w:pPr>
            <w:r w:rsidRPr="00F7078A">
              <w:rPr>
                <w:sz w:val="20"/>
              </w:rPr>
              <w:t>September 20, 2021</w:t>
            </w:r>
          </w:p>
          <w:p w:rsidR="0085735C" w:rsidRPr="00F7078A" w:rsidRDefault="0085735C" w:rsidP="005A2216">
            <w:pPr>
              <w:jc w:val="both"/>
              <w:rPr>
                <w:sz w:val="20"/>
              </w:rPr>
            </w:pPr>
            <w:r w:rsidRPr="00F7078A">
              <w:rPr>
                <w:sz w:val="20"/>
              </w:rPr>
              <w:t>Superior Court of Quebec</w:t>
            </w:r>
          </w:p>
          <w:p w:rsidR="0085735C" w:rsidRPr="00F7078A" w:rsidRDefault="0085735C" w:rsidP="005A2216">
            <w:pPr>
              <w:jc w:val="both"/>
              <w:rPr>
                <w:sz w:val="20"/>
              </w:rPr>
            </w:pPr>
            <w:r w:rsidRPr="00F7078A">
              <w:rPr>
                <w:sz w:val="20"/>
              </w:rPr>
              <w:t>(Nollet J.)</w:t>
            </w:r>
          </w:p>
          <w:p w:rsidR="0085735C" w:rsidRPr="00F7078A" w:rsidRDefault="008075AD" w:rsidP="005A2216">
            <w:pPr>
              <w:jc w:val="both"/>
              <w:rPr>
                <w:sz w:val="20"/>
              </w:rPr>
            </w:pPr>
            <w:hyperlink r:id="rId15" w:history="1">
              <w:r w:rsidR="0085735C" w:rsidRPr="00F7078A">
                <w:rPr>
                  <w:rStyle w:val="Hyperlink"/>
                  <w:sz w:val="20"/>
                </w:rPr>
                <w:t>2021 QCCS 3875</w:t>
              </w:r>
            </w:hyperlink>
          </w:p>
          <w:p w:rsidR="0085735C" w:rsidRPr="00F7078A" w:rsidRDefault="0085735C" w:rsidP="005A2216">
            <w:pPr>
              <w:jc w:val="both"/>
              <w:rPr>
                <w:sz w:val="20"/>
              </w:rPr>
            </w:pPr>
          </w:p>
        </w:tc>
        <w:tc>
          <w:tcPr>
            <w:tcW w:w="243" w:type="pct"/>
          </w:tcPr>
          <w:p w:rsidR="0085735C" w:rsidRPr="00F7078A" w:rsidRDefault="0085735C" w:rsidP="005A2216">
            <w:pPr>
              <w:jc w:val="both"/>
              <w:rPr>
                <w:sz w:val="20"/>
              </w:rPr>
            </w:pPr>
          </w:p>
        </w:tc>
        <w:tc>
          <w:tcPr>
            <w:tcW w:w="2330" w:type="pct"/>
          </w:tcPr>
          <w:p w:rsidR="0085735C" w:rsidRPr="00F7078A" w:rsidRDefault="0085735C" w:rsidP="005A2216">
            <w:pPr>
              <w:jc w:val="both"/>
              <w:rPr>
                <w:sz w:val="20"/>
              </w:rPr>
            </w:pPr>
            <w:r w:rsidRPr="00F7078A">
              <w:rPr>
                <w:sz w:val="20"/>
              </w:rPr>
              <w:t>Application to annul a transaction dismissed</w:t>
            </w:r>
          </w:p>
          <w:p w:rsidR="0085735C" w:rsidRPr="00F7078A" w:rsidRDefault="0085735C" w:rsidP="005A2216">
            <w:pPr>
              <w:jc w:val="both"/>
              <w:rPr>
                <w:sz w:val="20"/>
              </w:rPr>
            </w:pPr>
          </w:p>
        </w:tc>
      </w:tr>
      <w:tr w:rsidR="0085735C" w:rsidRPr="00F7078A" w:rsidTr="005A2216">
        <w:tc>
          <w:tcPr>
            <w:tcW w:w="2427" w:type="pct"/>
          </w:tcPr>
          <w:p w:rsidR="0085735C" w:rsidRPr="00F7078A" w:rsidRDefault="0085735C" w:rsidP="005A2216">
            <w:pPr>
              <w:jc w:val="both"/>
              <w:rPr>
                <w:sz w:val="20"/>
              </w:rPr>
            </w:pPr>
            <w:r w:rsidRPr="00F7078A">
              <w:rPr>
                <w:sz w:val="20"/>
              </w:rPr>
              <w:t>December 21, 2021</w:t>
            </w:r>
          </w:p>
          <w:p w:rsidR="0085735C" w:rsidRPr="00F7078A" w:rsidRDefault="0085735C" w:rsidP="005A2216">
            <w:pPr>
              <w:jc w:val="both"/>
              <w:rPr>
                <w:sz w:val="20"/>
              </w:rPr>
            </w:pPr>
            <w:r w:rsidRPr="00F7078A">
              <w:rPr>
                <w:sz w:val="20"/>
              </w:rPr>
              <w:t>Court of Appeal of Quebec (Montréal)</w:t>
            </w:r>
          </w:p>
          <w:p w:rsidR="0085735C" w:rsidRPr="00F7078A" w:rsidRDefault="0085735C" w:rsidP="005A2216">
            <w:pPr>
              <w:jc w:val="both"/>
              <w:rPr>
                <w:sz w:val="20"/>
              </w:rPr>
            </w:pPr>
            <w:r w:rsidRPr="00F7078A">
              <w:rPr>
                <w:sz w:val="20"/>
              </w:rPr>
              <w:t>(Cournoyer J.A.)</w:t>
            </w:r>
          </w:p>
          <w:p w:rsidR="0085735C" w:rsidRPr="00F7078A" w:rsidRDefault="008075AD" w:rsidP="005A2216">
            <w:pPr>
              <w:jc w:val="both"/>
              <w:rPr>
                <w:sz w:val="20"/>
              </w:rPr>
            </w:pPr>
            <w:hyperlink r:id="rId16" w:history="1">
              <w:r w:rsidR="0085735C" w:rsidRPr="00F7078A">
                <w:rPr>
                  <w:rStyle w:val="Hyperlink"/>
                  <w:sz w:val="20"/>
                </w:rPr>
                <w:t>2021 QCCA 1920</w:t>
              </w:r>
            </w:hyperlink>
          </w:p>
          <w:p w:rsidR="0085735C" w:rsidRPr="00F7078A" w:rsidRDefault="0085735C" w:rsidP="005A2216">
            <w:pPr>
              <w:jc w:val="both"/>
              <w:rPr>
                <w:sz w:val="20"/>
              </w:rPr>
            </w:pPr>
          </w:p>
        </w:tc>
        <w:tc>
          <w:tcPr>
            <w:tcW w:w="243" w:type="pct"/>
          </w:tcPr>
          <w:p w:rsidR="0085735C" w:rsidRPr="00F7078A" w:rsidRDefault="0085735C" w:rsidP="005A2216">
            <w:pPr>
              <w:jc w:val="both"/>
              <w:rPr>
                <w:sz w:val="20"/>
              </w:rPr>
            </w:pPr>
          </w:p>
        </w:tc>
        <w:tc>
          <w:tcPr>
            <w:tcW w:w="2330" w:type="pct"/>
          </w:tcPr>
          <w:p w:rsidR="0085735C" w:rsidRPr="00F7078A" w:rsidRDefault="0085735C" w:rsidP="005A2216">
            <w:pPr>
              <w:jc w:val="both"/>
              <w:rPr>
                <w:sz w:val="20"/>
              </w:rPr>
            </w:pPr>
            <w:r w:rsidRPr="00F7078A">
              <w:rPr>
                <w:sz w:val="20"/>
              </w:rPr>
              <w:t>Application for leave to appeal dismissed with costs</w:t>
            </w:r>
          </w:p>
          <w:p w:rsidR="0085735C" w:rsidRPr="00F7078A" w:rsidRDefault="0085735C" w:rsidP="005A2216">
            <w:pPr>
              <w:jc w:val="both"/>
              <w:rPr>
                <w:sz w:val="20"/>
              </w:rPr>
            </w:pPr>
          </w:p>
        </w:tc>
      </w:tr>
      <w:tr w:rsidR="0085735C" w:rsidRPr="00F7078A" w:rsidTr="005A2216">
        <w:tc>
          <w:tcPr>
            <w:tcW w:w="2427" w:type="pct"/>
          </w:tcPr>
          <w:p w:rsidR="0085735C" w:rsidRPr="00F7078A" w:rsidRDefault="0085735C" w:rsidP="005A2216">
            <w:pPr>
              <w:jc w:val="both"/>
              <w:rPr>
                <w:sz w:val="20"/>
              </w:rPr>
            </w:pPr>
            <w:r w:rsidRPr="00F7078A">
              <w:rPr>
                <w:sz w:val="20"/>
              </w:rPr>
              <w:t>February 18, 2022</w:t>
            </w:r>
          </w:p>
          <w:p w:rsidR="0085735C" w:rsidRPr="00F7078A" w:rsidRDefault="0085735C" w:rsidP="005A2216">
            <w:pPr>
              <w:jc w:val="both"/>
              <w:rPr>
                <w:sz w:val="20"/>
              </w:rPr>
            </w:pPr>
            <w:r w:rsidRPr="00F7078A">
              <w:rPr>
                <w:sz w:val="20"/>
              </w:rPr>
              <w:t>Supreme Court of Canada</w:t>
            </w:r>
          </w:p>
        </w:tc>
        <w:tc>
          <w:tcPr>
            <w:tcW w:w="243" w:type="pct"/>
          </w:tcPr>
          <w:p w:rsidR="0085735C" w:rsidRPr="00F7078A" w:rsidRDefault="0085735C" w:rsidP="005A2216">
            <w:pPr>
              <w:jc w:val="both"/>
              <w:rPr>
                <w:sz w:val="20"/>
              </w:rPr>
            </w:pPr>
          </w:p>
        </w:tc>
        <w:tc>
          <w:tcPr>
            <w:tcW w:w="2330" w:type="pct"/>
          </w:tcPr>
          <w:p w:rsidR="0085735C" w:rsidRPr="00F7078A" w:rsidRDefault="0085735C" w:rsidP="005A2216">
            <w:pPr>
              <w:jc w:val="both"/>
              <w:rPr>
                <w:sz w:val="20"/>
              </w:rPr>
            </w:pPr>
            <w:r w:rsidRPr="00F7078A">
              <w:rPr>
                <w:sz w:val="20"/>
              </w:rPr>
              <w:t>Application for leave to appeal filed</w:t>
            </w:r>
          </w:p>
          <w:p w:rsidR="0085735C" w:rsidRPr="00F7078A" w:rsidRDefault="0085735C" w:rsidP="005A2216">
            <w:pPr>
              <w:jc w:val="both"/>
              <w:rPr>
                <w:sz w:val="20"/>
              </w:rPr>
            </w:pPr>
          </w:p>
        </w:tc>
      </w:tr>
    </w:tbl>
    <w:p w:rsidR="0085735C" w:rsidRPr="00F7078A" w:rsidRDefault="0085735C" w:rsidP="0085735C">
      <w:pPr>
        <w:jc w:val="both"/>
        <w:rPr>
          <w:sz w:val="20"/>
        </w:rPr>
      </w:pPr>
    </w:p>
    <w:p w:rsidR="0085735C" w:rsidRPr="00F7078A" w:rsidRDefault="008075AD" w:rsidP="0085735C">
      <w:pPr>
        <w:jc w:val="both"/>
        <w:rPr>
          <w:sz w:val="20"/>
        </w:rPr>
      </w:pPr>
      <w:r>
        <w:rPr>
          <w:sz w:val="20"/>
        </w:rPr>
        <w:pict>
          <v:rect id="_x0000_i1027" style="width:2in;height:1pt" o:hrpct="0" o:hralign="center" o:hrstd="t" o:hrnoshade="t" o:hr="t" fillcolor="black [3213]" stroked="f"/>
        </w:pict>
      </w:r>
    </w:p>
    <w:p w:rsidR="0085735C" w:rsidRPr="00F7078A" w:rsidRDefault="0085735C" w:rsidP="008573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5735C" w:rsidRPr="00F7078A" w:rsidTr="005A2216">
        <w:tc>
          <w:tcPr>
            <w:tcW w:w="543" w:type="pct"/>
          </w:tcPr>
          <w:p w:rsidR="0085735C" w:rsidRPr="00F7078A" w:rsidRDefault="0085735C" w:rsidP="005A2216">
            <w:pPr>
              <w:jc w:val="both"/>
              <w:rPr>
                <w:sz w:val="20"/>
                <w:lang w:val="fr-CA"/>
              </w:rPr>
            </w:pPr>
            <w:r w:rsidRPr="00F7078A">
              <w:rPr>
                <w:rStyle w:val="SCCFileNumberChar"/>
                <w:sz w:val="20"/>
                <w:szCs w:val="20"/>
                <w:lang w:val="fr-CA"/>
              </w:rPr>
              <w:t>40135</w:t>
            </w:r>
          </w:p>
        </w:tc>
        <w:tc>
          <w:tcPr>
            <w:tcW w:w="4457" w:type="pct"/>
          </w:tcPr>
          <w:p w:rsidR="0085735C" w:rsidRPr="00F7078A" w:rsidRDefault="0085735C" w:rsidP="005A2216">
            <w:pPr>
              <w:pStyle w:val="SCCLsocParty"/>
              <w:jc w:val="both"/>
              <w:rPr>
                <w:b/>
                <w:sz w:val="20"/>
                <w:szCs w:val="20"/>
              </w:rPr>
            </w:pPr>
            <w:r w:rsidRPr="00F7078A">
              <w:rPr>
                <w:b/>
                <w:sz w:val="20"/>
                <w:szCs w:val="20"/>
              </w:rPr>
              <w:t xml:space="preserve">Michael Kinlock c. </w:t>
            </w:r>
            <w:r w:rsidR="00CF3BF6" w:rsidRPr="00F7078A">
              <w:rPr>
                <w:b/>
                <w:sz w:val="20"/>
                <w:szCs w:val="20"/>
              </w:rPr>
              <w:t>Mathieu Jetté, Étienne Bordeleau, François Paulin et Centre universitaire de santé McGill</w:t>
            </w:r>
          </w:p>
          <w:p w:rsidR="0085735C" w:rsidRPr="00F7078A" w:rsidRDefault="0085735C" w:rsidP="005A2216">
            <w:pPr>
              <w:jc w:val="both"/>
              <w:rPr>
                <w:sz w:val="20"/>
                <w:lang w:val="fr-CA"/>
              </w:rPr>
            </w:pPr>
            <w:r w:rsidRPr="00F7078A">
              <w:rPr>
                <w:sz w:val="20"/>
                <w:lang w:val="fr-CA"/>
              </w:rPr>
              <w:t>(Qc) (Civile) (Sur autorisation)</w:t>
            </w:r>
          </w:p>
        </w:tc>
      </w:tr>
      <w:tr w:rsidR="0085735C" w:rsidRPr="008075AD" w:rsidTr="005A2216">
        <w:tc>
          <w:tcPr>
            <w:tcW w:w="5000" w:type="pct"/>
            <w:gridSpan w:val="2"/>
          </w:tcPr>
          <w:p w:rsidR="0085735C" w:rsidRPr="00F7078A" w:rsidRDefault="00CF3BF6" w:rsidP="005A2216">
            <w:pPr>
              <w:jc w:val="both"/>
              <w:rPr>
                <w:sz w:val="20"/>
                <w:szCs w:val="20"/>
                <w:lang w:val="fr-CA"/>
              </w:rPr>
            </w:pPr>
            <w:r w:rsidRPr="00F7078A">
              <w:rPr>
                <w:sz w:val="20"/>
                <w:szCs w:val="20"/>
                <w:lang w:val="fr-CA"/>
              </w:rPr>
              <w:t>La demande d’autorisation d’appel de l’arrêt de la Cour d’appel du Québec (Montréal), numéro 500-09-029737-210, 2021 QCCA 1920, daté du 21 décembre 2021, est rejetée sans dépens.</w:t>
            </w:r>
          </w:p>
          <w:p w:rsidR="00CF3BF6" w:rsidRPr="00F7078A" w:rsidRDefault="00CF3BF6" w:rsidP="005A2216">
            <w:pPr>
              <w:jc w:val="both"/>
              <w:rPr>
                <w:sz w:val="20"/>
                <w:lang w:val="fr-CA"/>
              </w:rPr>
            </w:pPr>
          </w:p>
        </w:tc>
      </w:tr>
      <w:tr w:rsidR="0085735C" w:rsidRPr="008075AD" w:rsidTr="005A2216">
        <w:tc>
          <w:tcPr>
            <w:tcW w:w="5000" w:type="pct"/>
            <w:gridSpan w:val="2"/>
          </w:tcPr>
          <w:p w:rsidR="0085735C" w:rsidRPr="00F7078A" w:rsidRDefault="0085735C" w:rsidP="005A2216">
            <w:pPr>
              <w:jc w:val="both"/>
              <w:rPr>
                <w:sz w:val="20"/>
                <w:lang w:val="fr-CA"/>
              </w:rPr>
            </w:pPr>
            <w:r w:rsidRPr="00F7078A">
              <w:rPr>
                <w:sz w:val="20"/>
                <w:lang w:val="fr-CA"/>
              </w:rPr>
              <w:t xml:space="preserve">Procédure civile — Demande introductive d’instance — Appel — Équité procédurale — La décision </w:t>
            </w:r>
            <w:r w:rsidRPr="00F7078A">
              <w:rPr>
                <w:i/>
                <w:sz w:val="20"/>
                <w:lang w:val="fr-CA"/>
              </w:rPr>
              <w:t>Deblois c. Attorney General of Canada</w:t>
            </w:r>
            <w:r w:rsidRPr="00F7078A">
              <w:rPr>
                <w:sz w:val="20"/>
                <w:lang w:val="fr-CA"/>
              </w:rPr>
              <w:t xml:space="preserve">, 2020 QCCA 843, ou la décision de la Cour d’appel, l’emporte-t-elle sur le droit du demandeur à l’équité procédurale menant jusqu’aux décisions de la Cour suprême et de la Cour d’appel? — La décision récente </w:t>
            </w:r>
            <w:r w:rsidRPr="00F7078A">
              <w:rPr>
                <w:i/>
                <w:sz w:val="20"/>
                <w:lang w:val="fr-CA"/>
              </w:rPr>
              <w:t>Deblois c. Attorney General of Canada</w:t>
            </w:r>
            <w:r w:rsidRPr="00F7078A">
              <w:rPr>
                <w:sz w:val="20"/>
                <w:lang w:val="fr-CA"/>
              </w:rPr>
              <w:t xml:space="preserve"> ou la décision de la Cour d’appel peuvent-elles limiter la portée de la compétence de la Cour d’appel à trancher les deux questions de droit et le principe présentés à la Cour d’appel par le demandeur? — Si la réponse aux questions 1 ou 2 susmentionnées est affirmative, quelle devrait être la nouvelle procédure à laquelle peuvent avoir recours les citoyens pour que soient tranchées les questions de principe et de droit; comme la destruction de la preuve et les manquements à l’équité procédurale menant à ces décisions?</w:t>
            </w:r>
          </w:p>
          <w:p w:rsidR="0085735C" w:rsidRPr="00F7078A" w:rsidRDefault="0085735C" w:rsidP="005A2216">
            <w:pPr>
              <w:jc w:val="both"/>
              <w:rPr>
                <w:sz w:val="20"/>
                <w:lang w:val="fr-CA"/>
              </w:rPr>
            </w:pPr>
          </w:p>
        </w:tc>
      </w:tr>
      <w:tr w:rsidR="0085735C" w:rsidRPr="008075AD" w:rsidTr="005A2216">
        <w:tc>
          <w:tcPr>
            <w:tcW w:w="5000" w:type="pct"/>
            <w:gridSpan w:val="2"/>
          </w:tcPr>
          <w:p w:rsidR="0085735C" w:rsidRPr="00F7078A" w:rsidRDefault="0085735C" w:rsidP="005A2216">
            <w:pPr>
              <w:jc w:val="both"/>
              <w:rPr>
                <w:sz w:val="20"/>
                <w:lang w:val="fr-CA"/>
              </w:rPr>
            </w:pPr>
            <w:r w:rsidRPr="00F7078A">
              <w:rPr>
                <w:sz w:val="20"/>
                <w:lang w:val="fr-CA"/>
              </w:rPr>
              <w:t>Le demandeur, Michael Kinlock, a présenté une demande à la Cour supérieure du Québec visant l’annulation d’une transaction et l’obtention de dommages-intérêts. La cour a rejeté sa demande, déclarant qu’elle était abusive et lui a ordonné de payer des dommages-intérêts aux intimés. La Cour d’appel du Québec a rejeté la demande d’autorisation d’appel présentée par le demandeur.</w:t>
            </w:r>
          </w:p>
        </w:tc>
      </w:tr>
      <w:tr w:rsidR="0085735C" w:rsidRPr="008075AD" w:rsidTr="005A2216">
        <w:tc>
          <w:tcPr>
            <w:tcW w:w="5000" w:type="pct"/>
            <w:gridSpan w:val="2"/>
          </w:tcPr>
          <w:p w:rsidR="0085735C" w:rsidRPr="00F7078A" w:rsidRDefault="0085735C" w:rsidP="005A2216">
            <w:pPr>
              <w:jc w:val="both"/>
              <w:rPr>
                <w:sz w:val="20"/>
                <w:lang w:val="fr-CA"/>
              </w:rPr>
            </w:pPr>
          </w:p>
        </w:tc>
      </w:tr>
    </w:tbl>
    <w:p w:rsidR="00CF3BF6" w:rsidRPr="00F7078A" w:rsidRDefault="00CF3BF6">
      <w:pPr>
        <w:rPr>
          <w:lang w:val="fr-CA"/>
        </w:rPr>
      </w:pPr>
      <w:r w:rsidRPr="00F7078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735C" w:rsidRPr="008075AD" w:rsidTr="005A2216">
        <w:tc>
          <w:tcPr>
            <w:tcW w:w="2427" w:type="pct"/>
          </w:tcPr>
          <w:p w:rsidR="0085735C" w:rsidRPr="00F7078A" w:rsidRDefault="0085735C" w:rsidP="005A2216">
            <w:pPr>
              <w:jc w:val="both"/>
              <w:rPr>
                <w:sz w:val="20"/>
                <w:lang w:val="fr-CA"/>
              </w:rPr>
            </w:pPr>
            <w:r w:rsidRPr="00F7078A">
              <w:rPr>
                <w:sz w:val="20"/>
                <w:lang w:val="fr-CA"/>
              </w:rPr>
              <w:t>20 septembre 2021</w:t>
            </w:r>
          </w:p>
          <w:p w:rsidR="0085735C" w:rsidRPr="00F7078A" w:rsidRDefault="0085735C" w:rsidP="005A2216">
            <w:pPr>
              <w:jc w:val="both"/>
              <w:rPr>
                <w:sz w:val="20"/>
                <w:lang w:val="fr-CA"/>
              </w:rPr>
            </w:pPr>
            <w:r w:rsidRPr="00F7078A">
              <w:rPr>
                <w:sz w:val="20"/>
                <w:lang w:val="fr-CA"/>
              </w:rPr>
              <w:t>Cour supérieure du Québec</w:t>
            </w:r>
          </w:p>
          <w:p w:rsidR="0085735C" w:rsidRPr="00F7078A" w:rsidRDefault="0085735C" w:rsidP="005A2216">
            <w:pPr>
              <w:jc w:val="both"/>
              <w:rPr>
                <w:sz w:val="20"/>
                <w:lang w:val="fr-CA"/>
              </w:rPr>
            </w:pPr>
            <w:r w:rsidRPr="00F7078A">
              <w:rPr>
                <w:sz w:val="20"/>
                <w:lang w:val="fr-CA"/>
              </w:rPr>
              <w:t>(Juge Nollet)</w:t>
            </w:r>
          </w:p>
          <w:p w:rsidR="0085735C" w:rsidRPr="00F7078A" w:rsidRDefault="008075AD" w:rsidP="005A2216">
            <w:pPr>
              <w:jc w:val="both"/>
              <w:rPr>
                <w:sz w:val="20"/>
                <w:lang w:val="fr-CA"/>
              </w:rPr>
            </w:pPr>
            <w:hyperlink r:id="rId17" w:history="1">
              <w:r w:rsidR="0085735C" w:rsidRPr="00F7078A">
                <w:rPr>
                  <w:rStyle w:val="Hyperlink"/>
                  <w:sz w:val="20"/>
                  <w:lang w:val="fr-CA"/>
                </w:rPr>
                <w:t>2021 QCCS 3875</w:t>
              </w:r>
            </w:hyperlink>
          </w:p>
          <w:p w:rsidR="0085735C" w:rsidRPr="00F7078A" w:rsidRDefault="0085735C" w:rsidP="005A2216">
            <w:pPr>
              <w:jc w:val="both"/>
              <w:rPr>
                <w:sz w:val="20"/>
                <w:lang w:val="fr-CA"/>
              </w:rPr>
            </w:pPr>
          </w:p>
        </w:tc>
        <w:tc>
          <w:tcPr>
            <w:tcW w:w="243" w:type="pct"/>
          </w:tcPr>
          <w:p w:rsidR="0085735C" w:rsidRPr="00F7078A" w:rsidRDefault="0085735C" w:rsidP="005A2216">
            <w:pPr>
              <w:jc w:val="both"/>
              <w:rPr>
                <w:sz w:val="20"/>
                <w:lang w:val="fr-CA"/>
              </w:rPr>
            </w:pPr>
          </w:p>
        </w:tc>
        <w:tc>
          <w:tcPr>
            <w:tcW w:w="2330" w:type="pct"/>
          </w:tcPr>
          <w:p w:rsidR="0085735C" w:rsidRPr="00F7078A" w:rsidRDefault="0085735C" w:rsidP="005A2216">
            <w:pPr>
              <w:jc w:val="both"/>
              <w:rPr>
                <w:sz w:val="20"/>
                <w:lang w:val="fr-CA"/>
              </w:rPr>
            </w:pPr>
            <w:r w:rsidRPr="00F7078A">
              <w:rPr>
                <w:sz w:val="20"/>
                <w:lang w:val="fr-CA"/>
              </w:rPr>
              <w:t>Demande visant l’annulation d’une transaction rejetée</w:t>
            </w:r>
          </w:p>
          <w:p w:rsidR="0085735C" w:rsidRPr="00F7078A" w:rsidRDefault="0085735C" w:rsidP="005A2216">
            <w:pPr>
              <w:jc w:val="both"/>
              <w:rPr>
                <w:sz w:val="20"/>
                <w:lang w:val="fr-CA"/>
              </w:rPr>
            </w:pPr>
          </w:p>
        </w:tc>
      </w:tr>
      <w:tr w:rsidR="0085735C" w:rsidRPr="008075AD" w:rsidTr="005A2216">
        <w:tc>
          <w:tcPr>
            <w:tcW w:w="2427" w:type="pct"/>
          </w:tcPr>
          <w:p w:rsidR="0085735C" w:rsidRPr="00F7078A" w:rsidRDefault="0085735C" w:rsidP="005A2216">
            <w:pPr>
              <w:jc w:val="both"/>
              <w:rPr>
                <w:sz w:val="20"/>
                <w:lang w:val="fr-CA"/>
              </w:rPr>
            </w:pPr>
            <w:r w:rsidRPr="00F7078A">
              <w:rPr>
                <w:sz w:val="20"/>
                <w:lang w:val="fr-CA"/>
              </w:rPr>
              <w:t>21 décembre 2021</w:t>
            </w:r>
          </w:p>
          <w:p w:rsidR="0085735C" w:rsidRPr="00F7078A" w:rsidRDefault="0085735C" w:rsidP="005A2216">
            <w:pPr>
              <w:jc w:val="both"/>
              <w:rPr>
                <w:sz w:val="20"/>
                <w:lang w:val="fr-CA"/>
              </w:rPr>
            </w:pPr>
            <w:r w:rsidRPr="00F7078A">
              <w:rPr>
                <w:sz w:val="20"/>
                <w:lang w:val="fr-CA"/>
              </w:rPr>
              <w:t>Cour d’appel du Québec (Montréal)</w:t>
            </w:r>
          </w:p>
          <w:p w:rsidR="0085735C" w:rsidRPr="00F7078A" w:rsidRDefault="0085735C" w:rsidP="005A2216">
            <w:pPr>
              <w:jc w:val="both"/>
              <w:rPr>
                <w:sz w:val="20"/>
                <w:lang w:val="fr-CA"/>
              </w:rPr>
            </w:pPr>
            <w:r w:rsidRPr="00F7078A">
              <w:rPr>
                <w:sz w:val="20"/>
                <w:lang w:val="fr-CA"/>
              </w:rPr>
              <w:t>(Juge Cournoyer)</w:t>
            </w:r>
          </w:p>
          <w:p w:rsidR="0085735C" w:rsidRPr="00F7078A" w:rsidRDefault="008075AD" w:rsidP="005A2216">
            <w:pPr>
              <w:jc w:val="both"/>
              <w:rPr>
                <w:sz w:val="20"/>
                <w:lang w:val="fr-CA"/>
              </w:rPr>
            </w:pPr>
            <w:hyperlink r:id="rId18" w:history="1">
              <w:r w:rsidR="0085735C" w:rsidRPr="00F7078A">
                <w:rPr>
                  <w:rStyle w:val="Hyperlink"/>
                  <w:sz w:val="20"/>
                  <w:lang w:val="fr-CA"/>
                </w:rPr>
                <w:t>2021 QCCA 1920</w:t>
              </w:r>
            </w:hyperlink>
          </w:p>
          <w:p w:rsidR="0085735C" w:rsidRPr="00F7078A" w:rsidRDefault="0085735C" w:rsidP="005A2216">
            <w:pPr>
              <w:jc w:val="both"/>
              <w:rPr>
                <w:sz w:val="20"/>
                <w:lang w:val="fr-CA"/>
              </w:rPr>
            </w:pPr>
          </w:p>
        </w:tc>
        <w:tc>
          <w:tcPr>
            <w:tcW w:w="243" w:type="pct"/>
          </w:tcPr>
          <w:p w:rsidR="0085735C" w:rsidRPr="00F7078A" w:rsidRDefault="0085735C" w:rsidP="005A2216">
            <w:pPr>
              <w:jc w:val="both"/>
              <w:rPr>
                <w:sz w:val="20"/>
                <w:lang w:val="fr-CA"/>
              </w:rPr>
            </w:pPr>
          </w:p>
        </w:tc>
        <w:tc>
          <w:tcPr>
            <w:tcW w:w="2330" w:type="pct"/>
          </w:tcPr>
          <w:p w:rsidR="0085735C" w:rsidRPr="00F7078A" w:rsidRDefault="0085735C" w:rsidP="005A2216">
            <w:pPr>
              <w:jc w:val="both"/>
              <w:rPr>
                <w:sz w:val="20"/>
                <w:lang w:val="fr-CA"/>
              </w:rPr>
            </w:pPr>
            <w:r w:rsidRPr="00F7078A">
              <w:rPr>
                <w:sz w:val="20"/>
                <w:lang w:val="fr-CA"/>
              </w:rPr>
              <w:t>Demande d’autorisation d’appel rejetée avec dépens</w:t>
            </w:r>
          </w:p>
          <w:p w:rsidR="0085735C" w:rsidRPr="00F7078A" w:rsidRDefault="0085735C" w:rsidP="005A2216">
            <w:pPr>
              <w:jc w:val="both"/>
              <w:rPr>
                <w:sz w:val="20"/>
                <w:lang w:val="fr-CA"/>
              </w:rPr>
            </w:pPr>
          </w:p>
        </w:tc>
      </w:tr>
      <w:tr w:rsidR="0085735C" w:rsidRPr="00F7078A" w:rsidTr="005A2216">
        <w:tc>
          <w:tcPr>
            <w:tcW w:w="2427" w:type="pct"/>
          </w:tcPr>
          <w:p w:rsidR="0085735C" w:rsidRPr="00F7078A" w:rsidRDefault="0085735C" w:rsidP="005A2216">
            <w:pPr>
              <w:jc w:val="both"/>
              <w:rPr>
                <w:sz w:val="20"/>
                <w:lang w:val="fr-CA"/>
              </w:rPr>
            </w:pPr>
            <w:r w:rsidRPr="00F7078A">
              <w:rPr>
                <w:sz w:val="20"/>
                <w:lang w:val="fr-CA"/>
              </w:rPr>
              <w:t>18 février 2022</w:t>
            </w:r>
          </w:p>
          <w:p w:rsidR="0085735C" w:rsidRPr="00F7078A" w:rsidRDefault="0085735C" w:rsidP="005A2216">
            <w:pPr>
              <w:jc w:val="both"/>
              <w:rPr>
                <w:sz w:val="20"/>
                <w:lang w:val="fr-CA"/>
              </w:rPr>
            </w:pPr>
            <w:r w:rsidRPr="00F7078A">
              <w:rPr>
                <w:sz w:val="20"/>
                <w:lang w:val="fr-CA"/>
              </w:rPr>
              <w:t>Cour suprême du Canada</w:t>
            </w:r>
          </w:p>
        </w:tc>
        <w:tc>
          <w:tcPr>
            <w:tcW w:w="243" w:type="pct"/>
          </w:tcPr>
          <w:p w:rsidR="0085735C" w:rsidRPr="00F7078A" w:rsidRDefault="0085735C" w:rsidP="005A2216">
            <w:pPr>
              <w:jc w:val="both"/>
              <w:rPr>
                <w:sz w:val="20"/>
                <w:lang w:val="fr-CA"/>
              </w:rPr>
            </w:pPr>
          </w:p>
        </w:tc>
        <w:tc>
          <w:tcPr>
            <w:tcW w:w="2330" w:type="pct"/>
          </w:tcPr>
          <w:p w:rsidR="0085735C" w:rsidRPr="00F7078A" w:rsidRDefault="0085735C" w:rsidP="005A2216">
            <w:pPr>
              <w:jc w:val="both"/>
              <w:rPr>
                <w:sz w:val="20"/>
                <w:lang w:val="fr-CA"/>
              </w:rPr>
            </w:pPr>
            <w:r w:rsidRPr="00F7078A">
              <w:rPr>
                <w:sz w:val="20"/>
                <w:lang w:val="fr-CA"/>
              </w:rPr>
              <w:t>Demande d’autorisation d’appel déposée</w:t>
            </w:r>
          </w:p>
          <w:p w:rsidR="0085735C" w:rsidRPr="00F7078A" w:rsidRDefault="0085735C" w:rsidP="005A2216">
            <w:pPr>
              <w:jc w:val="both"/>
              <w:rPr>
                <w:sz w:val="20"/>
                <w:lang w:val="fr-CA"/>
              </w:rPr>
            </w:pPr>
          </w:p>
        </w:tc>
      </w:tr>
    </w:tbl>
    <w:p w:rsidR="0085735C" w:rsidRPr="00F7078A" w:rsidRDefault="0085735C" w:rsidP="0085735C">
      <w:pPr>
        <w:jc w:val="both"/>
        <w:rPr>
          <w:sz w:val="20"/>
          <w:lang w:val="fr-CA"/>
        </w:rPr>
      </w:pPr>
    </w:p>
    <w:p w:rsidR="0085735C" w:rsidRPr="00F7078A" w:rsidRDefault="008075AD" w:rsidP="0085735C">
      <w:pPr>
        <w:jc w:val="both"/>
        <w:rPr>
          <w:sz w:val="20"/>
          <w:lang w:val="fr-CA"/>
        </w:rPr>
      </w:pPr>
      <w:r>
        <w:rPr>
          <w:sz w:val="20"/>
        </w:rPr>
        <w:pict>
          <v:rect id="_x0000_i1028" style="width:2in;height:1pt" o:hrpct="0" o:hralign="center" o:hrstd="t" o:hrnoshade="t" o:hr="t" fillcolor="black [3213]" stroked="f"/>
        </w:pict>
      </w:r>
    </w:p>
    <w:p w:rsidR="0085735C" w:rsidRPr="00F7078A" w:rsidRDefault="0085735C" w:rsidP="0085735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35C" w:rsidRPr="00F7078A" w:rsidTr="005A2216">
        <w:tc>
          <w:tcPr>
            <w:tcW w:w="543" w:type="pct"/>
          </w:tcPr>
          <w:p w:rsidR="0085735C" w:rsidRPr="00F7078A" w:rsidRDefault="0085735C" w:rsidP="005A2216">
            <w:pPr>
              <w:jc w:val="both"/>
              <w:rPr>
                <w:sz w:val="20"/>
              </w:rPr>
            </w:pPr>
            <w:r w:rsidRPr="00F7078A">
              <w:rPr>
                <w:rStyle w:val="SCCFileNumberChar"/>
                <w:sz w:val="20"/>
                <w:szCs w:val="20"/>
              </w:rPr>
              <w:t>40166</w:t>
            </w:r>
          </w:p>
        </w:tc>
        <w:tc>
          <w:tcPr>
            <w:tcW w:w="4457" w:type="pct"/>
            <w:gridSpan w:val="3"/>
          </w:tcPr>
          <w:p w:rsidR="0085735C" w:rsidRPr="00F7078A" w:rsidRDefault="00CF3BF6" w:rsidP="005A2216">
            <w:pPr>
              <w:pStyle w:val="SCCLsocParty"/>
              <w:jc w:val="both"/>
              <w:rPr>
                <w:b/>
                <w:sz w:val="20"/>
                <w:szCs w:val="20"/>
                <w:lang w:val="en-US"/>
              </w:rPr>
            </w:pPr>
            <w:r w:rsidRPr="00F7078A">
              <w:rPr>
                <w:b/>
                <w:sz w:val="20"/>
                <w:szCs w:val="20"/>
                <w:lang w:val="en-US"/>
              </w:rPr>
              <w:t>John Aquino, 2304288 Ontario Inc., Marco Caruso, Giuseppe Anastasio a.k.a. Joe Ana and Lucia Coccia a.k.a. Lucia Canderle</w:t>
            </w:r>
            <w:r w:rsidR="0085735C" w:rsidRPr="00F7078A">
              <w:rPr>
                <w:b/>
                <w:sz w:val="20"/>
                <w:szCs w:val="20"/>
                <w:lang w:val="en-US"/>
              </w:rPr>
              <w:t xml:space="preserve"> v. </w:t>
            </w:r>
            <w:r w:rsidRPr="00F7078A">
              <w:rPr>
                <w:b/>
                <w:sz w:val="20"/>
                <w:szCs w:val="20"/>
                <w:lang w:val="en-US"/>
              </w:rPr>
              <w:t>Ernst &amp; Young Inc., in its capacity as Court-Appointed Monitor of Bondfield Construction Company Limited and KSV Kofman Inc., in its capacity as Trustee-in-Bankruptcy of 1033803 Ontario Inc. and 1087507 Ontario Limited</w:t>
            </w:r>
          </w:p>
          <w:p w:rsidR="0085735C" w:rsidRPr="00F7078A" w:rsidRDefault="0085735C" w:rsidP="005A2216">
            <w:pPr>
              <w:jc w:val="both"/>
              <w:rPr>
                <w:sz w:val="20"/>
              </w:rPr>
            </w:pPr>
            <w:r w:rsidRPr="00F7078A">
              <w:rPr>
                <w:sz w:val="20"/>
              </w:rPr>
              <w:t>(Ont.) (Civil) (By Leave)</w:t>
            </w:r>
          </w:p>
        </w:tc>
      </w:tr>
      <w:tr w:rsidR="0085735C" w:rsidRPr="00F7078A" w:rsidTr="005A2216">
        <w:tc>
          <w:tcPr>
            <w:tcW w:w="5000" w:type="pct"/>
            <w:gridSpan w:val="4"/>
          </w:tcPr>
          <w:p w:rsidR="00CF3BF6" w:rsidRPr="00F7078A" w:rsidRDefault="00CF3BF6" w:rsidP="00CF3BF6">
            <w:pPr>
              <w:jc w:val="both"/>
              <w:rPr>
                <w:sz w:val="20"/>
                <w:szCs w:val="20"/>
              </w:rPr>
            </w:pPr>
            <w:r w:rsidRPr="00F7078A">
              <w:rPr>
                <w:sz w:val="20"/>
                <w:szCs w:val="20"/>
              </w:rPr>
              <w:t>The application for leave to appeal from the judgment of the Court of Appeal for Ontario, Numbers C69263, C69264, C69278, C69305, C69306, C69318 and C69321, 2022 ONCA 202, dated March 10, 2022, is granted with costs in the cause.</w:t>
            </w:r>
          </w:p>
          <w:p w:rsidR="0085735C" w:rsidRPr="00F7078A" w:rsidRDefault="0085735C" w:rsidP="005A2216">
            <w:pPr>
              <w:jc w:val="both"/>
              <w:rPr>
                <w:sz w:val="20"/>
              </w:rPr>
            </w:pPr>
          </w:p>
        </w:tc>
      </w:tr>
      <w:tr w:rsidR="0085735C" w:rsidRPr="00F7078A" w:rsidTr="005A2216">
        <w:tc>
          <w:tcPr>
            <w:tcW w:w="5000" w:type="pct"/>
            <w:gridSpan w:val="4"/>
          </w:tcPr>
          <w:p w:rsidR="0085735C" w:rsidRPr="00F7078A" w:rsidRDefault="0085735C" w:rsidP="005A2216">
            <w:pPr>
              <w:jc w:val="both"/>
              <w:rPr>
                <w:sz w:val="20"/>
              </w:rPr>
            </w:pPr>
            <w:r w:rsidRPr="00F7078A">
              <w:rPr>
                <w:sz w:val="20"/>
              </w:rPr>
              <w:t>Bankruptcy and Insolvency</w:t>
            </w:r>
            <w:r w:rsidRPr="00F7078A">
              <w:rPr>
                <w:i/>
                <w:sz w:val="20"/>
              </w:rPr>
              <w:t xml:space="preserve"> </w:t>
            </w:r>
            <w:r w:rsidRPr="00F7078A">
              <w:rPr>
                <w:sz w:val="20"/>
              </w:rPr>
              <w:t xml:space="preserve">— Doctrine of corporate attribution — Interpretation of requirement that debtor have intent to defraud, defeat or delay creditor, set out in provision of </w:t>
            </w:r>
            <w:r w:rsidRPr="00F7078A">
              <w:rPr>
                <w:i/>
                <w:sz w:val="20"/>
              </w:rPr>
              <w:t>Bankruptcy and Insolvency Act</w:t>
            </w:r>
            <w:r w:rsidRPr="00F7078A">
              <w:rPr>
                <w:sz w:val="20"/>
              </w:rPr>
              <w:t xml:space="preserve"> that permits courts to declare transfers at undervalue void — Courts below holding intent requirement met by attributing intent of companies’ directing mind to the corporate debtors — Whether the test for corporate attribution that was set out in </w:t>
            </w:r>
            <w:r w:rsidRPr="00F7078A">
              <w:rPr>
                <w:i/>
                <w:sz w:val="20"/>
              </w:rPr>
              <w:t>Canadian Dredge &amp; Dock Co. v. The Queen</w:t>
            </w:r>
            <w:r w:rsidRPr="00F7078A">
              <w:rPr>
                <w:sz w:val="20"/>
              </w:rPr>
              <w:t xml:space="preserve">, [1985] 1 S.C.R. 662, should apply in cases involving this provision of the </w:t>
            </w:r>
            <w:r w:rsidRPr="00F7078A">
              <w:rPr>
                <w:i/>
                <w:sz w:val="20"/>
              </w:rPr>
              <w:t>Bankruptcy and Insolvency Act</w:t>
            </w:r>
            <w:r w:rsidRPr="00F7078A">
              <w:rPr>
                <w:sz w:val="20"/>
              </w:rPr>
              <w:t xml:space="preserve"> — Whether the Court of Appeal was entitled to reframe the common law corporate attribution doctrine, as formulated in </w:t>
            </w:r>
            <w:r w:rsidRPr="00F7078A">
              <w:rPr>
                <w:i/>
                <w:sz w:val="20"/>
              </w:rPr>
              <w:t>Canadian Dredge</w:t>
            </w:r>
            <w:r w:rsidRPr="00F7078A">
              <w:rPr>
                <w:sz w:val="20"/>
              </w:rPr>
              <w:t xml:space="preserve"> and its progeny, within the bankruptcy context — </w:t>
            </w:r>
            <w:r w:rsidRPr="00F7078A">
              <w:rPr>
                <w:i/>
                <w:sz w:val="20"/>
              </w:rPr>
              <w:t>Bankruptcy and Insolvency Act</w:t>
            </w:r>
            <w:r w:rsidRPr="00F7078A">
              <w:rPr>
                <w:sz w:val="20"/>
              </w:rPr>
              <w:t>, R.S.C. 1985, c. B-3, s. 96.</w:t>
            </w:r>
          </w:p>
        </w:tc>
      </w:tr>
      <w:tr w:rsidR="0085735C" w:rsidRPr="00F7078A" w:rsidTr="005A2216">
        <w:tc>
          <w:tcPr>
            <w:tcW w:w="5000" w:type="pct"/>
            <w:gridSpan w:val="4"/>
          </w:tcPr>
          <w:p w:rsidR="0085735C" w:rsidRPr="00F7078A" w:rsidRDefault="0085735C" w:rsidP="005A2216">
            <w:pPr>
              <w:jc w:val="both"/>
              <w:rPr>
                <w:sz w:val="20"/>
              </w:rPr>
            </w:pPr>
          </w:p>
          <w:p w:rsidR="0085735C" w:rsidRPr="00F7078A" w:rsidRDefault="0085735C" w:rsidP="005A2216">
            <w:pPr>
              <w:jc w:val="both"/>
              <w:rPr>
                <w:sz w:val="20"/>
              </w:rPr>
            </w:pPr>
            <w:r w:rsidRPr="00F7078A">
              <w:rPr>
                <w:sz w:val="20"/>
              </w:rPr>
              <w:t xml:space="preserve">The applicant, John Aquino, was the directing mind of Bondfield Construction Company Limited and its affiliate, 1033803 Ontario Inc., commonly known as Forma-Con (“debtor companies”). He and the other applicants carried out a false invoicing scheme over a number of years by which they siphoned off tens of millions of dollars from both debtor companies. The respondents challenged the false invoicing scheme and sought to recover some of the money under s. 96 of the </w:t>
            </w:r>
            <w:r w:rsidRPr="00F7078A">
              <w:rPr>
                <w:i/>
                <w:sz w:val="20"/>
              </w:rPr>
              <w:t>Bankruptcy and Insolvency Act</w:t>
            </w:r>
            <w:r w:rsidRPr="00F7078A">
              <w:rPr>
                <w:sz w:val="20"/>
              </w:rPr>
              <w:t xml:space="preserve"> and s. 36.1 of the </w:t>
            </w:r>
            <w:r w:rsidRPr="00F7078A">
              <w:rPr>
                <w:i/>
                <w:sz w:val="20"/>
              </w:rPr>
              <w:t>Companies’ Creditors Arrangement Act</w:t>
            </w:r>
            <w:r w:rsidRPr="00F7078A">
              <w:rPr>
                <w:sz w:val="20"/>
              </w:rPr>
              <w:t xml:space="preserve">, R.S.C. 1985, c. C-36. They asserted that the false invoicing scheme was implemented by means of transfers at undervalue by which Mr. Aquino and the debtor companies intended to defraud, defeat or delay a creditor. The applicants asserted that the principles of the common law doctrine of corporate attribution set out in </w:t>
            </w:r>
            <w:r w:rsidRPr="00F7078A">
              <w:rPr>
                <w:i/>
                <w:sz w:val="20"/>
              </w:rPr>
              <w:t>Canadian Dredge &amp; Dock Co. v. The Queen</w:t>
            </w:r>
            <w:r w:rsidRPr="00F7078A">
              <w:rPr>
                <w:sz w:val="20"/>
              </w:rPr>
              <w:t xml:space="preserve">, [1985] 1 S.C.R. 662, did not permit the imputation of Mr. Aquino’s intention to either debtor company. The application judge imputed the fraudulent intention of Mr. Aquino to the corporate debtors. The Court of Appeal dismissed the applicants’ appeals. </w:t>
            </w:r>
          </w:p>
        </w:tc>
      </w:tr>
      <w:tr w:rsidR="0085735C" w:rsidRPr="00F7078A" w:rsidTr="005A2216">
        <w:tc>
          <w:tcPr>
            <w:tcW w:w="5000" w:type="pct"/>
            <w:gridSpan w:val="4"/>
          </w:tcPr>
          <w:p w:rsidR="0085735C" w:rsidRPr="00F7078A" w:rsidRDefault="0085735C" w:rsidP="005A2216">
            <w:pPr>
              <w:jc w:val="both"/>
              <w:rPr>
                <w:sz w:val="20"/>
              </w:rPr>
            </w:pPr>
          </w:p>
        </w:tc>
      </w:tr>
      <w:tr w:rsidR="0085735C" w:rsidRPr="00F7078A" w:rsidTr="005A2216">
        <w:tc>
          <w:tcPr>
            <w:tcW w:w="2427" w:type="pct"/>
            <w:gridSpan w:val="2"/>
          </w:tcPr>
          <w:p w:rsidR="0085735C" w:rsidRPr="00F7078A" w:rsidRDefault="0085735C" w:rsidP="005A2216">
            <w:pPr>
              <w:jc w:val="both"/>
              <w:rPr>
                <w:sz w:val="20"/>
              </w:rPr>
            </w:pPr>
            <w:r w:rsidRPr="00F7078A">
              <w:rPr>
                <w:sz w:val="20"/>
              </w:rPr>
              <w:t>March 19, 2021</w:t>
            </w:r>
          </w:p>
          <w:p w:rsidR="0085735C" w:rsidRPr="00F7078A" w:rsidRDefault="0085735C" w:rsidP="005A2216">
            <w:pPr>
              <w:jc w:val="both"/>
              <w:rPr>
                <w:sz w:val="20"/>
              </w:rPr>
            </w:pPr>
            <w:r w:rsidRPr="00F7078A">
              <w:rPr>
                <w:sz w:val="20"/>
              </w:rPr>
              <w:t>Ontario Superior Court of Justice</w:t>
            </w:r>
          </w:p>
          <w:p w:rsidR="0085735C" w:rsidRPr="00F7078A" w:rsidRDefault="0085735C" w:rsidP="005A2216">
            <w:pPr>
              <w:jc w:val="both"/>
              <w:rPr>
                <w:sz w:val="20"/>
              </w:rPr>
            </w:pPr>
            <w:r w:rsidRPr="00F7078A">
              <w:rPr>
                <w:sz w:val="20"/>
              </w:rPr>
              <w:t>(Dietrich J.)</w:t>
            </w:r>
          </w:p>
          <w:p w:rsidR="0085735C" w:rsidRPr="00F7078A" w:rsidRDefault="008075AD" w:rsidP="005A2216">
            <w:pPr>
              <w:jc w:val="both"/>
              <w:rPr>
                <w:sz w:val="20"/>
              </w:rPr>
            </w:pPr>
            <w:hyperlink r:id="rId19" w:history="1">
              <w:r w:rsidR="0085735C" w:rsidRPr="00F7078A">
                <w:rPr>
                  <w:rStyle w:val="Hyperlink"/>
                  <w:sz w:val="20"/>
                </w:rPr>
                <w:t>2021 ONSC 527</w:t>
              </w:r>
            </w:hyperlink>
          </w:p>
          <w:p w:rsidR="0085735C" w:rsidRPr="00F7078A" w:rsidRDefault="0085735C" w:rsidP="005A2216">
            <w:pPr>
              <w:jc w:val="both"/>
              <w:rPr>
                <w:sz w:val="20"/>
              </w:rPr>
            </w:pPr>
          </w:p>
        </w:tc>
        <w:tc>
          <w:tcPr>
            <w:tcW w:w="243" w:type="pct"/>
          </w:tcPr>
          <w:p w:rsidR="0085735C" w:rsidRPr="00F7078A" w:rsidRDefault="0085735C" w:rsidP="005A2216">
            <w:pPr>
              <w:jc w:val="both"/>
              <w:rPr>
                <w:sz w:val="20"/>
              </w:rPr>
            </w:pPr>
          </w:p>
        </w:tc>
        <w:tc>
          <w:tcPr>
            <w:tcW w:w="2330" w:type="pct"/>
          </w:tcPr>
          <w:p w:rsidR="0085735C" w:rsidRPr="00F7078A" w:rsidRDefault="0085735C" w:rsidP="005A2216">
            <w:pPr>
              <w:jc w:val="both"/>
              <w:rPr>
                <w:sz w:val="20"/>
              </w:rPr>
            </w:pPr>
            <w:r w:rsidRPr="00F7078A">
              <w:rPr>
                <w:sz w:val="20"/>
              </w:rPr>
              <w:t>Applicants found liable and ordered to pay sums to respondents</w:t>
            </w:r>
          </w:p>
          <w:p w:rsidR="0085735C" w:rsidRPr="00F7078A" w:rsidRDefault="0085735C" w:rsidP="005A2216">
            <w:pPr>
              <w:jc w:val="both"/>
              <w:rPr>
                <w:sz w:val="20"/>
              </w:rPr>
            </w:pPr>
          </w:p>
        </w:tc>
      </w:tr>
    </w:tbl>
    <w:p w:rsidR="00CF3BF6" w:rsidRPr="00F7078A" w:rsidRDefault="00CF3BF6">
      <w:r w:rsidRPr="00F7078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735C" w:rsidRPr="00F7078A" w:rsidTr="005A2216">
        <w:tc>
          <w:tcPr>
            <w:tcW w:w="2427" w:type="pct"/>
          </w:tcPr>
          <w:p w:rsidR="0085735C" w:rsidRPr="00F7078A" w:rsidRDefault="0085735C" w:rsidP="005A2216">
            <w:pPr>
              <w:jc w:val="both"/>
              <w:rPr>
                <w:sz w:val="20"/>
              </w:rPr>
            </w:pPr>
            <w:r w:rsidRPr="00F7078A">
              <w:rPr>
                <w:sz w:val="20"/>
              </w:rPr>
              <w:t>March 10, 2022</w:t>
            </w:r>
          </w:p>
          <w:p w:rsidR="0085735C" w:rsidRPr="00F7078A" w:rsidRDefault="0085735C" w:rsidP="005A2216">
            <w:pPr>
              <w:jc w:val="both"/>
              <w:rPr>
                <w:sz w:val="20"/>
              </w:rPr>
            </w:pPr>
            <w:r w:rsidRPr="00F7078A">
              <w:rPr>
                <w:sz w:val="20"/>
              </w:rPr>
              <w:t>Court of Appeal for Ontario</w:t>
            </w:r>
          </w:p>
          <w:p w:rsidR="0085735C" w:rsidRPr="00F7078A" w:rsidRDefault="0085735C" w:rsidP="005A2216">
            <w:pPr>
              <w:jc w:val="both"/>
              <w:rPr>
                <w:sz w:val="20"/>
              </w:rPr>
            </w:pPr>
            <w:r w:rsidRPr="00F7078A">
              <w:rPr>
                <w:sz w:val="20"/>
              </w:rPr>
              <w:t>(Lauwers, Coroza, Sossin JJ.A.)</w:t>
            </w:r>
          </w:p>
          <w:p w:rsidR="0085735C" w:rsidRPr="00F7078A" w:rsidRDefault="008075AD" w:rsidP="005A2216">
            <w:pPr>
              <w:jc w:val="both"/>
              <w:rPr>
                <w:sz w:val="20"/>
              </w:rPr>
            </w:pPr>
            <w:hyperlink r:id="rId20" w:history="1">
              <w:r w:rsidR="0085735C" w:rsidRPr="00F7078A">
                <w:rPr>
                  <w:rStyle w:val="Hyperlink"/>
                  <w:sz w:val="20"/>
                </w:rPr>
                <w:t>2022 ONCA 202</w:t>
              </w:r>
            </w:hyperlink>
            <w:r w:rsidR="0085735C" w:rsidRPr="00F7078A">
              <w:rPr>
                <w:sz w:val="20"/>
              </w:rPr>
              <w:t xml:space="preserve"> (Dockets: C69263, C69264, C69278, C69305, C69306, C69318 &amp; C69321)</w:t>
            </w:r>
          </w:p>
          <w:p w:rsidR="0085735C" w:rsidRPr="00F7078A" w:rsidRDefault="0085735C" w:rsidP="005A2216">
            <w:pPr>
              <w:jc w:val="both"/>
              <w:rPr>
                <w:sz w:val="20"/>
              </w:rPr>
            </w:pPr>
          </w:p>
        </w:tc>
        <w:tc>
          <w:tcPr>
            <w:tcW w:w="243" w:type="pct"/>
          </w:tcPr>
          <w:p w:rsidR="0085735C" w:rsidRPr="00F7078A" w:rsidRDefault="0085735C" w:rsidP="005A2216">
            <w:pPr>
              <w:jc w:val="both"/>
              <w:rPr>
                <w:sz w:val="20"/>
              </w:rPr>
            </w:pPr>
          </w:p>
        </w:tc>
        <w:tc>
          <w:tcPr>
            <w:tcW w:w="2330" w:type="pct"/>
          </w:tcPr>
          <w:p w:rsidR="0085735C" w:rsidRPr="00F7078A" w:rsidRDefault="0085735C" w:rsidP="005A2216">
            <w:pPr>
              <w:jc w:val="both"/>
              <w:rPr>
                <w:sz w:val="20"/>
              </w:rPr>
            </w:pPr>
            <w:r w:rsidRPr="00F7078A">
              <w:rPr>
                <w:sz w:val="20"/>
              </w:rPr>
              <w:t>Appeals dismissed</w:t>
            </w:r>
          </w:p>
          <w:p w:rsidR="0085735C" w:rsidRPr="00F7078A" w:rsidRDefault="0085735C" w:rsidP="005A2216">
            <w:pPr>
              <w:jc w:val="both"/>
              <w:rPr>
                <w:sz w:val="20"/>
              </w:rPr>
            </w:pPr>
          </w:p>
        </w:tc>
      </w:tr>
      <w:tr w:rsidR="0085735C" w:rsidRPr="00F7078A" w:rsidTr="005A2216">
        <w:tc>
          <w:tcPr>
            <w:tcW w:w="2427" w:type="pct"/>
          </w:tcPr>
          <w:p w:rsidR="0085735C" w:rsidRPr="00F7078A" w:rsidRDefault="0085735C" w:rsidP="005A2216">
            <w:pPr>
              <w:jc w:val="both"/>
              <w:rPr>
                <w:sz w:val="20"/>
              </w:rPr>
            </w:pPr>
            <w:r w:rsidRPr="00F7078A">
              <w:rPr>
                <w:sz w:val="20"/>
              </w:rPr>
              <w:t>April 21, 2022</w:t>
            </w:r>
          </w:p>
          <w:p w:rsidR="0085735C" w:rsidRPr="00F7078A" w:rsidRDefault="0085735C" w:rsidP="005A2216">
            <w:pPr>
              <w:jc w:val="both"/>
              <w:rPr>
                <w:sz w:val="20"/>
              </w:rPr>
            </w:pPr>
            <w:r w:rsidRPr="00F7078A">
              <w:rPr>
                <w:sz w:val="20"/>
              </w:rPr>
              <w:t>Supreme Court of Canada</w:t>
            </w:r>
          </w:p>
        </w:tc>
        <w:tc>
          <w:tcPr>
            <w:tcW w:w="243" w:type="pct"/>
          </w:tcPr>
          <w:p w:rsidR="0085735C" w:rsidRPr="00F7078A" w:rsidRDefault="0085735C" w:rsidP="005A2216">
            <w:pPr>
              <w:jc w:val="both"/>
              <w:rPr>
                <w:sz w:val="20"/>
              </w:rPr>
            </w:pPr>
          </w:p>
        </w:tc>
        <w:tc>
          <w:tcPr>
            <w:tcW w:w="2330" w:type="pct"/>
          </w:tcPr>
          <w:p w:rsidR="0085735C" w:rsidRPr="00F7078A" w:rsidRDefault="0085735C" w:rsidP="005A2216">
            <w:pPr>
              <w:jc w:val="both"/>
              <w:rPr>
                <w:sz w:val="20"/>
              </w:rPr>
            </w:pPr>
            <w:r w:rsidRPr="00F7078A">
              <w:rPr>
                <w:sz w:val="20"/>
              </w:rPr>
              <w:t>Application for leave to appeal filed</w:t>
            </w:r>
          </w:p>
          <w:p w:rsidR="0085735C" w:rsidRPr="00F7078A" w:rsidRDefault="0085735C" w:rsidP="005A2216">
            <w:pPr>
              <w:jc w:val="both"/>
              <w:rPr>
                <w:sz w:val="20"/>
              </w:rPr>
            </w:pPr>
          </w:p>
        </w:tc>
      </w:tr>
    </w:tbl>
    <w:p w:rsidR="0085735C" w:rsidRPr="00F7078A" w:rsidRDefault="0085735C" w:rsidP="0085735C">
      <w:pPr>
        <w:jc w:val="both"/>
        <w:rPr>
          <w:sz w:val="20"/>
        </w:rPr>
      </w:pPr>
    </w:p>
    <w:p w:rsidR="0085735C" w:rsidRPr="00F7078A" w:rsidRDefault="008075AD" w:rsidP="0085735C">
      <w:pPr>
        <w:jc w:val="both"/>
        <w:rPr>
          <w:sz w:val="20"/>
        </w:rPr>
      </w:pPr>
      <w:r>
        <w:rPr>
          <w:sz w:val="20"/>
        </w:rPr>
        <w:pict>
          <v:rect id="_x0000_i1029" style="width:2in;height:1pt" o:hrpct="0" o:hralign="center" o:hrstd="t" o:hrnoshade="t" o:hr="t" fillcolor="black [3213]" stroked="f"/>
        </w:pict>
      </w:r>
    </w:p>
    <w:p w:rsidR="0085735C" w:rsidRPr="00F7078A" w:rsidRDefault="0085735C" w:rsidP="008573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735C" w:rsidRPr="00F7078A" w:rsidTr="005A2216">
        <w:tc>
          <w:tcPr>
            <w:tcW w:w="543" w:type="pct"/>
          </w:tcPr>
          <w:p w:rsidR="0085735C" w:rsidRPr="00F7078A" w:rsidRDefault="0085735C" w:rsidP="005A2216">
            <w:pPr>
              <w:jc w:val="both"/>
              <w:rPr>
                <w:sz w:val="20"/>
                <w:lang w:val="fr-CA"/>
              </w:rPr>
            </w:pPr>
            <w:r w:rsidRPr="00F7078A">
              <w:rPr>
                <w:rStyle w:val="SCCFileNumberChar"/>
                <w:sz w:val="20"/>
                <w:szCs w:val="20"/>
                <w:lang w:val="fr-CA"/>
              </w:rPr>
              <w:t>40166</w:t>
            </w:r>
          </w:p>
        </w:tc>
        <w:tc>
          <w:tcPr>
            <w:tcW w:w="4457" w:type="pct"/>
            <w:gridSpan w:val="3"/>
          </w:tcPr>
          <w:p w:rsidR="0085735C" w:rsidRPr="00F7078A" w:rsidRDefault="00CF3BF6" w:rsidP="005A2216">
            <w:pPr>
              <w:pStyle w:val="SCCLsocParty"/>
              <w:jc w:val="both"/>
              <w:rPr>
                <w:b/>
                <w:sz w:val="20"/>
                <w:szCs w:val="20"/>
              </w:rPr>
            </w:pPr>
            <w:r w:rsidRPr="00F7078A">
              <w:rPr>
                <w:b/>
                <w:sz w:val="20"/>
                <w:szCs w:val="20"/>
              </w:rPr>
              <w:t>John Aquino, 2304288 Ontario Inc., Marco Caruso, Giuseppe Anastasio, aussi connu sous le nom de Joe Ana, et Lucia Coccia, aussi connue sous le nom de Lucia Canderle</w:t>
            </w:r>
            <w:r w:rsidR="0085735C" w:rsidRPr="00F7078A">
              <w:rPr>
                <w:b/>
                <w:sz w:val="20"/>
                <w:szCs w:val="20"/>
              </w:rPr>
              <w:t xml:space="preserve"> c. </w:t>
            </w:r>
            <w:r w:rsidRPr="00F7078A">
              <w:rPr>
                <w:b/>
                <w:sz w:val="20"/>
                <w:szCs w:val="20"/>
              </w:rPr>
              <w:t>Ernst &amp; Young Inc., en sa qualité de contrôleur nommé par le tribunal à l’égard de Bondfield Construction Company Limited et KSV Kofman Inc., en sa qualité de syndic en matière de faillite de 1033803 Ontario Inc. et 1087507 Ontario Limited</w:t>
            </w:r>
          </w:p>
          <w:p w:rsidR="0085735C" w:rsidRPr="00F7078A" w:rsidRDefault="0085735C" w:rsidP="005A2216">
            <w:pPr>
              <w:jc w:val="both"/>
              <w:rPr>
                <w:sz w:val="20"/>
                <w:lang w:val="fr-CA"/>
              </w:rPr>
            </w:pPr>
            <w:r w:rsidRPr="00F7078A">
              <w:rPr>
                <w:sz w:val="20"/>
                <w:lang w:val="fr-CA"/>
              </w:rPr>
              <w:t>(Ont.) (Civile) (Sur autorisation)</w:t>
            </w:r>
          </w:p>
        </w:tc>
      </w:tr>
      <w:tr w:rsidR="0085735C" w:rsidRPr="008075AD" w:rsidTr="005A2216">
        <w:tc>
          <w:tcPr>
            <w:tcW w:w="5000" w:type="pct"/>
            <w:gridSpan w:val="4"/>
          </w:tcPr>
          <w:p w:rsidR="0085735C" w:rsidRPr="00F7078A" w:rsidRDefault="00CF3BF6" w:rsidP="005A2216">
            <w:pPr>
              <w:jc w:val="both"/>
              <w:rPr>
                <w:sz w:val="20"/>
                <w:szCs w:val="20"/>
                <w:lang w:val="fr-CA"/>
              </w:rPr>
            </w:pPr>
            <w:r w:rsidRPr="00F7078A">
              <w:rPr>
                <w:sz w:val="20"/>
                <w:szCs w:val="20"/>
                <w:lang w:val="fr-CA"/>
              </w:rPr>
              <w:t>La demande d’autorisation d’appel de l’arrêt de la Cour d’appel de l’Ontario, numéros C69263, C69264, C69278, C69305, C69306, C69318 et C69321, 2022 ONCA 202, daté du 10 mars 2022, est accueillie avec dépens suivant l’issue de la cause.</w:t>
            </w:r>
          </w:p>
          <w:p w:rsidR="00CF3BF6" w:rsidRPr="00F7078A" w:rsidRDefault="00CF3BF6" w:rsidP="005A2216">
            <w:pPr>
              <w:jc w:val="both"/>
              <w:rPr>
                <w:sz w:val="20"/>
                <w:lang w:val="fr-CA"/>
              </w:rPr>
            </w:pPr>
          </w:p>
        </w:tc>
      </w:tr>
      <w:tr w:rsidR="0085735C" w:rsidRPr="008075AD" w:rsidTr="005A2216">
        <w:tc>
          <w:tcPr>
            <w:tcW w:w="5000" w:type="pct"/>
            <w:gridSpan w:val="4"/>
          </w:tcPr>
          <w:p w:rsidR="0085735C" w:rsidRPr="00F7078A" w:rsidRDefault="0085735C" w:rsidP="005A2216">
            <w:pPr>
              <w:jc w:val="both"/>
              <w:rPr>
                <w:sz w:val="20"/>
                <w:lang w:val="fr-CA"/>
              </w:rPr>
            </w:pPr>
            <w:r w:rsidRPr="00F7078A">
              <w:rPr>
                <w:sz w:val="20"/>
                <w:lang w:val="fr-CA"/>
              </w:rPr>
              <w:t>Faillite et insolvabilité</w:t>
            </w:r>
            <w:r w:rsidRPr="00F7078A">
              <w:rPr>
                <w:i/>
                <w:sz w:val="20"/>
                <w:lang w:val="fr-CA"/>
              </w:rPr>
              <w:t xml:space="preserve"> </w:t>
            </w:r>
            <w:r w:rsidRPr="00F7078A">
              <w:rPr>
                <w:sz w:val="20"/>
                <w:lang w:val="fr-CA"/>
              </w:rPr>
              <w:t xml:space="preserve">— Doctrine de l’attribution d’actes à une société — Interprétation de l’exigence selon laquelle le débiteur doit l’intention de frauder, frustrer ou retarder le créancier, énoncée dans une disposition de la </w:t>
            </w:r>
            <w:r w:rsidRPr="00F7078A">
              <w:rPr>
                <w:i/>
                <w:sz w:val="20"/>
                <w:lang w:val="fr-CA"/>
              </w:rPr>
              <w:t>Loi sur la faillite et l’insolvabilité</w:t>
            </w:r>
            <w:r w:rsidRPr="00F7078A">
              <w:rPr>
                <w:sz w:val="20"/>
                <w:lang w:val="fr-CA"/>
              </w:rPr>
              <w:t xml:space="preserve">, qui permet aux tribunaux de déclarer nulles des opérations sous-évaluées — Tribunaux inférieurs statuant que l’exigence relative à l’intention est respectée par l’attribution de l’intention de l’âme dirigeante des entreprises aux personnes morales débitrices — Le critère de l’attribution d’actes à une société qui a été énoncé dans l’arrêt </w:t>
            </w:r>
            <w:r w:rsidRPr="00F7078A">
              <w:rPr>
                <w:i/>
                <w:sz w:val="20"/>
                <w:lang w:val="fr-CA"/>
              </w:rPr>
              <w:t>Canadian Dredge &amp; Dock Co. c. La Reine</w:t>
            </w:r>
            <w:r w:rsidRPr="00F7078A">
              <w:rPr>
                <w:sz w:val="20"/>
                <w:lang w:val="fr-CA"/>
              </w:rPr>
              <w:t xml:space="preserve">, [1985] 1 R.C.S. 662, devrait-il s’appliquer dans des cas où il est question de cette disposition de la </w:t>
            </w:r>
            <w:r w:rsidRPr="00F7078A">
              <w:rPr>
                <w:i/>
                <w:sz w:val="20"/>
                <w:lang w:val="fr-CA"/>
              </w:rPr>
              <w:t>Loi sur la faillite et l’insolvabilité</w:t>
            </w:r>
            <w:r w:rsidRPr="00F7078A">
              <w:rPr>
                <w:sz w:val="20"/>
                <w:lang w:val="fr-CA"/>
              </w:rPr>
              <w:t xml:space="preserve">? — La Cour d’appel était-elle autorisée à reformuler la doctrine de common law de l’attribution d’actes à une société, formulée dans l’arrêt </w:t>
            </w:r>
            <w:r w:rsidRPr="00F7078A">
              <w:rPr>
                <w:i/>
                <w:sz w:val="20"/>
                <w:lang w:val="fr-CA"/>
              </w:rPr>
              <w:t xml:space="preserve">Canadian Dredge </w:t>
            </w:r>
            <w:r w:rsidRPr="00F7078A">
              <w:rPr>
                <w:sz w:val="20"/>
                <w:lang w:val="fr-CA"/>
              </w:rPr>
              <w:t xml:space="preserve">et ceux rendus dans sa foulée, dans le contexte de la faillite? — </w:t>
            </w:r>
            <w:r w:rsidRPr="00F7078A">
              <w:rPr>
                <w:i/>
                <w:sz w:val="20"/>
                <w:lang w:val="fr-CA"/>
              </w:rPr>
              <w:t>Loi sur la faillite et l’insolvabilité</w:t>
            </w:r>
            <w:r w:rsidRPr="00F7078A">
              <w:rPr>
                <w:sz w:val="20"/>
                <w:lang w:val="fr-CA"/>
              </w:rPr>
              <w:t>, L.R.C. 1985, c. B-3, art. 96.</w:t>
            </w:r>
          </w:p>
        </w:tc>
      </w:tr>
      <w:tr w:rsidR="0085735C" w:rsidRPr="00F7078A" w:rsidTr="005A2216">
        <w:tc>
          <w:tcPr>
            <w:tcW w:w="5000" w:type="pct"/>
            <w:gridSpan w:val="4"/>
          </w:tcPr>
          <w:p w:rsidR="0085735C" w:rsidRPr="00F7078A" w:rsidRDefault="0085735C" w:rsidP="005A2216">
            <w:pPr>
              <w:jc w:val="both"/>
              <w:rPr>
                <w:sz w:val="20"/>
                <w:lang w:val="fr-CA"/>
              </w:rPr>
            </w:pPr>
          </w:p>
          <w:p w:rsidR="0085735C" w:rsidRPr="00F7078A" w:rsidRDefault="0085735C" w:rsidP="005A2216">
            <w:pPr>
              <w:jc w:val="both"/>
              <w:rPr>
                <w:sz w:val="20"/>
                <w:lang w:val="fr-CA"/>
              </w:rPr>
            </w:pPr>
            <w:r w:rsidRPr="00F7078A">
              <w:rPr>
                <w:sz w:val="20"/>
                <w:lang w:val="fr-CA"/>
              </w:rPr>
              <w:t xml:space="preserve">Le demandeur, John Aquino, était l’âme dirigeante de Bondfield Construction Company Limited et sa filiale, 1033803 Ontario Inc., appelées communément Forma-Con (« sociétés débitrices »). Il a, avec les autres demandeurs, opéré un stratagème de factures de complaisance pendant de nombreuses années, par lequel ils ont détourné des dizaines de millions de dollars des deux sociétés débitrices. Les intimées ont contesté le stratagème de factures de complaisance et ont cherché à recouvrer une partie des sommes en vertu de l’art. 96 de la </w:t>
            </w:r>
            <w:r w:rsidRPr="00F7078A">
              <w:rPr>
                <w:i/>
                <w:sz w:val="20"/>
                <w:lang w:val="fr-CA"/>
              </w:rPr>
              <w:t>Loi sur la faillite et l’insolvabilité</w:t>
            </w:r>
            <w:r w:rsidRPr="00F7078A">
              <w:rPr>
                <w:sz w:val="20"/>
                <w:lang w:val="fr-CA"/>
              </w:rPr>
              <w:t xml:space="preserve"> et de l’art. 36.1 de la </w:t>
            </w:r>
            <w:r w:rsidRPr="00F7078A">
              <w:rPr>
                <w:i/>
                <w:sz w:val="20"/>
                <w:lang w:val="fr-CA"/>
              </w:rPr>
              <w:t>Loi sur les arrangements avec les créanciers des compagnies</w:t>
            </w:r>
            <w:r w:rsidRPr="00F7078A">
              <w:rPr>
                <w:sz w:val="20"/>
                <w:lang w:val="fr-CA"/>
              </w:rPr>
              <w:t xml:space="preserve">, L.R.C. 1985, c. C-36. Ils affirmaient que le stratagème de factures de complaisance avait été mis en œuvre au moyen d’opérations sous-évaluées par lesquelles M. Aquino et les sociétés débitrices avaient l’intention de frauder, frustrer ou retarder un créancier. Les demandeurs ont soutenu que les principes de la doctrine de common law de l’attribution d’actes à une société énoncés dans l’arrêt </w:t>
            </w:r>
            <w:r w:rsidRPr="00F7078A">
              <w:rPr>
                <w:i/>
                <w:sz w:val="20"/>
                <w:lang w:val="fr-CA"/>
              </w:rPr>
              <w:t>Canadian Dredge &amp; Dock Co. c. La Reine</w:t>
            </w:r>
            <w:r w:rsidRPr="00F7078A">
              <w:rPr>
                <w:sz w:val="20"/>
                <w:lang w:val="fr-CA"/>
              </w:rPr>
              <w:t>, [1985] 1 R.C.S. 662, ne permettaient pas l’attribution de l’intention de M. Aquino à une des sociétés débitrices. Le juge saisi de la demande a attribué l’intention frauduleuse de M. Aquino aux sociétés débitrices. La Cour d’appel a rejeté les appels des demandeurs.</w:t>
            </w:r>
          </w:p>
        </w:tc>
      </w:tr>
      <w:tr w:rsidR="0085735C" w:rsidRPr="00F7078A" w:rsidTr="005A2216">
        <w:tc>
          <w:tcPr>
            <w:tcW w:w="5000" w:type="pct"/>
            <w:gridSpan w:val="4"/>
          </w:tcPr>
          <w:p w:rsidR="0085735C" w:rsidRPr="00F7078A" w:rsidRDefault="0085735C" w:rsidP="005A2216">
            <w:pPr>
              <w:jc w:val="both"/>
              <w:rPr>
                <w:sz w:val="20"/>
                <w:lang w:val="fr-CA"/>
              </w:rPr>
            </w:pPr>
          </w:p>
        </w:tc>
      </w:tr>
      <w:tr w:rsidR="0085735C" w:rsidRPr="008075AD" w:rsidTr="005A2216">
        <w:tc>
          <w:tcPr>
            <w:tcW w:w="2427" w:type="pct"/>
            <w:gridSpan w:val="2"/>
          </w:tcPr>
          <w:p w:rsidR="0085735C" w:rsidRPr="00F7078A" w:rsidRDefault="0085735C" w:rsidP="005A2216">
            <w:pPr>
              <w:jc w:val="both"/>
              <w:rPr>
                <w:sz w:val="20"/>
                <w:lang w:val="fr-CA"/>
              </w:rPr>
            </w:pPr>
            <w:r w:rsidRPr="00F7078A">
              <w:rPr>
                <w:sz w:val="20"/>
                <w:lang w:val="fr-CA"/>
              </w:rPr>
              <w:t>19 mars 2021</w:t>
            </w:r>
          </w:p>
          <w:p w:rsidR="0085735C" w:rsidRPr="00F7078A" w:rsidRDefault="0085735C" w:rsidP="005A2216">
            <w:pPr>
              <w:jc w:val="both"/>
              <w:rPr>
                <w:sz w:val="20"/>
                <w:lang w:val="fr-CA"/>
              </w:rPr>
            </w:pPr>
            <w:r w:rsidRPr="00F7078A">
              <w:rPr>
                <w:sz w:val="20"/>
                <w:lang w:val="fr-CA"/>
              </w:rPr>
              <w:t xml:space="preserve">Cour supérieure de justice de l’Ontario </w:t>
            </w:r>
          </w:p>
          <w:p w:rsidR="0085735C" w:rsidRPr="00F7078A" w:rsidRDefault="0085735C" w:rsidP="005A2216">
            <w:pPr>
              <w:jc w:val="both"/>
              <w:rPr>
                <w:sz w:val="20"/>
                <w:lang w:val="fr-CA"/>
              </w:rPr>
            </w:pPr>
            <w:r w:rsidRPr="00F7078A">
              <w:rPr>
                <w:sz w:val="20"/>
                <w:lang w:val="fr-CA"/>
              </w:rPr>
              <w:t>(Juge Dietrich)</w:t>
            </w:r>
          </w:p>
          <w:p w:rsidR="0085735C" w:rsidRPr="00F7078A" w:rsidRDefault="008075AD" w:rsidP="005A2216">
            <w:pPr>
              <w:jc w:val="both"/>
              <w:rPr>
                <w:sz w:val="20"/>
                <w:lang w:val="fr-CA"/>
              </w:rPr>
            </w:pPr>
            <w:hyperlink r:id="rId21" w:history="1">
              <w:r w:rsidR="0085735C" w:rsidRPr="00F7078A">
                <w:rPr>
                  <w:rStyle w:val="Hyperlink"/>
                  <w:sz w:val="20"/>
                  <w:lang w:val="fr-CA"/>
                </w:rPr>
                <w:t>2021 ONSC 527</w:t>
              </w:r>
            </w:hyperlink>
          </w:p>
          <w:p w:rsidR="0085735C" w:rsidRPr="00F7078A" w:rsidRDefault="0085735C" w:rsidP="005A2216">
            <w:pPr>
              <w:jc w:val="both"/>
              <w:rPr>
                <w:sz w:val="20"/>
                <w:lang w:val="fr-CA"/>
              </w:rPr>
            </w:pPr>
          </w:p>
        </w:tc>
        <w:tc>
          <w:tcPr>
            <w:tcW w:w="243" w:type="pct"/>
          </w:tcPr>
          <w:p w:rsidR="0085735C" w:rsidRPr="00F7078A" w:rsidRDefault="0085735C" w:rsidP="005A2216">
            <w:pPr>
              <w:jc w:val="both"/>
              <w:rPr>
                <w:sz w:val="20"/>
                <w:lang w:val="fr-CA"/>
              </w:rPr>
            </w:pPr>
          </w:p>
        </w:tc>
        <w:tc>
          <w:tcPr>
            <w:tcW w:w="2330" w:type="pct"/>
          </w:tcPr>
          <w:p w:rsidR="0085735C" w:rsidRPr="00F7078A" w:rsidRDefault="0085735C" w:rsidP="005A2216">
            <w:pPr>
              <w:jc w:val="both"/>
              <w:rPr>
                <w:sz w:val="20"/>
                <w:lang w:val="fr-CA"/>
              </w:rPr>
            </w:pPr>
            <w:r w:rsidRPr="00F7078A">
              <w:rPr>
                <w:sz w:val="20"/>
                <w:lang w:val="fr-CA"/>
              </w:rPr>
              <w:t>Demandeurs déclarés responsables et devant verser des sommes aux intimées</w:t>
            </w:r>
          </w:p>
          <w:p w:rsidR="0085735C" w:rsidRPr="00F7078A" w:rsidRDefault="0085735C" w:rsidP="005A2216">
            <w:pPr>
              <w:jc w:val="both"/>
              <w:rPr>
                <w:sz w:val="20"/>
                <w:lang w:val="fr-CA"/>
              </w:rPr>
            </w:pPr>
          </w:p>
        </w:tc>
      </w:tr>
    </w:tbl>
    <w:p w:rsidR="00CF3BF6" w:rsidRPr="00F7078A" w:rsidRDefault="00CF3BF6">
      <w:pPr>
        <w:rPr>
          <w:lang w:val="fr-CA"/>
        </w:rPr>
      </w:pPr>
      <w:r w:rsidRPr="00F7078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735C" w:rsidRPr="00F7078A" w:rsidTr="005A2216">
        <w:tc>
          <w:tcPr>
            <w:tcW w:w="2427" w:type="pct"/>
          </w:tcPr>
          <w:p w:rsidR="0085735C" w:rsidRPr="00F7078A" w:rsidRDefault="0085735C" w:rsidP="005A2216">
            <w:pPr>
              <w:jc w:val="both"/>
              <w:rPr>
                <w:sz w:val="20"/>
                <w:lang w:val="fr-CA"/>
              </w:rPr>
            </w:pPr>
            <w:r w:rsidRPr="00F7078A">
              <w:rPr>
                <w:sz w:val="20"/>
                <w:lang w:val="fr-CA"/>
              </w:rPr>
              <w:t>10 mars 2022</w:t>
            </w:r>
          </w:p>
          <w:p w:rsidR="0085735C" w:rsidRPr="00F7078A" w:rsidRDefault="0085735C" w:rsidP="005A2216">
            <w:pPr>
              <w:jc w:val="both"/>
              <w:rPr>
                <w:sz w:val="20"/>
                <w:lang w:val="fr-CA"/>
              </w:rPr>
            </w:pPr>
            <w:r w:rsidRPr="00F7078A">
              <w:rPr>
                <w:sz w:val="20"/>
                <w:lang w:val="fr-CA"/>
              </w:rPr>
              <w:t>Cour d’appel de l’Ontario</w:t>
            </w:r>
          </w:p>
          <w:p w:rsidR="0085735C" w:rsidRPr="00F7078A" w:rsidRDefault="0085735C" w:rsidP="005A2216">
            <w:pPr>
              <w:jc w:val="both"/>
              <w:rPr>
                <w:sz w:val="20"/>
                <w:lang w:val="fr-CA"/>
              </w:rPr>
            </w:pPr>
            <w:r w:rsidRPr="00F7078A">
              <w:rPr>
                <w:sz w:val="20"/>
                <w:lang w:val="fr-CA"/>
              </w:rPr>
              <w:t>(Juges Lauwers, Coroza et Sossin)</w:t>
            </w:r>
          </w:p>
          <w:p w:rsidR="0085735C" w:rsidRPr="00F7078A" w:rsidRDefault="008075AD" w:rsidP="005A2216">
            <w:pPr>
              <w:jc w:val="both"/>
              <w:rPr>
                <w:sz w:val="20"/>
                <w:lang w:val="fr-CA"/>
              </w:rPr>
            </w:pPr>
            <w:hyperlink r:id="rId22" w:history="1">
              <w:r w:rsidR="0085735C" w:rsidRPr="00F7078A">
                <w:rPr>
                  <w:rStyle w:val="Hyperlink"/>
                  <w:sz w:val="20"/>
                  <w:lang w:val="fr-CA"/>
                </w:rPr>
                <w:t>2022 ONCA 202</w:t>
              </w:r>
            </w:hyperlink>
            <w:r w:rsidR="0085735C" w:rsidRPr="00F7078A">
              <w:rPr>
                <w:sz w:val="20"/>
                <w:lang w:val="fr-CA"/>
              </w:rPr>
              <w:t xml:space="preserve"> (Dossiers : C69263, C69264, C69278, C69305, C69306, C69318 &amp; C69321)</w:t>
            </w:r>
          </w:p>
          <w:p w:rsidR="0085735C" w:rsidRPr="00F7078A" w:rsidRDefault="0085735C" w:rsidP="005A2216">
            <w:pPr>
              <w:jc w:val="both"/>
              <w:rPr>
                <w:sz w:val="20"/>
                <w:lang w:val="fr-CA"/>
              </w:rPr>
            </w:pPr>
          </w:p>
        </w:tc>
        <w:tc>
          <w:tcPr>
            <w:tcW w:w="243" w:type="pct"/>
          </w:tcPr>
          <w:p w:rsidR="0085735C" w:rsidRPr="00F7078A" w:rsidRDefault="0085735C" w:rsidP="005A2216">
            <w:pPr>
              <w:jc w:val="both"/>
              <w:rPr>
                <w:sz w:val="20"/>
                <w:lang w:val="fr-CA"/>
              </w:rPr>
            </w:pPr>
          </w:p>
        </w:tc>
        <w:tc>
          <w:tcPr>
            <w:tcW w:w="2330" w:type="pct"/>
          </w:tcPr>
          <w:p w:rsidR="0085735C" w:rsidRPr="00F7078A" w:rsidRDefault="0085735C" w:rsidP="005A2216">
            <w:pPr>
              <w:jc w:val="both"/>
              <w:rPr>
                <w:sz w:val="20"/>
                <w:lang w:val="fr-CA"/>
              </w:rPr>
            </w:pPr>
            <w:r w:rsidRPr="00F7078A">
              <w:rPr>
                <w:sz w:val="20"/>
                <w:lang w:val="fr-CA"/>
              </w:rPr>
              <w:t>Appels rejetés</w:t>
            </w:r>
          </w:p>
          <w:p w:rsidR="0085735C" w:rsidRPr="00F7078A" w:rsidRDefault="0085735C" w:rsidP="005A2216">
            <w:pPr>
              <w:jc w:val="both"/>
              <w:rPr>
                <w:sz w:val="20"/>
                <w:lang w:val="fr-CA"/>
              </w:rPr>
            </w:pPr>
          </w:p>
        </w:tc>
      </w:tr>
      <w:tr w:rsidR="0085735C" w:rsidRPr="00F7078A" w:rsidTr="005A2216">
        <w:tc>
          <w:tcPr>
            <w:tcW w:w="2427" w:type="pct"/>
          </w:tcPr>
          <w:p w:rsidR="0085735C" w:rsidRPr="00F7078A" w:rsidRDefault="0085735C" w:rsidP="005A2216">
            <w:pPr>
              <w:jc w:val="both"/>
              <w:rPr>
                <w:sz w:val="20"/>
                <w:lang w:val="fr-CA"/>
              </w:rPr>
            </w:pPr>
            <w:r w:rsidRPr="00F7078A">
              <w:rPr>
                <w:sz w:val="20"/>
                <w:lang w:val="fr-CA"/>
              </w:rPr>
              <w:t>21 avril 2022</w:t>
            </w:r>
          </w:p>
          <w:p w:rsidR="0085735C" w:rsidRPr="00F7078A" w:rsidRDefault="0085735C" w:rsidP="005A2216">
            <w:pPr>
              <w:jc w:val="both"/>
              <w:rPr>
                <w:sz w:val="20"/>
                <w:lang w:val="fr-CA"/>
              </w:rPr>
            </w:pPr>
            <w:r w:rsidRPr="00F7078A">
              <w:rPr>
                <w:sz w:val="20"/>
                <w:lang w:val="fr-CA"/>
              </w:rPr>
              <w:t>Cour suprême du Canada</w:t>
            </w:r>
          </w:p>
        </w:tc>
        <w:tc>
          <w:tcPr>
            <w:tcW w:w="243" w:type="pct"/>
          </w:tcPr>
          <w:p w:rsidR="0085735C" w:rsidRPr="00F7078A" w:rsidRDefault="0085735C" w:rsidP="005A2216">
            <w:pPr>
              <w:jc w:val="both"/>
              <w:rPr>
                <w:sz w:val="20"/>
                <w:lang w:val="fr-CA"/>
              </w:rPr>
            </w:pPr>
          </w:p>
        </w:tc>
        <w:tc>
          <w:tcPr>
            <w:tcW w:w="2330" w:type="pct"/>
          </w:tcPr>
          <w:p w:rsidR="0085735C" w:rsidRPr="00F7078A" w:rsidRDefault="0085735C" w:rsidP="005A2216">
            <w:pPr>
              <w:jc w:val="both"/>
              <w:rPr>
                <w:sz w:val="20"/>
                <w:lang w:val="fr-CA"/>
              </w:rPr>
            </w:pPr>
            <w:r w:rsidRPr="00F7078A">
              <w:rPr>
                <w:sz w:val="20"/>
                <w:lang w:val="fr-CA"/>
              </w:rPr>
              <w:t xml:space="preserve">Demande d’autorisation d’appel déposée </w:t>
            </w:r>
          </w:p>
          <w:p w:rsidR="0085735C" w:rsidRPr="00F7078A" w:rsidRDefault="0085735C" w:rsidP="005A2216">
            <w:pPr>
              <w:jc w:val="both"/>
              <w:rPr>
                <w:sz w:val="20"/>
                <w:lang w:val="fr-CA"/>
              </w:rPr>
            </w:pPr>
          </w:p>
        </w:tc>
      </w:tr>
    </w:tbl>
    <w:p w:rsidR="004B2E86" w:rsidRPr="00F7078A" w:rsidRDefault="004B2E86" w:rsidP="004B2E86">
      <w:pPr>
        <w:jc w:val="both"/>
        <w:rPr>
          <w:sz w:val="20"/>
          <w:szCs w:val="20"/>
          <w:lang w:val="fr-CA"/>
        </w:rPr>
      </w:pPr>
    </w:p>
    <w:p w:rsidR="00102792" w:rsidRPr="00F7078A" w:rsidRDefault="008075AD" w:rsidP="004B2E86">
      <w:pPr>
        <w:jc w:val="both"/>
        <w:rPr>
          <w:sz w:val="20"/>
          <w:szCs w:val="20"/>
          <w:lang w:val="fr-CA"/>
        </w:rPr>
      </w:pPr>
      <w:r>
        <w:rPr>
          <w:sz w:val="20"/>
          <w:szCs w:val="20"/>
        </w:rPr>
        <w:pict>
          <v:rect id="_x0000_i1030" style="width:2in;height:1pt" o:hrpct="0" o:hralign="center" o:hrstd="t" o:hrnoshade="t" o:hr="t" fillcolor="black" stroked="f"/>
        </w:pict>
      </w:r>
    </w:p>
    <w:p w:rsidR="00E06F20" w:rsidRPr="00F7078A" w:rsidRDefault="00E06F20" w:rsidP="00102792">
      <w:pPr>
        <w:jc w:val="both"/>
        <w:rPr>
          <w:sz w:val="20"/>
          <w:lang w:val="fr-CA"/>
        </w:rPr>
      </w:pPr>
    </w:p>
    <w:p w:rsidR="00890FEB" w:rsidRPr="00F7078A" w:rsidRDefault="00890FEB" w:rsidP="008D292F">
      <w:pPr>
        <w:rPr>
          <w:sz w:val="20"/>
          <w:szCs w:val="20"/>
          <w:lang w:val="fr-CA"/>
        </w:rPr>
      </w:pPr>
    </w:p>
    <w:p w:rsidR="00890FEB" w:rsidRPr="00F7078A" w:rsidRDefault="00890FEB" w:rsidP="008D292F">
      <w:pPr>
        <w:rPr>
          <w:b/>
          <w:sz w:val="20"/>
          <w:szCs w:val="20"/>
          <w:lang w:val="fr-CA"/>
        </w:rPr>
        <w:sectPr w:rsidR="00890FEB" w:rsidRPr="00F7078A" w:rsidSect="00F7078A">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pgNumType w:start="1"/>
          <w:cols w:space="720"/>
          <w:titlePg/>
          <w:docGrid w:linePitch="326"/>
        </w:sectPr>
      </w:pPr>
    </w:p>
    <w:p w:rsidR="00693C38" w:rsidRPr="00F7078A" w:rsidRDefault="00DD0BDC" w:rsidP="00567602">
      <w:pPr>
        <w:pStyle w:val="Header1StyleE"/>
        <w:pBdr>
          <w:bottom w:val="single" w:sz="12" w:space="1" w:color="auto"/>
        </w:pBdr>
        <w:rPr>
          <w:lang w:val="fr-CA"/>
        </w:rPr>
      </w:pPr>
      <w:bookmarkStart w:id="3" w:name="_Toc125094996"/>
      <w:r w:rsidRPr="00F7078A">
        <w:rPr>
          <w:lang w:val="fr-CA"/>
        </w:rPr>
        <w:t>Motions</w:t>
      </w:r>
      <w:r w:rsidR="00271E1E" w:rsidRPr="00F7078A">
        <w:rPr>
          <w:lang w:val="fr-CA"/>
        </w:rPr>
        <w:t xml:space="preserve"> / </w:t>
      </w:r>
      <w:r w:rsidR="00693C38" w:rsidRPr="00F7078A">
        <w:rPr>
          <w:lang w:val="fr-CA"/>
        </w:rPr>
        <w:br/>
      </w:r>
      <w:r w:rsidRPr="00F7078A">
        <w:rPr>
          <w:lang w:val="fr-CA"/>
        </w:rPr>
        <w:t>Requêtes</w:t>
      </w:r>
      <w:bookmarkEnd w:id="3"/>
    </w:p>
    <w:p w:rsidR="00890FEB" w:rsidRPr="00F7078A" w:rsidRDefault="00890FEB" w:rsidP="00890FEB">
      <w:pPr>
        <w:rPr>
          <w:sz w:val="20"/>
          <w:szCs w:val="20"/>
          <w:lang w:val="fr-CA"/>
        </w:rPr>
      </w:pPr>
    </w:p>
    <w:p w:rsidR="008859F1" w:rsidRPr="00F7078A" w:rsidRDefault="00FC7090" w:rsidP="008859F1">
      <w:pPr>
        <w:rPr>
          <w:b/>
          <w:sz w:val="20"/>
          <w:szCs w:val="20"/>
          <w:lang w:val="fr-CA"/>
        </w:rPr>
      </w:pPr>
      <w:r w:rsidRPr="00F7078A">
        <w:rPr>
          <w:b/>
          <w:sz w:val="20"/>
          <w:szCs w:val="20"/>
          <w:lang w:val="fr-CA"/>
        </w:rPr>
        <w:t>JANUARY</w:t>
      </w:r>
      <w:r w:rsidR="008859F1" w:rsidRPr="00F7078A">
        <w:rPr>
          <w:b/>
          <w:sz w:val="20"/>
          <w:szCs w:val="20"/>
          <w:lang w:val="fr-CA"/>
        </w:rPr>
        <w:t xml:space="preserve"> </w:t>
      </w:r>
      <w:r w:rsidRPr="00F7078A">
        <w:rPr>
          <w:b/>
          <w:sz w:val="20"/>
          <w:szCs w:val="20"/>
          <w:lang w:val="fr-CA"/>
        </w:rPr>
        <w:t>1</w:t>
      </w:r>
      <w:r w:rsidR="000F6D7C" w:rsidRPr="00F7078A">
        <w:rPr>
          <w:b/>
          <w:sz w:val="20"/>
          <w:szCs w:val="20"/>
          <w:lang w:val="fr-CA"/>
        </w:rPr>
        <w:t>6</w:t>
      </w:r>
      <w:r w:rsidR="008859F1" w:rsidRPr="00F7078A">
        <w:rPr>
          <w:b/>
          <w:sz w:val="20"/>
          <w:szCs w:val="20"/>
          <w:lang w:val="fr-CA"/>
        </w:rPr>
        <w:t>, 20</w:t>
      </w:r>
      <w:r w:rsidR="005967EF" w:rsidRPr="00F7078A">
        <w:rPr>
          <w:b/>
          <w:sz w:val="20"/>
          <w:szCs w:val="20"/>
          <w:lang w:val="fr-CA"/>
        </w:rPr>
        <w:t>2</w:t>
      </w:r>
      <w:r w:rsidRPr="00F7078A">
        <w:rPr>
          <w:b/>
          <w:sz w:val="20"/>
          <w:szCs w:val="20"/>
          <w:lang w:val="fr-CA"/>
        </w:rPr>
        <w:t>3</w:t>
      </w:r>
      <w:r w:rsidR="008859F1" w:rsidRPr="00F7078A">
        <w:rPr>
          <w:b/>
          <w:sz w:val="20"/>
          <w:szCs w:val="20"/>
          <w:lang w:val="fr-CA"/>
        </w:rPr>
        <w:t xml:space="preserve"> / LE </w:t>
      </w:r>
      <w:r w:rsidRPr="00F7078A">
        <w:rPr>
          <w:b/>
          <w:sz w:val="20"/>
          <w:szCs w:val="20"/>
          <w:lang w:val="fr-CA"/>
        </w:rPr>
        <w:t>1</w:t>
      </w:r>
      <w:r w:rsidR="000F6D7C" w:rsidRPr="00F7078A">
        <w:rPr>
          <w:b/>
          <w:sz w:val="20"/>
          <w:szCs w:val="20"/>
          <w:lang w:val="fr-CA"/>
        </w:rPr>
        <w:t>6</w:t>
      </w:r>
      <w:r w:rsidR="008859F1" w:rsidRPr="00F7078A">
        <w:rPr>
          <w:b/>
          <w:sz w:val="20"/>
          <w:szCs w:val="20"/>
          <w:lang w:val="fr-CA"/>
        </w:rPr>
        <w:t xml:space="preserve"> </w:t>
      </w:r>
      <w:r w:rsidRPr="00F7078A">
        <w:rPr>
          <w:b/>
          <w:sz w:val="20"/>
          <w:szCs w:val="20"/>
          <w:lang w:val="fr-CA"/>
        </w:rPr>
        <w:t>JANVIER</w:t>
      </w:r>
      <w:r w:rsidR="008859F1" w:rsidRPr="00F7078A">
        <w:rPr>
          <w:b/>
          <w:sz w:val="20"/>
          <w:szCs w:val="20"/>
          <w:lang w:val="fr-CA"/>
        </w:rPr>
        <w:t xml:space="preserve"> 20</w:t>
      </w:r>
      <w:r w:rsidR="005967EF" w:rsidRPr="00F7078A">
        <w:rPr>
          <w:b/>
          <w:sz w:val="20"/>
          <w:szCs w:val="20"/>
          <w:lang w:val="fr-CA"/>
        </w:rPr>
        <w:t>2</w:t>
      </w:r>
      <w:r w:rsidRPr="00F7078A">
        <w:rPr>
          <w:b/>
          <w:sz w:val="20"/>
          <w:szCs w:val="20"/>
          <w:lang w:val="fr-CA"/>
        </w:rPr>
        <w:t>3</w:t>
      </w:r>
    </w:p>
    <w:p w:rsidR="00102792" w:rsidRPr="00F7078A"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F7078A" w:rsidTr="00691D1D">
        <w:tc>
          <w:tcPr>
            <w:tcW w:w="4410" w:type="dxa"/>
            <w:tcBorders>
              <w:top w:val="nil"/>
              <w:left w:val="nil"/>
              <w:bottom w:val="nil"/>
              <w:right w:val="nil"/>
            </w:tcBorders>
          </w:tcPr>
          <w:p w:rsidR="00D93A6C" w:rsidRPr="00F7078A" w:rsidRDefault="000F6D7C" w:rsidP="000F6D7C">
            <w:pPr>
              <w:jc w:val="both"/>
              <w:rPr>
                <w:rFonts w:cs="Times New Roman"/>
                <w:b/>
                <w:bCs/>
                <w:sz w:val="20"/>
                <w:szCs w:val="20"/>
                <w:lang w:val="en-US"/>
              </w:rPr>
            </w:pPr>
            <w:r w:rsidRPr="00F7078A">
              <w:rPr>
                <w:rFonts w:eastAsia="Times New Roman" w:cs="Times New Roman"/>
                <w:b/>
                <w:sz w:val="20"/>
                <w:szCs w:val="20"/>
                <w:lang w:val="en-US" w:eastAsia="en-CA"/>
              </w:rPr>
              <w:t>Miscellaneous Motion</w:t>
            </w:r>
          </w:p>
        </w:tc>
        <w:tc>
          <w:tcPr>
            <w:tcW w:w="810" w:type="dxa"/>
            <w:tcBorders>
              <w:top w:val="nil"/>
              <w:left w:val="nil"/>
              <w:bottom w:val="nil"/>
              <w:right w:val="nil"/>
            </w:tcBorders>
          </w:tcPr>
          <w:p w:rsidR="00D93A6C" w:rsidRPr="00F7078A"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F7078A" w:rsidRDefault="00D93A6C" w:rsidP="00691D1D">
            <w:pPr>
              <w:jc w:val="both"/>
              <w:rPr>
                <w:rFonts w:cs="Times New Roman"/>
                <w:b/>
                <w:bCs/>
                <w:sz w:val="20"/>
                <w:szCs w:val="20"/>
                <w:lang w:val="fr-CA"/>
              </w:rPr>
            </w:pPr>
            <w:r w:rsidRPr="00F7078A">
              <w:rPr>
                <w:rFonts w:eastAsia="Times New Roman" w:cs="Times New Roman"/>
                <w:b/>
                <w:sz w:val="20"/>
                <w:szCs w:val="20"/>
                <w:lang w:val="fr-CA" w:eastAsia="en-CA"/>
              </w:rPr>
              <w:t xml:space="preserve">Requête </w:t>
            </w:r>
            <w:r w:rsidR="000F6D7C" w:rsidRPr="00F7078A">
              <w:rPr>
                <w:rFonts w:eastAsia="Times New Roman" w:cs="Times New Roman"/>
                <w:b/>
                <w:sz w:val="20"/>
                <w:szCs w:val="20"/>
                <w:lang w:val="fr-CA" w:eastAsia="en-CA"/>
              </w:rPr>
              <w:t>Diverse</w:t>
            </w:r>
          </w:p>
        </w:tc>
      </w:tr>
    </w:tbl>
    <w:p w:rsidR="00D93A6C" w:rsidRPr="00F7078A" w:rsidRDefault="00D93A6C" w:rsidP="00102792">
      <w:pPr>
        <w:tabs>
          <w:tab w:val="left" w:pos="-1440"/>
          <w:tab w:val="left" w:pos="-720"/>
        </w:tabs>
        <w:jc w:val="both"/>
        <w:rPr>
          <w:rFonts w:eastAsia="Times New Roman" w:cs="Times New Roman"/>
          <w:sz w:val="20"/>
          <w:szCs w:val="20"/>
          <w:lang w:val="fr-CA" w:eastAsia="en-CA"/>
        </w:rPr>
      </w:pPr>
    </w:p>
    <w:p w:rsidR="00D93A6C" w:rsidRPr="00F7078A" w:rsidRDefault="00D93A6C" w:rsidP="00102792">
      <w:pPr>
        <w:tabs>
          <w:tab w:val="left" w:pos="-1440"/>
          <w:tab w:val="left" w:pos="-720"/>
        </w:tabs>
        <w:jc w:val="both"/>
        <w:rPr>
          <w:rFonts w:eastAsia="Times New Roman" w:cs="Times New Roman"/>
          <w:sz w:val="20"/>
          <w:szCs w:val="20"/>
          <w:lang w:val="fr-CA" w:eastAsia="en-CA"/>
        </w:rPr>
      </w:pPr>
    </w:p>
    <w:p w:rsidR="000F6D7C" w:rsidRPr="00F7078A" w:rsidRDefault="000F6D7C" w:rsidP="000F6D7C">
      <w:pPr>
        <w:pStyle w:val="SCCSsocParty"/>
        <w:jc w:val="both"/>
        <w:rPr>
          <w:rFonts w:eastAsiaTheme="minorEastAsia"/>
          <w:b/>
          <w:bCs/>
          <w:i w:val="0"/>
          <w:sz w:val="20"/>
          <w:szCs w:val="20"/>
          <w:lang w:val="en-US"/>
        </w:rPr>
      </w:pPr>
      <w:r w:rsidRPr="00F7078A">
        <w:rPr>
          <w:rFonts w:eastAsiaTheme="minorEastAsia"/>
          <w:b/>
          <w:bCs/>
          <w:i w:val="0"/>
          <w:caps/>
          <w:sz w:val="20"/>
          <w:szCs w:val="20"/>
          <w:lang w:val="en-US"/>
        </w:rPr>
        <w:t>ATTORNEY GENERAL OF CANADA</w:t>
      </w:r>
      <w:r w:rsidRPr="00F7078A">
        <w:rPr>
          <w:rFonts w:eastAsiaTheme="minorEastAsia"/>
          <w:b/>
          <w:bCs/>
          <w:i w:val="0"/>
          <w:sz w:val="20"/>
          <w:szCs w:val="20"/>
          <w:lang w:val="en-US"/>
        </w:rPr>
        <w:t xml:space="preserve"> v. ATTORNEY GENERAL OF ALBERTA</w:t>
      </w:r>
    </w:p>
    <w:p w:rsidR="000F6D7C" w:rsidRPr="00F7078A" w:rsidRDefault="000F6D7C" w:rsidP="000F6D7C">
      <w:pPr>
        <w:jc w:val="both"/>
        <w:rPr>
          <w:sz w:val="20"/>
          <w:szCs w:val="20"/>
        </w:rPr>
      </w:pPr>
      <w:r w:rsidRPr="00F7078A">
        <w:rPr>
          <w:sz w:val="20"/>
          <w:szCs w:val="20"/>
        </w:rPr>
        <w:t xml:space="preserve">(Alta.) (40195) </w:t>
      </w:r>
    </w:p>
    <w:p w:rsidR="000F6D7C" w:rsidRPr="00F7078A" w:rsidRDefault="000F6D7C" w:rsidP="000F6D7C">
      <w:pPr>
        <w:rPr>
          <w:bCs/>
          <w:sz w:val="20"/>
          <w:szCs w:val="20"/>
        </w:rPr>
      </w:pPr>
    </w:p>
    <w:p w:rsidR="000F6D7C" w:rsidRPr="00F7078A" w:rsidRDefault="000F6D7C" w:rsidP="000F6D7C">
      <w:pPr>
        <w:jc w:val="both"/>
        <w:rPr>
          <w:sz w:val="20"/>
          <w:szCs w:val="20"/>
        </w:rPr>
      </w:pPr>
      <w:r w:rsidRPr="00F7078A">
        <w:rPr>
          <w:b/>
          <w:bCs/>
          <w:caps/>
          <w:sz w:val="20"/>
          <w:szCs w:val="20"/>
          <w:u w:val="single"/>
        </w:rPr>
        <w:t>BROWN J.</w:t>
      </w:r>
      <w:r w:rsidRPr="00F7078A">
        <w:rPr>
          <w:b/>
          <w:bCs/>
          <w:sz w:val="20"/>
          <w:szCs w:val="20"/>
        </w:rPr>
        <w:t>:</w:t>
      </w:r>
    </w:p>
    <w:p w:rsidR="000F6D7C" w:rsidRPr="00F7078A" w:rsidRDefault="000F6D7C" w:rsidP="000F6D7C">
      <w:pPr>
        <w:jc w:val="both"/>
        <w:rPr>
          <w:sz w:val="20"/>
          <w:szCs w:val="20"/>
        </w:rPr>
      </w:pPr>
    </w:p>
    <w:p w:rsidR="000F6D7C" w:rsidRPr="00F7078A" w:rsidRDefault="000F6D7C" w:rsidP="000F6D7C">
      <w:pPr>
        <w:jc w:val="both"/>
        <w:rPr>
          <w:sz w:val="20"/>
          <w:szCs w:val="20"/>
        </w:rPr>
      </w:pPr>
      <w:r w:rsidRPr="00F7078A">
        <w:rPr>
          <w:b/>
          <w:bCs/>
          <w:sz w:val="20"/>
          <w:szCs w:val="20"/>
        </w:rPr>
        <w:t>UPON APPLICATION</w:t>
      </w:r>
      <w:r w:rsidRPr="00F7078A">
        <w:rPr>
          <w:sz w:val="20"/>
          <w:szCs w:val="20"/>
        </w:rPr>
        <w:t xml:space="preserve"> by the intervener, the Attorney General of Ontario for an order: </w:t>
      </w:r>
    </w:p>
    <w:p w:rsidR="000F6D7C" w:rsidRPr="00F7078A" w:rsidRDefault="000F6D7C" w:rsidP="000F6D7C">
      <w:pPr>
        <w:rPr>
          <w:sz w:val="20"/>
          <w:szCs w:val="20"/>
        </w:rPr>
      </w:pPr>
    </w:p>
    <w:p w:rsidR="000F6D7C" w:rsidRPr="00F7078A" w:rsidRDefault="000F6D7C" w:rsidP="000F6D7C">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F7078A">
        <w:rPr>
          <w:rFonts w:eastAsia="Times New Roman" w:cs="Times New Roman"/>
          <w:sz w:val="20"/>
          <w:szCs w:val="20"/>
          <w:lang w:eastAsia="en-CA"/>
        </w:rPr>
        <w:t>granting him permission to adduce new evidence;</w:t>
      </w:r>
    </w:p>
    <w:p w:rsidR="000F6D7C" w:rsidRPr="00F7078A" w:rsidRDefault="000F6D7C" w:rsidP="000F6D7C">
      <w:pPr>
        <w:rPr>
          <w:rFonts w:eastAsia="Times New Roman" w:cs="Times New Roman"/>
          <w:sz w:val="20"/>
          <w:szCs w:val="20"/>
          <w:lang w:eastAsia="en-CA"/>
        </w:rPr>
      </w:pPr>
    </w:p>
    <w:p w:rsidR="000F6D7C" w:rsidRPr="00F7078A" w:rsidRDefault="000F6D7C" w:rsidP="000F6D7C">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F7078A">
        <w:rPr>
          <w:rFonts w:eastAsia="Times New Roman" w:cs="Times New Roman"/>
          <w:sz w:val="20"/>
          <w:szCs w:val="20"/>
          <w:lang w:eastAsia="en-CA"/>
        </w:rPr>
        <w:t>granting him leave to file an amended factum referencing the proposed fresh evidence;</w:t>
      </w:r>
    </w:p>
    <w:p w:rsidR="000F6D7C" w:rsidRPr="00F7078A" w:rsidRDefault="000F6D7C" w:rsidP="000F6D7C">
      <w:pPr>
        <w:rPr>
          <w:rFonts w:eastAsia="Times New Roman" w:cs="Times New Roman"/>
          <w:sz w:val="20"/>
          <w:szCs w:val="20"/>
          <w:lang w:eastAsia="en-CA"/>
        </w:rPr>
      </w:pPr>
    </w:p>
    <w:p w:rsidR="000F6D7C" w:rsidRPr="00F7078A" w:rsidRDefault="000F6D7C" w:rsidP="000F6D7C">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F7078A">
        <w:rPr>
          <w:rFonts w:eastAsia="Times New Roman" w:cs="Times New Roman"/>
          <w:sz w:val="20"/>
          <w:szCs w:val="20"/>
          <w:lang w:eastAsia="en-CA"/>
        </w:rPr>
        <w:t>granting him the right to make oral submissions not exceeding twenty (20) minutes at the hearing of the appeal;</w:t>
      </w:r>
    </w:p>
    <w:p w:rsidR="000F6D7C" w:rsidRPr="00F7078A" w:rsidRDefault="000F6D7C" w:rsidP="000F6D7C">
      <w:pPr>
        <w:rPr>
          <w:sz w:val="20"/>
          <w:szCs w:val="20"/>
        </w:rPr>
      </w:pPr>
    </w:p>
    <w:p w:rsidR="000F6D7C" w:rsidRPr="00F7078A" w:rsidRDefault="000F6D7C" w:rsidP="000F6D7C">
      <w:pPr>
        <w:spacing w:line="233" w:lineRule="auto"/>
        <w:jc w:val="both"/>
        <w:rPr>
          <w:sz w:val="20"/>
          <w:szCs w:val="20"/>
        </w:rPr>
      </w:pPr>
      <w:r w:rsidRPr="00F7078A">
        <w:rPr>
          <w:b/>
          <w:bCs/>
          <w:sz w:val="20"/>
          <w:szCs w:val="20"/>
        </w:rPr>
        <w:t>AND THE MATERIAL FILED</w:t>
      </w:r>
      <w:r w:rsidRPr="00F7078A">
        <w:rPr>
          <w:sz w:val="20"/>
          <w:szCs w:val="20"/>
        </w:rPr>
        <w:t xml:space="preserve"> having been read;</w:t>
      </w:r>
    </w:p>
    <w:p w:rsidR="000F6D7C" w:rsidRPr="00F7078A" w:rsidRDefault="000F6D7C" w:rsidP="000F6D7C">
      <w:pPr>
        <w:spacing w:line="233" w:lineRule="auto"/>
        <w:jc w:val="both"/>
        <w:rPr>
          <w:sz w:val="20"/>
          <w:szCs w:val="20"/>
        </w:rPr>
      </w:pPr>
    </w:p>
    <w:p w:rsidR="000F6D7C" w:rsidRPr="00F7078A" w:rsidRDefault="000F6D7C" w:rsidP="000F6D7C">
      <w:pPr>
        <w:spacing w:line="233" w:lineRule="auto"/>
        <w:jc w:val="both"/>
        <w:rPr>
          <w:b/>
          <w:bCs/>
          <w:sz w:val="20"/>
          <w:szCs w:val="20"/>
        </w:rPr>
      </w:pPr>
      <w:r w:rsidRPr="00F7078A">
        <w:rPr>
          <w:b/>
          <w:bCs/>
          <w:sz w:val="20"/>
          <w:szCs w:val="20"/>
        </w:rPr>
        <w:t>IT IS HEREBY ORDERED THAT:</w:t>
      </w:r>
    </w:p>
    <w:p w:rsidR="000F6D7C" w:rsidRPr="00F7078A" w:rsidRDefault="000F6D7C" w:rsidP="000F6D7C">
      <w:pPr>
        <w:spacing w:line="233" w:lineRule="auto"/>
        <w:rPr>
          <w:sz w:val="20"/>
          <w:szCs w:val="20"/>
        </w:rPr>
      </w:pPr>
    </w:p>
    <w:p w:rsidR="000F6D7C" w:rsidRPr="00F7078A" w:rsidRDefault="000F6D7C" w:rsidP="000F6D7C">
      <w:pPr>
        <w:jc w:val="both"/>
        <w:rPr>
          <w:sz w:val="20"/>
          <w:szCs w:val="20"/>
        </w:rPr>
      </w:pPr>
      <w:r w:rsidRPr="00F7078A">
        <w:rPr>
          <w:sz w:val="20"/>
          <w:szCs w:val="20"/>
        </w:rPr>
        <w:t>The motion to adduce new evidence is deferred to the panel hearing the appeal.</w:t>
      </w:r>
    </w:p>
    <w:p w:rsidR="000F6D7C" w:rsidRPr="00F7078A" w:rsidRDefault="000F6D7C" w:rsidP="000F6D7C">
      <w:pPr>
        <w:jc w:val="both"/>
        <w:rPr>
          <w:sz w:val="20"/>
          <w:szCs w:val="20"/>
        </w:rPr>
      </w:pPr>
    </w:p>
    <w:p w:rsidR="000F6D7C" w:rsidRPr="00F7078A" w:rsidRDefault="000F6D7C" w:rsidP="000F6D7C">
      <w:pPr>
        <w:jc w:val="both"/>
        <w:rPr>
          <w:sz w:val="20"/>
          <w:szCs w:val="20"/>
        </w:rPr>
      </w:pPr>
      <w:r w:rsidRPr="00F7078A">
        <w:rPr>
          <w:sz w:val="20"/>
          <w:szCs w:val="20"/>
        </w:rPr>
        <w:t xml:space="preserve">The Attorney General of Ontario and the Attorney General of Canada may each serve and file an amended factum referencing the affidavit of Brenda Liegler, on or before January 27, 2023. </w:t>
      </w:r>
    </w:p>
    <w:p w:rsidR="000F6D7C" w:rsidRPr="00F7078A" w:rsidRDefault="000F6D7C" w:rsidP="000F6D7C">
      <w:pPr>
        <w:jc w:val="both"/>
        <w:rPr>
          <w:sz w:val="20"/>
          <w:szCs w:val="20"/>
        </w:rPr>
      </w:pPr>
    </w:p>
    <w:p w:rsidR="000F6D7C" w:rsidRPr="00F7078A" w:rsidRDefault="000F6D7C" w:rsidP="000F6D7C">
      <w:pPr>
        <w:jc w:val="both"/>
        <w:rPr>
          <w:sz w:val="20"/>
          <w:szCs w:val="20"/>
        </w:rPr>
      </w:pPr>
      <w:r w:rsidRPr="00F7078A">
        <w:rPr>
          <w:sz w:val="20"/>
          <w:szCs w:val="20"/>
        </w:rPr>
        <w:t>The motion for the right to additional time to present oral argument is dismissed, without prejudice to the Attorney General of Ontario seeking additional time to argue the motion at the hearing of the appeal.</w:t>
      </w:r>
    </w:p>
    <w:p w:rsidR="00102792" w:rsidRPr="00F7078A" w:rsidRDefault="00102792" w:rsidP="00102792">
      <w:pPr>
        <w:spacing w:line="228" w:lineRule="auto"/>
        <w:rPr>
          <w:sz w:val="20"/>
          <w:szCs w:val="20"/>
        </w:rPr>
      </w:pPr>
    </w:p>
    <w:p w:rsidR="005967EF" w:rsidRPr="00F7078A" w:rsidRDefault="005967EF" w:rsidP="00102792">
      <w:pPr>
        <w:spacing w:line="228" w:lineRule="auto"/>
        <w:rPr>
          <w:sz w:val="20"/>
          <w:szCs w:val="20"/>
        </w:rPr>
      </w:pPr>
    </w:p>
    <w:p w:rsidR="000F6D7C" w:rsidRPr="00F7078A" w:rsidRDefault="000F6D7C" w:rsidP="000F6D7C">
      <w:pPr>
        <w:jc w:val="both"/>
        <w:rPr>
          <w:bCs/>
          <w:sz w:val="20"/>
          <w:szCs w:val="20"/>
          <w:lang w:val="fr-CA"/>
        </w:rPr>
      </w:pPr>
      <w:r w:rsidRPr="00F7078A">
        <w:rPr>
          <w:b/>
          <w:bCs/>
          <w:sz w:val="20"/>
          <w:szCs w:val="20"/>
          <w:lang w:val="fr-CA"/>
        </w:rPr>
        <w:t xml:space="preserve">À LA SUITE DE LA DEMANDE </w:t>
      </w:r>
      <w:r w:rsidRPr="00F7078A">
        <w:rPr>
          <w:sz w:val="20"/>
          <w:szCs w:val="20"/>
          <w:lang w:val="fr-CA"/>
        </w:rPr>
        <w:t>présentée par</w:t>
      </w:r>
      <w:r w:rsidRPr="00F7078A">
        <w:rPr>
          <w:bCs/>
          <w:sz w:val="20"/>
          <w:szCs w:val="20"/>
          <w:lang w:val="fr-CA"/>
        </w:rPr>
        <w:t xml:space="preserve"> l’intervenant, le procureur général de l’Ontario, en vue d’obtenir une ordonnance </w:t>
      </w:r>
      <w:r w:rsidRPr="00F7078A">
        <w:rPr>
          <w:sz w:val="20"/>
          <w:szCs w:val="20"/>
          <w:lang w:val="fr-CA"/>
        </w:rPr>
        <w:t>:</w:t>
      </w:r>
    </w:p>
    <w:p w:rsidR="000F6D7C" w:rsidRPr="00F7078A" w:rsidRDefault="000F6D7C" w:rsidP="000F6D7C">
      <w:pPr>
        <w:rPr>
          <w:color w:val="000000" w:themeColor="text1"/>
          <w:sz w:val="20"/>
          <w:szCs w:val="20"/>
          <w:lang w:val="fr-CA"/>
        </w:rPr>
      </w:pPr>
    </w:p>
    <w:p w:rsidR="000F6D7C" w:rsidRPr="00F7078A" w:rsidRDefault="000F6D7C" w:rsidP="000F6D7C">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F7078A">
        <w:rPr>
          <w:rFonts w:eastAsia="Times New Roman" w:cs="Times New Roman"/>
          <w:sz w:val="20"/>
          <w:szCs w:val="20"/>
          <w:lang w:val="fr-CA" w:eastAsia="en-CA"/>
        </w:rPr>
        <w:t>pour l’autorisation de déposer de nouveaux éléments de preuve;</w:t>
      </w:r>
    </w:p>
    <w:p w:rsidR="000F6D7C" w:rsidRPr="00F7078A" w:rsidRDefault="000F6D7C" w:rsidP="000F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s="Times New Roman"/>
          <w:sz w:val="20"/>
          <w:szCs w:val="20"/>
          <w:lang w:val="fr-CA" w:eastAsia="en-CA"/>
        </w:rPr>
      </w:pPr>
    </w:p>
    <w:p w:rsidR="000F6D7C" w:rsidRPr="00F7078A" w:rsidRDefault="000F6D7C" w:rsidP="000F6D7C">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F7078A">
        <w:rPr>
          <w:rFonts w:eastAsia="Times New Roman" w:cs="Times New Roman"/>
          <w:sz w:val="20"/>
          <w:szCs w:val="20"/>
          <w:lang w:val="fr-CA" w:eastAsia="en-CA"/>
        </w:rPr>
        <w:t>pour l’autorisation de déposer un mémoire amendé faisant référence à la nouvelle preuve proposée;</w:t>
      </w:r>
    </w:p>
    <w:p w:rsidR="000F6D7C" w:rsidRPr="00F7078A" w:rsidRDefault="000F6D7C" w:rsidP="000F6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p>
    <w:p w:rsidR="000F6D7C" w:rsidRPr="00F7078A" w:rsidRDefault="000F6D7C" w:rsidP="000F6D7C">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F7078A">
        <w:rPr>
          <w:rFonts w:eastAsia="Times New Roman" w:cs="Times New Roman"/>
          <w:sz w:val="20"/>
          <w:szCs w:val="20"/>
          <w:lang w:val="fr-CA" w:eastAsia="en-CA"/>
        </w:rPr>
        <w:t>leur accordant le droit de présenter une plaidoirie orale d’au plus vingt (20) minutes lors de l’audition de l’appel;</w:t>
      </w:r>
    </w:p>
    <w:p w:rsidR="000F6D7C" w:rsidRPr="00F7078A" w:rsidRDefault="000F6D7C" w:rsidP="000F6D7C">
      <w:pPr>
        <w:rPr>
          <w:color w:val="000000" w:themeColor="text1"/>
          <w:sz w:val="20"/>
          <w:szCs w:val="20"/>
          <w:lang w:val="fr-CA"/>
        </w:rPr>
      </w:pPr>
    </w:p>
    <w:p w:rsidR="000F6D7C" w:rsidRPr="00F7078A" w:rsidRDefault="000F6D7C" w:rsidP="000F6D7C">
      <w:pPr>
        <w:jc w:val="both"/>
        <w:rPr>
          <w:sz w:val="20"/>
          <w:szCs w:val="20"/>
          <w:lang w:val="fr-CA"/>
        </w:rPr>
      </w:pPr>
      <w:r w:rsidRPr="00F7078A">
        <w:rPr>
          <w:b/>
          <w:bCs/>
          <w:sz w:val="20"/>
          <w:szCs w:val="20"/>
          <w:lang w:val="fr-CA"/>
        </w:rPr>
        <w:t xml:space="preserve">ET APRÈS EXAMEN </w:t>
      </w:r>
      <w:r w:rsidRPr="00F7078A">
        <w:rPr>
          <w:bCs/>
          <w:sz w:val="20"/>
          <w:szCs w:val="20"/>
          <w:lang w:val="fr-CA"/>
        </w:rPr>
        <w:t>des documents déposés</w:t>
      </w:r>
      <w:r w:rsidRPr="00F7078A">
        <w:rPr>
          <w:sz w:val="20"/>
          <w:szCs w:val="20"/>
          <w:lang w:val="fr-CA"/>
        </w:rPr>
        <w:t>;</w:t>
      </w:r>
    </w:p>
    <w:p w:rsidR="000F6D7C" w:rsidRPr="00F7078A" w:rsidRDefault="000F6D7C" w:rsidP="000F6D7C">
      <w:pPr>
        <w:tabs>
          <w:tab w:val="left" w:pos="-1440"/>
        </w:tabs>
        <w:ind w:left="720" w:hanging="720"/>
        <w:jc w:val="both"/>
        <w:rPr>
          <w:sz w:val="20"/>
          <w:szCs w:val="20"/>
          <w:lang w:val="fr-CA"/>
        </w:rPr>
      </w:pPr>
    </w:p>
    <w:p w:rsidR="000F6D7C" w:rsidRPr="00F7078A" w:rsidRDefault="000F6D7C" w:rsidP="000F6D7C">
      <w:pPr>
        <w:tabs>
          <w:tab w:val="left" w:pos="-1440"/>
        </w:tabs>
        <w:ind w:left="720" w:hanging="720"/>
        <w:jc w:val="both"/>
        <w:rPr>
          <w:b/>
          <w:sz w:val="20"/>
          <w:szCs w:val="20"/>
          <w:lang w:val="fr-CA"/>
        </w:rPr>
      </w:pPr>
      <w:r w:rsidRPr="00F7078A">
        <w:rPr>
          <w:b/>
          <w:sz w:val="20"/>
          <w:szCs w:val="20"/>
          <w:lang w:val="fr-CA"/>
        </w:rPr>
        <w:t xml:space="preserve">IL EST ORDONNÉ CE QUI SUIT : </w:t>
      </w:r>
    </w:p>
    <w:p w:rsidR="000F6D7C" w:rsidRPr="00F7078A" w:rsidRDefault="000F6D7C" w:rsidP="000F6D7C">
      <w:pPr>
        <w:tabs>
          <w:tab w:val="left" w:pos="-1440"/>
        </w:tabs>
        <w:ind w:left="720" w:hanging="720"/>
        <w:jc w:val="both"/>
        <w:rPr>
          <w:sz w:val="20"/>
          <w:szCs w:val="20"/>
          <w:lang w:val="fr-CA"/>
        </w:rPr>
      </w:pPr>
    </w:p>
    <w:p w:rsidR="000F6D7C" w:rsidRPr="00F7078A" w:rsidRDefault="000F6D7C" w:rsidP="000F6D7C">
      <w:pPr>
        <w:jc w:val="both"/>
        <w:rPr>
          <w:sz w:val="20"/>
          <w:szCs w:val="20"/>
          <w:lang w:val="fr-CA"/>
        </w:rPr>
      </w:pPr>
      <w:r w:rsidRPr="00F7078A">
        <w:rPr>
          <w:sz w:val="20"/>
          <w:szCs w:val="20"/>
          <w:lang w:val="fr-CA"/>
        </w:rPr>
        <w:t xml:space="preserve">La requête pour déposer de nouveaux éléments de preuve est déférée à la formation de la Cour qui entendra l’appel. </w:t>
      </w:r>
    </w:p>
    <w:p w:rsidR="000F6D7C" w:rsidRPr="00F7078A" w:rsidRDefault="000F6D7C" w:rsidP="000F6D7C">
      <w:pPr>
        <w:jc w:val="both"/>
        <w:rPr>
          <w:sz w:val="20"/>
          <w:szCs w:val="20"/>
          <w:lang w:val="fr-CA"/>
        </w:rPr>
      </w:pPr>
    </w:p>
    <w:p w:rsidR="000F6D7C" w:rsidRPr="00F7078A" w:rsidRDefault="000F6D7C" w:rsidP="000F6D7C">
      <w:pPr>
        <w:jc w:val="both"/>
        <w:rPr>
          <w:sz w:val="20"/>
          <w:szCs w:val="20"/>
          <w:lang w:val="fr-CA"/>
        </w:rPr>
      </w:pPr>
      <w:r w:rsidRPr="00F7078A">
        <w:rPr>
          <w:sz w:val="20"/>
          <w:szCs w:val="20"/>
          <w:lang w:val="fr-CA"/>
        </w:rPr>
        <w:t>Le procureur général de l’Ontario et le procureur général du Canada peuvent chacun signifier et déposer un mémoire amendé faisant référence à l’affidavit de Brenda Liegler, au plus tard le 27 janvier 2023.</w:t>
      </w:r>
    </w:p>
    <w:p w:rsidR="000F6D7C" w:rsidRPr="00F7078A" w:rsidRDefault="000F6D7C" w:rsidP="000F6D7C">
      <w:pPr>
        <w:jc w:val="both"/>
        <w:rPr>
          <w:sz w:val="20"/>
          <w:szCs w:val="20"/>
          <w:lang w:val="fr-CA"/>
        </w:rPr>
      </w:pPr>
    </w:p>
    <w:p w:rsidR="00102792" w:rsidRPr="00F7078A" w:rsidRDefault="000F6D7C" w:rsidP="000F6D7C">
      <w:pPr>
        <w:spacing w:line="232" w:lineRule="auto"/>
        <w:rPr>
          <w:sz w:val="20"/>
          <w:szCs w:val="20"/>
          <w:lang w:val="fr-CA"/>
        </w:rPr>
      </w:pPr>
      <w:r w:rsidRPr="00F7078A">
        <w:rPr>
          <w:sz w:val="20"/>
          <w:szCs w:val="20"/>
          <w:lang w:val="fr-CA"/>
        </w:rPr>
        <w:t>La requête pour le droit à un délai supplémentaire pour présenter une plaidoirie orale est rejetée, sans préjudice du fait que le procureur général de l’Ontario demande un délai supplémentaire pour plaider la requête lors de l’audition de l’appel.</w:t>
      </w:r>
    </w:p>
    <w:p w:rsidR="000F6D7C" w:rsidRPr="00F7078A" w:rsidRDefault="000F6D7C" w:rsidP="000F6D7C">
      <w:pPr>
        <w:spacing w:line="232" w:lineRule="auto"/>
        <w:rPr>
          <w:rFonts w:cs="Times New Roman"/>
          <w:sz w:val="20"/>
          <w:szCs w:val="20"/>
          <w:lang w:val="fr-CA"/>
        </w:rPr>
      </w:pPr>
    </w:p>
    <w:p w:rsidR="00456FC9" w:rsidRPr="00F7078A" w:rsidRDefault="008075AD" w:rsidP="000F6D7C">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33" style="width:2in;height:1pt" o:hrpct="0" o:hralign="center" o:hrstd="t" o:hrnoshade="t" o:hr="t" fillcolor="black [3213]" stroked="f"/>
        </w:pict>
      </w:r>
    </w:p>
    <w:p w:rsidR="008075AD" w:rsidRDefault="008075AD" w:rsidP="00456FC9">
      <w:pPr>
        <w:rPr>
          <w:b/>
          <w:sz w:val="20"/>
          <w:szCs w:val="20"/>
          <w:lang w:val="fr-CA"/>
        </w:rPr>
      </w:pPr>
    </w:p>
    <w:p w:rsidR="00456FC9" w:rsidRPr="00F7078A" w:rsidRDefault="00456FC9" w:rsidP="00456FC9">
      <w:pPr>
        <w:rPr>
          <w:b/>
          <w:sz w:val="20"/>
          <w:szCs w:val="20"/>
          <w:lang w:val="fr-CA"/>
        </w:rPr>
      </w:pPr>
      <w:bookmarkStart w:id="4" w:name="_GoBack"/>
      <w:bookmarkEnd w:id="4"/>
      <w:r w:rsidRPr="00F7078A">
        <w:rPr>
          <w:b/>
          <w:sz w:val="20"/>
          <w:szCs w:val="20"/>
          <w:lang w:val="fr-CA"/>
        </w:rPr>
        <w:t>JANUARY 18, 2023 / LE 18 JANVIER 2023</w:t>
      </w:r>
    </w:p>
    <w:p w:rsidR="00456FC9" w:rsidRPr="00F7078A" w:rsidRDefault="00456FC9" w:rsidP="00456FC9">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456FC9" w:rsidRPr="00F7078A" w:rsidTr="008A1C24">
        <w:tc>
          <w:tcPr>
            <w:tcW w:w="4410" w:type="dxa"/>
            <w:tcBorders>
              <w:top w:val="nil"/>
              <w:left w:val="nil"/>
              <w:bottom w:val="nil"/>
              <w:right w:val="nil"/>
            </w:tcBorders>
          </w:tcPr>
          <w:p w:rsidR="00456FC9" w:rsidRPr="00F7078A" w:rsidRDefault="00456FC9" w:rsidP="008A1C24">
            <w:pPr>
              <w:jc w:val="both"/>
              <w:rPr>
                <w:rFonts w:cs="Times New Roman"/>
                <w:b/>
                <w:bCs/>
                <w:sz w:val="20"/>
                <w:szCs w:val="20"/>
                <w:lang w:val="en-US"/>
              </w:rPr>
            </w:pPr>
            <w:r w:rsidRPr="00F7078A">
              <w:rPr>
                <w:rFonts w:eastAsia="Times New Roman" w:cs="Times New Roman"/>
                <w:b/>
                <w:sz w:val="20"/>
                <w:szCs w:val="20"/>
                <w:lang w:val="en-US" w:eastAsia="en-CA"/>
              </w:rPr>
              <w:t>Motion for Direction</w:t>
            </w:r>
          </w:p>
        </w:tc>
        <w:tc>
          <w:tcPr>
            <w:tcW w:w="810" w:type="dxa"/>
            <w:tcBorders>
              <w:top w:val="nil"/>
              <w:left w:val="nil"/>
              <w:bottom w:val="nil"/>
              <w:right w:val="nil"/>
            </w:tcBorders>
          </w:tcPr>
          <w:p w:rsidR="00456FC9" w:rsidRPr="00F7078A" w:rsidRDefault="00456FC9" w:rsidP="008A1C24">
            <w:pPr>
              <w:jc w:val="both"/>
              <w:rPr>
                <w:rFonts w:cs="Times New Roman"/>
                <w:b/>
                <w:bCs/>
                <w:sz w:val="20"/>
                <w:szCs w:val="20"/>
                <w:lang w:val="en-US"/>
              </w:rPr>
            </w:pPr>
          </w:p>
        </w:tc>
        <w:tc>
          <w:tcPr>
            <w:tcW w:w="4399" w:type="dxa"/>
            <w:tcBorders>
              <w:top w:val="nil"/>
              <w:left w:val="nil"/>
              <w:bottom w:val="nil"/>
              <w:right w:val="nil"/>
            </w:tcBorders>
          </w:tcPr>
          <w:p w:rsidR="00456FC9" w:rsidRPr="00F7078A" w:rsidRDefault="00456FC9" w:rsidP="008A1C24">
            <w:pPr>
              <w:jc w:val="both"/>
              <w:rPr>
                <w:rFonts w:cs="Times New Roman"/>
                <w:b/>
                <w:bCs/>
                <w:sz w:val="20"/>
                <w:szCs w:val="20"/>
                <w:lang w:val="fr-CA"/>
              </w:rPr>
            </w:pPr>
            <w:r w:rsidRPr="00F7078A">
              <w:rPr>
                <w:rFonts w:eastAsia="Times New Roman" w:cs="Times New Roman"/>
                <w:b/>
                <w:sz w:val="20"/>
                <w:szCs w:val="20"/>
                <w:lang w:val="fr-CA" w:eastAsia="en-CA"/>
              </w:rPr>
              <w:t>Requête pour directives</w:t>
            </w:r>
          </w:p>
        </w:tc>
      </w:tr>
    </w:tbl>
    <w:p w:rsidR="00456FC9" w:rsidRPr="00F7078A" w:rsidRDefault="00456FC9" w:rsidP="00456FC9">
      <w:pPr>
        <w:tabs>
          <w:tab w:val="left" w:pos="-1440"/>
          <w:tab w:val="left" w:pos="-720"/>
        </w:tabs>
        <w:jc w:val="both"/>
        <w:rPr>
          <w:rFonts w:eastAsia="Times New Roman" w:cs="Times New Roman"/>
          <w:sz w:val="20"/>
          <w:szCs w:val="20"/>
          <w:lang w:val="fr-CA" w:eastAsia="en-CA"/>
        </w:rPr>
      </w:pPr>
    </w:p>
    <w:p w:rsidR="00456FC9" w:rsidRPr="00F7078A" w:rsidRDefault="00456FC9" w:rsidP="00456FC9">
      <w:pPr>
        <w:tabs>
          <w:tab w:val="left" w:pos="-1440"/>
          <w:tab w:val="left" w:pos="-720"/>
        </w:tabs>
        <w:jc w:val="both"/>
        <w:rPr>
          <w:rFonts w:eastAsia="Times New Roman" w:cs="Times New Roman"/>
          <w:sz w:val="20"/>
          <w:szCs w:val="20"/>
          <w:lang w:val="fr-CA" w:eastAsia="en-CA"/>
        </w:rPr>
      </w:pPr>
    </w:p>
    <w:p w:rsidR="00456FC9" w:rsidRPr="00F7078A" w:rsidRDefault="00456FC9" w:rsidP="00456FC9">
      <w:pPr>
        <w:rPr>
          <w:rFonts w:cs="Times New Roman"/>
          <w:b/>
          <w:bCs/>
          <w:sz w:val="20"/>
          <w:szCs w:val="20"/>
          <w:lang w:val="en-US"/>
        </w:rPr>
      </w:pPr>
      <w:r w:rsidRPr="00F7078A">
        <w:rPr>
          <w:rFonts w:cs="Times New Roman"/>
          <w:b/>
          <w:bCs/>
          <w:sz w:val="20"/>
          <w:szCs w:val="20"/>
        </w:rPr>
        <w:t>BENEDICT AGBAKOBA v. DIRECTOR OF ADULT FORENSIC PSYCHIATRIC SERVICES AND ATTORNEY GENERAL OF BRITISH COLUMBIA</w:t>
      </w:r>
    </w:p>
    <w:p w:rsidR="00456FC9" w:rsidRPr="00F7078A" w:rsidRDefault="00456FC9" w:rsidP="00456FC9">
      <w:pPr>
        <w:rPr>
          <w:rFonts w:cs="Times New Roman"/>
          <w:bCs/>
          <w:sz w:val="20"/>
          <w:szCs w:val="20"/>
        </w:rPr>
      </w:pPr>
      <w:r w:rsidRPr="00F7078A">
        <w:rPr>
          <w:rFonts w:cs="Times New Roman"/>
          <w:bCs/>
          <w:sz w:val="20"/>
          <w:szCs w:val="20"/>
        </w:rPr>
        <w:t>(B.C.) (40481)</w:t>
      </w:r>
    </w:p>
    <w:p w:rsidR="00456FC9" w:rsidRPr="00F7078A" w:rsidRDefault="00456FC9" w:rsidP="00456FC9">
      <w:pPr>
        <w:rPr>
          <w:rFonts w:cs="Times New Roman"/>
          <w:bCs/>
          <w:sz w:val="20"/>
          <w:szCs w:val="20"/>
        </w:rPr>
      </w:pPr>
    </w:p>
    <w:p w:rsidR="00456FC9" w:rsidRPr="00F7078A" w:rsidRDefault="00456FC9" w:rsidP="00456FC9">
      <w:pPr>
        <w:rPr>
          <w:rFonts w:cs="Times New Roman"/>
          <w:b/>
          <w:sz w:val="20"/>
          <w:szCs w:val="20"/>
        </w:rPr>
      </w:pPr>
      <w:r w:rsidRPr="00F7078A">
        <w:rPr>
          <w:rFonts w:cs="Times New Roman"/>
          <w:b/>
          <w:bCs/>
          <w:sz w:val="20"/>
          <w:szCs w:val="20"/>
          <w:u w:val="single"/>
        </w:rPr>
        <w:t>O’BONSAWIN J.</w:t>
      </w:r>
      <w:r w:rsidRPr="00F7078A">
        <w:rPr>
          <w:rFonts w:cs="Times New Roman"/>
          <w:b/>
          <w:bCs/>
          <w:sz w:val="20"/>
          <w:szCs w:val="20"/>
        </w:rPr>
        <w:t>:</w:t>
      </w:r>
    </w:p>
    <w:p w:rsidR="00456FC9" w:rsidRPr="00F7078A" w:rsidRDefault="00456FC9" w:rsidP="00456FC9">
      <w:pPr>
        <w:rPr>
          <w:rFonts w:cs="Times New Roman"/>
          <w:sz w:val="20"/>
          <w:szCs w:val="20"/>
        </w:rPr>
      </w:pPr>
    </w:p>
    <w:p w:rsidR="00456FC9" w:rsidRPr="00F7078A" w:rsidRDefault="00456FC9" w:rsidP="00456FC9">
      <w:pPr>
        <w:rPr>
          <w:rFonts w:cs="Times New Roman"/>
          <w:sz w:val="20"/>
          <w:szCs w:val="20"/>
        </w:rPr>
      </w:pPr>
      <w:r w:rsidRPr="00F7078A">
        <w:rPr>
          <w:rFonts w:cs="Times New Roman"/>
          <w:b/>
          <w:sz w:val="20"/>
          <w:szCs w:val="20"/>
        </w:rPr>
        <w:t>UPON APPLICATION</w:t>
      </w:r>
      <w:r w:rsidRPr="00F7078A">
        <w:rPr>
          <w:rFonts w:cs="Times New Roman"/>
          <w:sz w:val="20"/>
          <w:szCs w:val="20"/>
        </w:rPr>
        <w:t xml:space="preserve"> by the applicant for a direction to request that the Minister of Public Safety and Emergency Preparedness undertake not to remove the applicant from Canada pending the determination of his application for leave to appeal and, if leave is granted, pending the determination of his appeal;</w:t>
      </w:r>
    </w:p>
    <w:p w:rsidR="00456FC9" w:rsidRPr="00F7078A" w:rsidRDefault="00456FC9" w:rsidP="00456FC9">
      <w:pPr>
        <w:rPr>
          <w:rFonts w:cs="Times New Roman"/>
          <w:sz w:val="20"/>
          <w:szCs w:val="20"/>
        </w:rPr>
      </w:pPr>
    </w:p>
    <w:p w:rsidR="00456FC9" w:rsidRPr="00F7078A" w:rsidRDefault="00456FC9" w:rsidP="00456FC9">
      <w:pPr>
        <w:rPr>
          <w:rFonts w:cs="Times New Roman"/>
          <w:sz w:val="20"/>
          <w:szCs w:val="20"/>
        </w:rPr>
      </w:pPr>
      <w:r w:rsidRPr="00F7078A">
        <w:rPr>
          <w:rFonts w:cs="Times New Roman"/>
          <w:b/>
          <w:sz w:val="20"/>
          <w:szCs w:val="20"/>
        </w:rPr>
        <w:t>AND THE MATERIAL FILED</w:t>
      </w:r>
      <w:r w:rsidRPr="00F7078A">
        <w:rPr>
          <w:rFonts w:cs="Times New Roman"/>
          <w:sz w:val="20"/>
          <w:szCs w:val="20"/>
        </w:rPr>
        <w:t xml:space="preserve"> having been read;</w:t>
      </w:r>
    </w:p>
    <w:p w:rsidR="00456FC9" w:rsidRPr="00F7078A" w:rsidRDefault="00456FC9" w:rsidP="00456FC9">
      <w:pPr>
        <w:rPr>
          <w:rFonts w:cs="Times New Roman"/>
          <w:sz w:val="20"/>
          <w:szCs w:val="20"/>
        </w:rPr>
      </w:pPr>
    </w:p>
    <w:p w:rsidR="00456FC9" w:rsidRPr="00F7078A" w:rsidRDefault="00456FC9" w:rsidP="00456FC9">
      <w:pPr>
        <w:rPr>
          <w:rFonts w:cs="Times New Roman"/>
          <w:b/>
          <w:sz w:val="20"/>
          <w:szCs w:val="20"/>
        </w:rPr>
      </w:pPr>
      <w:r w:rsidRPr="00F7078A">
        <w:rPr>
          <w:rFonts w:cs="Times New Roman"/>
          <w:b/>
          <w:sz w:val="20"/>
          <w:szCs w:val="20"/>
        </w:rPr>
        <w:t>IT IS HEREBY ORDERED THAT:</w:t>
      </w:r>
    </w:p>
    <w:p w:rsidR="00456FC9" w:rsidRPr="00F7078A" w:rsidRDefault="00456FC9" w:rsidP="00456FC9">
      <w:pPr>
        <w:rPr>
          <w:rFonts w:cs="Times New Roman"/>
          <w:sz w:val="20"/>
          <w:szCs w:val="20"/>
        </w:rPr>
      </w:pPr>
    </w:p>
    <w:p w:rsidR="00456FC9" w:rsidRPr="00F7078A" w:rsidRDefault="00456FC9" w:rsidP="00456FC9">
      <w:pPr>
        <w:rPr>
          <w:rFonts w:cs="Times New Roman"/>
          <w:sz w:val="20"/>
          <w:szCs w:val="20"/>
        </w:rPr>
      </w:pPr>
      <w:r w:rsidRPr="00F7078A">
        <w:rPr>
          <w:rFonts w:cs="Times New Roman"/>
          <w:sz w:val="20"/>
          <w:szCs w:val="20"/>
        </w:rPr>
        <w:t>The motion for direction is dismissed.</w:t>
      </w:r>
    </w:p>
    <w:p w:rsidR="00456FC9" w:rsidRPr="00F7078A" w:rsidRDefault="00456FC9" w:rsidP="00456FC9">
      <w:pPr>
        <w:rPr>
          <w:rFonts w:cs="Times New Roman"/>
          <w:sz w:val="20"/>
          <w:szCs w:val="20"/>
        </w:rPr>
      </w:pPr>
    </w:p>
    <w:p w:rsidR="00456FC9" w:rsidRPr="00F7078A" w:rsidRDefault="00456FC9" w:rsidP="00456FC9">
      <w:pPr>
        <w:rPr>
          <w:rFonts w:cs="Times New Roman"/>
          <w:sz w:val="20"/>
          <w:szCs w:val="20"/>
          <w:lang w:val="en-US"/>
        </w:rPr>
      </w:pPr>
    </w:p>
    <w:p w:rsidR="00456FC9" w:rsidRPr="00F7078A" w:rsidRDefault="00456FC9" w:rsidP="00456FC9">
      <w:pPr>
        <w:rPr>
          <w:rFonts w:cs="Times New Roman"/>
          <w:sz w:val="20"/>
          <w:szCs w:val="20"/>
          <w:lang w:val="fr-CA"/>
        </w:rPr>
      </w:pPr>
      <w:r w:rsidRPr="00F7078A">
        <w:rPr>
          <w:rFonts w:cs="Times New Roman"/>
          <w:b/>
          <w:sz w:val="20"/>
          <w:szCs w:val="20"/>
          <w:lang w:val="fr-CA"/>
        </w:rPr>
        <w:t>À LA SUITE DE LA DEMANDE</w:t>
      </w:r>
      <w:r w:rsidRPr="00F7078A">
        <w:rPr>
          <w:rFonts w:cs="Times New Roman"/>
          <w:sz w:val="20"/>
          <w:szCs w:val="20"/>
          <w:lang w:val="fr-CA"/>
        </w:rPr>
        <w:t xml:space="preserve"> du demandeur pour directives à l’intention du ministre de la Sécurité publique et de la Protection civile afin que celui-ci ne revoie pas le demandeur du Canada jusqu’à la décision sur sa demande d’autorisation d’appel et, si l’autorisation est accordée, jusqu’à la décision sur son appel.</w:t>
      </w:r>
    </w:p>
    <w:p w:rsidR="00456FC9" w:rsidRPr="00F7078A" w:rsidRDefault="00456FC9" w:rsidP="00456FC9">
      <w:pPr>
        <w:rPr>
          <w:rFonts w:cs="Times New Roman"/>
          <w:sz w:val="20"/>
          <w:szCs w:val="20"/>
          <w:lang w:val="fr-CA"/>
        </w:rPr>
      </w:pPr>
    </w:p>
    <w:p w:rsidR="00456FC9" w:rsidRPr="00F7078A" w:rsidRDefault="00456FC9" w:rsidP="00456FC9">
      <w:pPr>
        <w:rPr>
          <w:rFonts w:cs="Times New Roman"/>
          <w:sz w:val="20"/>
          <w:szCs w:val="20"/>
          <w:lang w:val="fr-CA"/>
        </w:rPr>
      </w:pPr>
      <w:r w:rsidRPr="00F7078A">
        <w:rPr>
          <w:rFonts w:cs="Times New Roman"/>
          <w:b/>
          <w:sz w:val="20"/>
          <w:szCs w:val="20"/>
          <w:lang w:val="fr-CA"/>
        </w:rPr>
        <w:t>ET APRÈS EXAMEN</w:t>
      </w:r>
      <w:r w:rsidRPr="00F7078A">
        <w:rPr>
          <w:rFonts w:cs="Times New Roman"/>
          <w:sz w:val="20"/>
          <w:szCs w:val="20"/>
          <w:lang w:val="fr-CA"/>
        </w:rPr>
        <w:t xml:space="preserve"> de la documentation déposée;</w:t>
      </w:r>
    </w:p>
    <w:p w:rsidR="00456FC9" w:rsidRPr="00F7078A" w:rsidRDefault="00456FC9" w:rsidP="00456FC9">
      <w:pPr>
        <w:rPr>
          <w:rFonts w:cs="Times New Roman"/>
          <w:sz w:val="20"/>
          <w:szCs w:val="20"/>
          <w:lang w:val="fr-CA"/>
        </w:rPr>
      </w:pPr>
    </w:p>
    <w:p w:rsidR="00456FC9" w:rsidRPr="00F7078A" w:rsidRDefault="00456FC9" w:rsidP="00456FC9">
      <w:pPr>
        <w:rPr>
          <w:rFonts w:cs="Times New Roman"/>
          <w:b/>
          <w:sz w:val="20"/>
          <w:szCs w:val="20"/>
          <w:lang w:val="fr-CA"/>
        </w:rPr>
      </w:pPr>
      <w:r w:rsidRPr="00F7078A">
        <w:rPr>
          <w:rFonts w:cs="Times New Roman"/>
          <w:b/>
          <w:sz w:val="20"/>
          <w:szCs w:val="20"/>
          <w:lang w:val="fr-CA"/>
        </w:rPr>
        <w:t>IL EST ORDONNÉ CE QUI SUIT :</w:t>
      </w:r>
    </w:p>
    <w:p w:rsidR="00456FC9" w:rsidRPr="00F7078A" w:rsidRDefault="00456FC9" w:rsidP="00456FC9">
      <w:pPr>
        <w:rPr>
          <w:rFonts w:cs="Times New Roman"/>
          <w:sz w:val="20"/>
          <w:szCs w:val="20"/>
          <w:lang w:val="fr-CA"/>
        </w:rPr>
      </w:pPr>
    </w:p>
    <w:p w:rsidR="00456FC9" w:rsidRPr="00F7078A" w:rsidRDefault="00456FC9" w:rsidP="00456FC9">
      <w:pPr>
        <w:rPr>
          <w:rFonts w:cs="Times New Roman"/>
          <w:sz w:val="20"/>
          <w:szCs w:val="20"/>
          <w:lang w:val="fr-CA"/>
        </w:rPr>
      </w:pPr>
      <w:r w:rsidRPr="00F7078A">
        <w:rPr>
          <w:rFonts w:cs="Times New Roman"/>
          <w:sz w:val="20"/>
          <w:szCs w:val="20"/>
          <w:lang w:val="fr-CA"/>
        </w:rPr>
        <w:t>La requête pour directives est rejetée.</w:t>
      </w:r>
    </w:p>
    <w:p w:rsidR="00456FC9" w:rsidRPr="00F7078A" w:rsidRDefault="00456FC9">
      <w:pPr>
        <w:rPr>
          <w:rFonts w:eastAsia="Times New Roman" w:cs="Times New Roman"/>
          <w:sz w:val="20"/>
          <w:szCs w:val="20"/>
          <w:lang w:val="fr-CA" w:eastAsia="en-CA"/>
        </w:rPr>
      </w:pPr>
    </w:p>
    <w:p w:rsidR="00456FC9" w:rsidRPr="00F7078A" w:rsidRDefault="008075AD">
      <w:pPr>
        <w:rPr>
          <w:rFonts w:eastAsia="Times New Roman" w:cs="Times New Roman"/>
          <w:sz w:val="20"/>
          <w:szCs w:val="20"/>
          <w:lang w:val="fr-CA" w:eastAsia="en-CA"/>
        </w:rPr>
      </w:pPr>
      <w:r>
        <w:rPr>
          <w:rFonts w:eastAsia="Times New Roman" w:cs="Times New Roman"/>
          <w:sz w:val="20"/>
          <w:szCs w:val="20"/>
          <w:lang w:val="fr-CA" w:eastAsia="en-CA"/>
        </w:rPr>
        <w:pict>
          <v:rect id="_x0000_i1034" style="width:2in;height:1pt" o:hrpct="0" o:hralign="center" o:hrstd="t" o:hrnoshade="t" o:hr="t" fillcolor="black [3213]" stroked="f"/>
        </w:pict>
      </w:r>
    </w:p>
    <w:p w:rsidR="00456FC9" w:rsidRPr="00F7078A" w:rsidRDefault="00456FC9">
      <w:pPr>
        <w:rPr>
          <w:rFonts w:eastAsia="Times New Roman" w:cs="Times New Roman"/>
          <w:sz w:val="20"/>
          <w:szCs w:val="20"/>
          <w:lang w:val="fr-CA" w:eastAsia="en-CA"/>
        </w:rPr>
      </w:pPr>
    </w:p>
    <w:p w:rsidR="00890FEB" w:rsidRPr="00F7078A" w:rsidRDefault="00890FEB" w:rsidP="000F6D7C">
      <w:pPr>
        <w:widowControl w:val="0"/>
        <w:rPr>
          <w:rFonts w:eastAsia="Times New Roman" w:cs="Times New Roman"/>
          <w:sz w:val="20"/>
          <w:szCs w:val="20"/>
          <w:lang w:val="fr-CA" w:eastAsia="en-CA"/>
        </w:rPr>
      </w:pPr>
    </w:p>
    <w:p w:rsidR="00831CA9" w:rsidRPr="00F7078A" w:rsidRDefault="00831CA9" w:rsidP="00831CA9">
      <w:pPr>
        <w:jc w:val="both"/>
        <w:rPr>
          <w:sz w:val="20"/>
          <w:szCs w:val="20"/>
          <w:lang w:val="fr-CA"/>
        </w:rPr>
        <w:sectPr w:rsidR="00831CA9" w:rsidRPr="00F7078A"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p w:rsidR="00567602" w:rsidRPr="00F7078A" w:rsidRDefault="001434B9" w:rsidP="00567602">
      <w:pPr>
        <w:pStyle w:val="Header1StyleE"/>
        <w:pBdr>
          <w:bottom w:val="single" w:sz="12" w:space="1" w:color="auto"/>
        </w:pBdr>
        <w:rPr>
          <w:lang w:val="fr-CA"/>
        </w:rPr>
      </w:pPr>
      <w:bookmarkStart w:id="5" w:name="_Toc125094997"/>
      <w:r w:rsidRPr="00F7078A">
        <w:rPr>
          <w:lang w:val="fr-CA"/>
        </w:rPr>
        <w:t>Appeals heard since the last issue and disposition</w:t>
      </w:r>
      <w:r w:rsidR="00271E1E" w:rsidRPr="00F7078A">
        <w:rPr>
          <w:lang w:val="fr-CA"/>
        </w:rPr>
        <w:t xml:space="preserve"> / </w:t>
      </w:r>
      <w:r w:rsidR="00567602" w:rsidRPr="00F7078A">
        <w:rPr>
          <w:lang w:val="fr-CA"/>
        </w:rPr>
        <w:br/>
      </w:r>
      <w:r w:rsidRPr="00F7078A">
        <w:rPr>
          <w:lang w:val="fr-CA"/>
        </w:rPr>
        <w:t>Appels entendus depuis la dernière parution et résultat</w:t>
      </w:r>
      <w:bookmarkEnd w:id="5"/>
    </w:p>
    <w:p w:rsidR="00567602" w:rsidRPr="00F7078A" w:rsidRDefault="00567602" w:rsidP="009B36BA">
      <w:pPr>
        <w:widowControl w:val="0"/>
        <w:jc w:val="both"/>
        <w:rPr>
          <w:sz w:val="20"/>
          <w:szCs w:val="20"/>
          <w:lang w:val="fr-CA"/>
        </w:rPr>
      </w:pPr>
    </w:p>
    <w:p w:rsidR="00717608" w:rsidRPr="00F7078A" w:rsidRDefault="00FC7090" w:rsidP="00717608">
      <w:pPr>
        <w:rPr>
          <w:b/>
          <w:sz w:val="20"/>
          <w:szCs w:val="20"/>
        </w:rPr>
      </w:pPr>
      <w:r w:rsidRPr="00F7078A">
        <w:rPr>
          <w:b/>
          <w:sz w:val="20"/>
          <w:szCs w:val="20"/>
        </w:rPr>
        <w:t>JANUARY</w:t>
      </w:r>
      <w:r w:rsidR="00717608" w:rsidRPr="00F7078A">
        <w:rPr>
          <w:b/>
          <w:sz w:val="20"/>
          <w:szCs w:val="20"/>
        </w:rPr>
        <w:t xml:space="preserve"> </w:t>
      </w:r>
      <w:r w:rsidR="009B36BA" w:rsidRPr="00F7078A">
        <w:rPr>
          <w:b/>
          <w:sz w:val="20"/>
          <w:szCs w:val="20"/>
        </w:rPr>
        <w:t>1</w:t>
      </w:r>
      <w:r w:rsidR="00132E30" w:rsidRPr="00F7078A">
        <w:rPr>
          <w:b/>
          <w:sz w:val="20"/>
          <w:szCs w:val="20"/>
        </w:rPr>
        <w:t>7</w:t>
      </w:r>
      <w:r w:rsidR="00717608" w:rsidRPr="00F7078A">
        <w:rPr>
          <w:b/>
          <w:sz w:val="20"/>
          <w:szCs w:val="20"/>
        </w:rPr>
        <w:t>, 20</w:t>
      </w:r>
      <w:r w:rsidR="00172473" w:rsidRPr="00F7078A">
        <w:rPr>
          <w:b/>
          <w:sz w:val="20"/>
          <w:szCs w:val="20"/>
        </w:rPr>
        <w:t>2</w:t>
      </w:r>
      <w:r w:rsidRPr="00F7078A">
        <w:rPr>
          <w:b/>
          <w:sz w:val="20"/>
          <w:szCs w:val="20"/>
        </w:rPr>
        <w:t>3</w:t>
      </w:r>
      <w:r w:rsidR="00717608" w:rsidRPr="00F7078A">
        <w:rPr>
          <w:b/>
          <w:sz w:val="20"/>
          <w:szCs w:val="20"/>
        </w:rPr>
        <w:t xml:space="preserve"> / LE </w:t>
      </w:r>
      <w:r w:rsidR="009B36BA" w:rsidRPr="00F7078A">
        <w:rPr>
          <w:b/>
          <w:sz w:val="20"/>
          <w:szCs w:val="20"/>
        </w:rPr>
        <w:t>1</w:t>
      </w:r>
      <w:r w:rsidR="00132E30" w:rsidRPr="00F7078A">
        <w:rPr>
          <w:b/>
          <w:sz w:val="20"/>
          <w:szCs w:val="20"/>
        </w:rPr>
        <w:t>7</w:t>
      </w:r>
      <w:r w:rsidR="00717608" w:rsidRPr="00F7078A">
        <w:rPr>
          <w:b/>
          <w:sz w:val="20"/>
          <w:szCs w:val="20"/>
        </w:rPr>
        <w:t xml:space="preserve"> </w:t>
      </w:r>
      <w:r w:rsidRPr="00F7078A">
        <w:rPr>
          <w:b/>
          <w:sz w:val="20"/>
          <w:szCs w:val="20"/>
        </w:rPr>
        <w:t>JANVIER</w:t>
      </w:r>
      <w:r w:rsidR="00717608" w:rsidRPr="00F7078A">
        <w:rPr>
          <w:b/>
          <w:sz w:val="20"/>
          <w:szCs w:val="20"/>
        </w:rPr>
        <w:t xml:space="preserve"> 20</w:t>
      </w:r>
      <w:r w:rsidR="00172473" w:rsidRPr="00F7078A">
        <w:rPr>
          <w:b/>
          <w:sz w:val="20"/>
          <w:szCs w:val="20"/>
        </w:rPr>
        <w:t>2</w:t>
      </w:r>
      <w:r w:rsidRPr="00F7078A">
        <w:rPr>
          <w:b/>
          <w:sz w:val="20"/>
          <w:szCs w:val="20"/>
        </w:rPr>
        <w:t>3</w:t>
      </w:r>
    </w:p>
    <w:p w:rsidR="00172473" w:rsidRPr="00F7078A" w:rsidRDefault="00172473" w:rsidP="00717608">
      <w:pPr>
        <w:rPr>
          <w:sz w:val="20"/>
          <w:szCs w:val="20"/>
        </w:rPr>
      </w:pPr>
    </w:p>
    <w:p w:rsidR="00FA34EC" w:rsidRPr="00F7078A" w:rsidRDefault="00FA34EC" w:rsidP="00FA34EC">
      <w:pPr>
        <w:widowControl w:val="0"/>
        <w:rPr>
          <w:sz w:val="20"/>
          <w:szCs w:val="20"/>
        </w:rPr>
      </w:pPr>
      <w:r w:rsidRPr="00F7078A">
        <w:rPr>
          <w:b/>
          <w:sz w:val="20"/>
          <w:szCs w:val="20"/>
        </w:rPr>
        <w:t xml:space="preserve">Andrei Bykovets v. His Majesty the King </w:t>
      </w:r>
      <w:r w:rsidRPr="00F7078A">
        <w:rPr>
          <w:sz w:val="20"/>
          <w:szCs w:val="20"/>
        </w:rPr>
        <w:t xml:space="preserve">(Alta.) (Criminal) (As of Right) </w:t>
      </w:r>
      <w:r w:rsidRPr="00F7078A">
        <w:rPr>
          <w:iCs/>
          <w:sz w:val="20"/>
          <w:szCs w:val="20"/>
        </w:rPr>
        <w:t>(</w:t>
      </w:r>
      <w:hyperlink r:id="rId35" w:history="1">
        <w:r w:rsidRPr="00F7078A">
          <w:rPr>
            <w:rStyle w:val="Hyperlink"/>
            <w:iCs/>
            <w:sz w:val="20"/>
            <w:szCs w:val="20"/>
          </w:rPr>
          <w:t>40269</w:t>
        </w:r>
      </w:hyperlink>
      <w:r w:rsidRPr="00F7078A">
        <w:rPr>
          <w:iCs/>
          <w:sz w:val="20"/>
          <w:szCs w:val="20"/>
        </w:rPr>
        <w:t>)</w:t>
      </w:r>
    </w:p>
    <w:p w:rsidR="00E8642A" w:rsidRPr="00F7078A" w:rsidRDefault="00E8642A" w:rsidP="00E8642A">
      <w:pPr>
        <w:widowControl w:val="0"/>
        <w:ind w:left="1109" w:hanging="1109"/>
        <w:rPr>
          <w:sz w:val="20"/>
          <w:szCs w:val="20"/>
        </w:rPr>
      </w:pPr>
    </w:p>
    <w:p w:rsidR="00FA34EC" w:rsidRPr="00F7078A" w:rsidRDefault="00FA34EC" w:rsidP="00FA34EC">
      <w:pPr>
        <w:widowControl w:val="0"/>
        <w:ind w:left="1109" w:hanging="1109"/>
        <w:rPr>
          <w:sz w:val="20"/>
          <w:szCs w:val="20"/>
        </w:rPr>
      </w:pPr>
      <w:r w:rsidRPr="00F7078A">
        <w:rPr>
          <w:sz w:val="20"/>
          <w:szCs w:val="20"/>
        </w:rPr>
        <w:t xml:space="preserve">Coram: </w:t>
      </w:r>
      <w:r w:rsidRPr="00F7078A">
        <w:rPr>
          <w:sz w:val="20"/>
          <w:szCs w:val="20"/>
        </w:rPr>
        <w:tab/>
        <w:t>Wagner C.J. and Karakatsanis, Côté, Brown, Martin, Jamal and O’Bonsawin JJ.</w:t>
      </w:r>
    </w:p>
    <w:p w:rsidR="00102792" w:rsidRPr="00F7078A" w:rsidRDefault="00102792" w:rsidP="00102792">
      <w:pPr>
        <w:ind w:left="1109" w:hanging="1109"/>
        <w:rPr>
          <w:color w:val="000000"/>
          <w:sz w:val="20"/>
          <w:szCs w:val="20"/>
        </w:rPr>
      </w:pPr>
    </w:p>
    <w:p w:rsidR="00102792" w:rsidRPr="00F7078A" w:rsidRDefault="00102792" w:rsidP="00102792">
      <w:pPr>
        <w:ind w:left="1109" w:hanging="1109"/>
        <w:rPr>
          <w:b/>
          <w:bCs/>
          <w:color w:val="000000"/>
          <w:sz w:val="20"/>
          <w:szCs w:val="20"/>
        </w:rPr>
      </w:pPr>
      <w:r w:rsidRPr="00F7078A">
        <w:rPr>
          <w:b/>
          <w:bCs/>
          <w:color w:val="000000"/>
          <w:sz w:val="20"/>
          <w:szCs w:val="20"/>
        </w:rPr>
        <w:t>RESERVED / EN DÉLIBÉRÉ</w:t>
      </w:r>
    </w:p>
    <w:p w:rsidR="00E06F20" w:rsidRPr="00F7078A" w:rsidRDefault="00E06F20" w:rsidP="00102792">
      <w:pPr>
        <w:ind w:left="1109" w:hanging="1109"/>
        <w:rPr>
          <w:bCs/>
          <w:color w:val="000000"/>
          <w:sz w:val="20"/>
          <w:szCs w:val="27"/>
        </w:rPr>
      </w:pPr>
    </w:p>
    <w:p w:rsidR="00E06F20" w:rsidRPr="00F7078A" w:rsidRDefault="008075AD" w:rsidP="00281DA2">
      <w:pPr>
        <w:jc w:val="center"/>
        <w:rPr>
          <w:color w:val="000000"/>
          <w:sz w:val="20"/>
          <w:szCs w:val="27"/>
        </w:rPr>
      </w:pPr>
      <w:r>
        <w:rPr>
          <w:sz w:val="20"/>
          <w:szCs w:val="20"/>
        </w:rPr>
        <w:pict>
          <v:rect id="_x0000_i1037" style="width:2in;height:1pt" o:hrpct="0" o:hralign="center" o:hrstd="t" o:hrnoshade="t" o:hr="t" fillcolor="black [3213]" stroked="f"/>
        </w:pict>
      </w:r>
    </w:p>
    <w:p w:rsidR="00102792" w:rsidRPr="00F7078A" w:rsidRDefault="00102792" w:rsidP="00102792">
      <w:pPr>
        <w:widowControl w:val="0"/>
        <w:rPr>
          <w:sz w:val="20"/>
          <w:szCs w:val="20"/>
        </w:rPr>
      </w:pPr>
    </w:p>
    <w:p w:rsidR="00FC7090" w:rsidRPr="00F7078A" w:rsidRDefault="00FC7090" w:rsidP="00FC7090">
      <w:pPr>
        <w:rPr>
          <w:b/>
          <w:sz w:val="20"/>
          <w:szCs w:val="20"/>
          <w:lang w:val="fr-CA"/>
        </w:rPr>
      </w:pPr>
      <w:r w:rsidRPr="00F7078A">
        <w:rPr>
          <w:b/>
          <w:sz w:val="20"/>
          <w:szCs w:val="20"/>
          <w:lang w:val="fr-CA"/>
        </w:rPr>
        <w:t>JANUARY 1</w:t>
      </w:r>
      <w:r w:rsidR="00132E30" w:rsidRPr="00F7078A">
        <w:rPr>
          <w:b/>
          <w:sz w:val="20"/>
          <w:szCs w:val="20"/>
          <w:lang w:val="fr-CA"/>
        </w:rPr>
        <w:t>8</w:t>
      </w:r>
      <w:r w:rsidRPr="00F7078A">
        <w:rPr>
          <w:b/>
          <w:sz w:val="20"/>
          <w:szCs w:val="20"/>
          <w:lang w:val="fr-CA"/>
        </w:rPr>
        <w:t>, 2023 / LE 1</w:t>
      </w:r>
      <w:r w:rsidR="00132E30" w:rsidRPr="00F7078A">
        <w:rPr>
          <w:b/>
          <w:sz w:val="20"/>
          <w:szCs w:val="20"/>
          <w:lang w:val="fr-CA"/>
        </w:rPr>
        <w:t>8</w:t>
      </w:r>
      <w:r w:rsidRPr="00F7078A">
        <w:rPr>
          <w:b/>
          <w:sz w:val="20"/>
          <w:szCs w:val="20"/>
          <w:lang w:val="fr-CA"/>
        </w:rPr>
        <w:t xml:space="preserve"> JANVIER 2023</w:t>
      </w:r>
    </w:p>
    <w:p w:rsidR="00E8642A" w:rsidRPr="00F7078A" w:rsidRDefault="00E8642A" w:rsidP="00E8642A">
      <w:pPr>
        <w:rPr>
          <w:sz w:val="20"/>
          <w:szCs w:val="20"/>
          <w:lang w:val="fr-CA"/>
        </w:rPr>
      </w:pPr>
    </w:p>
    <w:p w:rsidR="00FA34EC" w:rsidRPr="00F7078A" w:rsidRDefault="00FA34EC" w:rsidP="00FA34EC">
      <w:pPr>
        <w:widowControl w:val="0"/>
        <w:rPr>
          <w:sz w:val="20"/>
          <w:szCs w:val="20"/>
        </w:rPr>
      </w:pPr>
      <w:r w:rsidRPr="00F7078A">
        <w:rPr>
          <w:b/>
          <w:sz w:val="20"/>
          <w:szCs w:val="20"/>
          <w:lang w:val="fr-CA"/>
        </w:rPr>
        <w:t xml:space="preserve">Frederick Langford Sharp, et al. v. Autorité des Marchés Financiers, et al. </w:t>
      </w:r>
      <w:r w:rsidRPr="00F7078A">
        <w:rPr>
          <w:sz w:val="20"/>
          <w:szCs w:val="20"/>
        </w:rPr>
        <w:t xml:space="preserve">(Que.) (Civil) (By Leave) </w:t>
      </w:r>
      <w:r w:rsidRPr="00F7078A">
        <w:rPr>
          <w:iCs/>
          <w:sz w:val="20"/>
          <w:szCs w:val="20"/>
        </w:rPr>
        <w:t>(</w:t>
      </w:r>
      <w:hyperlink r:id="rId36" w:history="1">
        <w:r w:rsidRPr="00F7078A">
          <w:rPr>
            <w:rStyle w:val="Hyperlink"/>
            <w:iCs/>
            <w:sz w:val="20"/>
            <w:szCs w:val="20"/>
          </w:rPr>
          <w:t>39920</w:t>
        </w:r>
      </w:hyperlink>
      <w:r w:rsidRPr="00F7078A">
        <w:rPr>
          <w:iCs/>
          <w:sz w:val="20"/>
          <w:szCs w:val="20"/>
        </w:rPr>
        <w:t>)</w:t>
      </w:r>
    </w:p>
    <w:p w:rsidR="00E8642A" w:rsidRPr="00F7078A" w:rsidRDefault="00E8642A" w:rsidP="00E8642A">
      <w:pPr>
        <w:widowControl w:val="0"/>
        <w:ind w:left="1109" w:hanging="1109"/>
        <w:rPr>
          <w:sz w:val="20"/>
          <w:szCs w:val="20"/>
        </w:rPr>
      </w:pPr>
    </w:p>
    <w:p w:rsidR="00FA34EC" w:rsidRPr="00F7078A" w:rsidRDefault="00FA34EC" w:rsidP="00FA34EC">
      <w:pPr>
        <w:widowControl w:val="0"/>
        <w:ind w:left="1109" w:hanging="1109"/>
        <w:rPr>
          <w:sz w:val="20"/>
          <w:szCs w:val="20"/>
        </w:rPr>
      </w:pPr>
      <w:r w:rsidRPr="00F7078A">
        <w:rPr>
          <w:sz w:val="20"/>
          <w:szCs w:val="20"/>
        </w:rPr>
        <w:t xml:space="preserve">Coram: </w:t>
      </w:r>
      <w:r w:rsidRPr="00F7078A">
        <w:rPr>
          <w:sz w:val="20"/>
          <w:szCs w:val="20"/>
        </w:rPr>
        <w:tab/>
        <w:t>Wagner C.J. and Karakatsanis, Côté, Brown, Rowe, Martin, Kasirer, Jamal and O’Bonsawin JJ.</w:t>
      </w:r>
    </w:p>
    <w:p w:rsidR="00E8642A" w:rsidRPr="00F7078A" w:rsidRDefault="00E8642A" w:rsidP="00E8642A">
      <w:pPr>
        <w:ind w:left="1109" w:hanging="1109"/>
        <w:rPr>
          <w:color w:val="000000"/>
          <w:sz w:val="20"/>
          <w:szCs w:val="20"/>
        </w:rPr>
      </w:pPr>
    </w:p>
    <w:p w:rsidR="00E8642A" w:rsidRPr="00F7078A" w:rsidRDefault="00E8642A" w:rsidP="00E8642A">
      <w:pPr>
        <w:ind w:left="1109" w:hanging="1109"/>
        <w:rPr>
          <w:b/>
          <w:bCs/>
          <w:color w:val="000000"/>
          <w:sz w:val="20"/>
          <w:szCs w:val="20"/>
        </w:rPr>
      </w:pPr>
      <w:r w:rsidRPr="00F7078A">
        <w:rPr>
          <w:b/>
          <w:bCs/>
          <w:color w:val="000000"/>
          <w:sz w:val="20"/>
          <w:szCs w:val="20"/>
        </w:rPr>
        <w:t>RESERVED / EN DÉLIBÉRÉ</w:t>
      </w:r>
    </w:p>
    <w:p w:rsidR="00E06F20" w:rsidRPr="00F7078A" w:rsidRDefault="00E06F20" w:rsidP="00A234E1">
      <w:pPr>
        <w:jc w:val="both"/>
        <w:rPr>
          <w:sz w:val="20"/>
          <w:lang w:val="fr-CA"/>
        </w:rPr>
      </w:pPr>
    </w:p>
    <w:p w:rsidR="00D004FC" w:rsidRPr="00F7078A" w:rsidRDefault="008075AD" w:rsidP="00102792">
      <w:pPr>
        <w:rPr>
          <w:sz w:val="20"/>
          <w:szCs w:val="20"/>
          <w:lang w:val="fr-CA"/>
        </w:rPr>
      </w:pPr>
      <w:r>
        <w:rPr>
          <w:sz w:val="20"/>
          <w:szCs w:val="20"/>
        </w:rPr>
        <w:pict>
          <v:rect id="_x0000_i1038" style="width:2in;height:1pt" o:hrpct="0" o:hralign="center" o:hrstd="t" o:hrnoshade="t" o:hr="t" fillcolor="black [3213]" stroked="f"/>
        </w:pict>
      </w:r>
    </w:p>
    <w:p w:rsidR="0056248C" w:rsidRPr="00F7078A" w:rsidRDefault="0056248C" w:rsidP="00732DB7">
      <w:pPr>
        <w:widowControl w:val="0"/>
        <w:rPr>
          <w:sz w:val="20"/>
          <w:szCs w:val="20"/>
          <w:lang w:val="fr-CA"/>
        </w:rPr>
      </w:pPr>
    </w:p>
    <w:p w:rsidR="00172473" w:rsidRPr="00F7078A" w:rsidRDefault="00172473" w:rsidP="00732DB7">
      <w:pPr>
        <w:widowControl w:val="0"/>
        <w:rPr>
          <w:sz w:val="20"/>
          <w:szCs w:val="20"/>
          <w:lang w:val="fr-CA"/>
        </w:rPr>
      </w:pPr>
    </w:p>
    <w:p w:rsidR="00732DB7" w:rsidRPr="00F7078A" w:rsidRDefault="00732DB7" w:rsidP="00732DB7">
      <w:pPr>
        <w:widowControl w:val="0"/>
        <w:rPr>
          <w:sz w:val="20"/>
          <w:szCs w:val="20"/>
          <w:lang w:val="fr-CA"/>
        </w:rPr>
      </w:pPr>
    </w:p>
    <w:p w:rsidR="00732DB7" w:rsidRPr="00F7078A" w:rsidRDefault="00732DB7" w:rsidP="00732DB7">
      <w:pPr>
        <w:widowControl w:val="0"/>
        <w:rPr>
          <w:sz w:val="20"/>
          <w:szCs w:val="20"/>
          <w:lang w:val="fr-CA"/>
        </w:rPr>
        <w:sectPr w:rsidR="00732DB7" w:rsidRPr="00F7078A" w:rsidSect="00732DB7">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p w:rsidR="003C291C" w:rsidRPr="00F7078A" w:rsidRDefault="003C291C" w:rsidP="003C291C">
      <w:pPr>
        <w:tabs>
          <w:tab w:val="center" w:pos="5220"/>
          <w:tab w:val="right" w:pos="10800"/>
        </w:tabs>
        <w:jc w:val="center"/>
        <w:rPr>
          <w:rFonts w:ascii="Arial" w:hAnsi="Arial" w:cs="Arial"/>
          <w:szCs w:val="24"/>
          <w:lang w:val="fr-CA"/>
        </w:rPr>
      </w:pPr>
      <w:bookmarkStart w:id="6" w:name="1"/>
      <w:bookmarkStart w:id="7" w:name="QuickMark"/>
      <w:bookmarkEnd w:id="6"/>
      <w:bookmarkEnd w:id="7"/>
      <w:r w:rsidRPr="00F7078A">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F7078A"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lang w:val="fr-FR"/>
              </w:rPr>
            </w:pPr>
            <w:r w:rsidRPr="00F7078A">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lang w:val="fr-FR"/>
              </w:rPr>
            </w:pPr>
            <w:r w:rsidRPr="00F7078A">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lang w:val="fr-FR"/>
              </w:rPr>
            </w:pPr>
            <w:r w:rsidRPr="00F7078A">
              <w:rPr>
                <w:rFonts w:ascii="Arial" w:eastAsia="Arial" w:hAnsi="Arial"/>
                <w:b/>
                <w:color w:val="000000"/>
                <w:sz w:val="13"/>
              </w:rPr>
              <w:t>DECEMBER – DÉCEMBRE</w:t>
            </w:r>
          </w:p>
        </w:tc>
      </w:tr>
      <w:tr w:rsidR="003C291C" w:rsidRPr="00F7078A"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S</w:t>
            </w:r>
          </w:p>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M</w:t>
            </w:r>
          </w:p>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T</w:t>
            </w:r>
          </w:p>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W</w:t>
            </w:r>
          </w:p>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T</w:t>
            </w:r>
          </w:p>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F</w:t>
            </w:r>
          </w:p>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S</w:t>
            </w:r>
          </w:p>
          <w:p w:rsidR="003C291C" w:rsidRPr="00F7078A" w:rsidRDefault="003C291C" w:rsidP="00FC7090">
            <w:pPr>
              <w:jc w:val="center"/>
              <w:textAlignment w:val="baseline"/>
              <w:rPr>
                <w:rFonts w:ascii="Arial" w:eastAsia="Arial" w:hAnsi="Arial"/>
                <w:b/>
                <w:color w:val="000000"/>
                <w:sz w:val="13"/>
                <w:szCs w:val="13"/>
              </w:rPr>
            </w:pPr>
            <w:r w:rsidRPr="00F7078A">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S</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M</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T</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W</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T</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F</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S</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S</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M</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T</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W</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T</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F</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S</w:t>
            </w:r>
          </w:p>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S</w:t>
            </w:r>
          </w:p>
        </w:tc>
      </w:tr>
      <w:tr w:rsidR="003C291C" w:rsidRPr="00F7078A"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F7078A"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3</w:t>
            </w:r>
          </w:p>
        </w:tc>
      </w:tr>
      <w:tr w:rsidR="003C291C" w:rsidRPr="00F7078A"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CC</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YK</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H</w:t>
            </w:r>
          </w:p>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10</w:t>
            </w:r>
          </w:p>
        </w:tc>
      </w:tr>
      <w:tr w:rsidR="003C291C" w:rsidRPr="00F7078A"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H</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17</w:t>
            </w:r>
          </w:p>
        </w:tc>
      </w:tr>
      <w:tr w:rsidR="003C291C" w:rsidRPr="00F7078A"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24</w:t>
            </w:r>
          </w:p>
        </w:tc>
      </w:tr>
      <w:tr w:rsidR="003C291C" w:rsidRPr="00F7078A"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 xml:space="preserve">  23 /</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 xml:space="preserve">  24 /</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b/>
                <w:color w:val="000000"/>
                <w:sz w:val="13"/>
                <w:szCs w:val="13"/>
              </w:rPr>
              <w:t>CC</w:t>
            </w:r>
            <w:r w:rsidRPr="00F7078A">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rPr>
            </w:pPr>
            <w:r w:rsidRPr="00F7078A">
              <w:rPr>
                <w:rFonts w:ascii="Arial" w:eastAsia="Arial" w:hAnsi="Arial" w:cs="Arial"/>
                <w:b/>
                <w:color w:val="000000"/>
                <w:sz w:val="13"/>
              </w:rPr>
              <w:t>CC</w:t>
            </w:r>
          </w:p>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rPr>
            </w:pPr>
            <w:r w:rsidRPr="00F7078A">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b/>
                <w:sz w:val="13"/>
                <w:szCs w:val="13"/>
              </w:rPr>
            </w:pPr>
            <w:r w:rsidRPr="00F7078A">
              <w:rPr>
                <w:rFonts w:ascii="Arial" w:hAnsi="Arial" w:cs="Arial"/>
                <w:b/>
                <w:sz w:val="13"/>
                <w:szCs w:val="13"/>
              </w:rPr>
              <w:t>H</w:t>
            </w:r>
          </w:p>
          <w:p w:rsidR="003C291C" w:rsidRPr="00F7078A" w:rsidRDefault="003C291C" w:rsidP="00FC7090">
            <w:pPr>
              <w:jc w:val="center"/>
              <w:rPr>
                <w:rFonts w:ascii="Arial" w:hAnsi="Arial" w:cs="Arial"/>
                <w:sz w:val="13"/>
                <w:szCs w:val="13"/>
              </w:rPr>
            </w:pPr>
            <w:r w:rsidRPr="00F7078A">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b/>
                <w:sz w:val="13"/>
                <w:szCs w:val="13"/>
              </w:rPr>
            </w:pPr>
            <w:r w:rsidRPr="00F7078A">
              <w:rPr>
                <w:rFonts w:ascii="Arial" w:hAnsi="Arial" w:cs="Arial"/>
                <w:b/>
                <w:sz w:val="13"/>
                <w:szCs w:val="13"/>
              </w:rPr>
              <w:t>H</w:t>
            </w:r>
          </w:p>
          <w:p w:rsidR="003C291C" w:rsidRPr="00F7078A" w:rsidRDefault="003C291C" w:rsidP="00FC7090">
            <w:pPr>
              <w:jc w:val="center"/>
              <w:rPr>
                <w:rFonts w:ascii="Arial" w:hAnsi="Arial" w:cs="Arial"/>
                <w:sz w:val="13"/>
                <w:szCs w:val="13"/>
              </w:rPr>
            </w:pPr>
            <w:r w:rsidRPr="00F7078A">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rPr>
                <w:rFonts w:ascii="Arial" w:hAnsi="Arial" w:cs="Arial"/>
                <w:sz w:val="13"/>
                <w:szCs w:val="13"/>
              </w:rPr>
            </w:pPr>
            <w:r w:rsidRPr="00F7078A">
              <w:rPr>
                <w:rFonts w:ascii="Arial" w:hAnsi="Arial" w:cs="Arial"/>
                <w:sz w:val="13"/>
                <w:szCs w:val="13"/>
              </w:rPr>
              <w:t>31</w:t>
            </w:r>
          </w:p>
        </w:tc>
      </w:tr>
    </w:tbl>
    <w:p w:rsidR="003C291C" w:rsidRPr="00F7078A" w:rsidRDefault="003C291C" w:rsidP="003C291C">
      <w:pPr>
        <w:tabs>
          <w:tab w:val="center" w:pos="5220"/>
          <w:tab w:val="right" w:pos="10440"/>
        </w:tabs>
        <w:spacing w:before="120"/>
        <w:jc w:val="center"/>
        <w:rPr>
          <w:rFonts w:ascii="Arial" w:hAnsi="Arial" w:cs="Arial"/>
          <w:szCs w:val="24"/>
        </w:rPr>
      </w:pPr>
      <w:r w:rsidRPr="00F7078A">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F7078A"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MARCH – MARS</w:t>
            </w:r>
          </w:p>
        </w:tc>
      </w:tr>
      <w:tr w:rsidR="003C291C" w:rsidRPr="00F7078A"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W</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F</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W</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F</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W</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F</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tc>
      </w:tr>
      <w:tr w:rsidR="003C291C" w:rsidRPr="00F7078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spacing w:before="91" w:line="148" w:lineRule="exact"/>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H</w:t>
            </w:r>
          </w:p>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4</w:t>
            </w:r>
          </w:p>
        </w:tc>
      </w:tr>
      <w:tr w:rsidR="003C291C" w:rsidRPr="00F7078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spacing w:before="241" w:after="34" w:line="147" w:lineRule="exact"/>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spacing w:before="91" w:line="148" w:lineRule="exact"/>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CC</w:t>
            </w:r>
          </w:p>
          <w:p w:rsidR="003C291C" w:rsidRPr="00F7078A" w:rsidRDefault="003C291C" w:rsidP="00FC7090">
            <w:pPr>
              <w:spacing w:before="2" w:after="34" w:line="147" w:lineRule="exact"/>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CC</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11</w:t>
            </w:r>
          </w:p>
        </w:tc>
      </w:tr>
      <w:tr w:rsidR="003C291C" w:rsidRPr="00F7078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spacing w:before="240" w:after="30" w:line="147" w:lineRule="exact"/>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spacing w:before="1" w:after="30" w:line="147" w:lineRule="exact"/>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CC</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18</w:t>
            </w:r>
          </w:p>
        </w:tc>
      </w:tr>
      <w:tr w:rsidR="003C291C" w:rsidRPr="00F7078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spacing w:before="212" w:after="30" w:line="147" w:lineRule="exact"/>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spacing w:before="212" w:after="30" w:line="147" w:lineRule="exact"/>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25</w:t>
            </w:r>
          </w:p>
        </w:tc>
      </w:tr>
      <w:tr w:rsidR="003C291C" w:rsidRPr="00F7078A"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spacing w:before="39" w:after="30" w:line="147" w:lineRule="exact"/>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spacing w:before="39" w:after="30" w:line="147" w:lineRule="exact"/>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r>
      <w:tr w:rsidR="003C291C" w:rsidRPr="00F7078A"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JUNE – JUIN</w:t>
            </w:r>
          </w:p>
        </w:tc>
      </w:tr>
      <w:tr w:rsidR="003C291C" w:rsidRPr="00F7078A"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W</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F</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W</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F</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W</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F</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tc>
      </w:tr>
      <w:tr w:rsidR="003C291C" w:rsidRPr="00F7078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3</w:t>
            </w:r>
          </w:p>
        </w:tc>
      </w:tr>
      <w:tr w:rsidR="003C291C" w:rsidRPr="00F7078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078A" w:rsidRDefault="003C291C" w:rsidP="00FC7090">
            <w:pPr>
              <w:spacing w:before="91" w:line="148" w:lineRule="exact"/>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H</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CC</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b/>
                <w:color w:val="000000"/>
                <w:sz w:val="13"/>
              </w:rPr>
            </w:pPr>
            <w:r w:rsidRPr="00F7078A">
              <w:rPr>
                <w:rFonts w:ascii="Arial" w:eastAsia="Arial" w:hAnsi="Arial"/>
                <w:b/>
                <w:color w:val="000000"/>
                <w:sz w:val="13"/>
              </w:rPr>
              <w:t>CC</w:t>
            </w:r>
          </w:p>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10</w:t>
            </w:r>
          </w:p>
        </w:tc>
      </w:tr>
      <w:tr w:rsidR="003C291C" w:rsidRPr="00F7078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H</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CC</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OR</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OR</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17</w:t>
            </w:r>
          </w:p>
        </w:tc>
      </w:tr>
      <w:tr w:rsidR="003C291C" w:rsidRPr="00F7078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OR</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OR</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H</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24</w:t>
            </w:r>
          </w:p>
        </w:tc>
      </w:tr>
      <w:tr w:rsidR="003C291C" w:rsidRPr="00F7078A"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 xml:space="preserve">  23 /</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olor w:val="000000"/>
                <w:sz w:val="13"/>
              </w:rPr>
            </w:pPr>
            <w:r w:rsidRPr="00F7078A">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eastAsia="Times New Roman"/>
                <w:color w:val="000000"/>
              </w:rPr>
            </w:pPr>
          </w:p>
        </w:tc>
      </w:tr>
      <w:tr w:rsidR="003C291C" w:rsidRPr="00F7078A"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SEPTEMBER – SEPTEMBRE</w:t>
            </w:r>
          </w:p>
        </w:tc>
      </w:tr>
      <w:tr w:rsidR="003C291C" w:rsidRPr="00F7078A"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6"/>
                <w:szCs w:val="16"/>
              </w:rPr>
            </w:pPr>
            <w:r w:rsidRPr="00F7078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W</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F</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W</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F</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078A"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W</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T</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F</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p w:rsidR="003C291C" w:rsidRPr="00F7078A" w:rsidRDefault="003C291C" w:rsidP="00FC7090">
            <w:pPr>
              <w:tabs>
                <w:tab w:val="center" w:pos="5220"/>
                <w:tab w:val="right" w:pos="10440"/>
              </w:tabs>
              <w:jc w:val="center"/>
              <w:rPr>
                <w:rFonts w:ascii="Arial" w:hAnsi="Arial" w:cs="Arial"/>
                <w:b/>
                <w:sz w:val="13"/>
                <w:szCs w:val="13"/>
              </w:rPr>
            </w:pPr>
            <w:r w:rsidRPr="00F7078A">
              <w:rPr>
                <w:rFonts w:ascii="Arial" w:hAnsi="Arial" w:cs="Arial"/>
                <w:b/>
                <w:sz w:val="13"/>
                <w:szCs w:val="13"/>
              </w:rPr>
              <w:t>S</w:t>
            </w:r>
          </w:p>
        </w:tc>
      </w:tr>
      <w:tr w:rsidR="003C291C" w:rsidRPr="00F7078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F7078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w:t>
            </w:r>
          </w:p>
        </w:tc>
      </w:tr>
      <w:tr w:rsidR="003C291C" w:rsidRPr="00F7078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H</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H</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H</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9</w:t>
            </w:r>
          </w:p>
        </w:tc>
      </w:tr>
      <w:tr w:rsidR="003C291C" w:rsidRPr="00F7078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RH</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16</w:t>
            </w:r>
          </w:p>
        </w:tc>
      </w:tr>
      <w:tr w:rsidR="003C291C" w:rsidRPr="00F7078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RH</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23</w:t>
            </w:r>
          </w:p>
        </w:tc>
      </w:tr>
      <w:tr w:rsidR="003C291C" w:rsidRPr="00F7078A"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 xml:space="preserve">  23 /</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 xml:space="preserve">  24 /</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F7078A"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078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b/>
                <w:color w:val="000000"/>
                <w:sz w:val="13"/>
                <w:szCs w:val="13"/>
              </w:rPr>
            </w:pPr>
            <w:r w:rsidRPr="00F7078A">
              <w:rPr>
                <w:rFonts w:ascii="Arial" w:eastAsia="Arial" w:hAnsi="Arial" w:cs="Arial"/>
                <w:b/>
                <w:color w:val="000000"/>
                <w:sz w:val="13"/>
                <w:szCs w:val="13"/>
              </w:rPr>
              <w:t>YK</w:t>
            </w:r>
          </w:p>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Arial" w:hAnsi="Arial" w:cs="Arial"/>
                <w:color w:val="000000"/>
                <w:sz w:val="13"/>
                <w:szCs w:val="13"/>
              </w:rPr>
            </w:pPr>
            <w:r w:rsidRPr="00F7078A">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F7078A" w:rsidRDefault="003C291C" w:rsidP="00FC7090">
            <w:pPr>
              <w:jc w:val="center"/>
              <w:textAlignment w:val="baseline"/>
              <w:rPr>
                <w:rFonts w:ascii="Arial" w:eastAsia="Times New Roman" w:hAnsi="Arial" w:cs="Arial"/>
                <w:color w:val="000000"/>
                <w:sz w:val="13"/>
                <w:szCs w:val="13"/>
              </w:rPr>
            </w:pPr>
            <w:r w:rsidRPr="00F7078A">
              <w:rPr>
                <w:rFonts w:ascii="Arial" w:eastAsia="Times New Roman" w:hAnsi="Arial" w:cs="Arial"/>
                <w:color w:val="000000"/>
                <w:sz w:val="13"/>
                <w:szCs w:val="13"/>
              </w:rPr>
              <w:t>30</w:t>
            </w:r>
          </w:p>
        </w:tc>
      </w:tr>
      <w:tr w:rsidR="003C291C" w:rsidRPr="00F7078A"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F7078A" w:rsidRDefault="003C291C" w:rsidP="00FC7090">
            <w:pPr>
              <w:spacing w:before="40"/>
              <w:jc w:val="right"/>
              <w:rPr>
                <w:rFonts w:ascii="Arial" w:hAnsi="Arial" w:cs="Arial"/>
                <w:b/>
                <w:sz w:val="13"/>
                <w:szCs w:val="13"/>
              </w:rPr>
            </w:pPr>
            <w:r w:rsidRPr="00F7078A">
              <w:rPr>
                <w:rFonts w:ascii="Arial" w:hAnsi="Arial" w:cs="Arial"/>
                <w:b/>
                <w:sz w:val="13"/>
                <w:szCs w:val="13"/>
              </w:rPr>
              <w:t>Sitting of the Court /</w:t>
            </w:r>
          </w:p>
          <w:p w:rsidR="003C291C" w:rsidRPr="00F7078A" w:rsidRDefault="003C291C" w:rsidP="00FC7090">
            <w:pPr>
              <w:jc w:val="right"/>
              <w:rPr>
                <w:rFonts w:ascii="Arial" w:hAnsi="Arial" w:cs="Arial"/>
                <w:b/>
                <w:sz w:val="13"/>
                <w:szCs w:val="13"/>
              </w:rPr>
            </w:pPr>
            <w:r w:rsidRPr="00F7078A">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F7078A"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F7078A" w:rsidRDefault="003C291C" w:rsidP="00FC7090">
            <w:pPr>
              <w:tabs>
                <w:tab w:val="left" w:pos="203"/>
              </w:tabs>
              <w:spacing w:before="40" w:after="120"/>
              <w:rPr>
                <w:rFonts w:ascii="Arial" w:hAnsi="Arial" w:cs="Arial"/>
                <w:b/>
                <w:sz w:val="13"/>
                <w:szCs w:val="13"/>
                <w:lang w:val="fr-CA"/>
              </w:rPr>
            </w:pPr>
            <w:r w:rsidRPr="00F7078A">
              <w:rPr>
                <w:rFonts w:ascii="Arial" w:hAnsi="Arial" w:cs="Arial"/>
                <w:b/>
                <w:sz w:val="13"/>
                <w:szCs w:val="13"/>
                <w:lang w:val="fr-CA"/>
              </w:rPr>
              <w:t>18</w:t>
            </w:r>
            <w:r w:rsidRPr="00F7078A">
              <w:rPr>
                <w:rFonts w:ascii="Arial" w:hAnsi="Arial" w:cs="Arial"/>
                <w:b/>
                <w:sz w:val="13"/>
                <w:szCs w:val="13"/>
                <w:lang w:val="fr-CA"/>
              </w:rPr>
              <w:tab/>
              <w:t xml:space="preserve"> sitting weeks / semaines séances de la Cour</w:t>
            </w:r>
          </w:p>
          <w:p w:rsidR="003C291C" w:rsidRPr="00F7078A" w:rsidRDefault="003C291C" w:rsidP="00FC7090">
            <w:pPr>
              <w:tabs>
                <w:tab w:val="left" w:pos="203"/>
              </w:tabs>
              <w:rPr>
                <w:rFonts w:ascii="Arial" w:hAnsi="Arial" w:cs="Arial"/>
                <w:b/>
                <w:sz w:val="13"/>
                <w:szCs w:val="13"/>
                <w:lang w:val="fr-CA"/>
              </w:rPr>
            </w:pPr>
            <w:r w:rsidRPr="00F7078A">
              <w:rPr>
                <w:rFonts w:ascii="Arial" w:hAnsi="Arial" w:cs="Arial"/>
                <w:b/>
                <w:sz w:val="13"/>
                <w:szCs w:val="13"/>
                <w:lang w:val="fr-CA"/>
              </w:rPr>
              <w:t>87</w:t>
            </w:r>
            <w:r w:rsidRPr="00F7078A">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F7078A" w:rsidRDefault="003C291C" w:rsidP="00FC7090">
            <w:pPr>
              <w:spacing w:before="40" w:after="120"/>
              <w:jc w:val="right"/>
              <w:rPr>
                <w:rFonts w:ascii="Arial" w:hAnsi="Arial" w:cs="Arial"/>
                <w:b/>
                <w:sz w:val="13"/>
                <w:szCs w:val="13"/>
                <w:lang w:val="fr-FR"/>
              </w:rPr>
            </w:pPr>
            <w:r w:rsidRPr="00F7078A">
              <w:rPr>
                <w:rFonts w:ascii="Arial" w:hAnsi="Arial" w:cs="Arial"/>
                <w:b/>
                <w:sz w:val="13"/>
                <w:szCs w:val="13"/>
                <w:lang w:val="fr-FR"/>
              </w:rPr>
              <w:t>Rosh Hashanah / Nouvel An juif</w:t>
            </w:r>
          </w:p>
          <w:p w:rsidR="003C291C" w:rsidRPr="00F7078A" w:rsidRDefault="003C291C" w:rsidP="00FC7090">
            <w:pPr>
              <w:jc w:val="right"/>
              <w:rPr>
                <w:rFonts w:ascii="Arial" w:hAnsi="Arial" w:cs="Arial"/>
                <w:b/>
                <w:sz w:val="13"/>
                <w:szCs w:val="13"/>
                <w:lang w:val="fr-CA"/>
              </w:rPr>
            </w:pPr>
            <w:r w:rsidRPr="00F7078A">
              <w:rPr>
                <w:rFonts w:ascii="Arial" w:hAnsi="Arial" w:cs="Arial"/>
                <w:b/>
                <w:sz w:val="13"/>
                <w:szCs w:val="13"/>
                <w:lang w:val="fr-FR"/>
              </w:rPr>
              <w:t>Yom Kippur / Yom Kippour</w:t>
            </w:r>
          </w:p>
        </w:tc>
        <w:tc>
          <w:tcPr>
            <w:tcW w:w="271" w:type="pct"/>
            <w:gridSpan w:val="2"/>
            <w:hideMark/>
          </w:tcPr>
          <w:p w:rsidR="003C291C" w:rsidRPr="00F7078A" w:rsidRDefault="003C291C" w:rsidP="00FC7090">
            <w:pPr>
              <w:spacing w:before="40" w:after="120"/>
              <w:jc w:val="center"/>
              <w:rPr>
                <w:rFonts w:ascii="Arial" w:hAnsi="Arial" w:cs="Arial"/>
                <w:b/>
                <w:sz w:val="13"/>
                <w:szCs w:val="13"/>
                <w:lang w:val="fr-CA"/>
              </w:rPr>
            </w:pPr>
            <w:r w:rsidRPr="00F7078A">
              <w:rPr>
                <w:rFonts w:ascii="Arial" w:hAnsi="Arial" w:cs="Arial"/>
                <w:b/>
                <w:sz w:val="13"/>
                <w:szCs w:val="13"/>
                <w:lang w:val="fr-CA"/>
              </w:rPr>
              <w:t>RH</w:t>
            </w:r>
          </w:p>
          <w:p w:rsidR="003C291C" w:rsidRPr="00F7078A" w:rsidRDefault="003C291C" w:rsidP="00FC7090">
            <w:pPr>
              <w:jc w:val="center"/>
              <w:rPr>
                <w:rFonts w:ascii="Arial" w:hAnsi="Arial" w:cs="Arial"/>
                <w:b/>
                <w:sz w:val="13"/>
                <w:szCs w:val="13"/>
                <w:lang w:val="fr-CA"/>
              </w:rPr>
            </w:pPr>
            <w:r w:rsidRPr="00F7078A">
              <w:rPr>
                <w:rFonts w:ascii="Arial" w:hAnsi="Arial" w:cs="Arial"/>
                <w:b/>
                <w:sz w:val="13"/>
                <w:szCs w:val="13"/>
                <w:lang w:val="fr-CA"/>
              </w:rPr>
              <w:t>YK</w:t>
            </w:r>
          </w:p>
        </w:tc>
      </w:tr>
      <w:tr w:rsidR="003C291C" w:rsidRPr="008075AD"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F7078A" w:rsidRDefault="003C291C" w:rsidP="00FC7090">
            <w:pPr>
              <w:jc w:val="right"/>
              <w:rPr>
                <w:rFonts w:ascii="Arial" w:hAnsi="Arial" w:cs="Arial"/>
                <w:b/>
                <w:sz w:val="13"/>
                <w:szCs w:val="13"/>
                <w:lang w:val="fr-CA"/>
              </w:rPr>
            </w:pPr>
            <w:r w:rsidRPr="00F7078A">
              <w:rPr>
                <w:rFonts w:ascii="Arial" w:hAnsi="Arial" w:cs="Arial"/>
                <w:b/>
                <w:sz w:val="13"/>
                <w:szCs w:val="13"/>
                <w:lang w:val="fr-CA"/>
              </w:rPr>
              <w:t>Court conference /</w:t>
            </w:r>
          </w:p>
          <w:p w:rsidR="003C291C" w:rsidRPr="00F7078A" w:rsidRDefault="003C291C" w:rsidP="00FC7090">
            <w:pPr>
              <w:jc w:val="right"/>
              <w:rPr>
                <w:rFonts w:ascii="Arial" w:hAnsi="Arial" w:cs="Arial"/>
                <w:b/>
                <w:sz w:val="13"/>
                <w:szCs w:val="13"/>
                <w:lang w:val="fr-CA"/>
              </w:rPr>
            </w:pPr>
            <w:r w:rsidRPr="00F7078A">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F7078A" w:rsidRDefault="003C291C" w:rsidP="00FC7090">
            <w:pPr>
              <w:jc w:val="center"/>
              <w:rPr>
                <w:rFonts w:ascii="Arial" w:hAnsi="Arial" w:cs="Arial"/>
                <w:b/>
                <w:sz w:val="13"/>
                <w:szCs w:val="13"/>
                <w:lang w:val="fr-FR"/>
              </w:rPr>
            </w:pPr>
            <w:r w:rsidRPr="00F7078A">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F7078A" w:rsidRDefault="003C291C" w:rsidP="00FC7090">
            <w:pPr>
              <w:tabs>
                <w:tab w:val="left" w:pos="203"/>
              </w:tabs>
              <w:rPr>
                <w:rFonts w:ascii="Arial" w:hAnsi="Arial" w:cs="Arial"/>
                <w:b/>
                <w:sz w:val="13"/>
                <w:szCs w:val="13"/>
                <w:lang w:val="fr-CA"/>
              </w:rPr>
            </w:pPr>
            <w:r w:rsidRPr="00F7078A">
              <w:rPr>
                <w:rFonts w:ascii="Arial" w:hAnsi="Arial" w:cs="Arial"/>
                <w:b/>
                <w:sz w:val="13"/>
                <w:szCs w:val="13"/>
                <w:lang w:val="fr-CA"/>
              </w:rPr>
              <w:t>9</w:t>
            </w:r>
            <w:r w:rsidRPr="00F7078A">
              <w:rPr>
                <w:rFonts w:ascii="Arial" w:hAnsi="Arial" w:cs="Arial"/>
                <w:b/>
                <w:sz w:val="13"/>
                <w:szCs w:val="13"/>
                <w:lang w:val="fr-CA"/>
              </w:rPr>
              <w:tab/>
              <w:t>Court conference days /</w:t>
            </w:r>
          </w:p>
          <w:p w:rsidR="003C291C" w:rsidRPr="00F7078A" w:rsidRDefault="003C291C" w:rsidP="00FC7090">
            <w:pPr>
              <w:tabs>
                <w:tab w:val="left" w:pos="203"/>
              </w:tabs>
              <w:rPr>
                <w:rFonts w:ascii="Arial" w:hAnsi="Arial" w:cs="Arial"/>
                <w:b/>
                <w:sz w:val="13"/>
                <w:szCs w:val="13"/>
                <w:lang w:val="fr-CA"/>
              </w:rPr>
            </w:pPr>
            <w:r w:rsidRPr="00F7078A">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F7078A" w:rsidRDefault="003C291C" w:rsidP="00FC7090">
            <w:pPr>
              <w:rPr>
                <w:rFonts w:ascii="Arial" w:hAnsi="Arial" w:cs="Arial"/>
                <w:b/>
                <w:sz w:val="13"/>
                <w:szCs w:val="13"/>
                <w:lang w:val="fr-CA"/>
              </w:rPr>
            </w:pPr>
          </w:p>
        </w:tc>
        <w:tc>
          <w:tcPr>
            <w:tcW w:w="271" w:type="pct"/>
            <w:gridSpan w:val="2"/>
          </w:tcPr>
          <w:p w:rsidR="003C291C" w:rsidRPr="00F7078A"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F7078A" w:rsidRDefault="003C291C" w:rsidP="00FC7090">
            <w:pPr>
              <w:jc w:val="right"/>
              <w:rPr>
                <w:rFonts w:ascii="Arial" w:hAnsi="Arial" w:cs="Arial"/>
                <w:b/>
                <w:sz w:val="13"/>
                <w:szCs w:val="13"/>
              </w:rPr>
            </w:pPr>
            <w:r w:rsidRPr="00F7078A">
              <w:rPr>
                <w:rFonts w:ascii="Arial" w:hAnsi="Arial" w:cs="Arial"/>
                <w:b/>
                <w:sz w:val="13"/>
                <w:szCs w:val="13"/>
              </w:rPr>
              <w:t xml:space="preserve">Holiday / </w:t>
            </w:r>
            <w:r w:rsidRPr="00F7078A">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F7078A" w:rsidRDefault="003C291C" w:rsidP="00FC7090">
            <w:pPr>
              <w:jc w:val="center"/>
              <w:rPr>
                <w:rFonts w:ascii="Arial" w:hAnsi="Arial" w:cs="Arial"/>
                <w:b/>
                <w:sz w:val="13"/>
                <w:szCs w:val="13"/>
              </w:rPr>
            </w:pPr>
            <w:r w:rsidRPr="00F7078A">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F7078A" w:rsidRDefault="003C291C" w:rsidP="00FC7090">
            <w:pPr>
              <w:tabs>
                <w:tab w:val="left" w:pos="203"/>
              </w:tabs>
              <w:rPr>
                <w:rFonts w:ascii="Arial" w:hAnsi="Arial" w:cs="Arial"/>
                <w:b/>
                <w:sz w:val="13"/>
                <w:szCs w:val="13"/>
              </w:rPr>
            </w:pPr>
            <w:r w:rsidRPr="00F7078A">
              <w:rPr>
                <w:rFonts w:ascii="Arial" w:hAnsi="Arial" w:cs="Arial"/>
                <w:b/>
                <w:sz w:val="13"/>
                <w:szCs w:val="13"/>
              </w:rPr>
              <w:t>3</w:t>
            </w:r>
            <w:r w:rsidRPr="00F7078A">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F7078A">
              <w:rPr>
                <w:rFonts w:ascii="Arial" w:hAnsi="Arial" w:cs="Arial"/>
                <w:b/>
                <w:sz w:val="13"/>
                <w:szCs w:val="13"/>
              </w:rPr>
              <w:tab/>
            </w:r>
            <w:r w:rsidRPr="00F7078A">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43"/>
      <w:footerReference w:type="default" r:id="rId4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B71" w:rsidRDefault="00082B71" w:rsidP="00A87207">
      <w:r>
        <w:separator/>
      </w:r>
    </w:p>
  </w:endnote>
  <w:endnote w:type="continuationSeparator" w:id="0">
    <w:p w:rsidR="00082B71" w:rsidRDefault="00082B7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Pr="00924065" w:rsidRDefault="00FC709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8075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1" style="width:480.95pt;height:1pt" o:hralign="center" o:hrstd="t" o:hrnoshade="t" o:hr="t" fillcolor="black [3213]" stroked="f"/>
      </w:pict>
    </w:r>
  </w:p>
  <w:p w:rsidR="00FC7090" w:rsidRPr="0009648D" w:rsidRDefault="00FC7090" w:rsidP="00ED7E83">
    <w:pPr>
      <w:tabs>
        <w:tab w:val="center" w:pos="4680"/>
      </w:tabs>
    </w:pPr>
    <w:r>
      <w:tab/>
    </w:r>
    <w:r w:rsidRPr="0009648D">
      <w:t xml:space="preserve">- </w:t>
    </w:r>
    <w:r>
      <w:fldChar w:fldCharType="begin"/>
    </w:r>
    <w:r>
      <w:instrText xml:space="preserve"> PAGE   \* MERGEFORMAT </w:instrText>
    </w:r>
    <w:r>
      <w:fldChar w:fldCharType="separate"/>
    </w:r>
    <w:r w:rsidR="008075AD">
      <w:rPr>
        <w:noProof/>
      </w:rPr>
      <w:t>6</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8075AD">
    <w:pPr>
      <w:pStyle w:val="Footer"/>
      <w:rPr>
        <w:lang w:val="fr-CA"/>
      </w:rPr>
    </w:pPr>
    <w:r>
      <w:rPr>
        <w:lang w:val="fr-CA"/>
      </w:rPr>
      <w:pict>
        <v:rect id="_x0000_i1032" style="width:480.95pt;height:1pt" o:hralign="center" o:hrstd="t" o:hrnoshade="t" o:hr="t" fillcolor="black [3213]" stroked="f"/>
      </w:pict>
    </w:r>
  </w:p>
  <w:p w:rsidR="00FC7090" w:rsidRDefault="00FC7090" w:rsidP="00245129">
    <w:pPr>
      <w:tabs>
        <w:tab w:val="center" w:pos="4680"/>
      </w:tabs>
    </w:pPr>
    <w:r>
      <w:tab/>
    </w:r>
    <w:r w:rsidRPr="0009648D">
      <w:t xml:space="preserve">- </w:t>
    </w:r>
    <w:r>
      <w:fldChar w:fldCharType="begin"/>
    </w:r>
    <w:r>
      <w:instrText xml:space="preserve"> PAGE   \* MERGEFORMAT </w:instrText>
    </w:r>
    <w:r>
      <w:fldChar w:fldCharType="separate"/>
    </w:r>
    <w:r w:rsidR="008075AD">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8075AD" w:rsidP="00755F22">
    <w:pPr>
      <w:tabs>
        <w:tab w:val="left" w:pos="-1440"/>
        <w:tab w:val="left" w:pos="-720"/>
      </w:tabs>
    </w:pPr>
    <w:r>
      <w:pict>
        <v:rect id="_x0000_i1035" style="width:480.95pt;height:1pt" o:hralign="center" o:hrstd="t" o:hrnoshade="t" o:hr="t" fillcolor="black [3213]" stroked="f"/>
      </w:pict>
    </w:r>
  </w:p>
  <w:p w:rsidR="00FC7090" w:rsidRDefault="00FC7090" w:rsidP="00EB2B90">
    <w:pPr>
      <w:tabs>
        <w:tab w:val="center" w:pos="4680"/>
      </w:tabs>
    </w:pPr>
    <w:r>
      <w:tab/>
      <w:t xml:space="preserve">- </w:t>
    </w:r>
    <w:r>
      <w:fldChar w:fldCharType="begin"/>
    </w:r>
    <w:r>
      <w:instrText xml:space="preserve"> PAGE   \* MERGEFORMAT </w:instrText>
    </w:r>
    <w:r>
      <w:fldChar w:fldCharType="separate"/>
    </w:r>
    <w:r w:rsidR="008075AD">
      <w:rPr>
        <w:noProof/>
      </w:rPr>
      <w:t>8</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8075AD" w:rsidP="00EB2B90">
    <w:pPr>
      <w:tabs>
        <w:tab w:val="center" w:pos="4680"/>
      </w:tabs>
    </w:pPr>
    <w:r>
      <w:pict>
        <v:rect id="_x0000_i1036" style="width:480.95pt;height:1pt" o:hralign="center" o:hrstd="t" o:hrnoshade="t" o:hr="t" fillcolor="black [3213]" stroked="f"/>
      </w:pict>
    </w:r>
  </w:p>
  <w:p w:rsidR="00FC7090" w:rsidRPr="0031432F" w:rsidRDefault="00FC7090" w:rsidP="00EB2B90">
    <w:pPr>
      <w:tabs>
        <w:tab w:val="center" w:pos="4680"/>
      </w:tabs>
    </w:pPr>
    <w:r>
      <w:tab/>
      <w:t xml:space="preserve">- </w:t>
    </w:r>
    <w:r>
      <w:fldChar w:fldCharType="begin"/>
    </w:r>
    <w:r>
      <w:instrText xml:space="preserve"> PAGE   \* MERGEFORMAT </w:instrText>
    </w:r>
    <w:r>
      <w:fldChar w:fldCharType="separate"/>
    </w:r>
    <w:r w:rsidR="008075AD">
      <w:rPr>
        <w:noProof/>
      </w:rPr>
      <w:t>7</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7090" w:rsidRDefault="00FC7090">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8075AD" w:rsidP="00732DB7">
    <w:r>
      <w:pict>
        <v:rect id="_x0000_i1039" style="width:480.95pt;height:1pt" o:hralign="center" o:hrstd="t" o:hrnoshade="t" o:hr="t" fillcolor="black" stroked="f"/>
      </w:pict>
    </w:r>
  </w:p>
  <w:p w:rsidR="00FC7090" w:rsidRDefault="00FC7090">
    <w:pPr>
      <w:tabs>
        <w:tab w:val="center" w:pos="4740"/>
      </w:tabs>
      <w:spacing w:line="0" w:lineRule="atLeast"/>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8075AD">
    <w:pPr>
      <w:pStyle w:val="Footer"/>
    </w:pPr>
    <w:r>
      <w:pict>
        <v:rect id="_x0000_i1040" style="width:480.95pt;height:1pt" o:hralign="center" o:hrstd="t" o:hrnoshade="t" o:hr="t" fillcolor="black" stroked="f"/>
      </w:pict>
    </w:r>
  </w:p>
  <w:p w:rsidR="00FC7090" w:rsidRPr="00283C52" w:rsidRDefault="00FC7090">
    <w:pPr>
      <w:pStyle w:val="Footer"/>
    </w:pPr>
    <w:r>
      <w:tab/>
    </w:r>
    <w:r w:rsidRPr="00283C52">
      <w:t xml:space="preserve">- </w:t>
    </w:r>
    <w:r w:rsidRPr="00283C52">
      <w:pgNum/>
    </w:r>
    <w:r w:rsidRPr="00283C5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B71" w:rsidRDefault="00082B71" w:rsidP="00A87207">
      <w:r>
        <w:separator/>
      </w:r>
    </w:p>
  </w:footnote>
  <w:footnote w:type="continuationSeparator" w:id="0">
    <w:p w:rsidR="00082B71" w:rsidRDefault="00082B7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7090" w:rsidRPr="008075AD">
      <w:tc>
        <w:tcPr>
          <w:tcW w:w="420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Pr="00FF6BA5"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C7090" w:rsidRPr="00FF6BA5"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7090" w:rsidRPr="008075AD" w:rsidTr="00245129">
      <w:tc>
        <w:tcPr>
          <w:tcW w:w="4200" w:type="dxa"/>
          <w:tcMar>
            <w:left w:w="0" w:type="dxa"/>
            <w:right w:w="0" w:type="dxa"/>
          </w:tcMar>
        </w:tcPr>
        <w:p w:rsidR="00FC7090" w:rsidRPr="00634F42" w:rsidRDefault="00FC709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C7090" w:rsidRPr="00755F22" w:rsidRDefault="00FC70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C7090" w:rsidRPr="00755F22" w:rsidRDefault="00FC709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C7090" w:rsidRPr="00755F22"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C7090" w:rsidRPr="00FF6BA5" w:rsidRDefault="00FC7090"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C7090">
      <w:tc>
        <w:tcPr>
          <w:tcW w:w="423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C7090">
      <w:trPr>
        <w:gridAfter w:val="2"/>
        <w:wAfter w:w="5250" w:type="dxa"/>
      </w:trPr>
      <w:tc>
        <w:tcPr>
          <w:tcW w:w="4230" w:type="dxa"/>
          <w:tcMar>
            <w:left w:w="0" w:type="dxa"/>
            <w:right w:w="0" w:type="dxa"/>
          </w:tcMar>
        </w:tcPr>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7090"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C7090" w:rsidRPr="00755F22" w:rsidTr="00245129">
      <w:tc>
        <w:tcPr>
          <w:tcW w:w="4230" w:type="dxa"/>
          <w:tcMar>
            <w:left w:w="0" w:type="dxa"/>
            <w:right w:w="0" w:type="dxa"/>
          </w:tcMar>
        </w:tcPr>
        <w:p w:rsidR="00FC7090" w:rsidRPr="00755F22" w:rsidRDefault="00FC7090" w:rsidP="00831CA9">
          <w:pPr>
            <w:keepNext/>
            <w:keepLines/>
            <w:rPr>
              <w:sz w:val="20"/>
              <w:szCs w:val="20"/>
            </w:rPr>
          </w:pPr>
          <w:r w:rsidRPr="00755F22">
            <w:rPr>
              <w:sz w:val="20"/>
              <w:szCs w:val="20"/>
            </w:rPr>
            <w:t>Motions</w:t>
          </w:r>
        </w:p>
      </w:tc>
      <w:tc>
        <w:tcPr>
          <w:tcW w:w="1170" w:type="dxa"/>
          <w:tcMar>
            <w:left w:w="0" w:type="dxa"/>
            <w:right w:w="0" w:type="dxa"/>
          </w:tcMar>
        </w:tcPr>
        <w:p w:rsidR="00FC7090" w:rsidRPr="00755F22" w:rsidRDefault="00FC7090" w:rsidP="00831CA9">
          <w:pPr>
            <w:keepLines/>
            <w:jc w:val="center"/>
            <w:rPr>
              <w:sz w:val="20"/>
              <w:szCs w:val="20"/>
            </w:rPr>
          </w:pPr>
        </w:p>
        <w:p w:rsidR="00FC7090" w:rsidRPr="00755F22" w:rsidRDefault="00FC7090" w:rsidP="00831CA9">
          <w:pPr>
            <w:keepLines/>
            <w:tabs>
              <w:tab w:val="left" w:pos="-1440"/>
              <w:tab w:val="left" w:pos="-720"/>
            </w:tabs>
            <w:jc w:val="center"/>
            <w:rPr>
              <w:sz w:val="20"/>
              <w:szCs w:val="20"/>
            </w:rPr>
          </w:pPr>
        </w:p>
      </w:tc>
      <w:tc>
        <w:tcPr>
          <w:tcW w:w="4080" w:type="dxa"/>
          <w:tcMar>
            <w:left w:w="0" w:type="dxa"/>
            <w:right w:w="0" w:type="dxa"/>
          </w:tcMar>
        </w:tcPr>
        <w:p w:rsidR="00FC7090" w:rsidRPr="00BA6468" w:rsidRDefault="00FC7090" w:rsidP="00BA6468">
          <w:pPr>
            <w:keepLines/>
            <w:rPr>
              <w:sz w:val="20"/>
              <w:szCs w:val="20"/>
              <w:lang w:val="fr-CA"/>
            </w:rPr>
          </w:pPr>
          <w:r w:rsidRPr="00BA6468">
            <w:rPr>
              <w:sz w:val="20"/>
              <w:szCs w:val="20"/>
              <w:lang w:val="fr-CA"/>
            </w:rPr>
            <w:t>Requêtes</w:t>
          </w:r>
        </w:p>
      </w:tc>
    </w:tr>
  </w:tbl>
  <w:p w:rsidR="00FC7090" w:rsidRDefault="00FC7090"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7090" w:rsidRPr="008075AD">
      <w:tc>
        <w:tcPr>
          <w:tcW w:w="420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C7090" w:rsidRDefault="00FC709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7090" w:rsidRPr="00283C52" w:rsidRDefault="00FC709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C7090" w:rsidRPr="00283C52"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C7090" w:rsidRPr="00283C52" w:rsidRDefault="00FC7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7090" w:rsidRPr="008075AD" w:rsidTr="00245129">
      <w:tc>
        <w:tcPr>
          <w:tcW w:w="4200" w:type="dxa"/>
          <w:tcMar>
            <w:left w:w="0" w:type="dxa"/>
            <w:right w:w="0" w:type="dxa"/>
          </w:tcMar>
        </w:tcPr>
        <w:p w:rsidR="00FC7090" w:rsidRPr="00732DB7" w:rsidRDefault="00FC7090"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FC7090" w:rsidRPr="00732DB7" w:rsidRDefault="00FC7090" w:rsidP="00732DB7">
          <w:pPr>
            <w:keepNext/>
            <w:keepLines/>
            <w:tabs>
              <w:tab w:val="left" w:pos="-1440"/>
              <w:tab w:val="left" w:pos="-720"/>
            </w:tabs>
            <w:jc w:val="center"/>
            <w:rPr>
              <w:sz w:val="20"/>
              <w:szCs w:val="20"/>
            </w:rPr>
          </w:pPr>
        </w:p>
        <w:p w:rsidR="00FC7090" w:rsidRPr="00732DB7" w:rsidRDefault="00FC7090" w:rsidP="00732DB7">
          <w:pPr>
            <w:keepNext/>
            <w:keepLines/>
            <w:tabs>
              <w:tab w:val="left" w:pos="-1440"/>
              <w:tab w:val="left" w:pos="-720"/>
            </w:tabs>
            <w:jc w:val="center"/>
            <w:rPr>
              <w:sz w:val="20"/>
              <w:szCs w:val="20"/>
            </w:rPr>
          </w:pPr>
        </w:p>
        <w:p w:rsidR="00FC7090" w:rsidRPr="00732DB7" w:rsidRDefault="00FC7090" w:rsidP="00732DB7">
          <w:pPr>
            <w:keepNext/>
            <w:keepLines/>
            <w:tabs>
              <w:tab w:val="left" w:pos="-1440"/>
              <w:tab w:val="left" w:pos="-720"/>
            </w:tabs>
            <w:jc w:val="center"/>
            <w:rPr>
              <w:sz w:val="20"/>
              <w:szCs w:val="20"/>
            </w:rPr>
          </w:pPr>
        </w:p>
      </w:tc>
      <w:tc>
        <w:tcPr>
          <w:tcW w:w="4080" w:type="dxa"/>
          <w:tcMar>
            <w:left w:w="0" w:type="dxa"/>
            <w:right w:w="0" w:type="dxa"/>
          </w:tcMar>
        </w:tcPr>
        <w:p w:rsidR="00FC7090" w:rsidRPr="00732DB7" w:rsidRDefault="00FC7090"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C7090" w:rsidRPr="00283C52" w:rsidRDefault="00FC7090"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90" w:rsidRDefault="00FC7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D5C"/>
    <w:multiLevelType w:val="hybridMultilevel"/>
    <w:tmpl w:val="B840E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26DA"/>
    <w:multiLevelType w:val="hybridMultilevel"/>
    <w:tmpl w:val="B840E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71"/>
    <w:rsid w:val="00002704"/>
    <w:rsid w:val="00020DC3"/>
    <w:rsid w:val="0003223B"/>
    <w:rsid w:val="000327B2"/>
    <w:rsid w:val="00033A57"/>
    <w:rsid w:val="0004528B"/>
    <w:rsid w:val="00045DE3"/>
    <w:rsid w:val="00064FBA"/>
    <w:rsid w:val="00082B71"/>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0F6D7C"/>
    <w:rsid w:val="00102792"/>
    <w:rsid w:val="00102926"/>
    <w:rsid w:val="0010587F"/>
    <w:rsid w:val="00111C6B"/>
    <w:rsid w:val="00113336"/>
    <w:rsid w:val="0012102B"/>
    <w:rsid w:val="00124D41"/>
    <w:rsid w:val="00125B8F"/>
    <w:rsid w:val="00132E30"/>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56FC9"/>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075AD"/>
    <w:rsid w:val="008112A9"/>
    <w:rsid w:val="0081473A"/>
    <w:rsid w:val="00815B3C"/>
    <w:rsid w:val="0081610A"/>
    <w:rsid w:val="008277C4"/>
    <w:rsid w:val="0082783A"/>
    <w:rsid w:val="00831CA9"/>
    <w:rsid w:val="00842B6B"/>
    <w:rsid w:val="00844E40"/>
    <w:rsid w:val="00845C2A"/>
    <w:rsid w:val="00850E1F"/>
    <w:rsid w:val="0085476B"/>
    <w:rsid w:val="0085735C"/>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D6BE2"/>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CF3BF6"/>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078A"/>
    <w:rsid w:val="00F75954"/>
    <w:rsid w:val="00F761A3"/>
    <w:rsid w:val="00F9272D"/>
    <w:rsid w:val="00F9518C"/>
    <w:rsid w:val="00FA316E"/>
    <w:rsid w:val="00FA3373"/>
    <w:rsid w:val="00FA34EC"/>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98066558">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lii.org/fr/qc/qccq/doc/2020/2020qccq3129/2020qccq3129.html" TargetMode="External"/><Relationship Id="rId18" Type="http://schemas.openxmlformats.org/officeDocument/2006/relationships/hyperlink" Target="https://canlii.ca/t/jlgfr" TargetMode="External"/><Relationship Id="rId26" Type="http://schemas.openxmlformats.org/officeDocument/2006/relationships/footer" Target="footer2.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canlii.org/en/on/onsc/doc/2021/2021onsc527/2021onsc527.html" TargetMode="External"/><Relationship Id="rId34" Type="http://schemas.openxmlformats.org/officeDocument/2006/relationships/footer" Target="footer6.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www.canlii.org/fr/qc/qcca/doc/2021/2021qcca352/2021qcca352.html?searchUrlHash=AAAAAQAnTGVhbmRybyBBemV2ZWRvIGMuIFNhIE1hamVzdMOpIGxhIFJlaW5lAAAAAAE&amp;resultIndex=1" TargetMode="External"/><Relationship Id="rId17" Type="http://schemas.openxmlformats.org/officeDocument/2006/relationships/hyperlink" Target="https://canlii.ca/t/jj67h"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nlii.ca/t/jlgfr" TargetMode="External"/><Relationship Id="rId20" Type="http://schemas.openxmlformats.org/officeDocument/2006/relationships/hyperlink" Target="https://www.canlii.org/en/on/onca/doc/2022/2022onca202/2022onca202.html" TargetMode="External"/><Relationship Id="rId29" Type="http://schemas.openxmlformats.org/officeDocument/2006/relationships/header" Target="header4.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fr/qc/qccq/doc/2020/2020qccq3129/2020qccq3129.html"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lii.ca/t/jj67h"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scc-csc.ca/case-dossier/info/sum-som-eng.aspx?cas=39920" TargetMode="External"/><Relationship Id="rId10" Type="http://schemas.openxmlformats.org/officeDocument/2006/relationships/hyperlink" Target="https://www.scc-csc.ca" TargetMode="External"/><Relationship Id="rId19" Type="http://schemas.openxmlformats.org/officeDocument/2006/relationships/hyperlink" Target="https://www.canlii.org/en/on/onsc/doc/2021/2021onsc527/2021onsc527.html" TargetMode="External"/><Relationship Id="rId31" Type="http://schemas.openxmlformats.org/officeDocument/2006/relationships/footer" Target="footer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fr/qc/qcca/doc/2021/2021qcca352/2021qcca352.html?searchUrlHash=AAAAAQAnTGVhbmRybyBBemV2ZWRvIGMuIFNhIE1hamVzdMOpIGxhIFJlaW5lAAAAAAE&amp;resultIndex=1" TargetMode="External"/><Relationship Id="rId22" Type="http://schemas.openxmlformats.org/officeDocument/2006/relationships/hyperlink" Target="https://www.canlii.org/en/on/onca/doc/2022/2022onca202/2022onca202.html"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s://www.scc-csc.ca/case-dossier/info/sum-som-eng.aspx?cas=40269" TargetMode="External"/><Relationship Id="rId43"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BBA8-B972-4B60-A3D3-BA7345D4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12</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2023-01-05T16:17:00Z</dcterms:created>
  <dcterms:modified xsi:type="dcterms:W3CDTF">2023-01-20T13:18:00Z</dcterms:modified>
</cp:coreProperties>
</file>