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A831A4" w:rsidTr="00F138C1">
        <w:tc>
          <w:tcPr>
            <w:tcW w:w="9648" w:type="dxa"/>
            <w:gridSpan w:val="3"/>
          </w:tcPr>
          <w:p w:rsidR="008C2D9E" w:rsidRPr="00A831A4" w:rsidRDefault="008C2D9E" w:rsidP="00F138C1">
            <w:pPr>
              <w:tabs>
                <w:tab w:val="left" w:pos="6075"/>
              </w:tabs>
              <w:jc w:val="center"/>
              <w:rPr>
                <w:b/>
                <w:sz w:val="32"/>
                <w:szCs w:val="32"/>
                <w:lang w:val="fr-CA"/>
              </w:rPr>
            </w:pPr>
            <w:r w:rsidRPr="00A831A4">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A831A4" w:rsidRDefault="008C2D9E" w:rsidP="00F138C1">
            <w:pPr>
              <w:tabs>
                <w:tab w:val="left" w:pos="6075"/>
              </w:tabs>
              <w:jc w:val="center"/>
              <w:rPr>
                <w:b/>
                <w:sz w:val="32"/>
                <w:szCs w:val="32"/>
                <w:lang w:val="fr-CA"/>
              </w:rPr>
            </w:pPr>
          </w:p>
        </w:tc>
      </w:tr>
      <w:tr w:rsidR="00F138C1" w:rsidRPr="00A831A4" w:rsidTr="00F138C1">
        <w:tc>
          <w:tcPr>
            <w:tcW w:w="4599" w:type="dxa"/>
            <w:tcMar>
              <w:top w:w="284" w:type="dxa"/>
            </w:tcMar>
          </w:tcPr>
          <w:p w:rsidR="00F138C1" w:rsidRPr="00A831A4" w:rsidRDefault="00F138C1" w:rsidP="00F138C1">
            <w:pPr>
              <w:tabs>
                <w:tab w:val="left" w:pos="6075"/>
              </w:tabs>
              <w:jc w:val="center"/>
              <w:rPr>
                <w:b/>
                <w:sz w:val="32"/>
                <w:szCs w:val="32"/>
              </w:rPr>
            </w:pPr>
            <w:r w:rsidRPr="00A831A4">
              <w:rPr>
                <w:b/>
                <w:sz w:val="32"/>
                <w:szCs w:val="32"/>
              </w:rPr>
              <w:t>SUPREME COURT OF CANADA</w:t>
            </w:r>
          </w:p>
        </w:tc>
        <w:tc>
          <w:tcPr>
            <w:tcW w:w="483" w:type="dxa"/>
          </w:tcPr>
          <w:p w:rsidR="00F138C1" w:rsidRPr="00A831A4" w:rsidRDefault="00F138C1" w:rsidP="00F138C1">
            <w:pPr>
              <w:tabs>
                <w:tab w:val="left" w:pos="6075"/>
              </w:tabs>
              <w:jc w:val="center"/>
              <w:rPr>
                <w:sz w:val="32"/>
                <w:szCs w:val="32"/>
              </w:rPr>
            </w:pPr>
          </w:p>
        </w:tc>
        <w:tc>
          <w:tcPr>
            <w:tcW w:w="4566" w:type="dxa"/>
            <w:tcMar>
              <w:top w:w="284" w:type="dxa"/>
            </w:tcMar>
          </w:tcPr>
          <w:p w:rsidR="00F138C1" w:rsidRPr="00A831A4" w:rsidRDefault="00F138C1" w:rsidP="00F138C1">
            <w:pPr>
              <w:tabs>
                <w:tab w:val="left" w:pos="6075"/>
              </w:tabs>
              <w:jc w:val="center"/>
              <w:rPr>
                <w:b/>
                <w:sz w:val="32"/>
                <w:szCs w:val="32"/>
                <w:lang w:val="fr-CA"/>
              </w:rPr>
            </w:pPr>
            <w:r w:rsidRPr="00A831A4">
              <w:rPr>
                <w:b/>
                <w:sz w:val="32"/>
                <w:szCs w:val="32"/>
                <w:lang w:val="fr-CA"/>
              </w:rPr>
              <w:t>COUR SUPRÊME DU CANADA</w:t>
            </w:r>
          </w:p>
        </w:tc>
      </w:tr>
      <w:tr w:rsidR="00F138C1" w:rsidRPr="00A831A4" w:rsidTr="00F138C1">
        <w:tc>
          <w:tcPr>
            <w:tcW w:w="4599" w:type="dxa"/>
            <w:tcMar>
              <w:top w:w="567" w:type="dxa"/>
            </w:tcMar>
          </w:tcPr>
          <w:p w:rsidR="00F138C1" w:rsidRPr="00A831A4" w:rsidRDefault="00F138C1" w:rsidP="00F138C1">
            <w:pPr>
              <w:tabs>
                <w:tab w:val="left" w:pos="6075"/>
              </w:tabs>
              <w:jc w:val="center"/>
              <w:rPr>
                <w:sz w:val="28"/>
                <w:szCs w:val="28"/>
              </w:rPr>
            </w:pPr>
            <w:r w:rsidRPr="00A831A4">
              <w:rPr>
                <w:sz w:val="28"/>
                <w:szCs w:val="28"/>
              </w:rPr>
              <w:t>BULLETIN OF</w:t>
            </w:r>
            <w:r w:rsidRPr="00A831A4">
              <w:rPr>
                <w:sz w:val="28"/>
                <w:szCs w:val="28"/>
              </w:rPr>
              <w:br/>
              <w:t xml:space="preserve"> PROCEEDINGS</w:t>
            </w:r>
          </w:p>
        </w:tc>
        <w:tc>
          <w:tcPr>
            <w:tcW w:w="483" w:type="dxa"/>
          </w:tcPr>
          <w:p w:rsidR="00F138C1" w:rsidRPr="00A831A4" w:rsidRDefault="00F138C1" w:rsidP="00F138C1">
            <w:pPr>
              <w:tabs>
                <w:tab w:val="left" w:pos="6075"/>
              </w:tabs>
            </w:pPr>
          </w:p>
        </w:tc>
        <w:tc>
          <w:tcPr>
            <w:tcW w:w="4566" w:type="dxa"/>
            <w:tcMar>
              <w:top w:w="567" w:type="dxa"/>
            </w:tcMar>
          </w:tcPr>
          <w:p w:rsidR="00F138C1" w:rsidRPr="00A831A4" w:rsidRDefault="00F138C1" w:rsidP="00F138C1">
            <w:pPr>
              <w:tabs>
                <w:tab w:val="left" w:pos="6075"/>
              </w:tabs>
              <w:jc w:val="center"/>
              <w:rPr>
                <w:sz w:val="28"/>
                <w:szCs w:val="28"/>
                <w:lang w:val="fr-CA"/>
              </w:rPr>
            </w:pPr>
            <w:r w:rsidRPr="00A831A4">
              <w:rPr>
                <w:sz w:val="28"/>
                <w:szCs w:val="28"/>
                <w:lang w:val="fr-CA"/>
              </w:rPr>
              <w:t>BULLETIN DES</w:t>
            </w:r>
            <w:r w:rsidRPr="00A831A4">
              <w:rPr>
                <w:sz w:val="28"/>
                <w:szCs w:val="28"/>
                <w:lang w:val="fr-CA"/>
              </w:rPr>
              <w:br/>
              <w:t xml:space="preserve"> PROCÉDURES</w:t>
            </w:r>
          </w:p>
        </w:tc>
      </w:tr>
      <w:tr w:rsidR="00F138C1" w:rsidRPr="00D2793A" w:rsidTr="00F138C1">
        <w:tc>
          <w:tcPr>
            <w:tcW w:w="4599" w:type="dxa"/>
            <w:tcMar>
              <w:top w:w="567" w:type="dxa"/>
            </w:tcMar>
          </w:tcPr>
          <w:p w:rsidR="00F138C1" w:rsidRPr="00A831A4" w:rsidRDefault="00F138C1" w:rsidP="00F138C1">
            <w:pPr>
              <w:tabs>
                <w:tab w:val="left" w:pos="6075"/>
              </w:tabs>
              <w:jc w:val="both"/>
              <w:rPr>
                <w:rFonts w:ascii="Arial" w:hAnsi="Arial" w:cs="Arial"/>
                <w:i/>
                <w:sz w:val="20"/>
                <w:szCs w:val="20"/>
              </w:rPr>
            </w:pPr>
            <w:r w:rsidRPr="00A831A4">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A831A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A831A4" w:rsidRDefault="00F138C1" w:rsidP="00F138C1">
            <w:pPr>
              <w:tabs>
                <w:tab w:val="left" w:pos="6075"/>
              </w:tabs>
              <w:jc w:val="both"/>
              <w:rPr>
                <w:rFonts w:ascii="Arial" w:hAnsi="Arial" w:cs="Arial"/>
                <w:i/>
                <w:sz w:val="20"/>
                <w:szCs w:val="20"/>
                <w:lang w:val="fr-CA"/>
              </w:rPr>
            </w:pPr>
            <w:r w:rsidRPr="00A831A4">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D2793A" w:rsidTr="00F138C1">
        <w:tc>
          <w:tcPr>
            <w:tcW w:w="4599" w:type="dxa"/>
            <w:tcMar>
              <w:top w:w="567" w:type="dxa"/>
            </w:tcMar>
          </w:tcPr>
          <w:p w:rsidR="00F138C1" w:rsidRPr="00A831A4" w:rsidRDefault="00F138C1" w:rsidP="00F138C1">
            <w:pPr>
              <w:tabs>
                <w:tab w:val="left" w:pos="6075"/>
              </w:tabs>
              <w:jc w:val="both"/>
              <w:rPr>
                <w:rFonts w:ascii="Arial" w:hAnsi="Arial" w:cs="Arial"/>
                <w:i/>
                <w:sz w:val="20"/>
                <w:szCs w:val="20"/>
              </w:rPr>
            </w:pPr>
            <w:r w:rsidRPr="00A831A4">
              <w:rPr>
                <w:rFonts w:ascii="Arial" w:hAnsi="Arial" w:cs="Arial"/>
                <w:i/>
                <w:sz w:val="20"/>
                <w:szCs w:val="20"/>
              </w:rPr>
              <w:t>During Court sessions, the Bulletin is usually issued weekly.</w:t>
            </w:r>
          </w:p>
        </w:tc>
        <w:tc>
          <w:tcPr>
            <w:tcW w:w="483" w:type="dxa"/>
          </w:tcPr>
          <w:p w:rsidR="00F138C1" w:rsidRPr="00A831A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A831A4" w:rsidRDefault="00F138C1" w:rsidP="00F138C1">
            <w:pPr>
              <w:tabs>
                <w:tab w:val="left" w:pos="6075"/>
              </w:tabs>
              <w:jc w:val="both"/>
              <w:rPr>
                <w:rFonts w:ascii="Arial" w:hAnsi="Arial" w:cs="Arial"/>
                <w:i/>
                <w:sz w:val="20"/>
                <w:szCs w:val="20"/>
                <w:lang w:val="fr-CA"/>
              </w:rPr>
            </w:pPr>
            <w:r w:rsidRPr="00A831A4">
              <w:rPr>
                <w:rFonts w:ascii="Arial" w:hAnsi="Arial" w:cs="Arial"/>
                <w:i/>
                <w:sz w:val="20"/>
                <w:szCs w:val="20"/>
                <w:lang w:val="fr-CA"/>
              </w:rPr>
              <w:t>Le Bulletin paraît en principe toutes les semaines pendant les sessions de la Cour.</w:t>
            </w:r>
          </w:p>
        </w:tc>
      </w:tr>
      <w:tr w:rsidR="00F138C1" w:rsidRPr="00D2793A" w:rsidTr="00F138C1">
        <w:tc>
          <w:tcPr>
            <w:tcW w:w="4599" w:type="dxa"/>
            <w:tcMar>
              <w:top w:w="567" w:type="dxa"/>
            </w:tcMar>
          </w:tcPr>
          <w:p w:rsidR="00F138C1" w:rsidRPr="00A831A4" w:rsidRDefault="00F138C1" w:rsidP="00F138C1">
            <w:pPr>
              <w:tabs>
                <w:tab w:val="left" w:pos="6075"/>
              </w:tabs>
              <w:jc w:val="both"/>
              <w:rPr>
                <w:rFonts w:ascii="Arial" w:hAnsi="Arial" w:cs="Arial"/>
                <w:i/>
                <w:sz w:val="20"/>
                <w:szCs w:val="20"/>
              </w:rPr>
            </w:pPr>
            <w:r w:rsidRPr="00A831A4">
              <w:rPr>
                <w:rFonts w:ascii="Arial" w:hAnsi="Arial" w:cs="Arial"/>
                <w:i/>
                <w:sz w:val="20"/>
                <w:szCs w:val="20"/>
              </w:rPr>
              <w:fldChar w:fldCharType="begin"/>
            </w:r>
            <w:r w:rsidRPr="00A831A4">
              <w:rPr>
                <w:rFonts w:ascii="Arial" w:hAnsi="Arial" w:cs="Arial"/>
                <w:i/>
                <w:sz w:val="20"/>
                <w:szCs w:val="20"/>
              </w:rPr>
              <w:instrText xml:space="preserve"> SEQ CHAPTER \h \r 1</w:instrText>
            </w:r>
            <w:r w:rsidRPr="00A831A4">
              <w:rPr>
                <w:rFonts w:ascii="Arial" w:hAnsi="Arial" w:cs="Arial"/>
                <w:i/>
                <w:sz w:val="20"/>
                <w:szCs w:val="20"/>
              </w:rPr>
              <w:fldChar w:fldCharType="end"/>
            </w:r>
            <w:r w:rsidR="00AB2F8C" w:rsidRPr="00A831A4">
              <w:rPr>
                <w:rFonts w:ascii="Arial" w:hAnsi="Arial" w:cs="Arial"/>
                <w:i/>
                <w:sz w:val="20"/>
                <w:szCs w:val="20"/>
              </w:rPr>
              <w:t xml:space="preserve">To get copies of any document referred to in the Bulletin please click on this link: </w:t>
            </w:r>
            <w:hyperlink r:id="rId9" w:history="1">
              <w:r w:rsidR="00AB2F8C" w:rsidRPr="00A831A4">
                <w:rPr>
                  <w:rStyle w:val="Hyperlink"/>
                  <w:rFonts w:ascii="Arial" w:hAnsi="Arial" w:cs="Arial"/>
                  <w:i/>
                  <w:sz w:val="20"/>
                  <w:szCs w:val="20"/>
                </w:rPr>
                <w:t>https://www.scc-csc.ca/case-dossier/rec-doc/request-demande-eng.aspx</w:t>
              </w:r>
            </w:hyperlink>
            <w:r w:rsidR="00AB2F8C" w:rsidRPr="00A831A4">
              <w:rPr>
                <w:rFonts w:ascii="Arial" w:hAnsi="Arial" w:cs="Arial"/>
                <w:i/>
                <w:sz w:val="20"/>
                <w:szCs w:val="20"/>
              </w:rPr>
              <w:t>.</w:t>
            </w:r>
          </w:p>
        </w:tc>
        <w:tc>
          <w:tcPr>
            <w:tcW w:w="483" w:type="dxa"/>
          </w:tcPr>
          <w:p w:rsidR="00F138C1" w:rsidRPr="00A831A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A831A4" w:rsidRDefault="00F138C1" w:rsidP="00F138C1">
            <w:pPr>
              <w:tabs>
                <w:tab w:val="left" w:pos="6075"/>
              </w:tabs>
              <w:jc w:val="both"/>
              <w:rPr>
                <w:rFonts w:ascii="Arial" w:hAnsi="Arial" w:cs="Arial"/>
                <w:i/>
                <w:sz w:val="20"/>
                <w:szCs w:val="20"/>
                <w:lang w:val="fr-CA"/>
              </w:rPr>
            </w:pPr>
            <w:r w:rsidRPr="00A831A4">
              <w:rPr>
                <w:rFonts w:ascii="Arial" w:hAnsi="Arial" w:cs="Arial"/>
                <w:i/>
                <w:sz w:val="20"/>
                <w:szCs w:val="20"/>
                <w:lang w:val="fr-CA"/>
              </w:rPr>
              <w:fldChar w:fldCharType="begin"/>
            </w:r>
            <w:r w:rsidRPr="00A831A4">
              <w:rPr>
                <w:rFonts w:ascii="Arial" w:hAnsi="Arial" w:cs="Arial"/>
                <w:i/>
                <w:sz w:val="20"/>
                <w:szCs w:val="20"/>
                <w:lang w:val="fr-CA"/>
              </w:rPr>
              <w:instrText xml:space="preserve"> SEQ CHAPTER \h \r 1</w:instrText>
            </w:r>
            <w:r w:rsidRPr="00A831A4">
              <w:rPr>
                <w:rFonts w:ascii="Arial" w:hAnsi="Arial" w:cs="Arial"/>
                <w:i/>
                <w:sz w:val="20"/>
                <w:szCs w:val="20"/>
                <w:lang w:val="fr-CA"/>
              </w:rPr>
              <w:fldChar w:fldCharType="end"/>
            </w:r>
            <w:r w:rsidR="00AB2F8C" w:rsidRPr="00A831A4">
              <w:rPr>
                <w:rFonts w:ascii="Arial" w:hAnsi="Arial" w:cs="Arial"/>
                <w:i/>
                <w:sz w:val="20"/>
                <w:szCs w:val="20"/>
                <w:lang w:val="fr-CA"/>
              </w:rPr>
              <w:t>Pour obtenir des copies de tout document mentionné dans le bulletin, veuillez cliquer sur ce lien : </w:t>
            </w:r>
            <w:hyperlink r:id="rId10" w:history="1">
              <w:r w:rsidR="00AB2F8C" w:rsidRPr="00A831A4">
                <w:rPr>
                  <w:rStyle w:val="Hyperlink"/>
                  <w:rFonts w:ascii="Arial" w:hAnsi="Arial" w:cs="Arial"/>
                  <w:i/>
                  <w:sz w:val="20"/>
                  <w:szCs w:val="20"/>
                  <w:lang w:val="fr-CA"/>
                </w:rPr>
                <w:t>https://www.scc-csc.ca/case-dossier/rec-doc/request-demande-fra.aspx</w:t>
              </w:r>
            </w:hyperlink>
            <w:r w:rsidR="00AB2F8C" w:rsidRPr="00A831A4">
              <w:rPr>
                <w:rFonts w:ascii="Arial" w:hAnsi="Arial" w:cs="Arial"/>
                <w:i/>
                <w:sz w:val="20"/>
                <w:szCs w:val="20"/>
                <w:lang w:val="fr-CA"/>
              </w:rPr>
              <w:t>.</w:t>
            </w:r>
          </w:p>
        </w:tc>
      </w:tr>
      <w:tr w:rsidR="00F138C1" w:rsidRPr="00D2793A" w:rsidTr="00F138C1">
        <w:tc>
          <w:tcPr>
            <w:tcW w:w="4599" w:type="dxa"/>
            <w:tcMar>
              <w:top w:w="567" w:type="dxa"/>
            </w:tcMar>
          </w:tcPr>
          <w:p w:rsidR="00F138C1" w:rsidRPr="00A831A4" w:rsidRDefault="00F138C1" w:rsidP="00F138C1">
            <w:pPr>
              <w:tabs>
                <w:tab w:val="left" w:pos="6075"/>
              </w:tabs>
              <w:jc w:val="both"/>
              <w:rPr>
                <w:rFonts w:ascii="Arial" w:hAnsi="Arial" w:cs="Arial"/>
                <w:i/>
                <w:sz w:val="20"/>
                <w:szCs w:val="20"/>
              </w:rPr>
            </w:pPr>
            <w:r w:rsidRPr="00A831A4">
              <w:rPr>
                <w:rFonts w:ascii="Arial" w:hAnsi="Arial" w:cs="Arial"/>
                <w:i/>
                <w:sz w:val="20"/>
                <w:szCs w:val="20"/>
                <w:lang w:val="en-US"/>
              </w:rPr>
              <w:t>Please c</w:t>
            </w:r>
            <w:r w:rsidRPr="00A831A4">
              <w:rPr>
                <w:rFonts w:ascii="Arial" w:hAnsi="Arial" w:cs="Arial"/>
                <w:i/>
                <w:sz w:val="20"/>
                <w:szCs w:val="20"/>
              </w:rPr>
              <w:t xml:space="preserve">onsult the Supreme Court of Canada website at </w:t>
            </w:r>
            <w:hyperlink r:id="rId11" w:history="1">
              <w:r w:rsidRPr="00A831A4">
                <w:rPr>
                  <w:rStyle w:val="Hyperlink"/>
                  <w:rFonts w:ascii="Arial" w:hAnsi="Arial" w:cs="Arial"/>
                  <w:i/>
                  <w:sz w:val="20"/>
                  <w:szCs w:val="20"/>
                </w:rPr>
                <w:t>www.scc-csc.ca</w:t>
              </w:r>
            </w:hyperlink>
            <w:r w:rsidRPr="00A831A4">
              <w:rPr>
                <w:rFonts w:ascii="Arial" w:hAnsi="Arial" w:cs="Arial"/>
                <w:i/>
                <w:sz w:val="20"/>
                <w:szCs w:val="20"/>
              </w:rPr>
              <w:t xml:space="preserve"> for more information.</w:t>
            </w:r>
          </w:p>
        </w:tc>
        <w:tc>
          <w:tcPr>
            <w:tcW w:w="483" w:type="dxa"/>
          </w:tcPr>
          <w:p w:rsidR="00F138C1" w:rsidRPr="00A831A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A831A4" w:rsidRDefault="00F138C1" w:rsidP="00F138C1">
            <w:pPr>
              <w:tabs>
                <w:tab w:val="left" w:pos="6075"/>
              </w:tabs>
              <w:jc w:val="both"/>
              <w:rPr>
                <w:rFonts w:ascii="Arial" w:hAnsi="Arial" w:cs="Arial"/>
                <w:i/>
                <w:sz w:val="20"/>
                <w:szCs w:val="20"/>
                <w:lang w:val="fr-CA"/>
              </w:rPr>
            </w:pPr>
            <w:r w:rsidRPr="00A831A4">
              <w:rPr>
                <w:rFonts w:ascii="Arial" w:hAnsi="Arial" w:cs="Arial"/>
                <w:i/>
                <w:sz w:val="20"/>
                <w:szCs w:val="20"/>
                <w:lang w:val="fr-CA"/>
              </w:rPr>
              <w:t xml:space="preserve">Pour de plus amples informations, veuillez consulter le site Web de la Cour suprême du Canada à l’adresse suivante : </w:t>
            </w:r>
            <w:hyperlink r:id="rId12" w:history="1">
              <w:r w:rsidRPr="00A831A4">
                <w:rPr>
                  <w:rStyle w:val="Hyperlink"/>
                  <w:rFonts w:ascii="Arial" w:hAnsi="Arial" w:cs="Arial"/>
                  <w:i/>
                  <w:sz w:val="20"/>
                  <w:szCs w:val="20"/>
                  <w:lang w:val="fr-CA"/>
                </w:rPr>
                <w:t>www.scc-csc.ca</w:t>
              </w:r>
            </w:hyperlink>
            <w:r w:rsidRPr="00A831A4">
              <w:rPr>
                <w:rFonts w:ascii="Arial" w:hAnsi="Arial" w:cs="Arial"/>
                <w:i/>
                <w:sz w:val="20"/>
                <w:szCs w:val="20"/>
                <w:lang w:val="fr-CA"/>
              </w:rPr>
              <w:t xml:space="preserve"> </w:t>
            </w:r>
          </w:p>
        </w:tc>
      </w:tr>
    </w:tbl>
    <w:p w:rsidR="00F138C1" w:rsidRPr="00A831A4"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A831A4" w:rsidTr="00F138C1">
        <w:tc>
          <w:tcPr>
            <w:tcW w:w="2250" w:type="pct"/>
            <w:tcBorders>
              <w:top w:val="single" w:sz="4" w:space="0" w:color="auto"/>
            </w:tcBorders>
            <w:tcMar>
              <w:top w:w="284" w:type="dxa"/>
              <w:bottom w:w="284" w:type="dxa"/>
            </w:tcMar>
          </w:tcPr>
          <w:p w:rsidR="00F138C1" w:rsidRPr="00A831A4" w:rsidRDefault="00CD4EFE" w:rsidP="00496AE0">
            <w:pPr>
              <w:tabs>
                <w:tab w:val="left" w:pos="6075"/>
              </w:tabs>
              <w:rPr>
                <w:rFonts w:ascii="Arial" w:hAnsi="Arial" w:cs="Arial"/>
                <w:i/>
                <w:sz w:val="20"/>
                <w:szCs w:val="20"/>
              </w:rPr>
            </w:pPr>
            <w:r w:rsidRPr="00A831A4">
              <w:rPr>
                <w:lang w:val="fr-CA"/>
              </w:rPr>
              <w:t>September</w:t>
            </w:r>
            <w:r w:rsidR="00F138C1" w:rsidRPr="00A831A4">
              <w:rPr>
                <w:lang w:val="fr-CA"/>
              </w:rPr>
              <w:t xml:space="preserve"> </w:t>
            </w:r>
            <w:r w:rsidR="00496AE0" w:rsidRPr="00A831A4">
              <w:rPr>
                <w:lang w:val="fr-CA"/>
              </w:rPr>
              <w:t>20</w:t>
            </w:r>
            <w:r w:rsidR="00F138C1" w:rsidRPr="00A831A4">
              <w:rPr>
                <w:lang w:val="fr-CA"/>
              </w:rPr>
              <w:t>, 20</w:t>
            </w:r>
            <w:r w:rsidR="009B36BA" w:rsidRPr="00A831A4">
              <w:rPr>
                <w:lang w:val="fr-CA"/>
              </w:rPr>
              <w:t>2</w:t>
            </w:r>
            <w:r w:rsidR="00345645" w:rsidRPr="00A831A4">
              <w:rPr>
                <w:lang w:val="fr-CA"/>
              </w:rPr>
              <w:t>4</w:t>
            </w:r>
          </w:p>
        </w:tc>
        <w:tc>
          <w:tcPr>
            <w:tcW w:w="500" w:type="pct"/>
            <w:tcBorders>
              <w:top w:val="single" w:sz="4" w:space="0" w:color="auto"/>
            </w:tcBorders>
            <w:tcMar>
              <w:top w:w="284" w:type="dxa"/>
              <w:bottom w:w="284" w:type="dxa"/>
            </w:tcMar>
          </w:tcPr>
          <w:p w:rsidR="00F138C1" w:rsidRPr="00A831A4" w:rsidRDefault="00F138C1" w:rsidP="00A23382">
            <w:pPr>
              <w:tabs>
                <w:tab w:val="left" w:pos="6075"/>
              </w:tabs>
              <w:jc w:val="center"/>
              <w:rPr>
                <w:rFonts w:ascii="Arial" w:hAnsi="Arial" w:cs="Arial"/>
                <w:i/>
                <w:sz w:val="20"/>
                <w:szCs w:val="20"/>
              </w:rPr>
            </w:pPr>
            <w:r w:rsidRPr="00A831A4">
              <w:rPr>
                <w:lang w:val="fr-CA"/>
              </w:rPr>
              <w:t xml:space="preserve">1 - </w:t>
            </w:r>
            <w:r w:rsidR="00DE1F0C" w:rsidRPr="00A831A4">
              <w:rPr>
                <w:lang w:val="fr-CA"/>
              </w:rPr>
              <w:t>1</w:t>
            </w:r>
            <w:r w:rsidR="00A23382">
              <w:rPr>
                <w:lang w:val="fr-CA"/>
              </w:rPr>
              <w:t>0</w:t>
            </w:r>
          </w:p>
        </w:tc>
        <w:tc>
          <w:tcPr>
            <w:tcW w:w="2250" w:type="pct"/>
            <w:tcBorders>
              <w:top w:val="single" w:sz="4" w:space="0" w:color="auto"/>
            </w:tcBorders>
            <w:tcMar>
              <w:top w:w="284" w:type="dxa"/>
              <w:bottom w:w="284" w:type="dxa"/>
            </w:tcMar>
          </w:tcPr>
          <w:p w:rsidR="00F138C1" w:rsidRPr="00A831A4" w:rsidRDefault="00F138C1" w:rsidP="00496AE0">
            <w:pPr>
              <w:tabs>
                <w:tab w:val="left" w:pos="6075"/>
              </w:tabs>
              <w:jc w:val="right"/>
              <w:rPr>
                <w:rFonts w:ascii="Arial" w:hAnsi="Arial" w:cs="Arial"/>
                <w:i/>
                <w:sz w:val="20"/>
                <w:szCs w:val="20"/>
                <w:lang w:val="fr-CA"/>
              </w:rPr>
            </w:pPr>
            <w:r w:rsidRPr="00A831A4">
              <w:rPr>
                <w:lang w:val="fr-CA"/>
              </w:rPr>
              <w:t xml:space="preserve">Le </w:t>
            </w:r>
            <w:r w:rsidR="00496AE0" w:rsidRPr="00A831A4">
              <w:rPr>
                <w:lang w:val="fr-CA"/>
              </w:rPr>
              <w:t>20</w:t>
            </w:r>
            <w:r w:rsidRPr="00A831A4">
              <w:rPr>
                <w:lang w:val="fr-CA"/>
              </w:rPr>
              <w:t xml:space="preserve"> </w:t>
            </w:r>
            <w:r w:rsidR="00CD4EFE" w:rsidRPr="00A831A4">
              <w:rPr>
                <w:lang w:val="fr-CA"/>
              </w:rPr>
              <w:t>septembre</w:t>
            </w:r>
            <w:r w:rsidR="00BE5B3E" w:rsidRPr="00A831A4">
              <w:rPr>
                <w:lang w:val="fr-CA"/>
              </w:rPr>
              <w:t xml:space="preserve"> </w:t>
            </w:r>
            <w:r w:rsidRPr="00A831A4">
              <w:rPr>
                <w:lang w:val="fr-CA"/>
              </w:rPr>
              <w:t>202</w:t>
            </w:r>
            <w:r w:rsidR="00345645" w:rsidRPr="00A831A4">
              <w:rPr>
                <w:lang w:val="fr-CA"/>
              </w:rPr>
              <w:t>4</w:t>
            </w:r>
          </w:p>
        </w:tc>
      </w:tr>
      <w:tr w:rsidR="00F138C1" w:rsidRPr="00D2793A" w:rsidTr="00F138C1">
        <w:tc>
          <w:tcPr>
            <w:tcW w:w="2250" w:type="pct"/>
            <w:tcBorders>
              <w:bottom w:val="single" w:sz="4" w:space="0" w:color="auto"/>
            </w:tcBorders>
            <w:tcMar>
              <w:top w:w="284" w:type="dxa"/>
              <w:bottom w:w="284" w:type="dxa"/>
            </w:tcMar>
          </w:tcPr>
          <w:p w:rsidR="00F138C1" w:rsidRPr="00A831A4" w:rsidRDefault="00F138C1" w:rsidP="00345645">
            <w:pPr>
              <w:tabs>
                <w:tab w:val="left" w:pos="6075"/>
              </w:tabs>
              <w:rPr>
                <w:rFonts w:ascii="Arial" w:hAnsi="Arial" w:cs="Arial"/>
                <w:i/>
                <w:sz w:val="20"/>
                <w:szCs w:val="20"/>
              </w:rPr>
            </w:pPr>
            <w:r w:rsidRPr="00A831A4">
              <w:rPr>
                <w:sz w:val="18"/>
                <w:szCs w:val="18"/>
                <w:lang w:val="en-US"/>
              </w:rPr>
              <w:t>© Supreme Court of Canada (202</w:t>
            </w:r>
            <w:r w:rsidR="00345645" w:rsidRPr="00A831A4">
              <w:rPr>
                <w:sz w:val="18"/>
                <w:szCs w:val="18"/>
                <w:lang w:val="en-US"/>
              </w:rPr>
              <w:t>4</w:t>
            </w:r>
            <w:r w:rsidRPr="00A831A4">
              <w:rPr>
                <w:sz w:val="18"/>
                <w:szCs w:val="18"/>
                <w:lang w:val="en-US"/>
              </w:rPr>
              <w:t>)</w:t>
            </w:r>
            <w:r w:rsidRPr="00A831A4">
              <w:rPr>
                <w:sz w:val="18"/>
                <w:szCs w:val="18"/>
                <w:lang w:val="en-US"/>
              </w:rPr>
              <w:br/>
              <w:t>ISSN 1918-8358 (Online)</w:t>
            </w:r>
          </w:p>
        </w:tc>
        <w:tc>
          <w:tcPr>
            <w:tcW w:w="500" w:type="pct"/>
            <w:tcBorders>
              <w:bottom w:val="single" w:sz="4" w:space="0" w:color="auto"/>
            </w:tcBorders>
            <w:tcMar>
              <w:top w:w="284" w:type="dxa"/>
              <w:bottom w:w="284" w:type="dxa"/>
            </w:tcMar>
          </w:tcPr>
          <w:p w:rsidR="00F138C1" w:rsidRPr="00A831A4"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A831A4" w:rsidRDefault="00F138C1" w:rsidP="00345645">
            <w:pPr>
              <w:tabs>
                <w:tab w:val="left" w:pos="6075"/>
              </w:tabs>
              <w:jc w:val="right"/>
              <w:rPr>
                <w:rFonts w:ascii="Arial" w:hAnsi="Arial" w:cs="Arial"/>
                <w:i/>
                <w:sz w:val="20"/>
                <w:szCs w:val="20"/>
                <w:lang w:val="fr-CA"/>
              </w:rPr>
            </w:pPr>
            <w:r w:rsidRPr="00A831A4">
              <w:rPr>
                <w:sz w:val="18"/>
                <w:szCs w:val="18"/>
                <w:lang w:val="fr-CA"/>
              </w:rPr>
              <w:t>© Cour suprême du Canada (202</w:t>
            </w:r>
            <w:r w:rsidR="00345645" w:rsidRPr="00A831A4">
              <w:rPr>
                <w:sz w:val="18"/>
                <w:szCs w:val="18"/>
                <w:lang w:val="fr-CA"/>
              </w:rPr>
              <w:t>4</w:t>
            </w:r>
            <w:proofErr w:type="gramStart"/>
            <w:r w:rsidRPr="00A831A4">
              <w:rPr>
                <w:sz w:val="18"/>
                <w:szCs w:val="18"/>
                <w:lang w:val="fr-CA"/>
              </w:rPr>
              <w:t>)</w:t>
            </w:r>
            <w:proofErr w:type="gramEnd"/>
            <w:r w:rsidRPr="00A831A4">
              <w:rPr>
                <w:sz w:val="18"/>
                <w:szCs w:val="18"/>
                <w:lang w:val="fr-CA"/>
              </w:rPr>
              <w:br/>
              <w:t>ISSN 1918-8358 (En ligne)</w:t>
            </w:r>
          </w:p>
        </w:tc>
      </w:tr>
    </w:tbl>
    <w:p w:rsidR="0030050B" w:rsidRPr="00A831A4" w:rsidRDefault="0030050B" w:rsidP="00F138C1">
      <w:pPr>
        <w:tabs>
          <w:tab w:val="left" w:pos="6075"/>
        </w:tabs>
        <w:rPr>
          <w:lang w:val="fr-CA"/>
        </w:rPr>
      </w:pPr>
    </w:p>
    <w:p w:rsidR="00560DF1" w:rsidRPr="00A831A4" w:rsidRDefault="00560DF1" w:rsidP="0095096B">
      <w:pPr>
        <w:tabs>
          <w:tab w:val="right" w:pos="9360"/>
        </w:tabs>
        <w:rPr>
          <w:lang w:val="fr-CA"/>
        </w:rPr>
      </w:pPr>
    </w:p>
    <w:p w:rsidR="00F138C1" w:rsidRPr="00A831A4"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A831A4" w:rsidRDefault="00DC6B2E" w:rsidP="00693C38">
          <w:pPr>
            <w:pStyle w:val="Title"/>
            <w:jc w:val="center"/>
            <w:rPr>
              <w:rFonts w:ascii="Times New Roman" w:hAnsi="Times New Roman" w:cs="Times New Roman"/>
              <w:b/>
              <w:sz w:val="24"/>
              <w:szCs w:val="28"/>
              <w:lang w:val="fr-CA"/>
            </w:rPr>
          </w:pPr>
          <w:r w:rsidRPr="00A831A4">
            <w:rPr>
              <w:rFonts w:ascii="Times New Roman" w:hAnsi="Times New Roman" w:cs="Times New Roman"/>
              <w:b/>
              <w:sz w:val="24"/>
              <w:szCs w:val="28"/>
              <w:lang w:val="fr-CA"/>
            </w:rPr>
            <w:t>Contents</w:t>
          </w:r>
        </w:p>
        <w:p w:rsidR="00693C38" w:rsidRPr="00A831A4" w:rsidRDefault="00DC6B2E" w:rsidP="00693C38">
          <w:pPr>
            <w:jc w:val="center"/>
            <w:rPr>
              <w:b/>
              <w:szCs w:val="28"/>
              <w:lang w:val="fr-CA"/>
            </w:rPr>
          </w:pPr>
          <w:r w:rsidRPr="00A831A4">
            <w:rPr>
              <w:b/>
              <w:szCs w:val="28"/>
              <w:lang w:val="fr-CA"/>
            </w:rPr>
            <w:t>Table des matières</w:t>
          </w:r>
        </w:p>
        <w:p w:rsidR="00693C38" w:rsidRPr="00A831A4" w:rsidRDefault="00693C38" w:rsidP="00693C38">
          <w:pPr>
            <w:rPr>
              <w:lang w:val="fr-CA"/>
            </w:rPr>
          </w:pPr>
        </w:p>
        <w:p w:rsidR="009D4890" w:rsidRPr="00A831A4" w:rsidRDefault="00DC6B2E">
          <w:pPr>
            <w:pStyle w:val="TOC1"/>
            <w:tabs>
              <w:tab w:val="right" w:leader="dot" w:pos="9638"/>
            </w:tabs>
            <w:rPr>
              <w:rFonts w:asciiTheme="minorHAnsi" w:eastAsiaTheme="minorEastAsia" w:hAnsiTheme="minorHAnsi"/>
              <w:noProof/>
              <w:sz w:val="22"/>
              <w:lang w:eastAsia="en-CA"/>
            </w:rPr>
          </w:pPr>
          <w:r w:rsidRPr="00A831A4">
            <w:rPr>
              <w:b/>
              <w:bCs/>
              <w:noProof/>
            </w:rPr>
            <w:fldChar w:fldCharType="begin"/>
          </w:r>
          <w:r w:rsidRPr="00A831A4">
            <w:rPr>
              <w:b/>
              <w:bCs/>
              <w:noProof/>
            </w:rPr>
            <w:instrText xml:space="preserve"> TOC \o "1-3" \h \z \u </w:instrText>
          </w:r>
          <w:r w:rsidRPr="00A831A4">
            <w:rPr>
              <w:b/>
              <w:bCs/>
              <w:noProof/>
            </w:rPr>
            <w:fldChar w:fldCharType="separate"/>
          </w:r>
          <w:hyperlink w:anchor="_Toc177632277" w:history="1">
            <w:r w:rsidR="009D4890" w:rsidRPr="00A831A4">
              <w:rPr>
                <w:rStyle w:val="Hyperlink"/>
                <w:noProof/>
                <w:lang w:val="fr-CA"/>
              </w:rPr>
              <w:t>Judgments on leave applications /  Jugements sur demandes d’autorisation</w:t>
            </w:r>
            <w:r w:rsidR="009D4890" w:rsidRPr="00A831A4">
              <w:rPr>
                <w:noProof/>
                <w:webHidden/>
              </w:rPr>
              <w:tab/>
            </w:r>
            <w:r w:rsidR="009D4890" w:rsidRPr="00A831A4">
              <w:rPr>
                <w:noProof/>
                <w:webHidden/>
              </w:rPr>
              <w:fldChar w:fldCharType="begin"/>
            </w:r>
            <w:r w:rsidR="009D4890" w:rsidRPr="00A831A4">
              <w:rPr>
                <w:noProof/>
                <w:webHidden/>
              </w:rPr>
              <w:instrText xml:space="preserve"> PAGEREF _Toc177632277 \h </w:instrText>
            </w:r>
            <w:r w:rsidR="009D4890" w:rsidRPr="00A831A4">
              <w:rPr>
                <w:noProof/>
                <w:webHidden/>
              </w:rPr>
            </w:r>
            <w:r w:rsidR="009D4890" w:rsidRPr="00A831A4">
              <w:rPr>
                <w:noProof/>
                <w:webHidden/>
              </w:rPr>
              <w:fldChar w:fldCharType="separate"/>
            </w:r>
            <w:r w:rsidR="00A23382">
              <w:rPr>
                <w:noProof/>
                <w:webHidden/>
              </w:rPr>
              <w:t>1</w:t>
            </w:r>
            <w:r w:rsidR="009D4890" w:rsidRPr="00A831A4">
              <w:rPr>
                <w:noProof/>
                <w:webHidden/>
              </w:rPr>
              <w:fldChar w:fldCharType="end"/>
            </w:r>
          </w:hyperlink>
        </w:p>
        <w:p w:rsidR="009D4890" w:rsidRPr="00A831A4" w:rsidRDefault="00A23382">
          <w:pPr>
            <w:pStyle w:val="TOC1"/>
            <w:tabs>
              <w:tab w:val="right" w:leader="dot" w:pos="9638"/>
            </w:tabs>
            <w:rPr>
              <w:rFonts w:asciiTheme="minorHAnsi" w:eastAsiaTheme="minorEastAsia" w:hAnsiTheme="minorHAnsi"/>
              <w:noProof/>
              <w:sz w:val="22"/>
              <w:lang w:eastAsia="en-CA"/>
            </w:rPr>
          </w:pPr>
          <w:hyperlink w:anchor="_Toc177632278" w:history="1">
            <w:r w:rsidR="009D4890" w:rsidRPr="00A831A4">
              <w:rPr>
                <w:rStyle w:val="Hyperlink"/>
                <w:noProof/>
                <w:lang w:val="fr-CA"/>
              </w:rPr>
              <w:t>Motions /</w:t>
            </w:r>
            <w:bookmarkStart w:id="0" w:name="_GoBack"/>
            <w:bookmarkEnd w:id="0"/>
            <w:r w:rsidR="009D4890" w:rsidRPr="00A831A4">
              <w:rPr>
                <w:rStyle w:val="Hyperlink"/>
                <w:noProof/>
                <w:lang w:val="fr-CA"/>
              </w:rPr>
              <w:t xml:space="preserve">  Requêtes</w:t>
            </w:r>
            <w:r w:rsidR="009D4890" w:rsidRPr="00A831A4">
              <w:rPr>
                <w:noProof/>
                <w:webHidden/>
              </w:rPr>
              <w:tab/>
            </w:r>
            <w:r w:rsidR="009D4890" w:rsidRPr="00A831A4">
              <w:rPr>
                <w:noProof/>
                <w:webHidden/>
              </w:rPr>
              <w:fldChar w:fldCharType="begin"/>
            </w:r>
            <w:r w:rsidR="009D4890" w:rsidRPr="00A831A4">
              <w:rPr>
                <w:noProof/>
                <w:webHidden/>
              </w:rPr>
              <w:instrText xml:space="preserve"> PAGEREF _Toc177632278 \h </w:instrText>
            </w:r>
            <w:r w:rsidR="009D4890" w:rsidRPr="00A831A4">
              <w:rPr>
                <w:noProof/>
                <w:webHidden/>
              </w:rPr>
            </w:r>
            <w:r w:rsidR="009D4890" w:rsidRPr="00A831A4">
              <w:rPr>
                <w:noProof/>
                <w:webHidden/>
              </w:rPr>
              <w:fldChar w:fldCharType="separate"/>
            </w:r>
            <w:r>
              <w:rPr>
                <w:noProof/>
                <w:webHidden/>
              </w:rPr>
              <w:t>7</w:t>
            </w:r>
            <w:r w:rsidR="009D4890" w:rsidRPr="00A831A4">
              <w:rPr>
                <w:noProof/>
                <w:webHidden/>
              </w:rPr>
              <w:fldChar w:fldCharType="end"/>
            </w:r>
          </w:hyperlink>
        </w:p>
        <w:p w:rsidR="009D4890" w:rsidRPr="00A831A4" w:rsidRDefault="00A23382">
          <w:pPr>
            <w:pStyle w:val="TOC1"/>
            <w:tabs>
              <w:tab w:val="right" w:leader="dot" w:pos="9638"/>
            </w:tabs>
            <w:rPr>
              <w:rFonts w:asciiTheme="minorHAnsi" w:eastAsiaTheme="minorEastAsia" w:hAnsiTheme="minorHAnsi"/>
              <w:noProof/>
              <w:sz w:val="22"/>
              <w:lang w:eastAsia="en-CA"/>
            </w:rPr>
          </w:pPr>
          <w:hyperlink w:anchor="_Toc177632279" w:history="1">
            <w:r w:rsidR="009D4890" w:rsidRPr="00A831A4">
              <w:rPr>
                <w:rStyle w:val="Hyperlink"/>
                <w:noProof/>
              </w:rPr>
              <w:t xml:space="preserve">Notices of appeal filed since the last issue /  </w:t>
            </w:r>
            <w:r w:rsidR="009D4890" w:rsidRPr="00A831A4">
              <w:rPr>
                <w:rStyle w:val="Hyperlink"/>
                <w:noProof/>
                <w:lang w:val="fr-CA"/>
              </w:rPr>
              <w:t>Avis d’appel déposés depuis la dernière parution</w:t>
            </w:r>
            <w:r w:rsidR="009D4890" w:rsidRPr="00A831A4">
              <w:rPr>
                <w:noProof/>
                <w:webHidden/>
              </w:rPr>
              <w:tab/>
            </w:r>
            <w:r w:rsidR="009D4890" w:rsidRPr="00A831A4">
              <w:rPr>
                <w:noProof/>
                <w:webHidden/>
              </w:rPr>
              <w:fldChar w:fldCharType="begin"/>
            </w:r>
            <w:r w:rsidR="009D4890" w:rsidRPr="00A831A4">
              <w:rPr>
                <w:noProof/>
                <w:webHidden/>
              </w:rPr>
              <w:instrText xml:space="preserve"> PAGEREF _Toc177632279 \h </w:instrText>
            </w:r>
            <w:r w:rsidR="009D4890" w:rsidRPr="00A831A4">
              <w:rPr>
                <w:noProof/>
                <w:webHidden/>
              </w:rPr>
            </w:r>
            <w:r w:rsidR="009D4890" w:rsidRPr="00A831A4">
              <w:rPr>
                <w:noProof/>
                <w:webHidden/>
              </w:rPr>
              <w:fldChar w:fldCharType="separate"/>
            </w:r>
            <w:r>
              <w:rPr>
                <w:noProof/>
                <w:webHidden/>
              </w:rPr>
              <w:t>10</w:t>
            </w:r>
            <w:r w:rsidR="009D4890" w:rsidRPr="00A831A4">
              <w:rPr>
                <w:noProof/>
                <w:webHidden/>
              </w:rPr>
              <w:fldChar w:fldCharType="end"/>
            </w:r>
          </w:hyperlink>
        </w:p>
        <w:p w:rsidR="00560DF1" w:rsidRPr="00A831A4" w:rsidRDefault="00DC6B2E">
          <w:r w:rsidRPr="00A831A4">
            <w:rPr>
              <w:b/>
              <w:bCs/>
              <w:noProof/>
              <w:sz w:val="20"/>
            </w:rPr>
            <w:fldChar w:fldCharType="end"/>
          </w:r>
        </w:p>
      </w:sdtContent>
    </w:sdt>
    <w:p w:rsidR="00560DF1" w:rsidRPr="00A831A4"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D2793A" w:rsidTr="00F138C1">
        <w:trPr>
          <w:jc w:val="center"/>
        </w:trPr>
        <w:tc>
          <w:tcPr>
            <w:tcW w:w="9638" w:type="dxa"/>
          </w:tcPr>
          <w:p w:rsidR="00F138C1" w:rsidRPr="00A831A4" w:rsidRDefault="00F138C1" w:rsidP="00F138C1">
            <w:pPr>
              <w:keepNext/>
              <w:tabs>
                <w:tab w:val="right" w:pos="9360"/>
              </w:tabs>
              <w:spacing w:after="120"/>
              <w:jc w:val="center"/>
              <w:rPr>
                <w:szCs w:val="24"/>
              </w:rPr>
            </w:pPr>
            <w:r w:rsidRPr="00A831A4">
              <w:rPr>
                <w:szCs w:val="24"/>
              </w:rPr>
              <w:t>NOTICE</w:t>
            </w:r>
          </w:p>
          <w:p w:rsidR="00F138C1" w:rsidRPr="00A831A4" w:rsidRDefault="00F138C1" w:rsidP="00F138C1">
            <w:pPr>
              <w:keepNext/>
              <w:tabs>
                <w:tab w:val="right" w:pos="9360"/>
              </w:tabs>
              <w:spacing w:after="120"/>
              <w:jc w:val="both"/>
              <w:rPr>
                <w:szCs w:val="24"/>
              </w:rPr>
            </w:pPr>
            <w:r w:rsidRPr="00A831A4">
              <w:rPr>
                <w:szCs w:val="24"/>
              </w:rPr>
              <w:t>Case summaries included in the Bulletin are prepared by the Office of the Registrar of the Supreme Court of Canada (Law Branch) for information purposes only.</w:t>
            </w:r>
          </w:p>
          <w:p w:rsidR="00F138C1" w:rsidRPr="00A831A4" w:rsidRDefault="00F138C1" w:rsidP="00F138C1">
            <w:pPr>
              <w:keepNext/>
              <w:tabs>
                <w:tab w:val="right" w:pos="9360"/>
              </w:tabs>
              <w:spacing w:after="120"/>
              <w:jc w:val="center"/>
              <w:rPr>
                <w:szCs w:val="24"/>
                <w:lang w:val="fr-CA"/>
              </w:rPr>
            </w:pPr>
            <w:r w:rsidRPr="00A831A4">
              <w:rPr>
                <w:szCs w:val="24"/>
                <w:lang w:val="fr-CA"/>
              </w:rPr>
              <w:t>AVIS</w:t>
            </w:r>
          </w:p>
          <w:p w:rsidR="00F138C1" w:rsidRPr="00A831A4" w:rsidRDefault="00F138C1" w:rsidP="00F138C1">
            <w:pPr>
              <w:keepNext/>
              <w:tabs>
                <w:tab w:val="right" w:pos="9360"/>
              </w:tabs>
              <w:spacing w:after="120"/>
              <w:jc w:val="both"/>
              <w:rPr>
                <w:sz w:val="20"/>
                <w:szCs w:val="20"/>
                <w:lang w:val="fr-CA"/>
              </w:rPr>
            </w:pPr>
            <w:r w:rsidRPr="00A831A4">
              <w:rPr>
                <w:szCs w:val="24"/>
                <w:lang w:val="fr-CA"/>
              </w:rPr>
              <w:t>Les résumés des causes publiés dans le bulletin sont préparés par le Bureau du registraire (Direction générale du droit) uniquement à titre d’information.</w:t>
            </w:r>
          </w:p>
        </w:tc>
      </w:tr>
    </w:tbl>
    <w:p w:rsidR="00F138C1" w:rsidRPr="00A831A4" w:rsidRDefault="00F138C1" w:rsidP="00F138C1">
      <w:pPr>
        <w:tabs>
          <w:tab w:val="right" w:pos="9360"/>
        </w:tabs>
        <w:rPr>
          <w:lang w:val="fr-CA"/>
        </w:rPr>
      </w:pPr>
    </w:p>
    <w:p w:rsidR="00F138C1" w:rsidRPr="00A831A4" w:rsidRDefault="00F138C1" w:rsidP="00F138C1">
      <w:pPr>
        <w:tabs>
          <w:tab w:val="right" w:pos="9360"/>
        </w:tabs>
        <w:rPr>
          <w:lang w:val="fr-CA"/>
        </w:rPr>
      </w:pPr>
    </w:p>
    <w:p w:rsidR="00C01FCB" w:rsidRPr="00A831A4" w:rsidRDefault="00C01FCB" w:rsidP="0095096B">
      <w:pPr>
        <w:tabs>
          <w:tab w:val="right" w:pos="9360"/>
        </w:tabs>
        <w:rPr>
          <w:lang w:val="fr-CA"/>
        </w:rPr>
      </w:pPr>
    </w:p>
    <w:p w:rsidR="00A87207" w:rsidRPr="00A831A4" w:rsidRDefault="00A87207" w:rsidP="0095096B">
      <w:pPr>
        <w:tabs>
          <w:tab w:val="right" w:pos="9360"/>
        </w:tabs>
        <w:rPr>
          <w:lang w:val="fr-CA"/>
        </w:rPr>
        <w:sectPr w:rsidR="00A87207" w:rsidRPr="00A831A4" w:rsidSect="0044776A">
          <w:pgSz w:w="12240" w:h="15840"/>
          <w:pgMar w:top="720" w:right="1152" w:bottom="1080" w:left="1440" w:header="706" w:footer="706" w:gutter="0"/>
          <w:cols w:space="708"/>
          <w:titlePg/>
          <w:docGrid w:linePitch="360"/>
        </w:sectPr>
      </w:pPr>
    </w:p>
    <w:p w:rsidR="00693C38" w:rsidRPr="00A831A4" w:rsidRDefault="00DD0BDC" w:rsidP="00567602">
      <w:pPr>
        <w:pStyle w:val="Header1StyleE"/>
        <w:pBdr>
          <w:bottom w:val="single" w:sz="12" w:space="1" w:color="auto"/>
        </w:pBdr>
        <w:rPr>
          <w:lang w:val="fr-CA"/>
        </w:rPr>
      </w:pPr>
      <w:bookmarkStart w:id="1" w:name="QuickMark_1"/>
      <w:bookmarkStart w:id="2" w:name="_Toc177632277"/>
      <w:bookmarkEnd w:id="1"/>
      <w:r w:rsidRPr="00A831A4">
        <w:rPr>
          <w:lang w:val="fr-CA"/>
        </w:rPr>
        <w:lastRenderedPageBreak/>
        <w:t xml:space="preserve">Judgments on </w:t>
      </w:r>
      <w:r w:rsidR="00960E85" w:rsidRPr="00A831A4">
        <w:rPr>
          <w:lang w:val="fr-CA"/>
        </w:rPr>
        <w:t>leave applications</w:t>
      </w:r>
      <w:r w:rsidR="00693C38" w:rsidRPr="00A831A4">
        <w:rPr>
          <w:noProof/>
          <w:sz w:val="20"/>
          <w:lang w:val="fr-CA"/>
        </w:rPr>
        <w:t xml:space="preserve"> </w:t>
      </w:r>
      <w:r w:rsidR="00271E1E" w:rsidRPr="00A831A4">
        <w:rPr>
          <w:noProof/>
          <w:sz w:val="20"/>
          <w:lang w:val="fr-CA"/>
        </w:rPr>
        <w:t xml:space="preserve">/ </w:t>
      </w:r>
      <w:r w:rsidR="00693C38" w:rsidRPr="00A831A4">
        <w:rPr>
          <w:noProof/>
          <w:sz w:val="20"/>
          <w:lang w:val="fr-CA"/>
        </w:rPr>
        <w:br/>
      </w:r>
      <w:r w:rsidRPr="00A831A4">
        <w:rPr>
          <w:lang w:val="fr-CA"/>
        </w:rPr>
        <w:t>Jugements sur demandes d’autorisation</w:t>
      </w:r>
      <w:bookmarkEnd w:id="2"/>
    </w:p>
    <w:p w:rsidR="00FB1DB6" w:rsidRPr="00A831A4" w:rsidRDefault="00FB1DB6" w:rsidP="00693C38">
      <w:pPr>
        <w:rPr>
          <w:sz w:val="20"/>
          <w:szCs w:val="20"/>
          <w:lang w:val="fr-CA"/>
        </w:rPr>
      </w:pPr>
    </w:p>
    <w:p w:rsidR="00F16063" w:rsidRPr="00A831A4" w:rsidRDefault="00DE1F0C" w:rsidP="00F16063">
      <w:pPr>
        <w:rPr>
          <w:b/>
          <w:sz w:val="20"/>
          <w:szCs w:val="20"/>
        </w:rPr>
      </w:pPr>
      <w:r w:rsidRPr="00A831A4">
        <w:rPr>
          <w:b/>
          <w:sz w:val="20"/>
          <w:szCs w:val="20"/>
        </w:rPr>
        <w:t>September</w:t>
      </w:r>
      <w:r w:rsidR="00F16063" w:rsidRPr="00A831A4">
        <w:rPr>
          <w:b/>
          <w:sz w:val="20"/>
          <w:szCs w:val="20"/>
        </w:rPr>
        <w:t xml:space="preserve"> </w:t>
      </w:r>
      <w:r w:rsidRPr="00A831A4">
        <w:rPr>
          <w:b/>
          <w:sz w:val="20"/>
          <w:szCs w:val="20"/>
        </w:rPr>
        <w:t>19</w:t>
      </w:r>
      <w:r w:rsidR="00F16063" w:rsidRPr="00A831A4">
        <w:rPr>
          <w:b/>
          <w:sz w:val="20"/>
          <w:szCs w:val="20"/>
        </w:rPr>
        <w:t xml:space="preserve">, </w:t>
      </w:r>
      <w:r w:rsidR="0034657E" w:rsidRPr="00A831A4">
        <w:rPr>
          <w:b/>
          <w:sz w:val="20"/>
          <w:szCs w:val="20"/>
        </w:rPr>
        <w:t>20</w:t>
      </w:r>
      <w:r w:rsidR="005967EF" w:rsidRPr="00A831A4">
        <w:rPr>
          <w:b/>
          <w:sz w:val="20"/>
          <w:szCs w:val="20"/>
        </w:rPr>
        <w:t>2</w:t>
      </w:r>
      <w:r w:rsidR="00345645" w:rsidRPr="00A831A4">
        <w:rPr>
          <w:b/>
          <w:sz w:val="20"/>
          <w:szCs w:val="20"/>
        </w:rPr>
        <w:t>4</w:t>
      </w:r>
    </w:p>
    <w:p w:rsidR="00F16063" w:rsidRPr="00A831A4" w:rsidRDefault="00F16063" w:rsidP="00F16063">
      <w:pPr>
        <w:rPr>
          <w:sz w:val="20"/>
          <w:szCs w:val="20"/>
        </w:rPr>
      </w:pPr>
    </w:p>
    <w:p w:rsidR="00D2683C" w:rsidRPr="00A831A4" w:rsidRDefault="00D2683C" w:rsidP="00F16063">
      <w:pPr>
        <w:rPr>
          <w:sz w:val="20"/>
          <w:szCs w:val="20"/>
        </w:rPr>
      </w:pPr>
    </w:p>
    <w:p w:rsidR="00DE1F0C" w:rsidRPr="00A831A4" w:rsidRDefault="00DE1F0C" w:rsidP="00DE1F0C">
      <w:pPr>
        <w:jc w:val="both"/>
        <w:rPr>
          <w:sz w:val="20"/>
        </w:rPr>
      </w:pPr>
      <w:r w:rsidRPr="00A831A4">
        <w:rPr>
          <w:b/>
          <w:sz w:val="22"/>
        </w:rPr>
        <w:t>GRANTED</w:t>
      </w:r>
    </w:p>
    <w:p w:rsidR="00DE1F0C" w:rsidRPr="00A831A4" w:rsidRDefault="00DE1F0C" w:rsidP="00DE1F0C">
      <w:pPr>
        <w:jc w:val="both"/>
        <w:rPr>
          <w:sz w:val="20"/>
        </w:rPr>
      </w:pPr>
    </w:p>
    <w:p w:rsidR="00DE1F0C" w:rsidRPr="00A831A4" w:rsidRDefault="00DE1F0C" w:rsidP="00DE1F0C">
      <w:pPr>
        <w:tabs>
          <w:tab w:val="left" w:pos="360"/>
        </w:tabs>
        <w:rPr>
          <w:sz w:val="22"/>
        </w:rPr>
      </w:pPr>
      <w:r w:rsidRPr="00A831A4">
        <w:rPr>
          <w:i/>
          <w:sz w:val="22"/>
        </w:rPr>
        <w:t>Pharmascience Inc. v. Janssen Inc. and Janssen Pharmaceutica N.V.</w:t>
      </w:r>
      <w:r w:rsidRPr="00A831A4">
        <w:rPr>
          <w:sz w:val="22"/>
        </w:rPr>
        <w:t xml:space="preserve"> (Fed.) (Civil) (By Leave) (</w:t>
      </w:r>
      <w:hyperlink r:id="rId13" w:history="1">
        <w:r w:rsidRPr="00A831A4">
          <w:rPr>
            <w:rStyle w:val="Hyperlink"/>
            <w:sz w:val="22"/>
          </w:rPr>
          <w:t>41209</w:t>
        </w:r>
      </w:hyperlink>
      <w:r w:rsidRPr="00A831A4">
        <w:rPr>
          <w:sz w:val="22"/>
        </w:rPr>
        <w:t>)</w:t>
      </w:r>
    </w:p>
    <w:p w:rsidR="00DE1F0C" w:rsidRPr="00A831A4" w:rsidRDefault="00DE1F0C" w:rsidP="00DE1F0C">
      <w:pPr>
        <w:jc w:val="both"/>
        <w:rPr>
          <w:sz w:val="20"/>
        </w:rPr>
      </w:pPr>
    </w:p>
    <w:p w:rsidR="00DE1F0C" w:rsidRPr="00A831A4" w:rsidRDefault="00DE1F0C" w:rsidP="00DE1F0C">
      <w:pPr>
        <w:jc w:val="both"/>
        <w:rPr>
          <w:sz w:val="20"/>
        </w:rPr>
      </w:pPr>
      <w:r w:rsidRPr="00A831A4">
        <w:rPr>
          <w:sz w:val="20"/>
        </w:rPr>
        <w:t>The application for leave to appeal from the judgment of the Federal Court of Appeal, Number A-205-22, 2024 FCA 23, dated February 1, 2024, is granted with costs in the cause.</w:t>
      </w:r>
    </w:p>
    <w:p w:rsidR="00DE1F0C" w:rsidRPr="00A831A4" w:rsidRDefault="00DE1F0C" w:rsidP="00DE1F0C">
      <w:pPr>
        <w:jc w:val="both"/>
        <w:rPr>
          <w:sz w:val="20"/>
        </w:rPr>
      </w:pPr>
    </w:p>
    <w:p w:rsidR="00DE1F0C" w:rsidRPr="00A831A4" w:rsidRDefault="00A23382" w:rsidP="00DE1F0C">
      <w:pPr>
        <w:jc w:val="both"/>
        <w:rPr>
          <w:sz w:val="22"/>
        </w:rPr>
      </w:pPr>
      <w:r>
        <w:rPr>
          <w:sz w:val="20"/>
        </w:rPr>
        <w:pict>
          <v:rect id="_x0000_i1025" style="width:2in;height:1pt" o:hrpct="0" o:hralign="center" o:hrstd="t" o:hrnoshade="t" o:hr="t" fillcolor="black [3213]" stroked="f"/>
        </w:pict>
      </w:r>
    </w:p>
    <w:p w:rsidR="00DE1F0C" w:rsidRPr="00A831A4" w:rsidRDefault="00DE1F0C" w:rsidP="00DE1F0C">
      <w:pPr>
        <w:jc w:val="both"/>
        <w:rPr>
          <w:sz w:val="20"/>
        </w:rPr>
      </w:pPr>
    </w:p>
    <w:p w:rsidR="00DE1F0C" w:rsidRPr="00A831A4" w:rsidRDefault="00DE1F0C" w:rsidP="00DE1F0C">
      <w:pPr>
        <w:jc w:val="both"/>
        <w:rPr>
          <w:b/>
          <w:sz w:val="22"/>
        </w:rPr>
      </w:pPr>
      <w:r w:rsidRPr="00A831A4">
        <w:rPr>
          <w:b/>
          <w:sz w:val="22"/>
        </w:rPr>
        <w:t>DISMISSED</w:t>
      </w:r>
    </w:p>
    <w:p w:rsidR="00DE1F0C" w:rsidRPr="00A831A4" w:rsidRDefault="00DE1F0C" w:rsidP="00DE1F0C">
      <w:pPr>
        <w:jc w:val="both"/>
        <w:rPr>
          <w:sz w:val="20"/>
        </w:rPr>
      </w:pPr>
    </w:p>
    <w:p w:rsidR="00DE1F0C" w:rsidRPr="00A831A4" w:rsidRDefault="00DE1F0C" w:rsidP="00DE1F0C">
      <w:pPr>
        <w:rPr>
          <w:sz w:val="22"/>
        </w:rPr>
      </w:pPr>
      <w:r w:rsidRPr="00A831A4">
        <w:rPr>
          <w:i/>
          <w:sz w:val="22"/>
        </w:rPr>
        <w:t>Kyle Firlotte v. His Majesty the King</w:t>
      </w:r>
      <w:r w:rsidRPr="00A831A4">
        <w:rPr>
          <w:sz w:val="22"/>
        </w:rPr>
        <w:t xml:space="preserve"> (Ont.) (Criminal) (By Leave) (</w:t>
      </w:r>
      <w:hyperlink r:id="rId14" w:history="1">
        <w:r w:rsidRPr="00A831A4">
          <w:rPr>
            <w:rStyle w:val="Hyperlink"/>
            <w:sz w:val="22"/>
          </w:rPr>
          <w:t>41133</w:t>
        </w:r>
      </w:hyperlink>
      <w:r w:rsidRPr="00A831A4">
        <w:rPr>
          <w:sz w:val="22"/>
        </w:rPr>
        <w:t>)</w:t>
      </w:r>
    </w:p>
    <w:p w:rsidR="00DE1F0C" w:rsidRPr="00A831A4" w:rsidRDefault="00DE1F0C" w:rsidP="00DE1F0C">
      <w:pPr>
        <w:widowControl w:val="0"/>
        <w:rPr>
          <w:sz w:val="20"/>
        </w:rPr>
      </w:pPr>
    </w:p>
    <w:p w:rsidR="00DE1F0C" w:rsidRPr="00A831A4" w:rsidRDefault="00DE1F0C" w:rsidP="00DE1F0C">
      <w:pPr>
        <w:jc w:val="both"/>
        <w:rPr>
          <w:sz w:val="20"/>
        </w:rPr>
      </w:pPr>
      <w:r w:rsidRPr="00A831A4">
        <w:rPr>
          <w:sz w:val="20"/>
        </w:rPr>
        <w:t>The application for leave to appeal from the judgment of the</w:t>
      </w:r>
      <w:bookmarkStart w:id="3" w:name="BM_1_"/>
      <w:bookmarkEnd w:id="3"/>
      <w:r w:rsidRPr="00A831A4">
        <w:rPr>
          <w:sz w:val="20"/>
        </w:rPr>
        <w:t xml:space="preserve"> Court of Appeal for Ontario, Number C69404, 2023 ONCA 854, dated December 22, 2023, is dismissed.</w:t>
      </w:r>
    </w:p>
    <w:p w:rsidR="00DE1F0C" w:rsidRPr="00A831A4" w:rsidRDefault="00DE1F0C" w:rsidP="00DE1F0C">
      <w:pPr>
        <w:jc w:val="both"/>
        <w:rPr>
          <w:sz w:val="20"/>
        </w:rPr>
      </w:pPr>
    </w:p>
    <w:p w:rsidR="00DE1F0C" w:rsidRPr="00A831A4" w:rsidRDefault="00A23382" w:rsidP="00DE1F0C">
      <w:pPr>
        <w:jc w:val="both"/>
        <w:rPr>
          <w:sz w:val="20"/>
          <w:lang w:val="fr-CA"/>
        </w:rPr>
      </w:pPr>
      <w:r>
        <w:rPr>
          <w:sz w:val="20"/>
        </w:rPr>
        <w:pict>
          <v:rect id="_x0000_i1026"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rPr>
          <w:sz w:val="22"/>
        </w:rPr>
      </w:pPr>
      <w:r w:rsidRPr="00A831A4">
        <w:rPr>
          <w:i/>
          <w:sz w:val="22"/>
        </w:rPr>
        <w:t>Cornelius P. Loeppky, Karen G. Loeppky, Cornelius P. Loeppky in his capacity as Trustee of The Cornelius Loeppky Family Trust, Connor Bridges in his capacity as Trustee of The Cornelius Loeppky Family Trust and The Cornelius Loeppky Family Trust v. Taylor McCaffrey LLP, Norman K. Snyder and N.K. Snyder Law Corporation</w:t>
      </w:r>
      <w:r w:rsidRPr="00A831A4">
        <w:rPr>
          <w:sz w:val="22"/>
        </w:rPr>
        <w:t xml:space="preserve"> (Man.) (Civil) (By Leave) (</w:t>
      </w:r>
      <w:hyperlink r:id="rId15" w:history="1">
        <w:r w:rsidRPr="00A831A4">
          <w:rPr>
            <w:rStyle w:val="Hyperlink"/>
            <w:sz w:val="22"/>
          </w:rPr>
          <w:t>41120</w:t>
        </w:r>
      </w:hyperlink>
      <w:r w:rsidRPr="00A831A4">
        <w:rPr>
          <w:sz w:val="22"/>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application for leave to appeal from the judgment of the Court of Appeal of Manitoba, Numbers AI22-30-09728, AI22-30-09865, 2023 MBCA 101, dated December 15, 2023, is dismissed with costs.</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27"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rPr>
          <w:sz w:val="22"/>
        </w:rPr>
      </w:pPr>
      <w:r w:rsidRPr="00A831A4">
        <w:rPr>
          <w:i/>
          <w:sz w:val="22"/>
        </w:rPr>
        <w:t>Coseco Insurance Company v. Lynn Schroeder</w:t>
      </w:r>
      <w:r w:rsidRPr="00A831A4">
        <w:rPr>
          <w:sz w:val="22"/>
        </w:rPr>
        <w:t xml:space="preserve"> (Ont.) (Civil) (By Leave) (</w:t>
      </w:r>
      <w:hyperlink r:id="rId16" w:history="1">
        <w:r w:rsidRPr="00A831A4">
          <w:rPr>
            <w:rStyle w:val="Hyperlink"/>
            <w:sz w:val="22"/>
          </w:rPr>
          <w:t>41187</w:t>
        </w:r>
      </w:hyperlink>
      <w:r w:rsidRPr="00A831A4">
        <w:rPr>
          <w:sz w:val="22"/>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application for leave to appeal from the judgment of the Court of Appeal for Ontario, Number COA-23-CV-0536, 2024 ONCA 54, dated January 24, 2024, is dismissed with costs.</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28"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rPr>
      </w:pPr>
      <w:bookmarkStart w:id="4" w:name="_Hlk172540457"/>
      <w:r w:rsidRPr="00A831A4">
        <w:rPr>
          <w:i/>
          <w:sz w:val="22"/>
        </w:rPr>
        <w:t xml:space="preserve">ArcelorMittal Canada inc. and 7623704 Canada inc. v. </w:t>
      </w:r>
      <w:bookmarkEnd w:id="4"/>
      <w:r w:rsidRPr="00A831A4">
        <w:rPr>
          <w:i/>
          <w:sz w:val="22"/>
        </w:rPr>
        <w:t xml:space="preserve">His Majesty the King </w:t>
      </w:r>
      <w:r w:rsidRPr="00A831A4">
        <w:rPr>
          <w:sz w:val="22"/>
        </w:rPr>
        <w:t>(Que.) (Criminal) (By Leave) (</w:t>
      </w:r>
      <w:hyperlink r:id="rId17" w:history="1">
        <w:r w:rsidRPr="00A831A4">
          <w:rPr>
            <w:rStyle w:val="Hyperlink"/>
            <w:sz w:val="22"/>
          </w:rPr>
          <w:t>41119</w:t>
        </w:r>
      </w:hyperlink>
      <w:r w:rsidRPr="00A831A4">
        <w:rPr>
          <w:sz w:val="22"/>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application for leave to appeal from the judgment of the Court of Appeal of Quebec (Montréal), Number 500-10-007700-212, 2023 QCCA 1564, dated December 14, 2023, is dismissed.</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29"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rPr>
      </w:pPr>
      <w:r w:rsidRPr="00A831A4">
        <w:rPr>
          <w:i/>
          <w:sz w:val="22"/>
        </w:rPr>
        <w:t xml:space="preserve">Darryan Reshaun Edwards v. His Majesty the King </w:t>
      </w:r>
      <w:r w:rsidRPr="00A831A4">
        <w:rPr>
          <w:sz w:val="22"/>
        </w:rPr>
        <w:t>(Man.) (Criminal) (By Leave) (</w:t>
      </w:r>
      <w:hyperlink r:id="rId18" w:history="1">
        <w:r w:rsidRPr="00A831A4">
          <w:rPr>
            <w:rStyle w:val="Hyperlink"/>
            <w:sz w:val="22"/>
          </w:rPr>
          <w:t>41279</w:t>
        </w:r>
      </w:hyperlink>
      <w:r w:rsidRPr="00A831A4">
        <w:rPr>
          <w:sz w:val="22"/>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application for leave to appeal from the judgment of the Court of Appeal of Manitoba, Number AR22-30-09844, 2024 MBCA 27, dated March 21, 2024, is dismissed.</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30"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pStyle w:val="SCCLsocParty"/>
        <w:jc w:val="left"/>
        <w:rPr>
          <w:sz w:val="22"/>
          <w:lang w:val="en-CA"/>
        </w:rPr>
      </w:pPr>
      <w:r w:rsidRPr="00A831A4">
        <w:rPr>
          <w:i/>
          <w:sz w:val="22"/>
          <w:lang w:val="en-CA"/>
        </w:rPr>
        <w:lastRenderedPageBreak/>
        <w:t>Huntly Investments Limited, Pacific Investment Corporation Limited, Brent Newton Wolverton, Mark Frank Wolverton, Lisa Marie Wolverton, Kathleen May Wolverton, DM Wolverton Trust and Wolverton Alter Ego Trust v. Casa Margarita Enterprises Ltd. and Anne Louise Wolverton</w:t>
      </w:r>
      <w:r w:rsidRPr="00A831A4">
        <w:rPr>
          <w:sz w:val="22"/>
          <w:lang w:val="en-CA"/>
        </w:rPr>
        <w:t xml:space="preserve"> </w:t>
      </w:r>
      <w:bookmarkStart w:id="5" w:name="_Hlk172541545"/>
      <w:r w:rsidRPr="00A831A4">
        <w:rPr>
          <w:sz w:val="22"/>
          <w:lang w:val="en-CA"/>
        </w:rPr>
        <w:t>(B.C.) (Civil) (By Leave) (</w:t>
      </w:r>
      <w:hyperlink r:id="rId19" w:history="1">
        <w:r w:rsidRPr="00A831A4">
          <w:rPr>
            <w:rStyle w:val="Hyperlink"/>
            <w:sz w:val="22"/>
            <w:lang w:val="en-CA"/>
          </w:rPr>
          <w:t>41191</w:t>
        </w:r>
      </w:hyperlink>
      <w:r w:rsidRPr="00A831A4">
        <w:rPr>
          <w:sz w:val="22"/>
          <w:lang w:val="en-CA"/>
        </w:rPr>
        <w:t>)</w:t>
      </w:r>
    </w:p>
    <w:bookmarkEnd w:id="5"/>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application for leave to appeal from the judgment of the Court of Appeal for British Columbia (Vancouver), Number CA49174, 2024 BCCA 31, dated January 26, 2024, is dismissed with costs to Casa Margarita Enterprises Ltd.</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31"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rPr>
      </w:pPr>
      <w:r w:rsidRPr="00A831A4">
        <w:rPr>
          <w:i/>
          <w:sz w:val="22"/>
        </w:rPr>
        <w:t xml:space="preserve">Sorensen Trilogy Engineering Ltd., Brian McClure, Theodore Tracy Sorensen and Brian Douglas Lange v. Centurion Apartment Properties Limited Partnership and Centurion Apartment Properties (Danbrook One) Inc., Loco Investments Inc., Margaret McKay, DB Services of Victoria Inc. - and between - Sorensen Trilogy Engineering Ltd., Brian McClure, Theodore Tracy Sorensen and Brian Douglas Lange v. Loco Investments Inc., Margaret McKay, DB Services of Victoria Inc., Centurion Apartment Properties Limited Partnership and Centurion Apartment Properties (Danbrook One) Inc. </w:t>
      </w:r>
      <w:r w:rsidRPr="00A831A4">
        <w:rPr>
          <w:sz w:val="22"/>
        </w:rPr>
        <w:t>(B.C.) (Civil) (By Leave) (</w:t>
      </w:r>
      <w:hyperlink r:id="rId20" w:history="1">
        <w:r w:rsidRPr="00A831A4">
          <w:rPr>
            <w:rStyle w:val="Hyperlink"/>
            <w:sz w:val="22"/>
          </w:rPr>
          <w:t>41192</w:t>
        </w:r>
      </w:hyperlink>
      <w:r w:rsidRPr="00A831A4">
        <w:rPr>
          <w:sz w:val="22"/>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application for leave to appeal from the judgment of the Court of Appeal for British Columbia (Vancouver), Numbers CA48819 and CA48832, 2024 BCCA 25, dated January 24, 2024, is dismissed with costs to the respondents Centurion Apartment Properties Limited Partnership, Centurion Apartment Properties (Danbrook One) Inc., Loco Investments Inc. and Margaret McKay.</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32"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rPr>
      </w:pPr>
      <w:r w:rsidRPr="00A831A4">
        <w:rPr>
          <w:i/>
          <w:sz w:val="22"/>
        </w:rPr>
        <w:t xml:space="preserve">Teisha Leanne Focken v. Mark Jonathan Miller and Andrew Kurt Best </w:t>
      </w:r>
      <w:r w:rsidRPr="00A831A4">
        <w:rPr>
          <w:sz w:val="22"/>
        </w:rPr>
        <w:t>(B.C.) (Civil) (By Leave) (</w:t>
      </w:r>
      <w:hyperlink r:id="rId21" w:history="1">
        <w:r w:rsidRPr="00A831A4">
          <w:rPr>
            <w:rStyle w:val="Hyperlink"/>
            <w:sz w:val="22"/>
          </w:rPr>
          <w:t>41244</w:t>
        </w:r>
      </w:hyperlink>
      <w:r w:rsidRPr="00A831A4">
        <w:rPr>
          <w:sz w:val="22"/>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application for leave to appeal from the judgment of the Court of Appeal for British Columbia (Vancouver), Number CA48734, 2024 BCCA 74, dated March 1, 2024, is dismissed with costs.</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33"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rPr>
      </w:pPr>
      <w:r w:rsidRPr="00A831A4">
        <w:rPr>
          <w:i/>
          <w:sz w:val="22"/>
        </w:rPr>
        <w:t xml:space="preserve">Gary Curtis v. Bank of Nova Scotia </w:t>
      </w:r>
      <w:r w:rsidRPr="00A831A4">
        <w:rPr>
          <w:sz w:val="22"/>
        </w:rPr>
        <w:t>(Ont.) (Civil) (By Leave) (</w:t>
      </w:r>
      <w:hyperlink r:id="rId22" w:history="1">
        <w:r w:rsidRPr="00A831A4">
          <w:rPr>
            <w:rStyle w:val="Hyperlink"/>
            <w:sz w:val="22"/>
          </w:rPr>
          <w:t>41305</w:t>
        </w:r>
      </w:hyperlink>
      <w:r w:rsidRPr="00A831A4">
        <w:rPr>
          <w:sz w:val="22"/>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application for leave to appeal from the judgment of the Court of Appeal for Ontario, Number COA-24-CV-0038, 2024 ONCA 374, dated May 10, 2024, is dismissed.</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34"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rPr>
      </w:pPr>
      <w:r w:rsidRPr="00A831A4">
        <w:rPr>
          <w:i/>
          <w:sz w:val="22"/>
        </w:rPr>
        <w:t xml:space="preserve">Éric Pelletier v. His Majesty the King </w:t>
      </w:r>
      <w:r w:rsidRPr="00A831A4">
        <w:rPr>
          <w:sz w:val="22"/>
        </w:rPr>
        <w:t>(Que.) (Criminal) (By Leave) (</w:t>
      </w:r>
      <w:hyperlink r:id="rId23" w:history="1">
        <w:r w:rsidRPr="00A831A4">
          <w:rPr>
            <w:rStyle w:val="Hyperlink"/>
            <w:sz w:val="22"/>
          </w:rPr>
          <w:t>41216</w:t>
        </w:r>
      </w:hyperlink>
      <w:r w:rsidRPr="00A831A4">
        <w:rPr>
          <w:sz w:val="22"/>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application for leave to appeal from the judgment of the Court of Appeal of Quebec (Québec), Number 200-10-003985-228, 2024 QCCA 183, dated February 13, 2024, is dismissed.</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35"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rPr>
      </w:pPr>
      <w:r w:rsidRPr="00A831A4">
        <w:rPr>
          <w:i/>
          <w:sz w:val="22"/>
        </w:rPr>
        <w:t xml:space="preserve">Kalen Schlatter v. His Majesty the King </w:t>
      </w:r>
      <w:r w:rsidRPr="00A831A4">
        <w:rPr>
          <w:sz w:val="22"/>
        </w:rPr>
        <w:t>(Ont.) (Criminal) (By Leave) (</w:t>
      </w:r>
      <w:hyperlink r:id="rId24" w:history="1">
        <w:r w:rsidRPr="00A831A4">
          <w:rPr>
            <w:rStyle w:val="Hyperlink"/>
            <w:sz w:val="22"/>
          </w:rPr>
          <w:t>41301</w:t>
        </w:r>
      </w:hyperlink>
      <w:r w:rsidRPr="00A831A4">
        <w:rPr>
          <w:sz w:val="22"/>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motion for an extension of time to serve and file the application for leave to appeal from the judgment of the Court of Appeal for Ontario, Number C68354, 2024 ONCA 56, dated January 24, 2024, is dismissed.</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36"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pPr>
        <w:rPr>
          <w:rFonts w:eastAsia="Calibri" w:cs="Times New Roman"/>
          <w:i/>
          <w:sz w:val="22"/>
        </w:rPr>
      </w:pPr>
      <w:r w:rsidRPr="00A831A4">
        <w:rPr>
          <w:i/>
          <w:sz w:val="22"/>
        </w:rPr>
        <w:br w:type="page"/>
      </w:r>
    </w:p>
    <w:p w:rsidR="00DE1F0C" w:rsidRPr="00A831A4" w:rsidRDefault="00DE1F0C" w:rsidP="00DE1F0C">
      <w:pPr>
        <w:pStyle w:val="SCCLsocParty"/>
        <w:jc w:val="left"/>
        <w:rPr>
          <w:sz w:val="22"/>
          <w:lang w:val="en-CA"/>
        </w:rPr>
      </w:pPr>
      <w:r w:rsidRPr="00A831A4">
        <w:rPr>
          <w:i/>
          <w:sz w:val="22"/>
          <w:lang w:val="en-CA"/>
        </w:rPr>
        <w:lastRenderedPageBreak/>
        <w:t>Rina Del Giudice and Daniel Wood v. Paige Thompson, Capital One Financial Corporation, Capital One Bank (Canada Branch), Capital One (Services) Canada Inc., Capital One, N.A., Capital One Bank (USA), N.A., Amazon Web Services Inc., and Amazon Web Services (Canada) Inc.</w:t>
      </w:r>
      <w:r w:rsidRPr="00A831A4">
        <w:rPr>
          <w:sz w:val="22"/>
          <w:lang w:val="en-CA"/>
        </w:rPr>
        <w:t xml:space="preserve"> (Ont.) (Civil) (By Leave) (</w:t>
      </w:r>
      <w:hyperlink r:id="rId25" w:history="1">
        <w:r w:rsidRPr="00A831A4">
          <w:rPr>
            <w:rStyle w:val="Hyperlink"/>
            <w:sz w:val="22"/>
            <w:lang w:val="en-CA"/>
          </w:rPr>
          <w:t>41202</w:t>
        </w:r>
      </w:hyperlink>
      <w:r w:rsidRPr="00A831A4">
        <w:rPr>
          <w:sz w:val="22"/>
          <w:lang w:val="en-CA"/>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application for leave to appeal from the judgment of the Court of Appeal for Ontario, Numbers C70175 and M53810, 2024 ONCA 70, dated January 31, 2024, is dismissed with costs to the respondents Capital One Financial Corporation, Capital One Bank (Canada Branch), Capital One (Services) Canada Inc., Capital One, N.A., Capital One Bank (USA), N.A., Amazon Web Services Inc., and Amazon Web Services (Canada) Inc.</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37"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rPr>
      </w:pPr>
      <w:r w:rsidRPr="00A831A4">
        <w:rPr>
          <w:i/>
          <w:sz w:val="22"/>
          <w:lang w:val="fr-CA"/>
        </w:rPr>
        <w:t xml:space="preserve">Chang Jacques v. Rona Inc. </w:t>
      </w:r>
      <w:r w:rsidRPr="00A831A4">
        <w:rPr>
          <w:sz w:val="22"/>
        </w:rPr>
        <w:t>(B.C.) (Civil) (By Leave) (</w:t>
      </w:r>
      <w:hyperlink r:id="rId26" w:history="1">
        <w:r w:rsidRPr="00A831A4">
          <w:rPr>
            <w:rStyle w:val="Hyperlink"/>
            <w:sz w:val="22"/>
          </w:rPr>
          <w:t>41326</w:t>
        </w:r>
      </w:hyperlink>
      <w:r w:rsidRPr="00A831A4">
        <w:rPr>
          <w:sz w:val="22"/>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motion for an extension of time to serve and file the application for leave to appeal from the judgment of the Court of Appeal for British Columbia (Vancouver), Number CA47575, 2021 BCCA 340, dated September 9, 2021, is dismissed.</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38"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rPr>
      </w:pPr>
      <w:r w:rsidRPr="00A831A4">
        <w:rPr>
          <w:i/>
          <w:sz w:val="22"/>
          <w:lang w:val="fr-CA"/>
        </w:rPr>
        <w:t xml:space="preserve">Chang Jacques v. Jennifer Muir </w:t>
      </w:r>
      <w:r w:rsidRPr="00A831A4">
        <w:rPr>
          <w:sz w:val="22"/>
          <w:lang w:val="fr-CA"/>
        </w:rPr>
        <w:t xml:space="preserve">(B.C.) </w:t>
      </w:r>
      <w:r w:rsidRPr="00A831A4">
        <w:rPr>
          <w:sz w:val="22"/>
        </w:rPr>
        <w:t>(Civil) (By Leave) (</w:t>
      </w:r>
      <w:hyperlink r:id="rId27" w:history="1">
        <w:r w:rsidRPr="00A831A4">
          <w:rPr>
            <w:rStyle w:val="Hyperlink"/>
            <w:sz w:val="22"/>
          </w:rPr>
          <w:t>41327</w:t>
        </w:r>
      </w:hyperlink>
      <w:r w:rsidRPr="00A831A4">
        <w:rPr>
          <w:sz w:val="22"/>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motion for an extension of time to serve and file the application for leave to appeal from the judgment of the Court of Appeal for British Columbia (Vancouver), Number CA47594, 2021 BCCA 363, dated September 17, 2021, is dismissed.</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39"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rPr>
      </w:pPr>
      <w:r w:rsidRPr="00A831A4">
        <w:rPr>
          <w:i/>
          <w:sz w:val="22"/>
        </w:rPr>
        <w:t>Fetsum Zewdie v. Frehiwot Thomas Shine</w:t>
      </w:r>
      <w:r w:rsidRPr="00A831A4">
        <w:rPr>
          <w:sz w:val="22"/>
        </w:rPr>
        <w:t xml:space="preserve"> (Alta.) (Civil) (By Leave) (</w:t>
      </w:r>
      <w:hyperlink r:id="rId28" w:history="1">
        <w:r w:rsidRPr="00A831A4">
          <w:rPr>
            <w:rStyle w:val="Hyperlink"/>
            <w:sz w:val="22"/>
          </w:rPr>
          <w:t>41174</w:t>
        </w:r>
      </w:hyperlink>
      <w:r w:rsidRPr="00A831A4">
        <w:rPr>
          <w:sz w:val="22"/>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 xml:space="preserve">The application for leave to appeal from the judgment of the Court of Appeal of Alberta (Calgary), Number 2301-0292AC, dated February 8, 2024, is dismissed with costs in accordance with the tariff of fees and disbursements set out in Schedule B of the </w:t>
      </w:r>
      <w:r w:rsidRPr="00A831A4">
        <w:rPr>
          <w:i/>
          <w:sz w:val="20"/>
        </w:rPr>
        <w:t>Rules of the Supreme Court of Canada</w:t>
      </w:r>
      <w:r w:rsidRPr="00A831A4">
        <w:rPr>
          <w:sz w:val="20"/>
        </w:rPr>
        <w:t>.</w:t>
      </w:r>
    </w:p>
    <w:p w:rsidR="00DE1F0C" w:rsidRPr="00A831A4" w:rsidRDefault="00DE1F0C" w:rsidP="00DE1F0C">
      <w:pPr>
        <w:ind w:left="357" w:hanging="357"/>
        <w:rPr>
          <w:sz w:val="20"/>
        </w:rPr>
      </w:pPr>
    </w:p>
    <w:p w:rsidR="00DE1F0C" w:rsidRPr="00A831A4" w:rsidRDefault="00A23382" w:rsidP="00DE1F0C">
      <w:pPr>
        <w:rPr>
          <w:sz w:val="20"/>
        </w:rPr>
      </w:pPr>
      <w:r>
        <w:rPr>
          <w:sz w:val="20"/>
        </w:rPr>
        <w:pict>
          <v:rect id="_x0000_i1040"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rPr>
      </w:pPr>
      <w:r w:rsidRPr="00A831A4">
        <w:rPr>
          <w:i/>
          <w:sz w:val="22"/>
        </w:rPr>
        <w:t>John Emmons v. Alberta (Worker’s Compensation Board)</w:t>
      </w:r>
      <w:r w:rsidRPr="00A831A4">
        <w:rPr>
          <w:sz w:val="22"/>
        </w:rPr>
        <w:t xml:space="preserve"> (Alta.) (Civil) (By Leave) (</w:t>
      </w:r>
      <w:hyperlink r:id="rId29" w:history="1">
        <w:r w:rsidRPr="00A831A4">
          <w:rPr>
            <w:rStyle w:val="Hyperlink"/>
            <w:sz w:val="22"/>
          </w:rPr>
          <w:t>41263</w:t>
        </w:r>
      </w:hyperlink>
      <w:r w:rsidRPr="00A831A4">
        <w:rPr>
          <w:sz w:val="22"/>
        </w:rPr>
        <w:t>)</w:t>
      </w:r>
    </w:p>
    <w:p w:rsidR="00DE1F0C" w:rsidRPr="00A831A4" w:rsidRDefault="00DE1F0C" w:rsidP="00DE1F0C">
      <w:pPr>
        <w:ind w:left="357" w:hanging="357"/>
        <w:rPr>
          <w:sz w:val="20"/>
        </w:rPr>
      </w:pPr>
    </w:p>
    <w:p w:rsidR="00DE1F0C" w:rsidRPr="00A831A4" w:rsidRDefault="00DE1F0C" w:rsidP="00DE1F0C">
      <w:pPr>
        <w:jc w:val="both"/>
        <w:rPr>
          <w:sz w:val="20"/>
        </w:rPr>
      </w:pPr>
      <w:r w:rsidRPr="00A831A4">
        <w:rPr>
          <w:sz w:val="20"/>
        </w:rPr>
        <w:t>The application for leave to appeal from the judgment of the Court of Appeal of Alberta (Calgary), Number 2301-0031AC, 2024 ABCA 78, dated March 6, 2024, is dismissed.</w:t>
      </w:r>
    </w:p>
    <w:p w:rsidR="00E06F20" w:rsidRPr="00A831A4" w:rsidRDefault="00E06F20" w:rsidP="00102792">
      <w:pPr>
        <w:jc w:val="both"/>
        <w:rPr>
          <w:sz w:val="20"/>
          <w:szCs w:val="20"/>
        </w:rPr>
      </w:pPr>
    </w:p>
    <w:p w:rsidR="00D2683C" w:rsidRPr="00A831A4" w:rsidRDefault="00D2683C" w:rsidP="00102792">
      <w:pPr>
        <w:jc w:val="both"/>
        <w:rPr>
          <w:sz w:val="20"/>
          <w:szCs w:val="20"/>
        </w:rPr>
      </w:pPr>
    </w:p>
    <w:p w:rsidR="00D2683C" w:rsidRPr="00A831A4" w:rsidRDefault="00A23382" w:rsidP="00102792">
      <w:pPr>
        <w:jc w:val="both"/>
        <w:rPr>
          <w:sz w:val="20"/>
          <w:szCs w:val="20"/>
        </w:rPr>
      </w:pPr>
      <w:r>
        <w:rPr>
          <w:sz w:val="18"/>
          <w:szCs w:val="18"/>
        </w:rPr>
        <w:pict>
          <v:rect id="_x0000_i1041" style="width:272.25pt;height:1.5pt" o:hrpct="0" o:hralign="center" o:hrstd="t" o:hrnoshade="t" o:hr="t" fillcolor="black [3213]" stroked="f"/>
        </w:pict>
      </w:r>
    </w:p>
    <w:p w:rsidR="00D2683C" w:rsidRPr="00A831A4" w:rsidRDefault="00D2683C" w:rsidP="00102792">
      <w:pPr>
        <w:jc w:val="both"/>
        <w:rPr>
          <w:sz w:val="20"/>
          <w:szCs w:val="20"/>
        </w:rPr>
      </w:pPr>
    </w:p>
    <w:p w:rsidR="00F77B6C" w:rsidRPr="00A831A4" w:rsidRDefault="00F77B6C" w:rsidP="00102792">
      <w:pPr>
        <w:jc w:val="both"/>
        <w:rPr>
          <w:sz w:val="20"/>
          <w:szCs w:val="20"/>
        </w:rPr>
      </w:pPr>
    </w:p>
    <w:p w:rsidR="00D2683C" w:rsidRPr="00A831A4" w:rsidRDefault="00D2683C" w:rsidP="00D2683C">
      <w:pPr>
        <w:rPr>
          <w:b/>
          <w:sz w:val="20"/>
          <w:szCs w:val="20"/>
          <w:lang w:val="fr-CA"/>
        </w:rPr>
      </w:pPr>
      <w:r w:rsidRPr="00A831A4">
        <w:rPr>
          <w:b/>
          <w:sz w:val="20"/>
          <w:szCs w:val="20"/>
          <w:lang w:val="fr-CA"/>
        </w:rPr>
        <w:t>Le</w:t>
      </w:r>
      <w:r w:rsidR="00345645" w:rsidRPr="00A831A4">
        <w:rPr>
          <w:b/>
          <w:sz w:val="20"/>
          <w:szCs w:val="20"/>
          <w:lang w:val="fr-CA"/>
        </w:rPr>
        <w:t xml:space="preserve"> </w:t>
      </w:r>
      <w:r w:rsidR="00DE1F0C" w:rsidRPr="00A831A4">
        <w:rPr>
          <w:b/>
          <w:sz w:val="20"/>
          <w:szCs w:val="20"/>
          <w:lang w:val="fr-CA"/>
        </w:rPr>
        <w:t>19</w:t>
      </w:r>
      <w:r w:rsidRPr="00A831A4">
        <w:rPr>
          <w:b/>
          <w:sz w:val="20"/>
          <w:szCs w:val="20"/>
          <w:lang w:val="fr-CA"/>
        </w:rPr>
        <w:t xml:space="preserve"> </w:t>
      </w:r>
      <w:r w:rsidR="00DE1F0C" w:rsidRPr="00A831A4">
        <w:rPr>
          <w:b/>
          <w:sz w:val="20"/>
          <w:szCs w:val="20"/>
          <w:lang w:val="fr-CA"/>
        </w:rPr>
        <w:t>septembre</w:t>
      </w:r>
      <w:r w:rsidRPr="00A831A4">
        <w:rPr>
          <w:b/>
          <w:sz w:val="20"/>
          <w:szCs w:val="20"/>
          <w:lang w:val="fr-CA"/>
        </w:rPr>
        <w:t xml:space="preserve"> 202</w:t>
      </w:r>
      <w:r w:rsidR="00345645" w:rsidRPr="00A831A4">
        <w:rPr>
          <w:b/>
          <w:sz w:val="20"/>
          <w:szCs w:val="20"/>
          <w:lang w:val="fr-CA"/>
        </w:rPr>
        <w:t>4</w:t>
      </w:r>
    </w:p>
    <w:p w:rsidR="00D2683C" w:rsidRPr="00A831A4" w:rsidRDefault="00D2683C" w:rsidP="00102792">
      <w:pPr>
        <w:jc w:val="both"/>
        <w:rPr>
          <w:sz w:val="20"/>
          <w:szCs w:val="20"/>
          <w:lang w:val="fr-CA"/>
        </w:rPr>
      </w:pPr>
    </w:p>
    <w:p w:rsidR="00D2683C" w:rsidRPr="00A831A4" w:rsidRDefault="00D2683C" w:rsidP="00102792">
      <w:pPr>
        <w:jc w:val="both"/>
        <w:rPr>
          <w:sz w:val="20"/>
          <w:szCs w:val="20"/>
          <w:lang w:val="fr-CA"/>
        </w:rPr>
      </w:pPr>
    </w:p>
    <w:p w:rsidR="00DE1F0C" w:rsidRPr="00A831A4" w:rsidRDefault="00DE1F0C" w:rsidP="00DE1F0C">
      <w:pPr>
        <w:jc w:val="both"/>
        <w:rPr>
          <w:sz w:val="20"/>
          <w:lang w:val="fr-CA"/>
        </w:rPr>
      </w:pPr>
      <w:r w:rsidRPr="00A831A4">
        <w:rPr>
          <w:b/>
          <w:sz w:val="22"/>
          <w:lang w:val="fr-CA"/>
        </w:rPr>
        <w:t>ACCORDÉE</w:t>
      </w:r>
    </w:p>
    <w:p w:rsidR="00DE1F0C" w:rsidRPr="00A831A4" w:rsidRDefault="00DE1F0C" w:rsidP="00DE1F0C">
      <w:pPr>
        <w:jc w:val="both"/>
        <w:rPr>
          <w:sz w:val="20"/>
          <w:lang w:val="fr-CA"/>
        </w:rPr>
      </w:pPr>
    </w:p>
    <w:p w:rsidR="00DE1F0C" w:rsidRPr="00A831A4" w:rsidRDefault="00DE1F0C" w:rsidP="00DE1F0C">
      <w:pPr>
        <w:tabs>
          <w:tab w:val="left" w:pos="360"/>
        </w:tabs>
        <w:rPr>
          <w:sz w:val="22"/>
          <w:lang w:val="fr-CA"/>
        </w:rPr>
      </w:pPr>
      <w:r w:rsidRPr="00A831A4">
        <w:rPr>
          <w:i/>
          <w:sz w:val="22"/>
          <w:lang w:val="fr-CA"/>
        </w:rPr>
        <w:t>Pharmascience Inc. c. Janssen Inc. et Janssen Pharmaceutica N.V.</w:t>
      </w:r>
      <w:r w:rsidRPr="00A831A4">
        <w:rPr>
          <w:sz w:val="22"/>
          <w:lang w:val="fr-CA"/>
        </w:rPr>
        <w:t xml:space="preserve"> (Féd.) (Civile) (Autorisation) (</w:t>
      </w:r>
      <w:hyperlink r:id="rId30" w:history="1">
        <w:r w:rsidRPr="00A831A4">
          <w:rPr>
            <w:rStyle w:val="Hyperlink"/>
            <w:sz w:val="22"/>
            <w:lang w:val="fr-CA"/>
          </w:rPr>
          <w:t>41209</w:t>
        </w:r>
      </w:hyperlink>
      <w:r w:rsidRPr="00A831A4">
        <w:rPr>
          <w:sz w:val="22"/>
          <w:lang w:val="fr-CA"/>
        </w:rPr>
        <w:t>)</w:t>
      </w:r>
    </w:p>
    <w:p w:rsidR="00DE1F0C" w:rsidRPr="00A831A4" w:rsidRDefault="00DE1F0C" w:rsidP="00DE1F0C">
      <w:pPr>
        <w:jc w:val="both"/>
        <w:rPr>
          <w:sz w:val="20"/>
          <w:lang w:val="fr-CA"/>
        </w:rPr>
      </w:pPr>
    </w:p>
    <w:p w:rsidR="00DE1F0C" w:rsidRPr="00A831A4" w:rsidRDefault="00DE1F0C" w:rsidP="00DE1F0C">
      <w:pPr>
        <w:jc w:val="both"/>
        <w:rPr>
          <w:sz w:val="20"/>
          <w:lang w:val="fr-CA"/>
        </w:rPr>
      </w:pPr>
      <w:r w:rsidRPr="00A831A4">
        <w:rPr>
          <w:sz w:val="20"/>
          <w:lang w:val="fr-CA"/>
        </w:rPr>
        <w:t>La demande d’autorisation d’appel de l’arrêt de la Cour d’appel fédérale, numéro A</w:t>
      </w:r>
      <w:r w:rsidRPr="00A831A4">
        <w:rPr>
          <w:sz w:val="20"/>
          <w:lang w:val="fr-CA"/>
        </w:rPr>
        <w:noBreakHyphen/>
        <w:t>205</w:t>
      </w:r>
      <w:r w:rsidRPr="00A831A4">
        <w:rPr>
          <w:sz w:val="20"/>
          <w:lang w:val="fr-CA"/>
        </w:rPr>
        <w:noBreakHyphen/>
        <w:t>22, 2024 CAF 23, daté du 1 février 2024, est accueillie avec dépens selon l’issue de la cause.</w:t>
      </w:r>
    </w:p>
    <w:p w:rsidR="00DE1F0C" w:rsidRPr="00A831A4" w:rsidRDefault="00DE1F0C" w:rsidP="00DE1F0C">
      <w:pPr>
        <w:jc w:val="both"/>
        <w:rPr>
          <w:sz w:val="20"/>
          <w:lang w:val="fr-CA"/>
        </w:rPr>
      </w:pPr>
    </w:p>
    <w:p w:rsidR="00DE1F0C" w:rsidRPr="00A831A4" w:rsidRDefault="00A23382" w:rsidP="00DE1F0C">
      <w:pPr>
        <w:jc w:val="both"/>
        <w:rPr>
          <w:sz w:val="22"/>
        </w:rPr>
      </w:pPr>
      <w:r>
        <w:rPr>
          <w:sz w:val="20"/>
        </w:rPr>
        <w:pict>
          <v:rect id="_x0000_i1042" style="width:2in;height:1pt" o:hrpct="0" o:hralign="center" o:hrstd="t" o:hrnoshade="t" o:hr="t" fillcolor="black [3213]" stroked="f"/>
        </w:pict>
      </w:r>
    </w:p>
    <w:p w:rsidR="00DE1F0C" w:rsidRPr="00A831A4" w:rsidRDefault="00DE1F0C" w:rsidP="00DE1F0C">
      <w:pPr>
        <w:jc w:val="both"/>
        <w:rPr>
          <w:sz w:val="20"/>
        </w:rPr>
      </w:pPr>
    </w:p>
    <w:p w:rsidR="00DE1F0C" w:rsidRPr="00A831A4" w:rsidRDefault="00DE1F0C" w:rsidP="00DE1F0C">
      <w:pPr>
        <w:jc w:val="both"/>
        <w:rPr>
          <w:b/>
          <w:sz w:val="22"/>
          <w:lang w:val="fr-CA"/>
        </w:rPr>
      </w:pPr>
      <w:r w:rsidRPr="00A831A4">
        <w:rPr>
          <w:b/>
          <w:sz w:val="22"/>
          <w:lang w:val="fr-CA"/>
        </w:rPr>
        <w:lastRenderedPageBreak/>
        <w:t>REJETÉES</w:t>
      </w:r>
    </w:p>
    <w:p w:rsidR="00DE1F0C" w:rsidRPr="00A831A4" w:rsidRDefault="00DE1F0C" w:rsidP="00DE1F0C">
      <w:pPr>
        <w:jc w:val="both"/>
        <w:rPr>
          <w:sz w:val="20"/>
          <w:lang w:val="fr-CA"/>
        </w:rPr>
      </w:pPr>
    </w:p>
    <w:p w:rsidR="00DE1F0C" w:rsidRPr="00A831A4" w:rsidRDefault="00DE1F0C" w:rsidP="00DE1F0C">
      <w:pPr>
        <w:rPr>
          <w:sz w:val="22"/>
          <w:lang w:val="fr-CA"/>
        </w:rPr>
      </w:pPr>
      <w:r w:rsidRPr="00A831A4">
        <w:rPr>
          <w:i/>
          <w:sz w:val="22"/>
          <w:lang w:val="fr-CA"/>
        </w:rPr>
        <w:t>Kyle Firlotte c. Sa Majesté le Roi</w:t>
      </w:r>
      <w:r w:rsidRPr="00A831A4">
        <w:rPr>
          <w:sz w:val="22"/>
          <w:lang w:val="fr-CA"/>
        </w:rPr>
        <w:t xml:space="preserve"> (Ont.) (Criminelle) (Autorisation) (</w:t>
      </w:r>
      <w:hyperlink r:id="rId31" w:history="1">
        <w:r w:rsidRPr="00A831A4">
          <w:rPr>
            <w:rStyle w:val="Hyperlink"/>
            <w:sz w:val="22"/>
            <w:lang w:val="fr-CA"/>
          </w:rPr>
          <w:t>41133</w:t>
        </w:r>
      </w:hyperlink>
      <w:r w:rsidRPr="00A831A4">
        <w:rPr>
          <w:sz w:val="22"/>
          <w:lang w:val="fr-CA"/>
        </w:rPr>
        <w:t>)</w:t>
      </w:r>
    </w:p>
    <w:p w:rsidR="00DE1F0C" w:rsidRPr="00A831A4" w:rsidRDefault="00DE1F0C" w:rsidP="00DE1F0C">
      <w:pPr>
        <w:widowControl w:val="0"/>
        <w:rPr>
          <w:sz w:val="20"/>
          <w:lang w:val="fr-CA"/>
        </w:rPr>
      </w:pPr>
    </w:p>
    <w:p w:rsidR="00DE1F0C" w:rsidRPr="00A831A4" w:rsidRDefault="00DE1F0C" w:rsidP="00DE1F0C">
      <w:pPr>
        <w:widowControl w:val="0"/>
        <w:jc w:val="both"/>
        <w:rPr>
          <w:sz w:val="20"/>
          <w:lang w:val="fr-CA"/>
        </w:rPr>
      </w:pPr>
      <w:r w:rsidRPr="00A831A4">
        <w:rPr>
          <w:sz w:val="20"/>
          <w:lang w:val="fr-CA"/>
        </w:rPr>
        <w:t>La demande d’autorisation d’appel de l’arrêt de la Cour d’appel de l’Ontario, numéro C69404, 2023 ONCA 854, daté du 22 décembre 2023, est rejetée.</w:t>
      </w:r>
    </w:p>
    <w:p w:rsidR="00DE1F0C" w:rsidRPr="00A831A4" w:rsidRDefault="00DE1F0C" w:rsidP="00DE1F0C">
      <w:pPr>
        <w:widowControl w:val="0"/>
        <w:jc w:val="both"/>
        <w:rPr>
          <w:sz w:val="20"/>
          <w:lang w:val="fr-CA"/>
        </w:rPr>
      </w:pPr>
    </w:p>
    <w:p w:rsidR="00DE1F0C" w:rsidRPr="00A831A4" w:rsidRDefault="00A23382" w:rsidP="00DE1F0C">
      <w:pPr>
        <w:widowControl w:val="0"/>
        <w:rPr>
          <w:sz w:val="20"/>
          <w:lang w:val="fr-CA"/>
        </w:rPr>
      </w:pPr>
      <w:r>
        <w:rPr>
          <w:sz w:val="20"/>
        </w:rPr>
        <w:pict>
          <v:rect id="_x0000_i1043"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rPr>
          <w:sz w:val="22"/>
          <w:lang w:val="fr-CA"/>
        </w:rPr>
      </w:pPr>
      <w:r w:rsidRPr="00A831A4">
        <w:rPr>
          <w:i/>
          <w:sz w:val="22"/>
        </w:rPr>
        <w:t>Cornelius P. Loeppky, Karen G. Loeppky, Cornelius P. Loeppky en sa qualité de fiduciaire de la Cornelius Loeppky Family Trust, Connor Bridges en sa qualité de fiduciaire de la Cornelius Loeppky Family Trust et la Cornelius Loeppky Family Trust c. Taylor McCaffrey LLP, Norman K. Snyder and N.K. Snyder Law Corporation</w:t>
      </w:r>
      <w:r w:rsidRPr="00A831A4">
        <w:rPr>
          <w:sz w:val="22"/>
        </w:rPr>
        <w:t xml:space="preserve"> (Man.) </w:t>
      </w:r>
      <w:r w:rsidRPr="00A831A4">
        <w:rPr>
          <w:sz w:val="22"/>
          <w:lang w:val="fr-CA"/>
        </w:rPr>
        <w:t>(Civile) (Autorisation) (</w:t>
      </w:r>
      <w:hyperlink r:id="rId32" w:history="1">
        <w:r w:rsidRPr="00A831A4">
          <w:rPr>
            <w:rStyle w:val="Hyperlink"/>
            <w:sz w:val="22"/>
            <w:lang w:val="fr-CA"/>
          </w:rPr>
          <w:t>41120</w:t>
        </w:r>
      </w:hyperlink>
      <w:r w:rsidRPr="00A831A4">
        <w:rPr>
          <w:sz w:val="22"/>
          <w:lang w:val="fr-CA"/>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demande d’autorisation d’appel de l’arrêt de la Cour d’appel du Manitoba, numéros AI22-30-09728, AI22-30-09865, 2023 MBCA 101, daté du 15 décembre 2023, est rejetée avec dépens.</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44"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rPr>
          <w:sz w:val="22"/>
          <w:lang w:val="fr-CA"/>
        </w:rPr>
      </w:pPr>
      <w:r w:rsidRPr="00A831A4">
        <w:rPr>
          <w:i/>
          <w:sz w:val="22"/>
          <w:lang w:val="fr-CA"/>
        </w:rPr>
        <w:t>Compagnie d’assurance Coseco c. Lynn Schroeder</w:t>
      </w:r>
      <w:r w:rsidRPr="00A831A4">
        <w:rPr>
          <w:sz w:val="22"/>
          <w:lang w:val="fr-CA"/>
        </w:rPr>
        <w:t xml:space="preserve"> (Ont.) (Civile) (Autorisation) (</w:t>
      </w:r>
      <w:hyperlink r:id="rId33" w:history="1">
        <w:r w:rsidRPr="00A831A4">
          <w:rPr>
            <w:rStyle w:val="Hyperlink"/>
            <w:sz w:val="22"/>
            <w:lang w:val="fr-CA"/>
          </w:rPr>
          <w:t>41187</w:t>
        </w:r>
      </w:hyperlink>
      <w:r w:rsidRPr="00A831A4">
        <w:rPr>
          <w:sz w:val="22"/>
          <w:lang w:val="fr-CA"/>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demande d’autorisation d’appel de l’arrêt de la Cour d’appel de l’Ontario, numéro COA-23-CV-0536, 2024 ONCA 54, daté du 24 janvier 2024, est rejetée avec dépens.</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45"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lang w:val="fr-CA"/>
        </w:rPr>
      </w:pPr>
      <w:r w:rsidRPr="00A831A4">
        <w:rPr>
          <w:i/>
          <w:sz w:val="22"/>
          <w:lang w:val="fr-CA"/>
        </w:rPr>
        <w:t>ArcelorMittal Canada inc. et 7623704 Canada inc. c. Sa Majesté le Roi</w:t>
      </w:r>
      <w:r w:rsidRPr="00A831A4">
        <w:rPr>
          <w:sz w:val="22"/>
          <w:lang w:val="fr-CA"/>
        </w:rPr>
        <w:t xml:space="preserve"> (Que.) (Criminelle) (Autorisation) (</w:t>
      </w:r>
      <w:hyperlink r:id="rId34" w:history="1">
        <w:r w:rsidRPr="00A831A4">
          <w:rPr>
            <w:rStyle w:val="Hyperlink"/>
            <w:sz w:val="22"/>
            <w:lang w:val="fr-CA"/>
          </w:rPr>
          <w:t>41119</w:t>
        </w:r>
      </w:hyperlink>
      <w:r w:rsidRPr="00A831A4">
        <w:rPr>
          <w:sz w:val="22"/>
          <w:lang w:val="fr-CA"/>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demande d’autorisation d’appel de l’arrêt de la Cour d’appel du Québec (Montréal), numéro 500-10-007700-212, 2023 QCCA 1564, daté du 14 décembre 2023, est rejetée.</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46"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lang w:val="fr-CA"/>
        </w:rPr>
      </w:pPr>
      <w:r w:rsidRPr="00A831A4">
        <w:rPr>
          <w:i/>
          <w:sz w:val="22"/>
          <w:lang w:val="fr-CA"/>
        </w:rPr>
        <w:t>Darryan Reshaun Edwards c. Sa Majesté le Roi</w:t>
      </w:r>
      <w:r w:rsidRPr="00A831A4">
        <w:rPr>
          <w:sz w:val="22"/>
          <w:lang w:val="fr-CA"/>
        </w:rPr>
        <w:t xml:space="preserve"> (Man.) (Criminelle) (Autorisation) (</w:t>
      </w:r>
      <w:hyperlink r:id="rId35" w:history="1">
        <w:r w:rsidRPr="00A831A4">
          <w:rPr>
            <w:rStyle w:val="Hyperlink"/>
            <w:sz w:val="22"/>
            <w:lang w:val="fr-CA"/>
          </w:rPr>
          <w:t>41279</w:t>
        </w:r>
      </w:hyperlink>
      <w:r w:rsidRPr="00A831A4">
        <w:rPr>
          <w:sz w:val="22"/>
          <w:lang w:val="fr-CA"/>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demande d’autorisation d’appel de l’arrêt de la Cour d’appel du Manitoba, numéro AR22-30-09844, 2024 MBCA 27, daté du 21 mars 2024, est rejetée.</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47"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pStyle w:val="SCCLsocParty"/>
        <w:jc w:val="left"/>
        <w:rPr>
          <w:sz w:val="22"/>
        </w:rPr>
      </w:pPr>
      <w:r w:rsidRPr="00A831A4">
        <w:rPr>
          <w:i/>
          <w:sz w:val="22"/>
          <w:lang w:val="en-CA"/>
        </w:rPr>
        <w:t xml:space="preserve">Huntly Investments Limited, Pacific Investment Corporation Limited, Brent Newton Wolverton, Mark Frank Wolverton, Lisa Marie Wolverton, Kathleen May Wolverton, DM Wolverton Trust et Wolverton Alter Ego Trust c. </w:t>
      </w:r>
      <w:r w:rsidRPr="00A831A4">
        <w:rPr>
          <w:i/>
          <w:sz w:val="22"/>
          <w:lang w:val="en-US"/>
        </w:rPr>
        <w:t>Casa Margarita Enterprises Ltd. et Anne Louise Wolverton</w:t>
      </w:r>
      <w:r w:rsidRPr="00A831A4">
        <w:rPr>
          <w:sz w:val="22"/>
          <w:lang w:val="en-CA"/>
        </w:rPr>
        <w:t xml:space="preserve"> (C.-B.) </w:t>
      </w:r>
      <w:r w:rsidRPr="00A831A4">
        <w:rPr>
          <w:sz w:val="22"/>
        </w:rPr>
        <w:t>(Civile) (Autorisation) (</w:t>
      </w:r>
      <w:hyperlink r:id="rId36" w:history="1">
        <w:r w:rsidRPr="00A831A4">
          <w:rPr>
            <w:rStyle w:val="Hyperlink"/>
            <w:sz w:val="22"/>
          </w:rPr>
          <w:t>41191</w:t>
        </w:r>
      </w:hyperlink>
      <w:r w:rsidRPr="00A831A4">
        <w:rPr>
          <w:sz w:val="22"/>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demande d’autorisation d’appel de l’arrêt de la Cour d’appel de la Colombie-Britannique (Vancouver), numéro CA49174, 2024 BCCA 31, daté du 26 janvier 2024, est rejetée avec dépens à Casa Margarita Enterprises Ltd.</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48"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pPr>
        <w:rPr>
          <w:i/>
          <w:sz w:val="22"/>
        </w:rPr>
      </w:pPr>
      <w:r w:rsidRPr="00A831A4">
        <w:rPr>
          <w:i/>
          <w:sz w:val="22"/>
        </w:rPr>
        <w:br w:type="page"/>
      </w:r>
    </w:p>
    <w:p w:rsidR="00DE1F0C" w:rsidRPr="00A831A4" w:rsidRDefault="00DE1F0C" w:rsidP="00DE1F0C">
      <w:pPr>
        <w:tabs>
          <w:tab w:val="left" w:pos="360"/>
        </w:tabs>
        <w:rPr>
          <w:sz w:val="22"/>
          <w:lang w:val="fr-CA"/>
        </w:rPr>
      </w:pPr>
      <w:r w:rsidRPr="00A831A4">
        <w:rPr>
          <w:i/>
          <w:sz w:val="22"/>
        </w:rPr>
        <w:lastRenderedPageBreak/>
        <w:t xml:space="preserve">Sorensen Trilogy Engineering Ltd., Brian McClure, Theodore Tracy Sorensen et Brian Douglas Lange c. Centurion Apartment Properties Limited Partnership and Centurion Apartment Properties (Danbrook One) Inc., Loco Investments Inc., Margaret McKay et DB Services of Victoria Inc. - et entre - Sorensen Trilogy Engineering Ltd., Brian McClure, Theodore Tracy Sorensen et Brian Douglas Lange c. Loco Investments Inc., Margaret McKay, DB Services of Victoria Inc., Centurion Apartment Properties Limited Partnership et Centurion Apartment Properties (Danbrook One) Inc. </w:t>
      </w:r>
      <w:r w:rsidRPr="00A831A4">
        <w:rPr>
          <w:sz w:val="22"/>
          <w:lang w:val="fr-CA"/>
        </w:rPr>
        <w:t>(C.-B.) (Civile) (Autorisation) (</w:t>
      </w:r>
      <w:hyperlink r:id="rId37" w:history="1">
        <w:r w:rsidRPr="00A831A4">
          <w:rPr>
            <w:rStyle w:val="Hyperlink"/>
            <w:sz w:val="22"/>
            <w:lang w:val="fr-CA"/>
          </w:rPr>
          <w:t>41192</w:t>
        </w:r>
      </w:hyperlink>
      <w:r w:rsidRPr="00A831A4">
        <w:rPr>
          <w:sz w:val="22"/>
          <w:lang w:val="fr-CA"/>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demande d’autorisation d’appel de l’arrêt de la Cour d’appel de la Colombie-Britannique (Vancouver), numéros CA48819 et CA48832, 2024 BCCA 25, daté du 24 janvier 2024, est rejetée avec dépens aux intimés Centurion Apartment Properties Limited Partnership, Centurion Apartment Properties (Danbrook One) Inc., Loco Investments Inc. et Margaret McKay.</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49"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lang w:val="fr-CA"/>
        </w:rPr>
      </w:pPr>
      <w:r w:rsidRPr="00A831A4">
        <w:rPr>
          <w:i/>
          <w:sz w:val="22"/>
        </w:rPr>
        <w:t xml:space="preserve">Teisha Leanne Focken c. Mark Jonathan Miller et Andrew Kurt Best </w:t>
      </w:r>
      <w:r w:rsidRPr="00A831A4">
        <w:rPr>
          <w:sz w:val="22"/>
        </w:rPr>
        <w:t xml:space="preserve">(C.-B.) </w:t>
      </w:r>
      <w:r w:rsidRPr="00A831A4">
        <w:rPr>
          <w:sz w:val="22"/>
          <w:lang w:val="fr-CA"/>
        </w:rPr>
        <w:t>(Civile) (Autorisation) (</w:t>
      </w:r>
      <w:hyperlink r:id="rId38" w:history="1">
        <w:r w:rsidRPr="00A831A4">
          <w:rPr>
            <w:rStyle w:val="Hyperlink"/>
            <w:sz w:val="22"/>
            <w:lang w:val="fr-CA"/>
          </w:rPr>
          <w:t>41244</w:t>
        </w:r>
      </w:hyperlink>
      <w:r w:rsidRPr="00A831A4">
        <w:rPr>
          <w:sz w:val="22"/>
          <w:lang w:val="fr-CA"/>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demande d’autorisation d’appel de l’arrêt de la Cour d’appel de la Colombie-Britannique (Vancouver), numéro CA48734, 2024 BCCA 74, daté du 1 mars 2024, est rejetée avec dépens.</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50"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lang w:val="fr-CA"/>
        </w:rPr>
      </w:pPr>
      <w:r w:rsidRPr="00A831A4">
        <w:rPr>
          <w:i/>
          <w:sz w:val="22"/>
        </w:rPr>
        <w:t xml:space="preserve">Gary Curtis c. Bank of Nova Scotia </w:t>
      </w:r>
      <w:r w:rsidRPr="00A831A4">
        <w:rPr>
          <w:sz w:val="22"/>
        </w:rPr>
        <w:t xml:space="preserve">(Ont.) </w:t>
      </w:r>
      <w:r w:rsidRPr="00A831A4">
        <w:rPr>
          <w:sz w:val="22"/>
          <w:lang w:val="fr-CA"/>
        </w:rPr>
        <w:t>(Civile) (Autorisation) (</w:t>
      </w:r>
      <w:hyperlink r:id="rId39" w:history="1">
        <w:r w:rsidRPr="00A831A4">
          <w:rPr>
            <w:rStyle w:val="Hyperlink"/>
            <w:sz w:val="22"/>
            <w:lang w:val="fr-CA"/>
          </w:rPr>
          <w:t>41305</w:t>
        </w:r>
      </w:hyperlink>
      <w:r w:rsidRPr="00A831A4">
        <w:rPr>
          <w:sz w:val="22"/>
          <w:lang w:val="fr-CA"/>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demande d’autorisation d’appel de l’arrêt de la Cour d’appel de l’Ontario, numéro COA-24-CV-0038, 2024 ONCA 374, daté du 10 mai 2024, est rejetée.</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51"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lang w:val="fr-CA"/>
        </w:rPr>
      </w:pPr>
      <w:r w:rsidRPr="00A831A4">
        <w:rPr>
          <w:i/>
          <w:sz w:val="22"/>
          <w:lang w:val="fr-CA"/>
        </w:rPr>
        <w:t>Éric Pelletier c. Sa Majesté le Roi</w:t>
      </w:r>
      <w:r w:rsidRPr="00A831A4">
        <w:rPr>
          <w:sz w:val="22"/>
          <w:lang w:val="fr-CA"/>
        </w:rPr>
        <w:t xml:space="preserve"> (Que.) (Criminelle) (Autorisation) (</w:t>
      </w:r>
      <w:hyperlink r:id="rId40" w:history="1">
        <w:r w:rsidRPr="00A831A4">
          <w:rPr>
            <w:rStyle w:val="Hyperlink"/>
            <w:sz w:val="22"/>
            <w:lang w:val="fr-CA"/>
          </w:rPr>
          <w:t>41216</w:t>
        </w:r>
      </w:hyperlink>
      <w:r w:rsidRPr="00A831A4">
        <w:rPr>
          <w:sz w:val="22"/>
          <w:lang w:val="fr-CA"/>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demande d’autorisation d’appel de l’arrêt de la Cour d’appel du Québec (Québec), numéro 200-10-003985-228, 2024 QCCA 183, daté du 13 février 2024, est rejetée.</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52"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lang w:val="fr-CA"/>
        </w:rPr>
      </w:pPr>
      <w:r w:rsidRPr="00A831A4">
        <w:rPr>
          <w:i/>
          <w:sz w:val="22"/>
          <w:lang w:val="fr-CA"/>
        </w:rPr>
        <w:t>Kalen Schlatter c. Sa Majesté le Roi</w:t>
      </w:r>
      <w:r w:rsidRPr="00A831A4">
        <w:rPr>
          <w:sz w:val="22"/>
          <w:lang w:val="fr-CA"/>
        </w:rPr>
        <w:t xml:space="preserve"> (Ont.) (Criminelle) (Autorisation) (</w:t>
      </w:r>
      <w:hyperlink r:id="rId41" w:history="1">
        <w:r w:rsidRPr="00A831A4">
          <w:rPr>
            <w:rStyle w:val="Hyperlink"/>
            <w:sz w:val="22"/>
            <w:lang w:val="fr-CA"/>
          </w:rPr>
          <w:t>41301</w:t>
        </w:r>
      </w:hyperlink>
      <w:r w:rsidRPr="00A831A4">
        <w:rPr>
          <w:sz w:val="22"/>
          <w:lang w:val="fr-CA"/>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requête en prorogation du délai de signification et de dépôt de la demande d’autorisation d’appel de l’arrêt de la Cour d’appel de l’Ontario, numéro C68354, 2024 ONCA 56, daté du 24 janvier 2024, est rejetée.</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53"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pStyle w:val="SCCLsocParty"/>
        <w:jc w:val="left"/>
        <w:rPr>
          <w:sz w:val="22"/>
        </w:rPr>
      </w:pPr>
      <w:r w:rsidRPr="00A831A4">
        <w:rPr>
          <w:i/>
          <w:sz w:val="22"/>
          <w:lang w:val="en-CA"/>
        </w:rPr>
        <w:t>Rina Del Giudice et Daniel Wood c. Paige Thompson, Capital One Financial Corporation, Capital One Bank (Canada Branch), Capital One (Services) Canada Inc., Capital One, N.A., Capital One Bank (USA), N.A., Amazon Web Services Inc., et Amazon Web Services (Canada) Inc.</w:t>
      </w:r>
      <w:r w:rsidRPr="00A831A4">
        <w:rPr>
          <w:sz w:val="22"/>
          <w:lang w:val="en-CA"/>
        </w:rPr>
        <w:t xml:space="preserve"> </w:t>
      </w:r>
      <w:r w:rsidRPr="00A831A4">
        <w:rPr>
          <w:sz w:val="22"/>
        </w:rPr>
        <w:t>(Ont.) (Civile) (Autorisation) (</w:t>
      </w:r>
      <w:hyperlink r:id="rId42" w:history="1">
        <w:r w:rsidRPr="00A831A4">
          <w:rPr>
            <w:rStyle w:val="Hyperlink"/>
            <w:sz w:val="22"/>
          </w:rPr>
          <w:t>41202</w:t>
        </w:r>
      </w:hyperlink>
      <w:r w:rsidRPr="00A831A4">
        <w:rPr>
          <w:sz w:val="22"/>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demande d’autorisation d’appel de l’arrêt de la Cour d’appel de l’Ontario, numéros C70175 et M53810, 2024 ONCA 70, daté du 31 janvier 2024, est rejetée avec dépens aux intimées Capital One Financial Corporation, Capital One Bank (Canada Branch), Capital One (Services) Canada Inc., Capital One, N.A., Capital One Bank (USA), N.A., Amazon Web Services Inc., et Amazon Web Services (Canada) Inc.</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54"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lang w:val="fr-CA"/>
        </w:rPr>
      </w:pPr>
      <w:r w:rsidRPr="00A831A4">
        <w:rPr>
          <w:i/>
          <w:sz w:val="22"/>
          <w:lang w:val="fr-CA"/>
        </w:rPr>
        <w:lastRenderedPageBreak/>
        <w:t xml:space="preserve">Chang Jacques c. Rona Inc. </w:t>
      </w:r>
      <w:r w:rsidRPr="00A831A4">
        <w:rPr>
          <w:sz w:val="22"/>
          <w:lang w:val="fr-CA"/>
        </w:rPr>
        <w:t>(C.-B.) (Civile) (Autorisation) (</w:t>
      </w:r>
      <w:hyperlink r:id="rId43" w:history="1">
        <w:r w:rsidRPr="00A831A4">
          <w:rPr>
            <w:rStyle w:val="Hyperlink"/>
            <w:sz w:val="22"/>
            <w:lang w:val="fr-CA"/>
          </w:rPr>
          <w:t>41326</w:t>
        </w:r>
      </w:hyperlink>
      <w:r w:rsidRPr="00A831A4">
        <w:rPr>
          <w:sz w:val="22"/>
          <w:lang w:val="fr-CA"/>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requête en prorogation du délai de signification et de dépôt de la demande d’autorisation d’appel de l’arrêt de la Cour d’appel de la Colombie-Britannique (Vancouver), numéro CA47575, 2021 BCCA 340, daté du 9 septembre 2021, est rejetée.</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55"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lang w:val="fr-CA"/>
        </w:rPr>
      </w:pPr>
      <w:r w:rsidRPr="00A831A4">
        <w:rPr>
          <w:i/>
          <w:sz w:val="22"/>
          <w:lang w:val="fr-CA"/>
        </w:rPr>
        <w:t xml:space="preserve">Chang Jacques c. Jennifer Muir </w:t>
      </w:r>
      <w:r w:rsidRPr="00A831A4">
        <w:rPr>
          <w:sz w:val="22"/>
          <w:lang w:val="fr-CA"/>
        </w:rPr>
        <w:t>(C.-B.) (Civile) (Autorisation) (</w:t>
      </w:r>
      <w:hyperlink r:id="rId44" w:history="1">
        <w:r w:rsidRPr="00A831A4">
          <w:rPr>
            <w:rStyle w:val="Hyperlink"/>
            <w:sz w:val="22"/>
            <w:lang w:val="fr-CA"/>
          </w:rPr>
          <w:t>41327</w:t>
        </w:r>
      </w:hyperlink>
      <w:r w:rsidRPr="00A831A4">
        <w:rPr>
          <w:sz w:val="22"/>
          <w:lang w:val="fr-CA"/>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requête en prorogation du délai de signification et de dépôt de la demande d’autorisation d’appel de l’arrêt de la Cour d’appel de la Colombie-Britannique (Vancouver), numéro CA47594, 2021 BCCA 363, daté du 17 septembre 2021, est rejetée.</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56"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lang w:val="fr-CA"/>
        </w:rPr>
      </w:pPr>
      <w:r w:rsidRPr="00A831A4">
        <w:rPr>
          <w:i/>
          <w:sz w:val="22"/>
        </w:rPr>
        <w:t>Fetsum Zewdie v. Frehiwot Thomas Shine</w:t>
      </w:r>
      <w:r w:rsidRPr="00A831A4">
        <w:rPr>
          <w:sz w:val="22"/>
        </w:rPr>
        <w:t xml:space="preserve"> (Alb.) </w:t>
      </w:r>
      <w:r w:rsidRPr="00A831A4">
        <w:rPr>
          <w:sz w:val="22"/>
          <w:lang w:val="fr-CA"/>
        </w:rPr>
        <w:t>(Civile) (Autorisation) (</w:t>
      </w:r>
      <w:hyperlink r:id="rId45" w:history="1">
        <w:r w:rsidRPr="00A831A4">
          <w:rPr>
            <w:rStyle w:val="Hyperlink"/>
            <w:sz w:val="22"/>
            <w:lang w:val="fr-CA"/>
          </w:rPr>
          <w:t>41174</w:t>
        </w:r>
      </w:hyperlink>
      <w:r w:rsidRPr="00A831A4">
        <w:rPr>
          <w:sz w:val="22"/>
          <w:lang w:val="fr-CA"/>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 xml:space="preserve">La demande d’autorisation d’appel de l’arrêt de la Cour d'appel de l’Alberta (Calgary), numéro 2301-0292AC, daté du 8 février 2024, est rejetée avec dépens conformément au tarif des honoraires et débours établi à l’Annexe B des </w:t>
      </w:r>
      <w:r w:rsidRPr="00A831A4">
        <w:rPr>
          <w:i/>
          <w:sz w:val="20"/>
          <w:lang w:val="fr-CA"/>
        </w:rPr>
        <w:t>Règles de la Cour suprême du Canada</w:t>
      </w:r>
      <w:r w:rsidRPr="00A831A4">
        <w:rPr>
          <w:sz w:val="20"/>
          <w:lang w:val="fr-CA"/>
        </w:rPr>
        <w:t>.</w:t>
      </w:r>
    </w:p>
    <w:p w:rsidR="00DE1F0C" w:rsidRPr="00A831A4" w:rsidRDefault="00DE1F0C" w:rsidP="00DE1F0C">
      <w:pPr>
        <w:ind w:left="357" w:hanging="357"/>
        <w:rPr>
          <w:sz w:val="20"/>
          <w:lang w:val="fr-CA"/>
        </w:rPr>
      </w:pPr>
    </w:p>
    <w:p w:rsidR="00DE1F0C" w:rsidRPr="00A831A4" w:rsidRDefault="00A23382" w:rsidP="00DE1F0C">
      <w:pPr>
        <w:rPr>
          <w:sz w:val="20"/>
        </w:rPr>
      </w:pPr>
      <w:r>
        <w:rPr>
          <w:sz w:val="20"/>
        </w:rPr>
        <w:pict>
          <v:rect id="_x0000_i1057" style="width:2in;height:1pt" o:hrpct="0" o:hralign="center" o:hrstd="t" o:hrnoshade="t" o:hr="t" fillcolor="black [3213]" stroked="f"/>
        </w:pict>
      </w:r>
    </w:p>
    <w:p w:rsidR="00DE1F0C" w:rsidRPr="00A831A4" w:rsidRDefault="00DE1F0C" w:rsidP="00DE1F0C">
      <w:pPr>
        <w:ind w:left="357" w:hanging="357"/>
        <w:rPr>
          <w:sz w:val="20"/>
        </w:rPr>
      </w:pPr>
    </w:p>
    <w:p w:rsidR="00DE1F0C" w:rsidRPr="00A831A4" w:rsidRDefault="00DE1F0C" w:rsidP="00DE1F0C">
      <w:pPr>
        <w:tabs>
          <w:tab w:val="left" w:pos="360"/>
        </w:tabs>
        <w:rPr>
          <w:sz w:val="22"/>
          <w:lang w:val="fr-CA"/>
        </w:rPr>
      </w:pPr>
      <w:r w:rsidRPr="00A831A4">
        <w:rPr>
          <w:i/>
          <w:sz w:val="22"/>
        </w:rPr>
        <w:t>John Emmons c. Alberta (Worker’s Compensation Board)</w:t>
      </w:r>
      <w:r w:rsidRPr="00A831A4">
        <w:rPr>
          <w:sz w:val="22"/>
        </w:rPr>
        <w:t xml:space="preserve"> (Alb.) </w:t>
      </w:r>
      <w:r w:rsidRPr="00A831A4">
        <w:rPr>
          <w:sz w:val="22"/>
          <w:lang w:val="fr-CA"/>
        </w:rPr>
        <w:t>(Civile) (Autorisation) (</w:t>
      </w:r>
      <w:hyperlink r:id="rId46" w:history="1">
        <w:r w:rsidRPr="00A831A4">
          <w:rPr>
            <w:rStyle w:val="Hyperlink"/>
            <w:sz w:val="22"/>
            <w:lang w:val="fr-CA"/>
          </w:rPr>
          <w:t>41263</w:t>
        </w:r>
      </w:hyperlink>
      <w:r w:rsidRPr="00A831A4">
        <w:rPr>
          <w:sz w:val="22"/>
          <w:lang w:val="fr-CA"/>
        </w:rPr>
        <w:t>)</w:t>
      </w:r>
    </w:p>
    <w:p w:rsidR="00DE1F0C" w:rsidRPr="00A831A4" w:rsidRDefault="00DE1F0C" w:rsidP="00DE1F0C">
      <w:pPr>
        <w:ind w:left="357" w:hanging="357"/>
        <w:rPr>
          <w:sz w:val="20"/>
          <w:lang w:val="fr-CA"/>
        </w:rPr>
      </w:pPr>
    </w:p>
    <w:p w:rsidR="00DE1F0C" w:rsidRPr="00A831A4" w:rsidRDefault="00DE1F0C" w:rsidP="00DE1F0C">
      <w:pPr>
        <w:jc w:val="both"/>
        <w:rPr>
          <w:sz w:val="20"/>
          <w:lang w:val="fr-CA"/>
        </w:rPr>
      </w:pPr>
      <w:r w:rsidRPr="00A831A4">
        <w:rPr>
          <w:sz w:val="20"/>
          <w:lang w:val="fr-CA"/>
        </w:rPr>
        <w:t>La demande d’autorisation d’appel de l’arrêt de la Cour d’appel de l’Alberta (Calgary), numéro 2301-0031AC, 2024 ABCA 78, daté du 6 mars 2024, est rejetée.</w:t>
      </w:r>
    </w:p>
    <w:p w:rsidR="004B2E86" w:rsidRPr="00A831A4" w:rsidRDefault="004B2E86" w:rsidP="004B2E86">
      <w:pPr>
        <w:jc w:val="both"/>
        <w:rPr>
          <w:sz w:val="20"/>
          <w:szCs w:val="20"/>
          <w:lang w:val="fr-CA"/>
        </w:rPr>
      </w:pPr>
    </w:p>
    <w:p w:rsidR="00102792" w:rsidRPr="00A831A4" w:rsidRDefault="00A23382" w:rsidP="004B2E86">
      <w:pPr>
        <w:jc w:val="both"/>
        <w:rPr>
          <w:sz w:val="20"/>
          <w:szCs w:val="20"/>
          <w:lang w:val="fr-CA"/>
        </w:rPr>
      </w:pPr>
      <w:r>
        <w:rPr>
          <w:sz w:val="20"/>
          <w:szCs w:val="20"/>
        </w:rPr>
        <w:pict>
          <v:rect id="_x0000_i1058" style="width:2in;height:1pt" o:hrpct="0" o:hralign="center" o:hrstd="t" o:hrnoshade="t" o:hr="t" fillcolor="black" stroked="f"/>
        </w:pict>
      </w:r>
    </w:p>
    <w:p w:rsidR="00E06F20" w:rsidRPr="00A831A4" w:rsidRDefault="00E06F20" w:rsidP="00102792">
      <w:pPr>
        <w:jc w:val="both"/>
        <w:rPr>
          <w:sz w:val="20"/>
          <w:lang w:val="fr-CA"/>
        </w:rPr>
      </w:pPr>
    </w:p>
    <w:p w:rsidR="00890FEB" w:rsidRPr="00A831A4" w:rsidRDefault="00890FEB" w:rsidP="008D292F">
      <w:pPr>
        <w:rPr>
          <w:sz w:val="20"/>
          <w:szCs w:val="20"/>
          <w:lang w:val="fr-CA"/>
        </w:rPr>
      </w:pPr>
    </w:p>
    <w:p w:rsidR="00890FEB" w:rsidRPr="00A831A4" w:rsidRDefault="00890FEB" w:rsidP="008D292F">
      <w:pPr>
        <w:rPr>
          <w:b/>
          <w:sz w:val="20"/>
          <w:szCs w:val="20"/>
          <w:lang w:val="fr-CA"/>
        </w:rPr>
        <w:sectPr w:rsidR="00890FEB" w:rsidRPr="00A831A4" w:rsidSect="009D4890">
          <w:headerReference w:type="even" r:id="rId47"/>
          <w:headerReference w:type="default" r:id="rId48"/>
          <w:footerReference w:type="even" r:id="rId49"/>
          <w:footerReference w:type="default" r:id="rId50"/>
          <w:headerReference w:type="first" r:id="rId51"/>
          <w:footerReference w:type="first" r:id="rId52"/>
          <w:pgSz w:w="12240" w:h="15840"/>
          <w:pgMar w:top="720" w:right="965" w:bottom="1080" w:left="1656" w:header="720" w:footer="965" w:gutter="0"/>
          <w:pgNumType w:start="1"/>
          <w:cols w:space="720"/>
          <w:titlePg/>
          <w:docGrid w:linePitch="326"/>
        </w:sectPr>
      </w:pPr>
    </w:p>
    <w:p w:rsidR="00693C38" w:rsidRPr="00A831A4" w:rsidRDefault="00DD0BDC" w:rsidP="00567602">
      <w:pPr>
        <w:pStyle w:val="Header1StyleE"/>
        <w:pBdr>
          <w:bottom w:val="single" w:sz="12" w:space="1" w:color="auto"/>
        </w:pBdr>
        <w:rPr>
          <w:lang w:val="fr-CA"/>
        </w:rPr>
      </w:pPr>
      <w:bookmarkStart w:id="6" w:name="_Toc177632278"/>
      <w:r w:rsidRPr="00A831A4">
        <w:rPr>
          <w:lang w:val="fr-CA"/>
        </w:rPr>
        <w:lastRenderedPageBreak/>
        <w:t>Motions</w:t>
      </w:r>
      <w:r w:rsidR="00271E1E" w:rsidRPr="00A831A4">
        <w:rPr>
          <w:lang w:val="fr-CA"/>
        </w:rPr>
        <w:t xml:space="preserve"> / </w:t>
      </w:r>
      <w:r w:rsidR="00693C38" w:rsidRPr="00A831A4">
        <w:rPr>
          <w:lang w:val="fr-CA"/>
        </w:rPr>
        <w:br/>
      </w:r>
      <w:r w:rsidRPr="00A831A4">
        <w:rPr>
          <w:lang w:val="fr-CA"/>
        </w:rPr>
        <w:t>Requêtes</w:t>
      </w:r>
      <w:bookmarkEnd w:id="6"/>
    </w:p>
    <w:p w:rsidR="00890FEB" w:rsidRPr="00A831A4" w:rsidRDefault="00890FEB" w:rsidP="00890FEB">
      <w:pPr>
        <w:rPr>
          <w:sz w:val="20"/>
          <w:szCs w:val="20"/>
          <w:lang w:val="fr-CA"/>
        </w:rPr>
      </w:pPr>
    </w:p>
    <w:p w:rsidR="008859F1" w:rsidRPr="00A831A4" w:rsidRDefault="00E92A2D" w:rsidP="008859F1">
      <w:pPr>
        <w:rPr>
          <w:b/>
          <w:sz w:val="20"/>
          <w:szCs w:val="20"/>
          <w:lang w:val="fr-CA"/>
        </w:rPr>
      </w:pPr>
      <w:r w:rsidRPr="00A831A4">
        <w:rPr>
          <w:b/>
          <w:sz w:val="20"/>
          <w:szCs w:val="20"/>
          <w:lang w:val="fr-CA"/>
        </w:rPr>
        <w:t>September</w:t>
      </w:r>
      <w:r w:rsidR="008859F1" w:rsidRPr="00A831A4">
        <w:rPr>
          <w:b/>
          <w:sz w:val="20"/>
          <w:szCs w:val="20"/>
          <w:lang w:val="fr-CA"/>
        </w:rPr>
        <w:t xml:space="preserve"> </w:t>
      </w:r>
      <w:r w:rsidRPr="00A831A4">
        <w:rPr>
          <w:b/>
          <w:sz w:val="20"/>
          <w:szCs w:val="20"/>
          <w:lang w:val="fr-CA"/>
        </w:rPr>
        <w:t>13</w:t>
      </w:r>
      <w:r w:rsidR="008859F1" w:rsidRPr="00A831A4">
        <w:rPr>
          <w:b/>
          <w:sz w:val="20"/>
          <w:szCs w:val="20"/>
          <w:lang w:val="fr-CA"/>
        </w:rPr>
        <w:t>, 20</w:t>
      </w:r>
      <w:r w:rsidR="005967EF" w:rsidRPr="00A831A4">
        <w:rPr>
          <w:b/>
          <w:sz w:val="20"/>
          <w:szCs w:val="20"/>
          <w:lang w:val="fr-CA"/>
        </w:rPr>
        <w:t>2</w:t>
      </w:r>
      <w:r w:rsidR="00345645" w:rsidRPr="00A831A4">
        <w:rPr>
          <w:b/>
          <w:sz w:val="20"/>
          <w:szCs w:val="20"/>
          <w:lang w:val="fr-CA"/>
        </w:rPr>
        <w:t>4</w:t>
      </w:r>
      <w:r w:rsidR="008859F1" w:rsidRPr="00A831A4">
        <w:rPr>
          <w:b/>
          <w:sz w:val="20"/>
          <w:szCs w:val="20"/>
          <w:lang w:val="fr-CA"/>
        </w:rPr>
        <w:t xml:space="preserve"> / L</w:t>
      </w:r>
      <w:r w:rsidR="009901B6" w:rsidRPr="00A831A4">
        <w:rPr>
          <w:b/>
          <w:sz w:val="20"/>
          <w:szCs w:val="20"/>
          <w:lang w:val="fr-CA"/>
        </w:rPr>
        <w:t>e</w:t>
      </w:r>
      <w:r w:rsidR="008859F1" w:rsidRPr="00A831A4">
        <w:rPr>
          <w:b/>
          <w:sz w:val="20"/>
          <w:szCs w:val="20"/>
          <w:lang w:val="fr-CA"/>
        </w:rPr>
        <w:t xml:space="preserve"> </w:t>
      </w:r>
      <w:r w:rsidRPr="00A831A4">
        <w:rPr>
          <w:b/>
          <w:sz w:val="20"/>
          <w:szCs w:val="20"/>
          <w:lang w:val="fr-CA"/>
        </w:rPr>
        <w:t>13</w:t>
      </w:r>
      <w:r w:rsidR="008859F1" w:rsidRPr="00A831A4">
        <w:rPr>
          <w:b/>
          <w:sz w:val="20"/>
          <w:szCs w:val="20"/>
          <w:lang w:val="fr-CA"/>
        </w:rPr>
        <w:t xml:space="preserve"> </w:t>
      </w:r>
      <w:r w:rsidRPr="00A831A4">
        <w:rPr>
          <w:b/>
          <w:sz w:val="20"/>
          <w:szCs w:val="20"/>
          <w:lang w:val="fr-CA"/>
        </w:rPr>
        <w:t>septembre</w:t>
      </w:r>
      <w:r w:rsidR="008859F1" w:rsidRPr="00A831A4">
        <w:rPr>
          <w:b/>
          <w:sz w:val="20"/>
          <w:szCs w:val="20"/>
          <w:lang w:val="fr-CA"/>
        </w:rPr>
        <w:t xml:space="preserve"> 20</w:t>
      </w:r>
      <w:r w:rsidR="005967EF" w:rsidRPr="00A831A4">
        <w:rPr>
          <w:b/>
          <w:sz w:val="20"/>
          <w:szCs w:val="20"/>
          <w:lang w:val="fr-CA"/>
        </w:rPr>
        <w:t>2</w:t>
      </w:r>
      <w:r w:rsidR="00345645" w:rsidRPr="00A831A4">
        <w:rPr>
          <w:b/>
          <w:sz w:val="20"/>
          <w:szCs w:val="20"/>
          <w:lang w:val="fr-CA"/>
        </w:rPr>
        <w:t>4</w:t>
      </w:r>
    </w:p>
    <w:p w:rsidR="00102792" w:rsidRPr="00A831A4"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D2793A" w:rsidTr="00F77B6C">
        <w:trPr>
          <w:trHeight w:val="554"/>
        </w:trPr>
        <w:tc>
          <w:tcPr>
            <w:tcW w:w="4410" w:type="dxa"/>
            <w:tcBorders>
              <w:top w:val="nil"/>
              <w:left w:val="nil"/>
              <w:bottom w:val="nil"/>
              <w:right w:val="nil"/>
            </w:tcBorders>
          </w:tcPr>
          <w:p w:rsidR="00D93A6C" w:rsidRPr="00A831A4" w:rsidRDefault="00E92A2D" w:rsidP="00691D1D">
            <w:pPr>
              <w:jc w:val="both"/>
              <w:rPr>
                <w:rFonts w:cs="Times New Roman"/>
                <w:b/>
                <w:bCs/>
                <w:sz w:val="20"/>
                <w:szCs w:val="20"/>
              </w:rPr>
            </w:pPr>
            <w:r w:rsidRPr="00A831A4">
              <w:rPr>
                <w:rFonts w:eastAsia="Times New Roman" w:cs="Times New Roman"/>
                <w:b/>
                <w:sz w:val="20"/>
                <w:szCs w:val="20"/>
                <w:lang w:val="en-US" w:eastAsia="en-CA"/>
              </w:rPr>
              <w:t>Order on motion for leave to intervene</w:t>
            </w:r>
          </w:p>
        </w:tc>
        <w:tc>
          <w:tcPr>
            <w:tcW w:w="810" w:type="dxa"/>
            <w:tcBorders>
              <w:top w:val="nil"/>
              <w:left w:val="nil"/>
              <w:bottom w:val="nil"/>
              <w:right w:val="nil"/>
            </w:tcBorders>
          </w:tcPr>
          <w:p w:rsidR="00D93A6C" w:rsidRPr="00A831A4"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A831A4" w:rsidRDefault="00E92A2D" w:rsidP="00691D1D">
            <w:pPr>
              <w:jc w:val="both"/>
              <w:rPr>
                <w:rFonts w:cs="Times New Roman"/>
                <w:b/>
                <w:bCs/>
                <w:sz w:val="20"/>
                <w:szCs w:val="20"/>
                <w:lang w:val="fr-CA"/>
              </w:rPr>
            </w:pPr>
            <w:r w:rsidRPr="00A831A4">
              <w:rPr>
                <w:rFonts w:eastAsia="Times New Roman" w:cs="Times New Roman"/>
                <w:b/>
                <w:sz w:val="20"/>
                <w:szCs w:val="20"/>
                <w:lang w:val="fr-CA" w:eastAsia="en-CA"/>
              </w:rPr>
              <w:t>Ordonnance sur requête en autorisation d’intervention</w:t>
            </w:r>
          </w:p>
        </w:tc>
      </w:tr>
    </w:tbl>
    <w:p w:rsidR="00D93A6C" w:rsidRPr="00A831A4" w:rsidRDefault="00D93A6C" w:rsidP="00102792">
      <w:pPr>
        <w:tabs>
          <w:tab w:val="left" w:pos="-1440"/>
          <w:tab w:val="left" w:pos="-720"/>
        </w:tabs>
        <w:jc w:val="both"/>
        <w:rPr>
          <w:rFonts w:eastAsia="Times New Roman" w:cs="Times New Roman"/>
          <w:sz w:val="20"/>
          <w:szCs w:val="20"/>
          <w:lang w:val="fr-CA" w:eastAsia="en-CA"/>
        </w:rPr>
      </w:pPr>
    </w:p>
    <w:p w:rsidR="000B4535" w:rsidRPr="00A831A4" w:rsidRDefault="000B4535" w:rsidP="000B4535">
      <w:pPr>
        <w:pStyle w:val="SCCSsoc"/>
        <w:jc w:val="both"/>
        <w:rPr>
          <w:caps/>
          <w:smallCaps w:val="0"/>
          <w:sz w:val="20"/>
          <w:szCs w:val="20"/>
        </w:rPr>
      </w:pPr>
      <w:r w:rsidRPr="00A831A4">
        <w:rPr>
          <w:caps/>
          <w:smallCaps w:val="0"/>
          <w:sz w:val="20"/>
          <w:szCs w:val="20"/>
          <w:lang w:val="en-US"/>
        </w:rPr>
        <w:t>Canadian Civil Liberties Association, et al.</w:t>
      </w:r>
      <w:r w:rsidRPr="00A831A4">
        <w:rPr>
          <w:smallCaps w:val="0"/>
          <w:sz w:val="20"/>
          <w:szCs w:val="20"/>
          <w:lang w:val="en-US"/>
        </w:rPr>
        <w:t xml:space="preserve"> v. </w:t>
      </w:r>
      <w:r w:rsidRPr="00A831A4">
        <w:rPr>
          <w:caps/>
          <w:smallCaps w:val="0"/>
          <w:sz w:val="20"/>
          <w:szCs w:val="20"/>
        </w:rPr>
        <w:t>His Majesty the King in Right of Newfoundland and Labrador, et al.</w:t>
      </w:r>
    </w:p>
    <w:p w:rsidR="000B4535" w:rsidRPr="00A831A4" w:rsidRDefault="000B4535" w:rsidP="000B4535">
      <w:pPr>
        <w:jc w:val="both"/>
        <w:rPr>
          <w:sz w:val="20"/>
          <w:szCs w:val="20"/>
          <w:lang w:val="en-US"/>
        </w:rPr>
      </w:pPr>
      <w:r w:rsidRPr="00A831A4">
        <w:rPr>
          <w:sz w:val="20"/>
          <w:szCs w:val="20"/>
        </w:rPr>
        <w:t>(N.L.) (40952)</w:t>
      </w:r>
    </w:p>
    <w:p w:rsidR="000B4535" w:rsidRPr="00A831A4" w:rsidRDefault="000B4535" w:rsidP="000B4535">
      <w:pPr>
        <w:rPr>
          <w:sz w:val="20"/>
          <w:szCs w:val="20"/>
          <w:lang w:val="en-US"/>
        </w:rPr>
      </w:pPr>
    </w:p>
    <w:p w:rsidR="000B4535" w:rsidRPr="00A831A4" w:rsidRDefault="000B4535" w:rsidP="000B4535">
      <w:pPr>
        <w:rPr>
          <w:b/>
          <w:sz w:val="20"/>
          <w:szCs w:val="20"/>
          <w:u w:val="single"/>
          <w:lang w:val="en-US"/>
        </w:rPr>
      </w:pPr>
      <w:r w:rsidRPr="00A831A4">
        <w:rPr>
          <w:b/>
          <w:sz w:val="20"/>
          <w:szCs w:val="20"/>
          <w:u w:val="single"/>
          <w:lang w:val="en-US"/>
        </w:rPr>
        <w:t>MARTIN J.</w:t>
      </w:r>
      <w:r w:rsidRPr="00A831A4">
        <w:rPr>
          <w:b/>
          <w:sz w:val="20"/>
          <w:szCs w:val="20"/>
          <w:lang w:val="en-US"/>
        </w:rPr>
        <w:t xml:space="preserve">: </w:t>
      </w:r>
    </w:p>
    <w:p w:rsidR="000B4535" w:rsidRPr="00A831A4" w:rsidRDefault="000B4535" w:rsidP="000B4535">
      <w:pPr>
        <w:rPr>
          <w:sz w:val="20"/>
          <w:szCs w:val="20"/>
          <w:lang w:val="en-US"/>
        </w:rPr>
      </w:pPr>
    </w:p>
    <w:p w:rsidR="000B4535" w:rsidRPr="00A831A4" w:rsidRDefault="000B4535" w:rsidP="000B4535">
      <w:pPr>
        <w:jc w:val="both"/>
        <w:rPr>
          <w:sz w:val="20"/>
          <w:szCs w:val="20"/>
        </w:rPr>
      </w:pPr>
      <w:r w:rsidRPr="00A831A4">
        <w:rPr>
          <w:b/>
          <w:sz w:val="20"/>
          <w:szCs w:val="20"/>
        </w:rPr>
        <w:t>UPON APPLICATIONS</w:t>
      </w:r>
      <w:r w:rsidRPr="00A831A4">
        <w:rPr>
          <w:sz w:val="20"/>
          <w:szCs w:val="20"/>
        </w:rPr>
        <w:t xml:space="preserve"> by the Attorney General of Canada and the Attorney General of Saskatchewan for leave to intervene in the above appeal on the issue of mootness, and by the British Columbia Civil Liberties Association and the Canadian Constitution Foundation </w:t>
      </w:r>
      <w:r w:rsidRPr="00A831A4">
        <w:rPr>
          <w:rFonts w:cs="Times New Roman"/>
          <w:bCs/>
          <w:sz w:val="20"/>
          <w:szCs w:val="20"/>
        </w:rPr>
        <w:t>f</w:t>
      </w:r>
      <w:r w:rsidRPr="00A831A4">
        <w:rPr>
          <w:rFonts w:cs="Times New Roman"/>
          <w:sz w:val="20"/>
          <w:szCs w:val="20"/>
        </w:rPr>
        <w:t>or leave to intervene in the above appeal;</w:t>
      </w:r>
    </w:p>
    <w:p w:rsidR="000B4535" w:rsidRPr="00A831A4" w:rsidRDefault="000B4535" w:rsidP="000B4535">
      <w:pPr>
        <w:jc w:val="both"/>
        <w:rPr>
          <w:rFonts w:cs="Times New Roman"/>
          <w:sz w:val="20"/>
          <w:szCs w:val="20"/>
        </w:rPr>
      </w:pPr>
    </w:p>
    <w:p w:rsidR="000B4535" w:rsidRPr="00A831A4" w:rsidRDefault="000B4535" w:rsidP="000B4535">
      <w:pPr>
        <w:jc w:val="both"/>
        <w:rPr>
          <w:rFonts w:cs="Times New Roman"/>
          <w:bCs/>
          <w:sz w:val="20"/>
          <w:szCs w:val="20"/>
        </w:rPr>
      </w:pPr>
      <w:r w:rsidRPr="00A831A4">
        <w:rPr>
          <w:rFonts w:cs="Times New Roman"/>
          <w:b/>
          <w:bCs/>
          <w:sz w:val="20"/>
          <w:szCs w:val="20"/>
        </w:rPr>
        <w:t>AND NOTING</w:t>
      </w:r>
      <w:r w:rsidRPr="00A831A4">
        <w:rPr>
          <w:rFonts w:cs="Times New Roman"/>
          <w:bCs/>
          <w:sz w:val="20"/>
          <w:szCs w:val="20"/>
        </w:rPr>
        <w:t xml:space="preserve"> the notices of intervention filed by the Attorney General of Canada and the Attorney General of Saskatchewan in respect of the constitutional question identified by the appellants in the above appeal;</w:t>
      </w:r>
    </w:p>
    <w:p w:rsidR="000B4535" w:rsidRPr="00A831A4" w:rsidRDefault="000B4535" w:rsidP="000B4535">
      <w:pPr>
        <w:jc w:val="both"/>
        <w:rPr>
          <w:rFonts w:cs="Times New Roman"/>
          <w:sz w:val="20"/>
          <w:szCs w:val="20"/>
        </w:rPr>
      </w:pPr>
    </w:p>
    <w:p w:rsidR="000B4535" w:rsidRPr="00A831A4" w:rsidRDefault="000B4535" w:rsidP="000B4535">
      <w:pPr>
        <w:jc w:val="both"/>
        <w:rPr>
          <w:rFonts w:cs="Times New Roman"/>
          <w:sz w:val="20"/>
          <w:szCs w:val="20"/>
        </w:rPr>
      </w:pPr>
      <w:r w:rsidRPr="00A831A4">
        <w:rPr>
          <w:rFonts w:cs="Times New Roman"/>
          <w:b/>
          <w:bCs/>
          <w:sz w:val="20"/>
          <w:szCs w:val="20"/>
        </w:rPr>
        <w:t>AND THE MATERIAL FILED</w:t>
      </w:r>
      <w:r w:rsidRPr="00A831A4">
        <w:rPr>
          <w:rFonts w:cs="Times New Roman"/>
          <w:sz w:val="20"/>
          <w:szCs w:val="20"/>
        </w:rPr>
        <w:t xml:space="preserve"> having been read;</w:t>
      </w:r>
    </w:p>
    <w:p w:rsidR="000B4535" w:rsidRPr="00A831A4" w:rsidRDefault="000B4535" w:rsidP="000B4535">
      <w:pPr>
        <w:jc w:val="both"/>
        <w:rPr>
          <w:rFonts w:cs="Times New Roman"/>
          <w:sz w:val="20"/>
          <w:szCs w:val="20"/>
        </w:rPr>
      </w:pPr>
    </w:p>
    <w:p w:rsidR="000B4535" w:rsidRPr="00A831A4" w:rsidRDefault="000B4535" w:rsidP="000B4535">
      <w:pPr>
        <w:jc w:val="both"/>
        <w:rPr>
          <w:rFonts w:cs="Times New Roman"/>
          <w:bCs/>
          <w:sz w:val="20"/>
          <w:szCs w:val="20"/>
        </w:rPr>
      </w:pPr>
      <w:r w:rsidRPr="00A831A4">
        <w:rPr>
          <w:rFonts w:cs="Times New Roman"/>
          <w:b/>
          <w:bCs/>
          <w:sz w:val="20"/>
          <w:szCs w:val="20"/>
        </w:rPr>
        <w:t>IT IS HEREBY ORDERED THAT:</w:t>
      </w:r>
    </w:p>
    <w:p w:rsidR="000B4535" w:rsidRPr="00A831A4" w:rsidRDefault="000B4535" w:rsidP="000B4535">
      <w:pPr>
        <w:rPr>
          <w:sz w:val="20"/>
          <w:szCs w:val="20"/>
        </w:rPr>
      </w:pPr>
    </w:p>
    <w:p w:rsidR="000B4535" w:rsidRPr="00A831A4" w:rsidRDefault="000B4535" w:rsidP="000B4535">
      <w:pPr>
        <w:jc w:val="both"/>
        <w:rPr>
          <w:sz w:val="20"/>
          <w:szCs w:val="20"/>
        </w:rPr>
      </w:pPr>
      <w:r w:rsidRPr="00A831A4">
        <w:rPr>
          <w:sz w:val="20"/>
          <w:szCs w:val="20"/>
        </w:rPr>
        <w:t>The motions for leave to intervene on the issue of mootness and the motions for leave to intervene are granted on the terms described herein.</w:t>
      </w:r>
    </w:p>
    <w:p w:rsidR="000B4535" w:rsidRPr="00A831A4" w:rsidRDefault="000B4535" w:rsidP="000B4535">
      <w:pPr>
        <w:jc w:val="both"/>
        <w:rPr>
          <w:sz w:val="20"/>
          <w:szCs w:val="20"/>
        </w:rPr>
      </w:pPr>
    </w:p>
    <w:p w:rsidR="000B4535" w:rsidRPr="00A831A4" w:rsidRDefault="000B4535" w:rsidP="000B4535">
      <w:pPr>
        <w:jc w:val="both"/>
        <w:rPr>
          <w:sz w:val="20"/>
          <w:szCs w:val="20"/>
        </w:rPr>
      </w:pPr>
      <w:r w:rsidRPr="00A831A4">
        <w:rPr>
          <w:sz w:val="20"/>
          <w:szCs w:val="20"/>
        </w:rPr>
        <w:t xml:space="preserve">The Attorney General of Canada and the Attorney General of Saskatchewan shall each be entitled to serve and file a single factum addressing the constitutional and mootness issues, not to exceed twenty (20) pages in length, and book of authorities, if any, within the time limit set out in Rule 37(2)(c) of the </w:t>
      </w:r>
      <w:r w:rsidRPr="00A831A4">
        <w:rPr>
          <w:i/>
          <w:iCs/>
          <w:sz w:val="20"/>
          <w:szCs w:val="20"/>
        </w:rPr>
        <w:t>Rules of the Supreme Court of Canada</w:t>
      </w:r>
      <w:r w:rsidRPr="00A831A4">
        <w:rPr>
          <w:sz w:val="20"/>
          <w:szCs w:val="20"/>
        </w:rPr>
        <w:t xml:space="preserve"> .</w:t>
      </w:r>
    </w:p>
    <w:p w:rsidR="000B4535" w:rsidRPr="00A831A4" w:rsidRDefault="000B4535" w:rsidP="000B4535">
      <w:pPr>
        <w:jc w:val="both"/>
        <w:rPr>
          <w:sz w:val="20"/>
          <w:szCs w:val="20"/>
        </w:rPr>
      </w:pPr>
    </w:p>
    <w:p w:rsidR="000B4535" w:rsidRPr="00A831A4" w:rsidRDefault="000B4535" w:rsidP="000B4535">
      <w:pPr>
        <w:jc w:val="both"/>
        <w:rPr>
          <w:sz w:val="20"/>
          <w:szCs w:val="20"/>
        </w:rPr>
      </w:pPr>
      <w:r w:rsidRPr="00A831A4">
        <w:rPr>
          <w:sz w:val="20"/>
          <w:szCs w:val="20"/>
        </w:rPr>
        <w:t>The British Columbia Civil Liberties Association and the Canadian Constitution Foundation shall each be entitled to serve and file a factum not to exceed ten (10) pages in length, and book of authorities, if any, on or before October 25, 2024.</w:t>
      </w:r>
    </w:p>
    <w:p w:rsidR="000B4535" w:rsidRPr="00A831A4" w:rsidRDefault="000B4535" w:rsidP="000B4535">
      <w:pPr>
        <w:jc w:val="both"/>
        <w:rPr>
          <w:sz w:val="20"/>
          <w:szCs w:val="20"/>
        </w:rPr>
      </w:pPr>
    </w:p>
    <w:p w:rsidR="000B4535" w:rsidRPr="00A831A4" w:rsidRDefault="000B4535" w:rsidP="000B4535">
      <w:pPr>
        <w:jc w:val="both"/>
        <w:rPr>
          <w:bCs/>
          <w:sz w:val="20"/>
          <w:szCs w:val="20"/>
        </w:rPr>
      </w:pPr>
      <w:r w:rsidRPr="00A831A4">
        <w:rPr>
          <w:sz w:val="20"/>
          <w:szCs w:val="20"/>
        </w:rPr>
        <w:t xml:space="preserve">The Attorney General of Canada, the Attorney General of Nova Scotia, the Attorney General of New Brunswick, the Attorney General of Prince Edward Island, the Attorney General of Saskatchewan, the Attorney General of Yukon Territory and the Attorney General of Nunavut </w:t>
      </w:r>
      <w:r w:rsidRPr="00A831A4">
        <w:rPr>
          <w:bCs/>
          <w:sz w:val="20"/>
          <w:szCs w:val="20"/>
        </w:rPr>
        <w:t>are each granted permission to present oral argument not exceeding ten (10) minutes at the hearing of the appeal.</w:t>
      </w:r>
    </w:p>
    <w:p w:rsidR="000B4535" w:rsidRPr="00A831A4" w:rsidRDefault="000B4535" w:rsidP="000B4535">
      <w:pPr>
        <w:jc w:val="both"/>
        <w:rPr>
          <w:bCs/>
          <w:sz w:val="20"/>
          <w:szCs w:val="20"/>
        </w:rPr>
      </w:pPr>
    </w:p>
    <w:p w:rsidR="000B4535" w:rsidRPr="00A831A4" w:rsidRDefault="000B4535" w:rsidP="000B4535">
      <w:pPr>
        <w:jc w:val="both"/>
        <w:rPr>
          <w:sz w:val="20"/>
          <w:szCs w:val="20"/>
        </w:rPr>
      </w:pPr>
      <w:r w:rsidRPr="00A831A4">
        <w:rPr>
          <w:sz w:val="20"/>
          <w:szCs w:val="20"/>
        </w:rPr>
        <w:t>The British Columbia Civil Liberties Association and the Canadian Constitution Foundation-</w:t>
      </w:r>
      <w:r w:rsidRPr="00A831A4">
        <w:rPr>
          <w:bCs/>
          <w:sz w:val="20"/>
          <w:szCs w:val="20"/>
        </w:rPr>
        <w:t>are each granted permission to present oral argument not exceeding five (5) minutes at the hearing of the appeal.</w:t>
      </w:r>
    </w:p>
    <w:p w:rsidR="000B4535" w:rsidRPr="00A831A4" w:rsidRDefault="000B4535" w:rsidP="000B4535">
      <w:pPr>
        <w:jc w:val="both"/>
        <w:rPr>
          <w:bCs/>
          <w:sz w:val="20"/>
          <w:szCs w:val="20"/>
        </w:rPr>
      </w:pPr>
    </w:p>
    <w:p w:rsidR="000B4535" w:rsidRPr="00A831A4" w:rsidRDefault="000B4535" w:rsidP="000B4535">
      <w:pPr>
        <w:jc w:val="both"/>
        <w:rPr>
          <w:bCs/>
          <w:sz w:val="20"/>
          <w:szCs w:val="20"/>
        </w:rPr>
      </w:pPr>
      <w:r w:rsidRPr="00A831A4">
        <w:rPr>
          <w:sz w:val="20"/>
          <w:szCs w:val="20"/>
        </w:rPr>
        <w:t>The appellants and respondents are each granted permission to serve and file a single factum in reply to all interventions not to exceed ten (10) pages in length on or before November 8, 2024.</w:t>
      </w:r>
    </w:p>
    <w:p w:rsidR="000B4535" w:rsidRPr="00A831A4" w:rsidRDefault="000B4535" w:rsidP="000B4535">
      <w:pPr>
        <w:jc w:val="both"/>
        <w:rPr>
          <w:bCs/>
          <w:sz w:val="20"/>
          <w:szCs w:val="20"/>
        </w:rPr>
      </w:pPr>
    </w:p>
    <w:p w:rsidR="000B4535" w:rsidRPr="00A831A4" w:rsidRDefault="000B4535" w:rsidP="000B4535">
      <w:pPr>
        <w:jc w:val="both"/>
        <w:rPr>
          <w:b/>
          <w:sz w:val="20"/>
          <w:szCs w:val="20"/>
        </w:rPr>
      </w:pPr>
      <w:r w:rsidRPr="00A831A4">
        <w:rPr>
          <w:b/>
          <w:sz w:val="20"/>
          <w:szCs w:val="20"/>
          <w:lang w:val="fr-CA"/>
        </w:rPr>
        <w:fldChar w:fldCharType="begin"/>
      </w:r>
      <w:r w:rsidRPr="00A831A4">
        <w:rPr>
          <w:b/>
          <w:sz w:val="20"/>
          <w:szCs w:val="20"/>
        </w:rPr>
        <w:instrText xml:space="preserve"> SEQ CHAPTER \h \r 1</w:instrText>
      </w:r>
      <w:r w:rsidRPr="00A831A4">
        <w:rPr>
          <w:b/>
          <w:sz w:val="20"/>
          <w:szCs w:val="20"/>
          <w:lang w:val="fr-CA"/>
        </w:rPr>
        <w:fldChar w:fldCharType="end"/>
      </w:r>
      <w:r w:rsidRPr="00A831A4">
        <w:rPr>
          <w:b/>
          <w:sz w:val="20"/>
          <w:szCs w:val="20"/>
        </w:rPr>
        <w:t>The interveners are not entitled to raise new issues or to adduce further evidence or otherwise to supplement the record of the parties.</w:t>
      </w:r>
    </w:p>
    <w:p w:rsidR="000B4535" w:rsidRPr="00A831A4" w:rsidRDefault="000B4535" w:rsidP="000B4535">
      <w:pPr>
        <w:jc w:val="both"/>
        <w:rPr>
          <w:sz w:val="20"/>
          <w:szCs w:val="20"/>
        </w:rPr>
      </w:pPr>
    </w:p>
    <w:p w:rsidR="000B4535" w:rsidRPr="00A831A4" w:rsidRDefault="000B4535" w:rsidP="000B4535">
      <w:pPr>
        <w:jc w:val="both"/>
        <w:rPr>
          <w:sz w:val="20"/>
          <w:szCs w:val="20"/>
        </w:rPr>
      </w:pPr>
      <w:r w:rsidRPr="00A831A4">
        <w:rPr>
          <w:sz w:val="20"/>
          <w:szCs w:val="20"/>
        </w:rPr>
        <w:t>Pursuant to Rule 59(1)(</w:t>
      </w:r>
      <w:r w:rsidRPr="00A831A4">
        <w:rPr>
          <w:i/>
          <w:iCs/>
          <w:sz w:val="20"/>
          <w:szCs w:val="20"/>
        </w:rPr>
        <w:t>a</w:t>
      </w:r>
      <w:r w:rsidRPr="00A831A4">
        <w:rPr>
          <w:sz w:val="20"/>
          <w:szCs w:val="20"/>
        </w:rPr>
        <w:t xml:space="preserve">) of the </w:t>
      </w:r>
      <w:r w:rsidRPr="00A831A4">
        <w:rPr>
          <w:i/>
          <w:iCs/>
          <w:sz w:val="20"/>
          <w:szCs w:val="20"/>
        </w:rPr>
        <w:t>Rules of the Supreme Court of Canada</w:t>
      </w:r>
      <w:r w:rsidRPr="00A831A4">
        <w:rPr>
          <w:sz w:val="20"/>
          <w:szCs w:val="20"/>
        </w:rPr>
        <w:t>, the interveners shall pay to the appellants and the respondents any additional disbursements resulting from their interventions.</w:t>
      </w:r>
    </w:p>
    <w:p w:rsidR="00102792" w:rsidRPr="00A831A4" w:rsidRDefault="00102792" w:rsidP="00102792">
      <w:pPr>
        <w:spacing w:line="228" w:lineRule="auto"/>
        <w:rPr>
          <w:sz w:val="20"/>
          <w:szCs w:val="20"/>
        </w:rPr>
      </w:pPr>
    </w:p>
    <w:p w:rsidR="005967EF" w:rsidRPr="00A831A4" w:rsidRDefault="005967EF" w:rsidP="00102792">
      <w:pPr>
        <w:spacing w:line="228" w:lineRule="auto"/>
        <w:rPr>
          <w:sz w:val="20"/>
          <w:szCs w:val="20"/>
        </w:rPr>
      </w:pPr>
    </w:p>
    <w:p w:rsidR="009E100A" w:rsidRPr="00A831A4" w:rsidRDefault="009E100A" w:rsidP="009E100A">
      <w:pPr>
        <w:jc w:val="both"/>
        <w:rPr>
          <w:sz w:val="20"/>
          <w:szCs w:val="20"/>
          <w:lang w:val="fr-CA"/>
        </w:rPr>
      </w:pPr>
      <w:r w:rsidRPr="00A831A4">
        <w:rPr>
          <w:b/>
          <w:bCs/>
          <w:color w:val="000000"/>
          <w:sz w:val="20"/>
          <w:szCs w:val="20"/>
          <w:lang w:val="fr-CA"/>
        </w:rPr>
        <w:t>À LA SUITE DES DEMANDES </w:t>
      </w:r>
      <w:r w:rsidRPr="00A831A4">
        <w:rPr>
          <w:sz w:val="20"/>
          <w:szCs w:val="20"/>
          <w:lang w:val="fr-CA"/>
        </w:rPr>
        <w:t>présentées par le procureur général du Canada et le procureur général de la Saskatchewan en autorisation d’intervenir dans l’appel sur la question du caractère théorique, et par la British Columbia Civil Liberties Association et la Canadian Constitution Foundation en autorisation d’intervenir dans l’appel</w:t>
      </w:r>
      <w:r w:rsidRPr="00A831A4">
        <w:rPr>
          <w:rFonts w:cs="Times New Roman"/>
          <w:sz w:val="20"/>
          <w:szCs w:val="20"/>
          <w:lang w:val="fr-CA"/>
        </w:rPr>
        <w:t>;</w:t>
      </w:r>
    </w:p>
    <w:p w:rsidR="009E100A" w:rsidRPr="00A831A4" w:rsidRDefault="009E100A" w:rsidP="009E100A">
      <w:pPr>
        <w:jc w:val="both"/>
        <w:rPr>
          <w:rFonts w:cs="Times New Roman"/>
          <w:sz w:val="20"/>
          <w:szCs w:val="20"/>
          <w:lang w:val="fr-CA"/>
        </w:rPr>
      </w:pPr>
    </w:p>
    <w:p w:rsidR="009E100A" w:rsidRPr="00A831A4" w:rsidRDefault="009E100A" w:rsidP="009E100A">
      <w:pPr>
        <w:jc w:val="both"/>
        <w:rPr>
          <w:rFonts w:cs="Times New Roman"/>
          <w:bCs/>
          <w:sz w:val="20"/>
          <w:szCs w:val="20"/>
          <w:lang w:val="fr-CA"/>
        </w:rPr>
      </w:pPr>
      <w:r w:rsidRPr="00A831A4">
        <w:rPr>
          <w:rFonts w:eastAsia="Times New Roman" w:cs="Times New Roman"/>
          <w:b/>
          <w:bCs/>
          <w:color w:val="000000"/>
          <w:sz w:val="20"/>
          <w:szCs w:val="20"/>
          <w:lang w:val="fr-CA"/>
        </w:rPr>
        <w:t>ET COMPTE TENU</w:t>
      </w:r>
      <w:r w:rsidRPr="00A831A4">
        <w:rPr>
          <w:rFonts w:eastAsia="Times New Roman" w:cs="Times New Roman"/>
          <w:color w:val="000000"/>
          <w:sz w:val="20"/>
          <w:szCs w:val="20"/>
          <w:lang w:val="fr-CA"/>
        </w:rPr>
        <w:t xml:space="preserve"> des</w:t>
      </w:r>
      <w:r w:rsidRPr="00A831A4">
        <w:rPr>
          <w:rFonts w:cs="Times New Roman"/>
          <w:bCs/>
          <w:sz w:val="20"/>
          <w:szCs w:val="20"/>
          <w:lang w:val="fr-CA"/>
        </w:rPr>
        <w:t xml:space="preserve"> avis d’intervention déposés par</w:t>
      </w:r>
      <w:r w:rsidRPr="00A831A4">
        <w:rPr>
          <w:sz w:val="20"/>
          <w:szCs w:val="20"/>
          <w:lang w:val="fr-CA"/>
        </w:rPr>
        <w:t xml:space="preserve"> le procureur général du Canada et le procureur général de la Saskatchewan</w:t>
      </w:r>
      <w:r w:rsidRPr="00A831A4">
        <w:rPr>
          <w:rFonts w:cs="Times New Roman"/>
          <w:bCs/>
          <w:sz w:val="20"/>
          <w:szCs w:val="20"/>
          <w:lang w:val="fr-CA"/>
        </w:rPr>
        <w:t xml:space="preserve"> concernant la question constitutionnelle cernée par les appelantes dans l’appel;</w:t>
      </w:r>
    </w:p>
    <w:p w:rsidR="009E100A" w:rsidRPr="00A831A4" w:rsidRDefault="009E100A" w:rsidP="009E100A">
      <w:pPr>
        <w:jc w:val="both"/>
        <w:rPr>
          <w:rFonts w:cs="Times New Roman"/>
          <w:sz w:val="20"/>
          <w:szCs w:val="20"/>
          <w:lang w:val="fr-CA"/>
        </w:rPr>
      </w:pPr>
    </w:p>
    <w:p w:rsidR="009E100A" w:rsidRPr="00A831A4" w:rsidRDefault="009E100A" w:rsidP="009E100A">
      <w:pPr>
        <w:jc w:val="both"/>
        <w:rPr>
          <w:rFonts w:cs="Times New Roman"/>
          <w:sz w:val="20"/>
          <w:szCs w:val="20"/>
          <w:lang w:val="fr-CA"/>
        </w:rPr>
      </w:pPr>
      <w:r w:rsidRPr="00A831A4">
        <w:rPr>
          <w:rFonts w:cs="Times New Roman"/>
          <w:b/>
          <w:bCs/>
          <w:sz w:val="20"/>
          <w:szCs w:val="20"/>
          <w:lang w:val="fr-CA"/>
        </w:rPr>
        <w:t xml:space="preserve">ET APRÈS EXAMEN </w:t>
      </w:r>
      <w:r w:rsidRPr="00A831A4">
        <w:rPr>
          <w:rFonts w:cs="Times New Roman"/>
          <w:bCs/>
          <w:sz w:val="20"/>
          <w:szCs w:val="20"/>
          <w:lang w:val="fr-CA"/>
        </w:rPr>
        <w:t>des documents déposés</w:t>
      </w:r>
      <w:r w:rsidRPr="00A831A4">
        <w:rPr>
          <w:rFonts w:cs="Times New Roman"/>
          <w:sz w:val="20"/>
          <w:szCs w:val="20"/>
          <w:lang w:val="fr-CA"/>
        </w:rPr>
        <w:t>;</w:t>
      </w:r>
    </w:p>
    <w:p w:rsidR="009E100A" w:rsidRPr="00A831A4" w:rsidRDefault="009E100A" w:rsidP="009E100A">
      <w:pPr>
        <w:jc w:val="both"/>
        <w:rPr>
          <w:rFonts w:cs="Times New Roman"/>
          <w:sz w:val="20"/>
          <w:szCs w:val="20"/>
          <w:lang w:val="fr-CA"/>
        </w:rPr>
      </w:pPr>
    </w:p>
    <w:p w:rsidR="009E100A" w:rsidRPr="00A831A4" w:rsidRDefault="009E100A" w:rsidP="009E100A">
      <w:pPr>
        <w:spacing w:line="233" w:lineRule="auto"/>
        <w:jc w:val="both"/>
        <w:rPr>
          <w:rFonts w:cs="Times New Roman"/>
          <w:b/>
          <w:bCs/>
          <w:sz w:val="20"/>
          <w:szCs w:val="20"/>
          <w:lang w:val="fr-CA"/>
        </w:rPr>
      </w:pPr>
      <w:r w:rsidRPr="00A831A4">
        <w:rPr>
          <w:rFonts w:cs="Times New Roman"/>
          <w:b/>
          <w:bCs/>
          <w:sz w:val="20"/>
          <w:szCs w:val="20"/>
          <w:lang w:val="fr-CA"/>
        </w:rPr>
        <w:t>IL EST PAR LES PRÉSENTES ORDONNÉ CE QUI SUIT :</w:t>
      </w:r>
    </w:p>
    <w:p w:rsidR="009E100A" w:rsidRPr="00A831A4" w:rsidRDefault="009E100A" w:rsidP="009E100A">
      <w:pPr>
        <w:rPr>
          <w:sz w:val="20"/>
          <w:szCs w:val="20"/>
          <w:lang w:val="fr-CA"/>
        </w:rPr>
      </w:pPr>
    </w:p>
    <w:p w:rsidR="009E100A" w:rsidRPr="00A831A4" w:rsidRDefault="009E100A" w:rsidP="009E100A">
      <w:pPr>
        <w:jc w:val="both"/>
        <w:rPr>
          <w:sz w:val="20"/>
          <w:szCs w:val="20"/>
          <w:lang w:val="fr-CA"/>
        </w:rPr>
      </w:pPr>
      <w:r w:rsidRPr="00A831A4">
        <w:rPr>
          <w:sz w:val="20"/>
          <w:szCs w:val="20"/>
          <w:lang w:val="fr-CA"/>
        </w:rPr>
        <w:t xml:space="preserve">Les requêtes en autorisation d’intervenir sur la question du caractère théorique et les requêtes en autorisation d’intervenir sont accueillies selon les modalités suivantes : </w:t>
      </w:r>
    </w:p>
    <w:p w:rsidR="009E100A" w:rsidRPr="00A831A4" w:rsidRDefault="009E100A" w:rsidP="009E100A">
      <w:pPr>
        <w:jc w:val="both"/>
        <w:rPr>
          <w:sz w:val="20"/>
          <w:szCs w:val="20"/>
          <w:lang w:val="fr-CA"/>
        </w:rPr>
      </w:pPr>
    </w:p>
    <w:p w:rsidR="009E100A" w:rsidRPr="00A831A4" w:rsidRDefault="009E100A" w:rsidP="009E100A">
      <w:pPr>
        <w:jc w:val="both"/>
        <w:rPr>
          <w:sz w:val="20"/>
          <w:szCs w:val="20"/>
          <w:lang w:val="fr-CA"/>
        </w:rPr>
      </w:pPr>
      <w:r w:rsidRPr="00A831A4">
        <w:rPr>
          <w:sz w:val="20"/>
          <w:szCs w:val="20"/>
          <w:lang w:val="fr-CA"/>
        </w:rPr>
        <w:t>Le procureur général du Canada et le procureur général de la Saskatchewan peuvent chacun signifier et déposer un seul mémoire, d’au plus vingt (20) pages, sur la question</w:t>
      </w:r>
      <w:r w:rsidRPr="00A831A4">
        <w:rPr>
          <w:rFonts w:cs="Times New Roman"/>
          <w:bCs/>
          <w:sz w:val="20"/>
          <w:szCs w:val="20"/>
          <w:lang w:val="fr-CA"/>
        </w:rPr>
        <w:t xml:space="preserve"> constitutionnelle</w:t>
      </w:r>
      <w:r w:rsidRPr="00A831A4">
        <w:rPr>
          <w:sz w:val="20"/>
          <w:szCs w:val="20"/>
          <w:lang w:val="fr-CA"/>
        </w:rPr>
        <w:t xml:space="preserve"> et la question du caractère théorique, ainsi </w:t>
      </w:r>
      <w:r w:rsidRPr="00A831A4">
        <w:rPr>
          <w:rFonts w:cs="Times New Roman"/>
          <w:sz w:val="20"/>
          <w:szCs w:val="20"/>
          <w:lang w:val="fr-CA"/>
        </w:rPr>
        <w:t>qu’un recueil de sources, le cas échéant</w:t>
      </w:r>
      <w:r w:rsidRPr="00A831A4">
        <w:rPr>
          <w:sz w:val="20"/>
          <w:szCs w:val="20"/>
          <w:lang w:val="fr-CA"/>
        </w:rPr>
        <w:t xml:space="preserve">, dans le délai prévu à l’alinéa 37(2)c) des </w:t>
      </w:r>
      <w:r w:rsidRPr="00A831A4">
        <w:rPr>
          <w:i/>
          <w:iCs/>
          <w:sz w:val="20"/>
          <w:szCs w:val="20"/>
          <w:lang w:val="fr-CA"/>
        </w:rPr>
        <w:t>Règles de la Cour suprême du Canada</w:t>
      </w:r>
      <w:r w:rsidRPr="00A831A4">
        <w:rPr>
          <w:sz w:val="20"/>
          <w:szCs w:val="20"/>
          <w:lang w:val="fr-CA"/>
        </w:rPr>
        <w:t>.</w:t>
      </w:r>
    </w:p>
    <w:p w:rsidR="009E100A" w:rsidRPr="00A831A4" w:rsidRDefault="009E100A" w:rsidP="009E100A">
      <w:pPr>
        <w:jc w:val="both"/>
        <w:rPr>
          <w:sz w:val="20"/>
          <w:szCs w:val="20"/>
          <w:lang w:val="fr-CA"/>
        </w:rPr>
      </w:pPr>
    </w:p>
    <w:p w:rsidR="009E100A" w:rsidRPr="00A831A4" w:rsidRDefault="009E100A" w:rsidP="009E100A">
      <w:pPr>
        <w:jc w:val="both"/>
        <w:rPr>
          <w:sz w:val="20"/>
          <w:szCs w:val="20"/>
          <w:lang w:val="fr-CA"/>
        </w:rPr>
      </w:pPr>
      <w:r w:rsidRPr="00A831A4">
        <w:rPr>
          <w:sz w:val="20"/>
          <w:szCs w:val="20"/>
          <w:lang w:val="fr-CA"/>
        </w:rPr>
        <w:t xml:space="preserve">La British Columbia Civil Liberties Association et la Canadian Constitution Foundation peuvent chacune signifier et déposer un mémoire d’au plus dix (10) pages, ainsi </w:t>
      </w:r>
      <w:r w:rsidRPr="00A831A4">
        <w:rPr>
          <w:rFonts w:cs="Times New Roman"/>
          <w:sz w:val="20"/>
          <w:szCs w:val="20"/>
          <w:lang w:val="fr-CA"/>
        </w:rPr>
        <w:t>qu’un recueil de sources, le cas échéant</w:t>
      </w:r>
      <w:r w:rsidRPr="00A831A4">
        <w:rPr>
          <w:sz w:val="20"/>
          <w:szCs w:val="20"/>
          <w:lang w:val="fr-CA"/>
        </w:rPr>
        <w:t>, au plus tard le 25 octobre 2024.</w:t>
      </w:r>
    </w:p>
    <w:p w:rsidR="009E100A" w:rsidRPr="00A831A4" w:rsidRDefault="009E100A" w:rsidP="009E100A">
      <w:pPr>
        <w:jc w:val="both"/>
        <w:rPr>
          <w:sz w:val="20"/>
          <w:szCs w:val="20"/>
          <w:lang w:val="fr-CA"/>
        </w:rPr>
      </w:pPr>
    </w:p>
    <w:p w:rsidR="009E100A" w:rsidRPr="00A831A4" w:rsidRDefault="009E100A" w:rsidP="009E100A">
      <w:pPr>
        <w:jc w:val="both"/>
        <w:rPr>
          <w:bCs/>
          <w:sz w:val="20"/>
          <w:szCs w:val="20"/>
          <w:lang w:val="fr-CA"/>
        </w:rPr>
      </w:pPr>
      <w:r w:rsidRPr="00A831A4">
        <w:rPr>
          <w:sz w:val="20"/>
          <w:szCs w:val="20"/>
          <w:lang w:val="fr-CA"/>
        </w:rPr>
        <w:t>Le procureur général du Canada, le procureur général de la Nouvelle-Écosse, le procureur général du Nouveau-Brunswick, le procureur général de l’Île-du-Prince-Édouard, le procureur général de la Saskatchewan, le procureur général du territoire du Yukon et le procureur général du Nunavut peuvent chacun présenter une plaidoirie orale, d’au plus</w:t>
      </w:r>
      <w:r w:rsidRPr="00A831A4">
        <w:rPr>
          <w:bCs/>
          <w:sz w:val="20"/>
          <w:szCs w:val="20"/>
          <w:lang w:val="fr-CA"/>
        </w:rPr>
        <w:t xml:space="preserve"> dix (10) minutes, </w:t>
      </w:r>
      <w:r w:rsidRPr="00A831A4">
        <w:rPr>
          <w:sz w:val="20"/>
          <w:szCs w:val="20"/>
          <w:lang w:val="fr-CA"/>
        </w:rPr>
        <w:t>lors de l’audition de l’appe</w:t>
      </w:r>
      <w:r w:rsidRPr="00A831A4">
        <w:rPr>
          <w:bCs/>
          <w:sz w:val="20"/>
          <w:szCs w:val="20"/>
          <w:lang w:val="fr-CA"/>
        </w:rPr>
        <w:t>l.</w:t>
      </w:r>
    </w:p>
    <w:p w:rsidR="009E100A" w:rsidRPr="00A831A4" w:rsidRDefault="009E100A" w:rsidP="009E100A">
      <w:pPr>
        <w:jc w:val="both"/>
        <w:rPr>
          <w:bCs/>
          <w:sz w:val="20"/>
          <w:szCs w:val="20"/>
          <w:lang w:val="fr-CA"/>
        </w:rPr>
      </w:pPr>
    </w:p>
    <w:p w:rsidR="009E100A" w:rsidRPr="00A831A4" w:rsidRDefault="009E100A" w:rsidP="009E100A">
      <w:pPr>
        <w:jc w:val="both"/>
        <w:rPr>
          <w:sz w:val="20"/>
          <w:szCs w:val="20"/>
          <w:lang w:val="fr-CA"/>
        </w:rPr>
      </w:pPr>
      <w:r w:rsidRPr="00A831A4">
        <w:rPr>
          <w:sz w:val="20"/>
          <w:szCs w:val="20"/>
          <w:lang w:val="fr-CA"/>
        </w:rPr>
        <w:t>La British Columbia Civil Liberties Association et la Canadian Constitution Foundation peuvent chacune présenter une plaidoirie orale, d’au plus cinq (5) minutes, lors de l’audition de l’appel.</w:t>
      </w:r>
    </w:p>
    <w:p w:rsidR="009E100A" w:rsidRPr="00A831A4" w:rsidRDefault="009E100A" w:rsidP="009E100A">
      <w:pPr>
        <w:jc w:val="both"/>
        <w:rPr>
          <w:bCs/>
          <w:sz w:val="20"/>
          <w:szCs w:val="20"/>
          <w:lang w:val="fr-CA"/>
        </w:rPr>
      </w:pPr>
    </w:p>
    <w:p w:rsidR="009E100A" w:rsidRPr="00A831A4" w:rsidRDefault="009E100A" w:rsidP="009E100A">
      <w:pPr>
        <w:jc w:val="both"/>
        <w:rPr>
          <w:bCs/>
          <w:sz w:val="20"/>
          <w:szCs w:val="20"/>
          <w:lang w:val="fr-CA"/>
        </w:rPr>
      </w:pPr>
      <w:r w:rsidRPr="00A831A4">
        <w:rPr>
          <w:sz w:val="20"/>
          <w:szCs w:val="20"/>
          <w:lang w:val="fr-CA"/>
        </w:rPr>
        <w:t>Les appelantes et les intimés peuvent chacun signifier et déposer un seul mémoire en réplique à toutes les interventions, d’au plus dix (10) pages, au plus tard le 8 novembre 2024.</w:t>
      </w:r>
    </w:p>
    <w:p w:rsidR="009E100A" w:rsidRPr="00A831A4" w:rsidRDefault="009E100A" w:rsidP="009E100A">
      <w:pPr>
        <w:jc w:val="both"/>
        <w:rPr>
          <w:bCs/>
          <w:sz w:val="20"/>
          <w:szCs w:val="20"/>
          <w:lang w:val="fr-CA"/>
        </w:rPr>
      </w:pPr>
    </w:p>
    <w:p w:rsidR="009E100A" w:rsidRPr="00A831A4" w:rsidRDefault="009E100A" w:rsidP="009E100A">
      <w:pPr>
        <w:jc w:val="both"/>
        <w:rPr>
          <w:b/>
          <w:sz w:val="20"/>
          <w:szCs w:val="20"/>
          <w:lang w:val="fr-CA"/>
        </w:rPr>
      </w:pPr>
      <w:r w:rsidRPr="00A831A4">
        <w:rPr>
          <w:b/>
          <w:sz w:val="20"/>
          <w:szCs w:val="20"/>
          <w:lang w:val="fr-CA"/>
        </w:rPr>
        <w:fldChar w:fldCharType="begin"/>
      </w:r>
      <w:r w:rsidRPr="00A831A4">
        <w:rPr>
          <w:b/>
          <w:sz w:val="20"/>
          <w:szCs w:val="20"/>
          <w:lang w:val="fr-CA"/>
        </w:rPr>
        <w:instrText xml:space="preserve"> SEQ CHAPTER \h \r 1</w:instrText>
      </w:r>
      <w:r w:rsidRPr="00A831A4">
        <w:rPr>
          <w:b/>
          <w:sz w:val="20"/>
          <w:szCs w:val="20"/>
          <w:lang w:val="fr-CA"/>
        </w:rPr>
        <w:fldChar w:fldCharType="end"/>
      </w:r>
      <w:r w:rsidRPr="00A831A4">
        <w:rPr>
          <w:b/>
          <w:sz w:val="20"/>
          <w:szCs w:val="20"/>
          <w:lang w:val="fr-CA"/>
        </w:rPr>
        <w:fldChar w:fldCharType="begin"/>
      </w:r>
      <w:r w:rsidRPr="00A831A4">
        <w:rPr>
          <w:b/>
          <w:sz w:val="20"/>
          <w:szCs w:val="20"/>
          <w:lang w:val="fr-CA"/>
        </w:rPr>
        <w:instrText xml:space="preserve"> SEQ CHAPTER \h \r 1</w:instrText>
      </w:r>
      <w:r w:rsidRPr="00A831A4">
        <w:rPr>
          <w:b/>
          <w:sz w:val="20"/>
          <w:szCs w:val="20"/>
          <w:lang w:val="fr-CA"/>
        </w:rPr>
        <w:fldChar w:fldCharType="end"/>
      </w:r>
      <w:r w:rsidRPr="00A831A4">
        <w:rPr>
          <w:b/>
          <w:sz w:val="20"/>
          <w:szCs w:val="20"/>
          <w:lang w:val="fr-CA"/>
        </w:rPr>
        <w:t xml:space="preserve">Les intervenants </w:t>
      </w:r>
      <w:r w:rsidRPr="00A831A4">
        <w:rPr>
          <w:b/>
          <w:bCs/>
          <w:sz w:val="20"/>
          <w:szCs w:val="20"/>
          <w:lang w:val="fr-CA"/>
        </w:rPr>
        <w:t>n’ont pas le droit de soulever de nouvelles questions, de produire d’autres éléments de preuve, ni de compléter de quelque autre façon le dossier des parties</w:t>
      </w:r>
      <w:r w:rsidRPr="00A831A4">
        <w:rPr>
          <w:b/>
          <w:sz w:val="20"/>
          <w:szCs w:val="20"/>
          <w:lang w:val="fr-CA"/>
        </w:rPr>
        <w:t>.</w:t>
      </w:r>
    </w:p>
    <w:p w:rsidR="009E100A" w:rsidRPr="00A831A4" w:rsidRDefault="009E100A" w:rsidP="009E100A">
      <w:pPr>
        <w:jc w:val="both"/>
        <w:rPr>
          <w:sz w:val="20"/>
          <w:szCs w:val="20"/>
          <w:lang w:val="fr-CA"/>
        </w:rPr>
      </w:pPr>
    </w:p>
    <w:p w:rsidR="009E100A" w:rsidRPr="00A831A4" w:rsidRDefault="009E100A" w:rsidP="009E100A">
      <w:pPr>
        <w:jc w:val="both"/>
        <w:rPr>
          <w:sz w:val="20"/>
          <w:szCs w:val="20"/>
          <w:lang w:val="fr-CA"/>
        </w:rPr>
      </w:pPr>
      <w:r w:rsidRPr="00A831A4">
        <w:rPr>
          <w:sz w:val="20"/>
          <w:szCs w:val="20"/>
          <w:lang w:val="fr-CA"/>
        </w:rPr>
        <w:t>Conformément à l’alinéa 59(1)</w:t>
      </w:r>
      <w:r w:rsidRPr="00A831A4">
        <w:rPr>
          <w:i/>
          <w:iCs/>
          <w:sz w:val="20"/>
          <w:szCs w:val="20"/>
          <w:lang w:val="fr-CA"/>
        </w:rPr>
        <w:t>a</w:t>
      </w:r>
      <w:r w:rsidRPr="00A831A4">
        <w:rPr>
          <w:sz w:val="20"/>
          <w:szCs w:val="20"/>
          <w:lang w:val="fr-CA"/>
        </w:rPr>
        <w:t>) des </w:t>
      </w:r>
      <w:r w:rsidRPr="00A831A4">
        <w:rPr>
          <w:i/>
          <w:iCs/>
          <w:sz w:val="20"/>
          <w:szCs w:val="20"/>
          <w:lang w:val="fr-CA"/>
        </w:rPr>
        <w:t>Règles de la Cour suprême du Canada</w:t>
      </w:r>
      <w:r w:rsidRPr="00A831A4">
        <w:rPr>
          <w:sz w:val="20"/>
          <w:szCs w:val="20"/>
          <w:lang w:val="fr-CA"/>
        </w:rPr>
        <w:t>, les intervenants paieront aux appelantes et aux intimés tous les débours supplémentaires découlant de leur intervention.</w:t>
      </w:r>
    </w:p>
    <w:p w:rsidR="000B4535" w:rsidRPr="00A831A4" w:rsidRDefault="000B4535" w:rsidP="00102792">
      <w:pPr>
        <w:spacing w:line="232" w:lineRule="auto"/>
        <w:rPr>
          <w:rFonts w:cs="Times New Roman"/>
          <w:sz w:val="20"/>
          <w:lang w:val="fr-CA"/>
        </w:rPr>
      </w:pPr>
    </w:p>
    <w:p w:rsidR="00102792" w:rsidRPr="00A831A4" w:rsidRDefault="00A23382" w:rsidP="00102792">
      <w:pPr>
        <w:widowControl w:val="0"/>
        <w:rPr>
          <w:rFonts w:eastAsia="Times New Roman" w:cs="Times New Roman"/>
          <w:sz w:val="20"/>
          <w:szCs w:val="20"/>
          <w:lang w:val="fr-CA" w:eastAsia="en-CA"/>
        </w:rPr>
      </w:pPr>
      <w:r>
        <w:rPr>
          <w:rFonts w:eastAsia="Times New Roman" w:cs="Times New Roman"/>
          <w:sz w:val="20"/>
          <w:szCs w:val="20"/>
          <w:lang w:val="fr-CA" w:eastAsia="en-CA"/>
        </w:rPr>
        <w:pict>
          <v:rect id="_x0000_i1061" style="width:2in;height:1pt" o:hrpct="0" o:hralign="center" o:hrstd="t" o:hrnoshade="t" o:hr="t" fillcolor="black [3213]" stroked="f"/>
        </w:pict>
      </w:r>
    </w:p>
    <w:p w:rsidR="005967EF" w:rsidRPr="00A831A4" w:rsidRDefault="005967EF" w:rsidP="00102792">
      <w:pPr>
        <w:rPr>
          <w:rFonts w:eastAsia="Times New Roman" w:cs="Times New Roman"/>
          <w:sz w:val="20"/>
          <w:szCs w:val="20"/>
          <w:lang w:val="fr-CA" w:eastAsia="en-CA"/>
        </w:rPr>
      </w:pPr>
    </w:p>
    <w:p w:rsidR="00CA2DEA" w:rsidRPr="00A831A4" w:rsidRDefault="00CA2DEA" w:rsidP="0010587F">
      <w:pPr>
        <w:tabs>
          <w:tab w:val="left" w:pos="-1440"/>
          <w:tab w:val="left" w:pos="-720"/>
        </w:tabs>
        <w:jc w:val="both"/>
        <w:rPr>
          <w:sz w:val="20"/>
          <w:szCs w:val="20"/>
          <w:lang w:val="fr-CA"/>
        </w:rPr>
      </w:pPr>
    </w:p>
    <w:p w:rsidR="00DE1F0C" w:rsidRPr="00A831A4" w:rsidRDefault="00DE1F0C">
      <w:pPr>
        <w:rPr>
          <w:sz w:val="20"/>
          <w:szCs w:val="20"/>
          <w:lang w:val="fr-CA"/>
        </w:rPr>
      </w:pPr>
      <w:r w:rsidRPr="00A831A4">
        <w:rPr>
          <w:sz w:val="20"/>
          <w:szCs w:val="20"/>
          <w:lang w:val="fr-CA"/>
        </w:rPr>
        <w:br w:type="page"/>
      </w:r>
    </w:p>
    <w:p w:rsidR="00DE1F0C" w:rsidRPr="00A831A4" w:rsidRDefault="00DE1F0C" w:rsidP="00DE1F0C">
      <w:pPr>
        <w:rPr>
          <w:b/>
          <w:sz w:val="20"/>
          <w:szCs w:val="20"/>
          <w:lang w:val="fr-CA"/>
        </w:rPr>
      </w:pPr>
      <w:r w:rsidRPr="00A831A4">
        <w:rPr>
          <w:b/>
          <w:sz w:val="20"/>
          <w:szCs w:val="20"/>
          <w:lang w:val="fr-CA"/>
        </w:rPr>
        <w:lastRenderedPageBreak/>
        <w:t>September 16, 2024 / Le 16 septembre 2024</w:t>
      </w:r>
    </w:p>
    <w:p w:rsidR="00DE1F0C" w:rsidRPr="00A831A4" w:rsidRDefault="00DE1F0C" w:rsidP="00DE1F0C">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E1F0C" w:rsidRPr="00D2793A" w:rsidTr="00783CF1">
        <w:trPr>
          <w:trHeight w:val="554"/>
        </w:trPr>
        <w:tc>
          <w:tcPr>
            <w:tcW w:w="4410" w:type="dxa"/>
            <w:tcBorders>
              <w:top w:val="nil"/>
              <w:left w:val="nil"/>
              <w:bottom w:val="nil"/>
              <w:right w:val="nil"/>
            </w:tcBorders>
          </w:tcPr>
          <w:p w:rsidR="00DE1F0C" w:rsidRPr="00A831A4" w:rsidRDefault="00DE1F0C" w:rsidP="00783CF1">
            <w:pPr>
              <w:jc w:val="both"/>
              <w:rPr>
                <w:rFonts w:cs="Times New Roman"/>
                <w:b/>
                <w:bCs/>
                <w:sz w:val="20"/>
                <w:szCs w:val="20"/>
              </w:rPr>
            </w:pPr>
            <w:r w:rsidRPr="00A831A4">
              <w:rPr>
                <w:rFonts w:eastAsia="Times New Roman" w:cs="Times New Roman"/>
                <w:b/>
                <w:sz w:val="20"/>
                <w:szCs w:val="20"/>
                <w:lang w:val="en-US" w:eastAsia="en-CA"/>
              </w:rPr>
              <w:t>Motion to file a reply factum</w:t>
            </w:r>
          </w:p>
        </w:tc>
        <w:tc>
          <w:tcPr>
            <w:tcW w:w="810" w:type="dxa"/>
            <w:tcBorders>
              <w:top w:val="nil"/>
              <w:left w:val="nil"/>
              <w:bottom w:val="nil"/>
              <w:right w:val="nil"/>
            </w:tcBorders>
          </w:tcPr>
          <w:p w:rsidR="00DE1F0C" w:rsidRPr="00A831A4" w:rsidRDefault="00DE1F0C" w:rsidP="00783CF1">
            <w:pPr>
              <w:jc w:val="both"/>
              <w:rPr>
                <w:rFonts w:cs="Times New Roman"/>
                <w:b/>
                <w:bCs/>
                <w:sz w:val="20"/>
                <w:szCs w:val="20"/>
                <w:lang w:val="en-US"/>
              </w:rPr>
            </w:pPr>
          </w:p>
        </w:tc>
        <w:tc>
          <w:tcPr>
            <w:tcW w:w="4399" w:type="dxa"/>
            <w:tcBorders>
              <w:top w:val="nil"/>
              <w:left w:val="nil"/>
              <w:bottom w:val="nil"/>
              <w:right w:val="nil"/>
            </w:tcBorders>
          </w:tcPr>
          <w:p w:rsidR="00DE1F0C" w:rsidRPr="00A831A4" w:rsidRDefault="00DE1F0C" w:rsidP="00783CF1">
            <w:pPr>
              <w:jc w:val="both"/>
              <w:rPr>
                <w:rFonts w:cs="Times New Roman"/>
                <w:b/>
                <w:bCs/>
                <w:sz w:val="20"/>
                <w:szCs w:val="20"/>
                <w:lang w:val="fr-CA"/>
              </w:rPr>
            </w:pPr>
            <w:r w:rsidRPr="00A831A4">
              <w:rPr>
                <w:rFonts w:eastAsia="Times New Roman" w:cs="Times New Roman"/>
                <w:b/>
                <w:sz w:val="20"/>
                <w:szCs w:val="20"/>
                <w:lang w:val="fr-CA" w:eastAsia="en-CA"/>
              </w:rPr>
              <w:t>Requête pour déposer un mémoire en réplique</w:t>
            </w:r>
          </w:p>
        </w:tc>
      </w:tr>
    </w:tbl>
    <w:p w:rsidR="00DE1F0C" w:rsidRPr="00A831A4" w:rsidRDefault="00DE1F0C" w:rsidP="00DE1F0C">
      <w:pPr>
        <w:tabs>
          <w:tab w:val="left" w:pos="-1440"/>
          <w:tab w:val="left" w:pos="-720"/>
        </w:tabs>
        <w:jc w:val="both"/>
        <w:rPr>
          <w:rFonts w:eastAsia="Times New Roman" w:cs="Times New Roman"/>
          <w:sz w:val="20"/>
          <w:szCs w:val="20"/>
          <w:lang w:val="fr-CA" w:eastAsia="en-CA"/>
        </w:rPr>
      </w:pPr>
    </w:p>
    <w:p w:rsidR="00DE1F0C" w:rsidRPr="00A831A4" w:rsidRDefault="00DE1F0C" w:rsidP="00DE1F0C">
      <w:pPr>
        <w:rPr>
          <w:b/>
          <w:sz w:val="20"/>
          <w:szCs w:val="20"/>
          <w:lang w:val="fr-CA"/>
        </w:rPr>
      </w:pPr>
      <w:r w:rsidRPr="00A831A4">
        <w:rPr>
          <w:b/>
          <w:sz w:val="20"/>
          <w:szCs w:val="20"/>
          <w:lang w:val="fr-CA"/>
        </w:rPr>
        <w:t>SERVICES MARITIMES QUÉBEC INC., ET AL. c. PROCUREUR GÉNÉRAL DU QUÉBEC, ET AL.</w:t>
      </w:r>
    </w:p>
    <w:p w:rsidR="00DE1F0C" w:rsidRPr="00A831A4" w:rsidRDefault="00DE1F0C" w:rsidP="00DE1F0C">
      <w:pPr>
        <w:rPr>
          <w:sz w:val="20"/>
          <w:szCs w:val="20"/>
          <w:lang w:val="fr-CA"/>
        </w:rPr>
      </w:pPr>
      <w:r w:rsidRPr="00A831A4">
        <w:rPr>
          <w:sz w:val="20"/>
          <w:szCs w:val="20"/>
          <w:lang w:val="fr-CA"/>
        </w:rPr>
        <w:t>(Qc) (40791)</w:t>
      </w:r>
    </w:p>
    <w:p w:rsidR="00DE1F0C" w:rsidRPr="00A831A4" w:rsidRDefault="00DE1F0C" w:rsidP="00DE1F0C">
      <w:pPr>
        <w:rPr>
          <w:sz w:val="20"/>
          <w:szCs w:val="20"/>
          <w:lang w:val="fr-CA"/>
        </w:rPr>
      </w:pPr>
    </w:p>
    <w:p w:rsidR="00DE1F0C" w:rsidRPr="00A831A4" w:rsidRDefault="00DE1F0C" w:rsidP="00DE1F0C">
      <w:pPr>
        <w:rPr>
          <w:b/>
          <w:sz w:val="20"/>
          <w:szCs w:val="20"/>
          <w:lang w:val="fr-CA"/>
        </w:rPr>
      </w:pPr>
      <w:r w:rsidRPr="00A831A4">
        <w:rPr>
          <w:b/>
          <w:sz w:val="20"/>
          <w:szCs w:val="20"/>
          <w:u w:val="single"/>
          <w:lang w:val="fr-CA"/>
        </w:rPr>
        <w:t>LA JUGE MARTIN </w:t>
      </w:r>
      <w:r w:rsidRPr="00A831A4">
        <w:rPr>
          <w:b/>
          <w:sz w:val="20"/>
          <w:szCs w:val="20"/>
          <w:lang w:val="fr-CA"/>
        </w:rPr>
        <w:t>:</w:t>
      </w:r>
    </w:p>
    <w:p w:rsidR="00DE1F0C" w:rsidRPr="00A831A4" w:rsidRDefault="00DE1F0C" w:rsidP="00DE1F0C">
      <w:pPr>
        <w:rPr>
          <w:sz w:val="20"/>
          <w:szCs w:val="20"/>
          <w:lang w:val="fr-CA"/>
        </w:rPr>
      </w:pPr>
    </w:p>
    <w:p w:rsidR="00DE1F0C" w:rsidRPr="00A831A4" w:rsidRDefault="00DE1F0C" w:rsidP="00DE1F0C">
      <w:pPr>
        <w:jc w:val="both"/>
        <w:rPr>
          <w:bCs/>
          <w:sz w:val="20"/>
          <w:szCs w:val="20"/>
          <w:lang w:val="fr-CA"/>
        </w:rPr>
      </w:pPr>
      <w:r w:rsidRPr="00A831A4">
        <w:rPr>
          <w:b/>
          <w:bCs/>
          <w:sz w:val="20"/>
          <w:szCs w:val="20"/>
          <w:lang w:val="fr-CA"/>
        </w:rPr>
        <w:t xml:space="preserve">À LA SUITE DE LA REQUÊTE </w:t>
      </w:r>
      <w:r w:rsidRPr="00A831A4">
        <w:rPr>
          <w:bCs/>
          <w:sz w:val="20"/>
          <w:szCs w:val="20"/>
          <w:lang w:val="fr-CA"/>
        </w:rPr>
        <w:t xml:space="preserve">présentée par les appelants, Services maritimes Québec inc. et Michel Fillion, pour une ordonnance afin de permettre la signification et le dépôt d’un mémoire en réplique aux mémoires des intervenants; </w:t>
      </w:r>
    </w:p>
    <w:p w:rsidR="00DE1F0C" w:rsidRPr="00A831A4" w:rsidRDefault="00DE1F0C" w:rsidP="00DE1F0C">
      <w:pPr>
        <w:jc w:val="both"/>
        <w:rPr>
          <w:bCs/>
          <w:sz w:val="20"/>
          <w:szCs w:val="20"/>
          <w:lang w:val="fr-CA"/>
        </w:rPr>
      </w:pPr>
    </w:p>
    <w:p w:rsidR="00DE1F0C" w:rsidRPr="00A831A4" w:rsidRDefault="00DE1F0C" w:rsidP="00DE1F0C">
      <w:pPr>
        <w:jc w:val="both"/>
        <w:rPr>
          <w:bCs/>
          <w:sz w:val="20"/>
          <w:szCs w:val="20"/>
          <w:lang w:val="fr-CA"/>
        </w:rPr>
      </w:pPr>
      <w:r w:rsidRPr="00A831A4">
        <w:rPr>
          <w:b/>
          <w:bCs/>
          <w:sz w:val="20"/>
          <w:szCs w:val="20"/>
          <w:lang w:val="fr-CA"/>
        </w:rPr>
        <w:t>ET APRÈS EXAMEN</w:t>
      </w:r>
      <w:r w:rsidRPr="00A831A4">
        <w:rPr>
          <w:bCs/>
          <w:sz w:val="20"/>
          <w:szCs w:val="20"/>
          <w:lang w:val="fr-CA"/>
        </w:rPr>
        <w:t xml:space="preserve"> des documents déposés;</w:t>
      </w:r>
    </w:p>
    <w:p w:rsidR="00DE1F0C" w:rsidRPr="00A831A4" w:rsidRDefault="00DE1F0C" w:rsidP="00DE1F0C">
      <w:pPr>
        <w:jc w:val="both"/>
        <w:rPr>
          <w:bCs/>
          <w:sz w:val="20"/>
          <w:szCs w:val="20"/>
          <w:lang w:val="fr-CA"/>
        </w:rPr>
      </w:pPr>
    </w:p>
    <w:p w:rsidR="00DE1F0C" w:rsidRPr="00A831A4" w:rsidRDefault="00DE1F0C" w:rsidP="00DE1F0C">
      <w:pPr>
        <w:jc w:val="both"/>
        <w:rPr>
          <w:bCs/>
          <w:sz w:val="20"/>
          <w:szCs w:val="20"/>
          <w:lang w:val="fr-CA"/>
        </w:rPr>
      </w:pPr>
      <w:r w:rsidRPr="00A831A4">
        <w:rPr>
          <w:b/>
          <w:bCs/>
          <w:sz w:val="20"/>
          <w:szCs w:val="20"/>
          <w:lang w:val="fr-CA"/>
        </w:rPr>
        <w:t>IL EST ORDONNÉ CE QUI SUIT</w:t>
      </w:r>
      <w:r w:rsidRPr="00A831A4">
        <w:rPr>
          <w:bCs/>
          <w:sz w:val="20"/>
          <w:szCs w:val="20"/>
          <w:lang w:val="fr-CA"/>
        </w:rPr>
        <w:t xml:space="preserve"> : </w:t>
      </w:r>
    </w:p>
    <w:p w:rsidR="00DE1F0C" w:rsidRPr="00A831A4" w:rsidRDefault="00DE1F0C" w:rsidP="00DE1F0C">
      <w:pPr>
        <w:jc w:val="both"/>
        <w:rPr>
          <w:bCs/>
          <w:sz w:val="20"/>
          <w:szCs w:val="20"/>
          <w:lang w:val="fr-CA"/>
        </w:rPr>
      </w:pPr>
    </w:p>
    <w:p w:rsidR="00DE1F0C" w:rsidRPr="00A831A4" w:rsidRDefault="00DE1F0C" w:rsidP="00DE1F0C">
      <w:pPr>
        <w:jc w:val="both"/>
        <w:rPr>
          <w:bCs/>
          <w:sz w:val="20"/>
          <w:szCs w:val="20"/>
          <w:lang w:val="fr-CA"/>
        </w:rPr>
      </w:pPr>
      <w:r w:rsidRPr="00A831A4">
        <w:rPr>
          <w:bCs/>
          <w:sz w:val="20"/>
          <w:szCs w:val="20"/>
          <w:lang w:val="fr-CA"/>
        </w:rPr>
        <w:t>La requête est accueillie.</w:t>
      </w:r>
    </w:p>
    <w:p w:rsidR="00DE1F0C" w:rsidRPr="00A831A4" w:rsidRDefault="00DE1F0C" w:rsidP="00DE1F0C">
      <w:pPr>
        <w:jc w:val="both"/>
        <w:rPr>
          <w:bCs/>
          <w:sz w:val="20"/>
          <w:szCs w:val="20"/>
          <w:lang w:val="fr-CA"/>
        </w:rPr>
      </w:pPr>
    </w:p>
    <w:p w:rsidR="00DE1F0C" w:rsidRPr="00A831A4" w:rsidRDefault="00DE1F0C" w:rsidP="00DE1F0C">
      <w:pPr>
        <w:jc w:val="both"/>
        <w:rPr>
          <w:bCs/>
          <w:sz w:val="20"/>
          <w:szCs w:val="20"/>
          <w:lang w:val="fr-CA"/>
        </w:rPr>
      </w:pPr>
      <w:r w:rsidRPr="00A831A4">
        <w:rPr>
          <w:bCs/>
          <w:sz w:val="20"/>
          <w:szCs w:val="20"/>
          <w:lang w:val="fr-CA"/>
        </w:rPr>
        <w:t>Les appelants, Services maritimes Québec inc. et Michel Fillion, peuvent signifier et déposer un seul mémoire en réplique aux interventions d’au plus cinq (5) pages au plus tard le 7 octobre 2024.</w:t>
      </w:r>
    </w:p>
    <w:p w:rsidR="00DE1F0C" w:rsidRPr="00A831A4" w:rsidRDefault="00DE1F0C" w:rsidP="0010587F">
      <w:pPr>
        <w:tabs>
          <w:tab w:val="left" w:pos="-1440"/>
          <w:tab w:val="left" w:pos="-720"/>
        </w:tabs>
        <w:jc w:val="both"/>
        <w:rPr>
          <w:sz w:val="20"/>
          <w:szCs w:val="20"/>
          <w:lang w:val="fr-CA"/>
        </w:rPr>
      </w:pPr>
    </w:p>
    <w:p w:rsidR="00DE1F0C" w:rsidRPr="00A831A4" w:rsidRDefault="00DE1F0C" w:rsidP="0010587F">
      <w:pPr>
        <w:tabs>
          <w:tab w:val="left" w:pos="-1440"/>
          <w:tab w:val="left" w:pos="-720"/>
        </w:tabs>
        <w:jc w:val="both"/>
        <w:rPr>
          <w:sz w:val="20"/>
          <w:szCs w:val="20"/>
          <w:lang w:val="fr-CA"/>
        </w:rPr>
      </w:pPr>
    </w:p>
    <w:p w:rsidR="00DE1F0C" w:rsidRPr="00A831A4" w:rsidRDefault="00DE1F0C" w:rsidP="00DE1F0C">
      <w:pPr>
        <w:jc w:val="both"/>
        <w:rPr>
          <w:sz w:val="20"/>
          <w:szCs w:val="20"/>
          <w:lang w:val="en-US"/>
        </w:rPr>
      </w:pPr>
      <w:r w:rsidRPr="00A831A4">
        <w:rPr>
          <w:b/>
          <w:sz w:val="20"/>
          <w:szCs w:val="20"/>
          <w:lang w:val="en-US"/>
        </w:rPr>
        <w:t xml:space="preserve">UPON MOTION </w:t>
      </w:r>
      <w:r w:rsidRPr="00A831A4">
        <w:rPr>
          <w:sz w:val="20"/>
          <w:szCs w:val="20"/>
          <w:lang w:val="en-US"/>
        </w:rPr>
        <w:t>by the appellants, Quebec Maritime Services Inc. and Michel Fillion, for an order permitting the service and filing of a single factum in reply to interveners factums;</w:t>
      </w:r>
    </w:p>
    <w:p w:rsidR="00DE1F0C" w:rsidRPr="00A831A4" w:rsidRDefault="00DE1F0C" w:rsidP="00DE1F0C">
      <w:pPr>
        <w:jc w:val="both"/>
        <w:rPr>
          <w:sz w:val="20"/>
          <w:szCs w:val="20"/>
          <w:lang w:val="en-US"/>
        </w:rPr>
      </w:pPr>
    </w:p>
    <w:p w:rsidR="00DE1F0C" w:rsidRPr="00A831A4" w:rsidRDefault="00DE1F0C" w:rsidP="00DE1F0C">
      <w:pPr>
        <w:jc w:val="both"/>
        <w:rPr>
          <w:sz w:val="20"/>
          <w:szCs w:val="20"/>
          <w:lang w:val="en-US"/>
        </w:rPr>
      </w:pPr>
      <w:r w:rsidRPr="00A831A4">
        <w:rPr>
          <w:b/>
          <w:sz w:val="20"/>
          <w:szCs w:val="20"/>
          <w:lang w:val="en-US"/>
        </w:rPr>
        <w:t>AND THE MATERIAL FILED</w:t>
      </w:r>
      <w:r w:rsidRPr="00A831A4">
        <w:rPr>
          <w:sz w:val="20"/>
          <w:szCs w:val="20"/>
          <w:lang w:val="en-US"/>
        </w:rPr>
        <w:t xml:space="preserve"> having been read;</w:t>
      </w:r>
    </w:p>
    <w:p w:rsidR="00DE1F0C" w:rsidRPr="00A831A4" w:rsidRDefault="00DE1F0C" w:rsidP="00DE1F0C">
      <w:pPr>
        <w:jc w:val="both"/>
        <w:rPr>
          <w:sz w:val="20"/>
          <w:szCs w:val="20"/>
          <w:lang w:val="en-US"/>
        </w:rPr>
      </w:pPr>
    </w:p>
    <w:p w:rsidR="00DE1F0C" w:rsidRPr="00A831A4" w:rsidRDefault="00DE1F0C" w:rsidP="00DE1F0C">
      <w:pPr>
        <w:jc w:val="both"/>
        <w:rPr>
          <w:b/>
          <w:sz w:val="20"/>
          <w:szCs w:val="20"/>
          <w:lang w:val="en-US"/>
        </w:rPr>
      </w:pPr>
      <w:r w:rsidRPr="00A831A4">
        <w:rPr>
          <w:b/>
          <w:sz w:val="20"/>
          <w:szCs w:val="20"/>
          <w:lang w:val="en-US"/>
        </w:rPr>
        <w:t xml:space="preserve">IT IS HEREBY ORDERED THAT: </w:t>
      </w:r>
    </w:p>
    <w:p w:rsidR="00DE1F0C" w:rsidRPr="00A831A4" w:rsidRDefault="00DE1F0C" w:rsidP="00DE1F0C">
      <w:pPr>
        <w:jc w:val="both"/>
        <w:rPr>
          <w:sz w:val="20"/>
          <w:szCs w:val="20"/>
          <w:lang w:val="en-US"/>
        </w:rPr>
      </w:pPr>
    </w:p>
    <w:p w:rsidR="00DE1F0C" w:rsidRPr="00A831A4" w:rsidRDefault="00DE1F0C" w:rsidP="00DE1F0C">
      <w:pPr>
        <w:jc w:val="both"/>
        <w:rPr>
          <w:sz w:val="20"/>
          <w:szCs w:val="20"/>
          <w:lang w:val="en-US"/>
        </w:rPr>
      </w:pPr>
      <w:r w:rsidRPr="00A831A4">
        <w:rPr>
          <w:sz w:val="20"/>
          <w:szCs w:val="20"/>
          <w:lang w:val="en-US"/>
        </w:rPr>
        <w:t>The motion is granted.</w:t>
      </w:r>
    </w:p>
    <w:p w:rsidR="00DE1F0C" w:rsidRPr="00A831A4" w:rsidRDefault="00DE1F0C" w:rsidP="00DE1F0C">
      <w:pPr>
        <w:jc w:val="both"/>
        <w:rPr>
          <w:sz w:val="20"/>
          <w:szCs w:val="20"/>
          <w:lang w:val="en-US"/>
        </w:rPr>
      </w:pPr>
    </w:p>
    <w:p w:rsidR="00DE1F0C" w:rsidRPr="00A831A4" w:rsidRDefault="00DE1F0C" w:rsidP="00DE1F0C">
      <w:pPr>
        <w:jc w:val="both"/>
        <w:rPr>
          <w:sz w:val="20"/>
          <w:szCs w:val="20"/>
          <w:lang w:val="en-US"/>
        </w:rPr>
      </w:pPr>
      <w:r w:rsidRPr="00A831A4">
        <w:rPr>
          <w:sz w:val="20"/>
          <w:szCs w:val="20"/>
          <w:lang w:val="en-US"/>
        </w:rPr>
        <w:t xml:space="preserve">The appellants, Quebec Maritime Services Inc. and Michel Fillion, may serve and file a single factum in reply to the interventions not exceeding five (5) pages in length on or before October 7, 2024. </w:t>
      </w:r>
    </w:p>
    <w:p w:rsidR="00DE1F0C" w:rsidRPr="00A831A4" w:rsidRDefault="00DE1F0C" w:rsidP="00DE1F0C">
      <w:pPr>
        <w:spacing w:line="232" w:lineRule="auto"/>
        <w:rPr>
          <w:rFonts w:cs="Times New Roman"/>
          <w:sz w:val="20"/>
        </w:rPr>
      </w:pPr>
    </w:p>
    <w:p w:rsidR="00DE1F0C" w:rsidRPr="00A831A4" w:rsidRDefault="00A23382" w:rsidP="00DE1F0C">
      <w:pPr>
        <w:tabs>
          <w:tab w:val="left" w:pos="-1440"/>
          <w:tab w:val="left" w:pos="-720"/>
        </w:tabs>
        <w:jc w:val="both"/>
        <w:rPr>
          <w:sz w:val="20"/>
          <w:szCs w:val="20"/>
          <w:lang w:val="fr-CA"/>
        </w:rPr>
      </w:pPr>
      <w:r>
        <w:rPr>
          <w:rFonts w:eastAsia="Times New Roman" w:cs="Times New Roman"/>
          <w:sz w:val="20"/>
          <w:szCs w:val="20"/>
          <w:lang w:val="fr-CA" w:eastAsia="en-CA"/>
        </w:rPr>
        <w:pict>
          <v:rect id="_x0000_i1062" style="width:2in;height:1pt" o:hrpct="0" o:hralign="center" o:hrstd="t" o:hrnoshade="t" o:hr="t" fillcolor="black [3213]" stroked="f"/>
        </w:pict>
      </w:r>
    </w:p>
    <w:p w:rsidR="00DE1F0C" w:rsidRPr="00A831A4" w:rsidRDefault="00DE1F0C" w:rsidP="0010587F">
      <w:pPr>
        <w:tabs>
          <w:tab w:val="left" w:pos="-1440"/>
          <w:tab w:val="left" w:pos="-720"/>
        </w:tabs>
        <w:jc w:val="both"/>
        <w:rPr>
          <w:sz w:val="20"/>
          <w:szCs w:val="20"/>
          <w:lang w:val="fr-CA"/>
        </w:rPr>
      </w:pPr>
    </w:p>
    <w:p w:rsidR="00A831A4" w:rsidRPr="00A831A4" w:rsidRDefault="00A831A4" w:rsidP="0010587F">
      <w:pPr>
        <w:tabs>
          <w:tab w:val="left" w:pos="-1440"/>
          <w:tab w:val="left" w:pos="-720"/>
        </w:tabs>
        <w:jc w:val="both"/>
        <w:rPr>
          <w:sz w:val="20"/>
          <w:szCs w:val="20"/>
          <w:lang w:val="fr-CA"/>
        </w:rPr>
      </w:pPr>
    </w:p>
    <w:p w:rsidR="00A831A4" w:rsidRPr="00A831A4" w:rsidRDefault="00A831A4" w:rsidP="0010587F">
      <w:pPr>
        <w:tabs>
          <w:tab w:val="left" w:pos="-1440"/>
          <w:tab w:val="left" w:pos="-720"/>
        </w:tabs>
        <w:jc w:val="both"/>
        <w:rPr>
          <w:sz w:val="20"/>
          <w:szCs w:val="20"/>
          <w:lang w:val="fr-CA"/>
        </w:rPr>
      </w:pPr>
    </w:p>
    <w:p w:rsidR="00890FEB" w:rsidRPr="00A831A4" w:rsidRDefault="00890FEB" w:rsidP="00831CA9">
      <w:pPr>
        <w:jc w:val="both"/>
        <w:rPr>
          <w:sz w:val="20"/>
          <w:szCs w:val="20"/>
          <w:lang w:val="fr-CA"/>
        </w:rPr>
      </w:pPr>
    </w:p>
    <w:p w:rsidR="00831CA9" w:rsidRPr="00A831A4" w:rsidRDefault="00831CA9" w:rsidP="00831CA9">
      <w:pPr>
        <w:jc w:val="both"/>
        <w:rPr>
          <w:sz w:val="20"/>
          <w:szCs w:val="20"/>
          <w:lang w:val="fr-CA"/>
        </w:rPr>
        <w:sectPr w:rsidR="00831CA9" w:rsidRPr="00A831A4" w:rsidSect="00831CA9">
          <w:headerReference w:type="even" r:id="rId53"/>
          <w:headerReference w:type="default" r:id="rId54"/>
          <w:footerReference w:type="even" r:id="rId55"/>
          <w:footerReference w:type="default" r:id="rId56"/>
          <w:headerReference w:type="first" r:id="rId57"/>
          <w:footerReference w:type="first" r:id="rId58"/>
          <w:pgSz w:w="12240" w:h="15840"/>
          <w:pgMar w:top="720" w:right="965" w:bottom="1080" w:left="1656" w:header="720" w:footer="965" w:gutter="0"/>
          <w:cols w:space="720"/>
          <w:titlePg/>
          <w:docGrid w:linePitch="326"/>
        </w:sectPr>
      </w:pPr>
    </w:p>
    <w:p w:rsidR="00567602" w:rsidRPr="00A831A4" w:rsidRDefault="001434B9" w:rsidP="00567602">
      <w:pPr>
        <w:pStyle w:val="Header1StyleE"/>
        <w:pBdr>
          <w:bottom w:val="single" w:sz="12" w:space="1" w:color="auto"/>
        </w:pBdr>
        <w:rPr>
          <w:sz w:val="20"/>
          <w:lang w:val="en-US"/>
        </w:rPr>
      </w:pPr>
      <w:bookmarkStart w:id="7" w:name="_Toc177632279"/>
      <w:r w:rsidRPr="00A831A4">
        <w:lastRenderedPageBreak/>
        <w:t>Notices of appeal filed since the last issue</w:t>
      </w:r>
      <w:r w:rsidR="00271E1E" w:rsidRPr="00A831A4">
        <w:t xml:space="preserve"> / </w:t>
      </w:r>
      <w:r w:rsidR="00567602" w:rsidRPr="00A831A4">
        <w:br/>
      </w:r>
      <w:r w:rsidRPr="00A831A4">
        <w:rPr>
          <w:lang w:val="fr-CA"/>
        </w:rPr>
        <w:t>Avis d’appel déposés depuis la dernière parution</w:t>
      </w:r>
      <w:bookmarkEnd w:id="7"/>
    </w:p>
    <w:p w:rsidR="00FB1DB6" w:rsidRPr="00A831A4"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A831A4" w:rsidTr="005F1ED8">
        <w:trPr>
          <w:cantSplit/>
        </w:trPr>
        <w:tc>
          <w:tcPr>
            <w:tcW w:w="2206" w:type="pct"/>
            <w:tcMar>
              <w:left w:w="0" w:type="dxa"/>
              <w:right w:w="0" w:type="dxa"/>
            </w:tcMar>
          </w:tcPr>
          <w:p w:rsidR="0086340B" w:rsidRPr="00A831A4" w:rsidRDefault="00447103" w:rsidP="005F1ED8">
            <w:pPr>
              <w:rPr>
                <w:sz w:val="20"/>
                <w:szCs w:val="20"/>
              </w:rPr>
            </w:pPr>
            <w:r w:rsidRPr="00A831A4">
              <w:rPr>
                <w:sz w:val="20"/>
                <w:szCs w:val="20"/>
              </w:rPr>
              <w:t>September</w:t>
            </w:r>
            <w:r w:rsidR="008859F1" w:rsidRPr="00A831A4">
              <w:rPr>
                <w:sz w:val="20"/>
                <w:szCs w:val="20"/>
              </w:rPr>
              <w:t xml:space="preserve"> </w:t>
            </w:r>
            <w:r w:rsidR="00A82C7B" w:rsidRPr="00A831A4">
              <w:rPr>
                <w:sz w:val="20"/>
                <w:szCs w:val="20"/>
              </w:rPr>
              <w:t>5</w:t>
            </w:r>
            <w:r w:rsidR="008859F1" w:rsidRPr="00A831A4">
              <w:rPr>
                <w:sz w:val="20"/>
                <w:szCs w:val="20"/>
              </w:rPr>
              <w:t>, 20</w:t>
            </w:r>
            <w:r w:rsidR="005967EF" w:rsidRPr="00A831A4">
              <w:rPr>
                <w:sz w:val="20"/>
                <w:szCs w:val="20"/>
              </w:rPr>
              <w:t>2</w:t>
            </w:r>
            <w:r w:rsidR="00345645" w:rsidRPr="00A831A4">
              <w:rPr>
                <w:sz w:val="20"/>
                <w:szCs w:val="20"/>
              </w:rPr>
              <w:t>4</w:t>
            </w:r>
          </w:p>
          <w:p w:rsidR="0034657E" w:rsidRPr="00A831A4" w:rsidRDefault="0034657E" w:rsidP="005F1ED8">
            <w:pPr>
              <w:rPr>
                <w:sz w:val="20"/>
                <w:szCs w:val="20"/>
              </w:rPr>
            </w:pPr>
          </w:p>
          <w:p w:rsidR="0086340B" w:rsidRPr="00A831A4" w:rsidRDefault="00A82C7B" w:rsidP="005F1ED8">
            <w:pPr>
              <w:rPr>
                <w:b/>
                <w:sz w:val="20"/>
                <w:szCs w:val="20"/>
              </w:rPr>
            </w:pPr>
            <w:r w:rsidRPr="00A831A4">
              <w:rPr>
                <w:b/>
                <w:sz w:val="20"/>
                <w:szCs w:val="20"/>
              </w:rPr>
              <w:t>Mohawk Council of Kanesatake</w:t>
            </w:r>
          </w:p>
          <w:p w:rsidR="0086340B" w:rsidRPr="00A831A4" w:rsidRDefault="0086340B" w:rsidP="005F1ED8">
            <w:pPr>
              <w:rPr>
                <w:sz w:val="20"/>
                <w:szCs w:val="20"/>
              </w:rPr>
            </w:pPr>
          </w:p>
          <w:p w:rsidR="0086340B" w:rsidRPr="00A831A4" w:rsidRDefault="0086340B" w:rsidP="005F1ED8">
            <w:pPr>
              <w:rPr>
                <w:b/>
                <w:sz w:val="20"/>
                <w:szCs w:val="20"/>
              </w:rPr>
            </w:pPr>
            <w:r w:rsidRPr="00A831A4">
              <w:rPr>
                <w:b/>
                <w:sz w:val="20"/>
                <w:szCs w:val="20"/>
              </w:rPr>
              <w:tab/>
              <w:t>v. (</w:t>
            </w:r>
            <w:r w:rsidR="00447103" w:rsidRPr="00A831A4">
              <w:rPr>
                <w:b/>
                <w:sz w:val="20"/>
                <w:szCs w:val="20"/>
              </w:rPr>
              <w:t>411</w:t>
            </w:r>
            <w:r w:rsidR="00A82C7B" w:rsidRPr="00A831A4">
              <w:rPr>
                <w:b/>
                <w:sz w:val="20"/>
                <w:szCs w:val="20"/>
              </w:rPr>
              <w:t>31</w:t>
            </w:r>
            <w:r w:rsidRPr="00A831A4">
              <w:rPr>
                <w:b/>
                <w:sz w:val="20"/>
                <w:szCs w:val="20"/>
              </w:rPr>
              <w:t>)</w:t>
            </w:r>
          </w:p>
          <w:p w:rsidR="0086340B" w:rsidRPr="00A831A4" w:rsidRDefault="0086340B" w:rsidP="005F1ED8">
            <w:pPr>
              <w:rPr>
                <w:sz w:val="20"/>
                <w:szCs w:val="20"/>
              </w:rPr>
            </w:pPr>
          </w:p>
          <w:p w:rsidR="0086340B" w:rsidRPr="00A831A4" w:rsidRDefault="00A82C7B" w:rsidP="005F1ED8">
            <w:pPr>
              <w:rPr>
                <w:b/>
                <w:sz w:val="20"/>
                <w:szCs w:val="20"/>
              </w:rPr>
            </w:pPr>
            <w:r w:rsidRPr="00A831A4">
              <w:rPr>
                <w:b/>
                <w:sz w:val="20"/>
                <w:szCs w:val="20"/>
                <w:lang w:val="fr-CA"/>
              </w:rPr>
              <w:t>Louis-Victor Sylvestre, et al.</w:t>
            </w:r>
            <w:r w:rsidR="0086340B" w:rsidRPr="00A831A4">
              <w:rPr>
                <w:b/>
                <w:sz w:val="20"/>
                <w:szCs w:val="20"/>
                <w:lang w:val="fr-CA"/>
              </w:rPr>
              <w:t xml:space="preserve"> </w:t>
            </w:r>
            <w:r w:rsidR="0086340B" w:rsidRPr="00A831A4">
              <w:rPr>
                <w:b/>
                <w:sz w:val="20"/>
                <w:szCs w:val="20"/>
              </w:rPr>
              <w:t>(</w:t>
            </w:r>
            <w:r w:rsidRPr="00A831A4">
              <w:rPr>
                <w:b/>
                <w:sz w:val="20"/>
                <w:szCs w:val="20"/>
              </w:rPr>
              <w:t>Que</w:t>
            </w:r>
            <w:r w:rsidR="0086340B" w:rsidRPr="00A831A4">
              <w:rPr>
                <w:b/>
                <w:sz w:val="20"/>
                <w:szCs w:val="20"/>
              </w:rPr>
              <w:t>.)</w:t>
            </w:r>
          </w:p>
          <w:p w:rsidR="0086340B" w:rsidRPr="00A831A4" w:rsidRDefault="0086340B" w:rsidP="005F1ED8">
            <w:pPr>
              <w:rPr>
                <w:sz w:val="20"/>
                <w:szCs w:val="20"/>
              </w:rPr>
            </w:pPr>
          </w:p>
          <w:p w:rsidR="0086340B" w:rsidRPr="00A831A4" w:rsidRDefault="0086340B" w:rsidP="005F1ED8">
            <w:pPr>
              <w:rPr>
                <w:sz w:val="20"/>
                <w:szCs w:val="20"/>
              </w:rPr>
            </w:pPr>
            <w:r w:rsidRPr="00A831A4">
              <w:rPr>
                <w:sz w:val="20"/>
                <w:szCs w:val="20"/>
              </w:rPr>
              <w:t>(By Leave)</w:t>
            </w:r>
          </w:p>
          <w:p w:rsidR="0086340B" w:rsidRPr="00A831A4" w:rsidRDefault="0086340B" w:rsidP="005F1ED8">
            <w:pPr>
              <w:rPr>
                <w:sz w:val="20"/>
                <w:szCs w:val="20"/>
              </w:rPr>
            </w:pPr>
          </w:p>
          <w:p w:rsidR="0086340B" w:rsidRPr="00A831A4" w:rsidRDefault="00A23382" w:rsidP="005F1ED8">
            <w:pPr>
              <w:rPr>
                <w:sz w:val="20"/>
                <w:szCs w:val="20"/>
                <w:lang w:val="fr-CA"/>
              </w:rPr>
            </w:pPr>
            <w:r>
              <w:rPr>
                <w:sz w:val="20"/>
                <w:szCs w:val="20"/>
                <w:lang w:val="fr-CA"/>
              </w:rPr>
              <w:pict>
                <v:rect id="_x0000_i1066" style="width:106.1pt;height:1pt" o:hrpct="500" o:hrstd="t" o:hrnoshade="t" o:hr="t" fillcolor="black [3213]" stroked="f"/>
              </w:pict>
            </w:r>
          </w:p>
        </w:tc>
        <w:tc>
          <w:tcPr>
            <w:tcW w:w="588" w:type="pct"/>
          </w:tcPr>
          <w:p w:rsidR="0086340B" w:rsidRPr="00A831A4" w:rsidRDefault="0086340B" w:rsidP="005F1ED8">
            <w:pPr>
              <w:jc w:val="center"/>
              <w:rPr>
                <w:sz w:val="20"/>
                <w:szCs w:val="20"/>
              </w:rPr>
            </w:pPr>
          </w:p>
          <w:p w:rsidR="0086340B" w:rsidRPr="00A831A4" w:rsidRDefault="0086340B" w:rsidP="005F1ED8">
            <w:pPr>
              <w:jc w:val="center"/>
              <w:rPr>
                <w:sz w:val="20"/>
                <w:szCs w:val="20"/>
              </w:rPr>
            </w:pPr>
          </w:p>
          <w:p w:rsidR="0086340B" w:rsidRPr="00A831A4" w:rsidRDefault="0086340B" w:rsidP="005F1ED8">
            <w:pPr>
              <w:jc w:val="center"/>
              <w:rPr>
                <w:sz w:val="20"/>
                <w:szCs w:val="20"/>
              </w:rPr>
            </w:pPr>
          </w:p>
          <w:p w:rsidR="0086340B" w:rsidRPr="00A831A4" w:rsidRDefault="0086340B" w:rsidP="005F1ED8">
            <w:pPr>
              <w:jc w:val="center"/>
              <w:rPr>
                <w:sz w:val="20"/>
                <w:szCs w:val="20"/>
              </w:rPr>
            </w:pPr>
          </w:p>
          <w:p w:rsidR="0086340B" w:rsidRPr="00A831A4" w:rsidRDefault="0086340B" w:rsidP="005F1ED8">
            <w:pPr>
              <w:jc w:val="center"/>
              <w:rPr>
                <w:sz w:val="20"/>
                <w:szCs w:val="20"/>
              </w:rPr>
            </w:pPr>
          </w:p>
          <w:p w:rsidR="0086340B" w:rsidRPr="00A831A4" w:rsidRDefault="0086340B" w:rsidP="005F1ED8">
            <w:pPr>
              <w:jc w:val="center"/>
              <w:rPr>
                <w:sz w:val="20"/>
                <w:szCs w:val="20"/>
              </w:rPr>
            </w:pPr>
          </w:p>
          <w:p w:rsidR="0086340B" w:rsidRPr="00A831A4" w:rsidRDefault="0086340B" w:rsidP="005F1ED8">
            <w:pPr>
              <w:jc w:val="center"/>
              <w:rPr>
                <w:sz w:val="20"/>
                <w:szCs w:val="20"/>
              </w:rPr>
            </w:pPr>
          </w:p>
          <w:p w:rsidR="0086340B" w:rsidRPr="00A831A4" w:rsidRDefault="0086340B" w:rsidP="005F1ED8">
            <w:pPr>
              <w:jc w:val="center"/>
              <w:rPr>
                <w:sz w:val="20"/>
                <w:szCs w:val="20"/>
              </w:rPr>
            </w:pPr>
          </w:p>
          <w:p w:rsidR="0086340B" w:rsidRPr="00A831A4" w:rsidRDefault="0086340B" w:rsidP="005F1ED8">
            <w:pPr>
              <w:jc w:val="center"/>
              <w:rPr>
                <w:sz w:val="20"/>
                <w:szCs w:val="20"/>
              </w:rPr>
            </w:pPr>
          </w:p>
          <w:p w:rsidR="0086340B" w:rsidRPr="00A831A4" w:rsidRDefault="0086340B" w:rsidP="005F1ED8">
            <w:pPr>
              <w:jc w:val="center"/>
              <w:rPr>
                <w:sz w:val="20"/>
                <w:szCs w:val="20"/>
              </w:rPr>
            </w:pPr>
          </w:p>
          <w:p w:rsidR="00E06F20" w:rsidRPr="00A831A4" w:rsidRDefault="00E06F20" w:rsidP="005F1ED8">
            <w:pPr>
              <w:jc w:val="center"/>
              <w:rPr>
                <w:sz w:val="20"/>
                <w:szCs w:val="20"/>
              </w:rPr>
            </w:pPr>
          </w:p>
          <w:p w:rsidR="0086340B" w:rsidRPr="00A831A4" w:rsidRDefault="0086340B" w:rsidP="005F1ED8">
            <w:pPr>
              <w:jc w:val="center"/>
              <w:rPr>
                <w:sz w:val="20"/>
                <w:szCs w:val="20"/>
              </w:rPr>
            </w:pPr>
          </w:p>
        </w:tc>
        <w:tc>
          <w:tcPr>
            <w:tcW w:w="2206" w:type="pct"/>
          </w:tcPr>
          <w:p w:rsidR="00A82C7B" w:rsidRPr="00A831A4" w:rsidRDefault="00A82C7B" w:rsidP="00A82C7B">
            <w:pPr>
              <w:rPr>
                <w:sz w:val="20"/>
                <w:szCs w:val="20"/>
              </w:rPr>
            </w:pPr>
            <w:r w:rsidRPr="00A831A4">
              <w:rPr>
                <w:sz w:val="20"/>
                <w:szCs w:val="20"/>
              </w:rPr>
              <w:t>September 9, 2024</w:t>
            </w:r>
          </w:p>
          <w:p w:rsidR="00A82C7B" w:rsidRPr="00A831A4" w:rsidRDefault="00A82C7B" w:rsidP="00A82C7B">
            <w:pPr>
              <w:rPr>
                <w:sz w:val="20"/>
                <w:szCs w:val="20"/>
              </w:rPr>
            </w:pPr>
          </w:p>
          <w:p w:rsidR="00A82C7B" w:rsidRPr="00A831A4" w:rsidRDefault="00A82C7B" w:rsidP="00A82C7B">
            <w:pPr>
              <w:rPr>
                <w:b/>
                <w:sz w:val="20"/>
                <w:szCs w:val="20"/>
              </w:rPr>
            </w:pPr>
            <w:r w:rsidRPr="00A831A4">
              <w:rPr>
                <w:b/>
                <w:sz w:val="20"/>
                <w:szCs w:val="20"/>
              </w:rPr>
              <w:t>His Majesty the King</w:t>
            </w:r>
          </w:p>
          <w:p w:rsidR="00A82C7B" w:rsidRPr="00A831A4" w:rsidRDefault="00A82C7B" w:rsidP="00A82C7B">
            <w:pPr>
              <w:rPr>
                <w:sz w:val="20"/>
                <w:szCs w:val="20"/>
              </w:rPr>
            </w:pPr>
          </w:p>
          <w:p w:rsidR="00A82C7B" w:rsidRPr="00A831A4" w:rsidRDefault="00A82C7B" w:rsidP="00A82C7B">
            <w:pPr>
              <w:rPr>
                <w:b/>
                <w:sz w:val="20"/>
                <w:szCs w:val="20"/>
              </w:rPr>
            </w:pPr>
            <w:r w:rsidRPr="00A831A4">
              <w:rPr>
                <w:b/>
                <w:sz w:val="20"/>
                <w:szCs w:val="20"/>
              </w:rPr>
              <w:tab/>
              <w:t>v. (41126)</w:t>
            </w:r>
          </w:p>
          <w:p w:rsidR="00A82C7B" w:rsidRPr="00A831A4" w:rsidRDefault="00A82C7B" w:rsidP="00A82C7B">
            <w:pPr>
              <w:rPr>
                <w:sz w:val="20"/>
                <w:szCs w:val="20"/>
              </w:rPr>
            </w:pPr>
          </w:p>
          <w:p w:rsidR="00A82C7B" w:rsidRPr="00A831A4" w:rsidRDefault="00A82C7B" w:rsidP="00A82C7B">
            <w:pPr>
              <w:rPr>
                <w:b/>
                <w:sz w:val="20"/>
                <w:szCs w:val="20"/>
              </w:rPr>
            </w:pPr>
            <w:r w:rsidRPr="00A831A4">
              <w:rPr>
                <w:b/>
                <w:sz w:val="20"/>
                <w:szCs w:val="20"/>
              </w:rPr>
              <w:t>Paul Sheppard (Alta.)</w:t>
            </w:r>
          </w:p>
          <w:p w:rsidR="00A82C7B" w:rsidRPr="00A831A4" w:rsidRDefault="00A82C7B" w:rsidP="00A82C7B">
            <w:pPr>
              <w:rPr>
                <w:sz w:val="20"/>
                <w:szCs w:val="20"/>
              </w:rPr>
            </w:pPr>
          </w:p>
          <w:p w:rsidR="00A82C7B" w:rsidRPr="00A831A4" w:rsidRDefault="00A82C7B" w:rsidP="00A82C7B">
            <w:pPr>
              <w:rPr>
                <w:sz w:val="20"/>
                <w:szCs w:val="20"/>
              </w:rPr>
            </w:pPr>
            <w:r w:rsidRPr="00A831A4">
              <w:rPr>
                <w:sz w:val="20"/>
                <w:szCs w:val="20"/>
              </w:rPr>
              <w:t>(By Leave)</w:t>
            </w:r>
          </w:p>
          <w:p w:rsidR="00A82C7B" w:rsidRPr="00A831A4" w:rsidRDefault="00A82C7B" w:rsidP="00A82C7B">
            <w:pPr>
              <w:rPr>
                <w:sz w:val="20"/>
                <w:szCs w:val="20"/>
              </w:rPr>
            </w:pPr>
          </w:p>
          <w:p w:rsidR="0086340B" w:rsidRPr="00A831A4" w:rsidRDefault="00A23382" w:rsidP="00A82C7B">
            <w:pPr>
              <w:rPr>
                <w:sz w:val="20"/>
                <w:szCs w:val="20"/>
              </w:rPr>
            </w:pPr>
            <w:r>
              <w:rPr>
                <w:sz w:val="20"/>
                <w:szCs w:val="20"/>
                <w:lang w:val="fr-CA"/>
              </w:rPr>
              <w:pict>
                <v:rect id="_x0000_i1067" style="width:106.1pt;height:1pt" o:hrpct="500" o:hrstd="t" o:hrnoshade="t" o:hr="t" fillcolor="black [3213]" stroked="f"/>
              </w:pict>
            </w:r>
          </w:p>
        </w:tc>
      </w:tr>
      <w:tr w:rsidR="008A3BCF" w:rsidRPr="00A831A4" w:rsidTr="005F1ED8">
        <w:trPr>
          <w:cantSplit/>
        </w:trPr>
        <w:tc>
          <w:tcPr>
            <w:tcW w:w="2206" w:type="pct"/>
            <w:tcMar>
              <w:left w:w="0" w:type="dxa"/>
              <w:right w:w="0" w:type="dxa"/>
            </w:tcMar>
          </w:tcPr>
          <w:p w:rsidR="008A3BCF" w:rsidRPr="00A831A4" w:rsidRDefault="008A3BCF" w:rsidP="008A3BCF">
            <w:pPr>
              <w:rPr>
                <w:sz w:val="20"/>
                <w:szCs w:val="20"/>
              </w:rPr>
            </w:pPr>
            <w:r w:rsidRPr="00A831A4">
              <w:rPr>
                <w:sz w:val="20"/>
                <w:szCs w:val="20"/>
              </w:rPr>
              <w:t xml:space="preserve">September </w:t>
            </w:r>
            <w:r w:rsidR="00E6437E" w:rsidRPr="00A831A4">
              <w:rPr>
                <w:sz w:val="20"/>
                <w:szCs w:val="20"/>
              </w:rPr>
              <w:t>1</w:t>
            </w:r>
            <w:r w:rsidR="00CB7AE7" w:rsidRPr="00A831A4">
              <w:rPr>
                <w:sz w:val="20"/>
                <w:szCs w:val="20"/>
              </w:rPr>
              <w:t>2</w:t>
            </w:r>
            <w:r w:rsidRPr="00A831A4">
              <w:rPr>
                <w:sz w:val="20"/>
                <w:szCs w:val="20"/>
              </w:rPr>
              <w:t>, 2024</w:t>
            </w:r>
          </w:p>
          <w:p w:rsidR="008A3BCF" w:rsidRPr="00A831A4" w:rsidRDefault="008A3BCF" w:rsidP="008A3BCF">
            <w:pPr>
              <w:rPr>
                <w:sz w:val="20"/>
                <w:szCs w:val="20"/>
              </w:rPr>
            </w:pPr>
          </w:p>
          <w:p w:rsidR="008A3BCF" w:rsidRPr="00A831A4" w:rsidRDefault="00CB7AE7" w:rsidP="008A3BCF">
            <w:pPr>
              <w:rPr>
                <w:b/>
                <w:sz w:val="20"/>
                <w:szCs w:val="20"/>
              </w:rPr>
            </w:pPr>
            <w:r w:rsidRPr="00A831A4">
              <w:rPr>
                <w:b/>
                <w:sz w:val="20"/>
                <w:szCs w:val="20"/>
              </w:rPr>
              <w:t>Buddy Ray Underwood</w:t>
            </w:r>
          </w:p>
          <w:p w:rsidR="008A3BCF" w:rsidRPr="00A831A4" w:rsidRDefault="008A3BCF" w:rsidP="008A3BCF">
            <w:pPr>
              <w:rPr>
                <w:sz w:val="20"/>
                <w:szCs w:val="20"/>
              </w:rPr>
            </w:pPr>
          </w:p>
          <w:p w:rsidR="008A3BCF" w:rsidRPr="00A831A4" w:rsidRDefault="008A3BCF" w:rsidP="008A3BCF">
            <w:pPr>
              <w:rPr>
                <w:b/>
                <w:sz w:val="20"/>
                <w:szCs w:val="20"/>
              </w:rPr>
            </w:pPr>
            <w:r w:rsidRPr="00A831A4">
              <w:rPr>
                <w:b/>
                <w:sz w:val="20"/>
                <w:szCs w:val="20"/>
              </w:rPr>
              <w:tab/>
              <w:t>v. (41</w:t>
            </w:r>
            <w:r w:rsidR="00CB7AE7" w:rsidRPr="00A831A4">
              <w:rPr>
                <w:b/>
                <w:sz w:val="20"/>
                <w:szCs w:val="20"/>
              </w:rPr>
              <w:t>434</w:t>
            </w:r>
            <w:r w:rsidRPr="00A831A4">
              <w:rPr>
                <w:b/>
                <w:sz w:val="20"/>
                <w:szCs w:val="20"/>
              </w:rPr>
              <w:t>)</w:t>
            </w:r>
          </w:p>
          <w:p w:rsidR="008A3BCF" w:rsidRPr="00A831A4" w:rsidRDefault="008A3BCF" w:rsidP="008A3BCF">
            <w:pPr>
              <w:rPr>
                <w:sz w:val="20"/>
                <w:szCs w:val="20"/>
              </w:rPr>
            </w:pPr>
          </w:p>
          <w:p w:rsidR="008A3BCF" w:rsidRPr="00A831A4" w:rsidRDefault="00E6437E" w:rsidP="00E6437E">
            <w:pPr>
              <w:rPr>
                <w:b/>
                <w:sz w:val="20"/>
                <w:szCs w:val="20"/>
              </w:rPr>
            </w:pPr>
            <w:r w:rsidRPr="00A831A4">
              <w:rPr>
                <w:b/>
                <w:sz w:val="20"/>
                <w:szCs w:val="20"/>
              </w:rPr>
              <w:t xml:space="preserve">His Majesty the King </w:t>
            </w:r>
            <w:r w:rsidR="008A3BCF" w:rsidRPr="00A831A4">
              <w:rPr>
                <w:b/>
                <w:sz w:val="20"/>
                <w:szCs w:val="20"/>
              </w:rPr>
              <w:t>(</w:t>
            </w:r>
            <w:r w:rsidR="008706C8" w:rsidRPr="00A831A4">
              <w:rPr>
                <w:b/>
                <w:sz w:val="20"/>
                <w:szCs w:val="20"/>
              </w:rPr>
              <w:t>Alta</w:t>
            </w:r>
            <w:r w:rsidR="008A3BCF" w:rsidRPr="00A831A4">
              <w:rPr>
                <w:b/>
                <w:sz w:val="20"/>
                <w:szCs w:val="20"/>
              </w:rPr>
              <w:t>.)</w:t>
            </w:r>
          </w:p>
          <w:p w:rsidR="008A3BCF" w:rsidRPr="00A831A4" w:rsidRDefault="008A3BCF" w:rsidP="008A3BCF">
            <w:pPr>
              <w:rPr>
                <w:sz w:val="20"/>
                <w:szCs w:val="20"/>
              </w:rPr>
            </w:pPr>
          </w:p>
          <w:p w:rsidR="008A3BCF" w:rsidRPr="00A831A4" w:rsidRDefault="008A3BCF" w:rsidP="008A3BCF">
            <w:pPr>
              <w:rPr>
                <w:sz w:val="20"/>
                <w:szCs w:val="20"/>
              </w:rPr>
            </w:pPr>
            <w:r w:rsidRPr="00A831A4">
              <w:rPr>
                <w:sz w:val="20"/>
                <w:szCs w:val="20"/>
              </w:rPr>
              <w:t>(</w:t>
            </w:r>
            <w:r w:rsidR="00CB7AE7" w:rsidRPr="00A831A4">
              <w:rPr>
                <w:sz w:val="20"/>
                <w:szCs w:val="20"/>
              </w:rPr>
              <w:t>As of Right</w:t>
            </w:r>
            <w:r w:rsidRPr="00A831A4">
              <w:rPr>
                <w:sz w:val="20"/>
                <w:szCs w:val="20"/>
              </w:rPr>
              <w:t>)</w:t>
            </w:r>
          </w:p>
          <w:p w:rsidR="008A3BCF" w:rsidRPr="00A831A4" w:rsidRDefault="008A3BCF" w:rsidP="008A3BCF">
            <w:pPr>
              <w:rPr>
                <w:sz w:val="20"/>
                <w:szCs w:val="20"/>
              </w:rPr>
            </w:pPr>
          </w:p>
          <w:p w:rsidR="008A3BCF" w:rsidRPr="00A831A4" w:rsidRDefault="00A23382" w:rsidP="008A3BCF">
            <w:pPr>
              <w:rPr>
                <w:sz w:val="20"/>
                <w:szCs w:val="20"/>
              </w:rPr>
            </w:pPr>
            <w:r>
              <w:rPr>
                <w:sz w:val="20"/>
                <w:szCs w:val="20"/>
                <w:lang w:val="fr-CA"/>
              </w:rPr>
              <w:pict>
                <v:rect id="_x0000_i1068" style="width:106.1pt;height:1pt" o:hrpct="500" o:hrstd="t" o:hrnoshade="t" o:hr="t" fillcolor="black [3213]" stroked="f"/>
              </w:pict>
            </w:r>
          </w:p>
        </w:tc>
        <w:tc>
          <w:tcPr>
            <w:tcW w:w="588" w:type="pct"/>
          </w:tcPr>
          <w:p w:rsidR="008A3BCF" w:rsidRPr="00A831A4" w:rsidRDefault="008A3BCF" w:rsidP="005F1ED8">
            <w:pPr>
              <w:jc w:val="center"/>
              <w:rPr>
                <w:sz w:val="20"/>
                <w:szCs w:val="20"/>
              </w:rPr>
            </w:pPr>
          </w:p>
          <w:p w:rsidR="008A3BCF" w:rsidRPr="00A831A4" w:rsidRDefault="008A3BCF" w:rsidP="005F1ED8">
            <w:pPr>
              <w:jc w:val="center"/>
              <w:rPr>
                <w:sz w:val="20"/>
                <w:szCs w:val="20"/>
              </w:rPr>
            </w:pPr>
          </w:p>
          <w:p w:rsidR="008A3BCF" w:rsidRPr="00A831A4" w:rsidRDefault="008A3BCF" w:rsidP="005F1ED8">
            <w:pPr>
              <w:jc w:val="center"/>
              <w:rPr>
                <w:sz w:val="20"/>
                <w:szCs w:val="20"/>
              </w:rPr>
            </w:pPr>
          </w:p>
          <w:p w:rsidR="008A3BCF" w:rsidRPr="00A831A4" w:rsidRDefault="008A3BCF" w:rsidP="005F1ED8">
            <w:pPr>
              <w:jc w:val="center"/>
              <w:rPr>
                <w:sz w:val="20"/>
                <w:szCs w:val="20"/>
              </w:rPr>
            </w:pPr>
          </w:p>
          <w:p w:rsidR="008A3BCF" w:rsidRPr="00A831A4" w:rsidRDefault="008A3BCF" w:rsidP="005F1ED8">
            <w:pPr>
              <w:jc w:val="center"/>
              <w:rPr>
                <w:sz w:val="20"/>
                <w:szCs w:val="20"/>
              </w:rPr>
            </w:pPr>
          </w:p>
          <w:p w:rsidR="008A3BCF" w:rsidRPr="00A831A4" w:rsidRDefault="008A3BCF" w:rsidP="005F1ED8">
            <w:pPr>
              <w:jc w:val="center"/>
              <w:rPr>
                <w:sz w:val="20"/>
                <w:szCs w:val="20"/>
              </w:rPr>
            </w:pPr>
          </w:p>
          <w:p w:rsidR="008A3BCF" w:rsidRPr="00A831A4" w:rsidRDefault="008A3BCF" w:rsidP="005F1ED8">
            <w:pPr>
              <w:jc w:val="center"/>
              <w:rPr>
                <w:sz w:val="20"/>
                <w:szCs w:val="20"/>
              </w:rPr>
            </w:pPr>
          </w:p>
          <w:p w:rsidR="008A3BCF" w:rsidRPr="00A831A4" w:rsidRDefault="008A3BCF" w:rsidP="005F1ED8">
            <w:pPr>
              <w:jc w:val="center"/>
              <w:rPr>
                <w:sz w:val="20"/>
                <w:szCs w:val="20"/>
              </w:rPr>
            </w:pPr>
          </w:p>
          <w:p w:rsidR="008A3BCF" w:rsidRPr="00A831A4" w:rsidRDefault="008A3BCF" w:rsidP="005F1ED8">
            <w:pPr>
              <w:jc w:val="center"/>
              <w:rPr>
                <w:sz w:val="20"/>
                <w:szCs w:val="20"/>
              </w:rPr>
            </w:pPr>
          </w:p>
          <w:p w:rsidR="008A3BCF" w:rsidRPr="00A831A4" w:rsidRDefault="008A3BCF" w:rsidP="005F1ED8">
            <w:pPr>
              <w:jc w:val="center"/>
              <w:rPr>
                <w:sz w:val="20"/>
                <w:szCs w:val="20"/>
              </w:rPr>
            </w:pPr>
          </w:p>
          <w:p w:rsidR="008A3BCF" w:rsidRPr="00A831A4" w:rsidRDefault="008A3BCF" w:rsidP="005F1ED8">
            <w:pPr>
              <w:jc w:val="center"/>
              <w:rPr>
                <w:sz w:val="20"/>
                <w:szCs w:val="20"/>
              </w:rPr>
            </w:pPr>
          </w:p>
          <w:p w:rsidR="008A3BCF" w:rsidRPr="00A831A4" w:rsidRDefault="008A3BCF" w:rsidP="005F1ED8">
            <w:pPr>
              <w:jc w:val="center"/>
              <w:rPr>
                <w:sz w:val="20"/>
                <w:szCs w:val="20"/>
              </w:rPr>
            </w:pPr>
          </w:p>
        </w:tc>
        <w:tc>
          <w:tcPr>
            <w:tcW w:w="2206" w:type="pct"/>
          </w:tcPr>
          <w:p w:rsidR="00CB7AE7" w:rsidRPr="00A831A4" w:rsidRDefault="00CB7AE7" w:rsidP="00CB7AE7">
            <w:pPr>
              <w:rPr>
                <w:sz w:val="20"/>
                <w:szCs w:val="20"/>
              </w:rPr>
            </w:pPr>
            <w:r w:rsidRPr="00A831A4">
              <w:rPr>
                <w:sz w:val="20"/>
                <w:szCs w:val="20"/>
              </w:rPr>
              <w:t>September 16, 2024</w:t>
            </w:r>
          </w:p>
          <w:p w:rsidR="00CB7AE7" w:rsidRPr="00A831A4" w:rsidRDefault="00CB7AE7" w:rsidP="00CB7AE7">
            <w:pPr>
              <w:rPr>
                <w:sz w:val="20"/>
                <w:szCs w:val="20"/>
              </w:rPr>
            </w:pPr>
          </w:p>
          <w:p w:rsidR="00CB7AE7" w:rsidRPr="00A831A4" w:rsidRDefault="00CB7AE7" w:rsidP="00CB7AE7">
            <w:pPr>
              <w:rPr>
                <w:b/>
                <w:sz w:val="20"/>
                <w:szCs w:val="20"/>
              </w:rPr>
            </w:pPr>
            <w:r w:rsidRPr="00A831A4">
              <w:rPr>
                <w:b/>
                <w:sz w:val="20"/>
                <w:szCs w:val="20"/>
              </w:rPr>
              <w:t>Tony Rouselle</w:t>
            </w:r>
          </w:p>
          <w:p w:rsidR="00CB7AE7" w:rsidRPr="00A831A4" w:rsidRDefault="00CB7AE7" w:rsidP="00CB7AE7">
            <w:pPr>
              <w:rPr>
                <w:sz w:val="20"/>
                <w:szCs w:val="20"/>
              </w:rPr>
            </w:pPr>
          </w:p>
          <w:p w:rsidR="00CB7AE7" w:rsidRPr="00A831A4" w:rsidRDefault="00CB7AE7" w:rsidP="00CB7AE7">
            <w:pPr>
              <w:rPr>
                <w:b/>
                <w:sz w:val="20"/>
                <w:szCs w:val="20"/>
              </w:rPr>
            </w:pPr>
            <w:r w:rsidRPr="00A831A4">
              <w:rPr>
                <w:b/>
                <w:sz w:val="20"/>
                <w:szCs w:val="20"/>
              </w:rPr>
              <w:tab/>
              <w:t>v. (41153)</w:t>
            </w:r>
          </w:p>
          <w:p w:rsidR="00CB7AE7" w:rsidRPr="00A831A4" w:rsidRDefault="00CB7AE7" w:rsidP="00CB7AE7">
            <w:pPr>
              <w:rPr>
                <w:sz w:val="20"/>
                <w:szCs w:val="20"/>
              </w:rPr>
            </w:pPr>
          </w:p>
          <w:p w:rsidR="00CB7AE7" w:rsidRPr="00A831A4" w:rsidRDefault="00CB7AE7" w:rsidP="00CB7AE7">
            <w:pPr>
              <w:rPr>
                <w:b/>
                <w:sz w:val="20"/>
                <w:szCs w:val="20"/>
              </w:rPr>
            </w:pPr>
            <w:r w:rsidRPr="00A831A4">
              <w:rPr>
                <w:b/>
                <w:sz w:val="20"/>
                <w:szCs w:val="20"/>
              </w:rPr>
              <w:t>His Majesty the King (N.B.)</w:t>
            </w:r>
          </w:p>
          <w:p w:rsidR="00CB7AE7" w:rsidRPr="00A831A4" w:rsidRDefault="00CB7AE7" w:rsidP="00CB7AE7">
            <w:pPr>
              <w:rPr>
                <w:sz w:val="20"/>
                <w:szCs w:val="20"/>
              </w:rPr>
            </w:pPr>
          </w:p>
          <w:p w:rsidR="00CB7AE7" w:rsidRPr="00A831A4" w:rsidRDefault="00CB7AE7" w:rsidP="00CB7AE7">
            <w:pPr>
              <w:rPr>
                <w:sz w:val="20"/>
                <w:szCs w:val="20"/>
              </w:rPr>
            </w:pPr>
            <w:r w:rsidRPr="00A831A4">
              <w:rPr>
                <w:sz w:val="20"/>
                <w:szCs w:val="20"/>
              </w:rPr>
              <w:t>(By Leave)</w:t>
            </w:r>
          </w:p>
          <w:p w:rsidR="00CB7AE7" w:rsidRPr="00A831A4" w:rsidRDefault="00CB7AE7" w:rsidP="00CB7AE7">
            <w:pPr>
              <w:rPr>
                <w:sz w:val="20"/>
                <w:szCs w:val="20"/>
              </w:rPr>
            </w:pPr>
          </w:p>
          <w:p w:rsidR="008A3BCF" w:rsidRPr="00A831A4" w:rsidRDefault="00A23382" w:rsidP="00CB7AE7">
            <w:pPr>
              <w:rPr>
                <w:sz w:val="20"/>
                <w:szCs w:val="20"/>
              </w:rPr>
            </w:pPr>
            <w:r>
              <w:rPr>
                <w:sz w:val="20"/>
                <w:szCs w:val="20"/>
                <w:lang w:val="fr-CA"/>
              </w:rPr>
              <w:pict>
                <v:rect id="_x0000_i1069" style="width:106.1pt;height:1pt" o:hrpct="500" o:hrstd="t" o:hrnoshade="t" o:hr="t" fillcolor="black [3213]" stroked="f"/>
              </w:pict>
            </w:r>
          </w:p>
        </w:tc>
      </w:tr>
      <w:tr w:rsidR="00CB7AE7" w:rsidRPr="00A831A4" w:rsidTr="005F1ED8">
        <w:trPr>
          <w:cantSplit/>
        </w:trPr>
        <w:tc>
          <w:tcPr>
            <w:tcW w:w="2206" w:type="pct"/>
            <w:tcMar>
              <w:left w:w="0" w:type="dxa"/>
              <w:right w:w="0" w:type="dxa"/>
            </w:tcMar>
          </w:tcPr>
          <w:p w:rsidR="00CB7AE7" w:rsidRPr="00A831A4" w:rsidRDefault="00CB7AE7" w:rsidP="00CB7AE7">
            <w:pPr>
              <w:rPr>
                <w:sz w:val="20"/>
                <w:szCs w:val="20"/>
              </w:rPr>
            </w:pPr>
            <w:r w:rsidRPr="00A831A4">
              <w:rPr>
                <w:sz w:val="20"/>
                <w:szCs w:val="20"/>
              </w:rPr>
              <w:t>September 16, 2024</w:t>
            </w:r>
          </w:p>
          <w:p w:rsidR="00CB7AE7" w:rsidRPr="00A831A4" w:rsidRDefault="00CB7AE7" w:rsidP="00CB7AE7">
            <w:pPr>
              <w:rPr>
                <w:sz w:val="20"/>
                <w:szCs w:val="20"/>
              </w:rPr>
            </w:pPr>
          </w:p>
          <w:p w:rsidR="00CB7AE7" w:rsidRPr="00A831A4" w:rsidRDefault="00CB7AE7" w:rsidP="00CB7AE7">
            <w:pPr>
              <w:rPr>
                <w:b/>
                <w:sz w:val="20"/>
                <w:szCs w:val="20"/>
              </w:rPr>
            </w:pPr>
            <w:r w:rsidRPr="00A831A4">
              <w:rPr>
                <w:b/>
                <w:sz w:val="20"/>
                <w:szCs w:val="20"/>
              </w:rPr>
              <w:t>Stéphane Larocque</w:t>
            </w:r>
          </w:p>
          <w:p w:rsidR="00CB7AE7" w:rsidRPr="00A831A4" w:rsidRDefault="00CB7AE7" w:rsidP="00CB7AE7">
            <w:pPr>
              <w:rPr>
                <w:sz w:val="20"/>
                <w:szCs w:val="20"/>
              </w:rPr>
            </w:pPr>
          </w:p>
          <w:p w:rsidR="00CB7AE7" w:rsidRPr="00A831A4" w:rsidRDefault="00CB7AE7" w:rsidP="00CB7AE7">
            <w:pPr>
              <w:rPr>
                <w:b/>
                <w:sz w:val="20"/>
                <w:szCs w:val="20"/>
              </w:rPr>
            </w:pPr>
            <w:r w:rsidRPr="00A831A4">
              <w:rPr>
                <w:b/>
                <w:sz w:val="20"/>
                <w:szCs w:val="20"/>
              </w:rPr>
              <w:tab/>
              <w:t>v. (41155)</w:t>
            </w:r>
          </w:p>
          <w:p w:rsidR="00CB7AE7" w:rsidRPr="00A831A4" w:rsidRDefault="00CB7AE7" w:rsidP="00CB7AE7">
            <w:pPr>
              <w:rPr>
                <w:sz w:val="20"/>
                <w:szCs w:val="20"/>
              </w:rPr>
            </w:pPr>
          </w:p>
          <w:p w:rsidR="00CB7AE7" w:rsidRPr="00A831A4" w:rsidRDefault="00CB7AE7" w:rsidP="00CB7AE7">
            <w:pPr>
              <w:rPr>
                <w:b/>
                <w:sz w:val="20"/>
                <w:szCs w:val="20"/>
              </w:rPr>
            </w:pPr>
            <w:r w:rsidRPr="00A831A4">
              <w:rPr>
                <w:b/>
                <w:sz w:val="20"/>
                <w:szCs w:val="20"/>
              </w:rPr>
              <w:t>His Majesty the King (N.B.)</w:t>
            </w:r>
          </w:p>
          <w:p w:rsidR="00CB7AE7" w:rsidRPr="00A831A4" w:rsidRDefault="00CB7AE7" w:rsidP="00CB7AE7">
            <w:pPr>
              <w:rPr>
                <w:sz w:val="20"/>
                <w:szCs w:val="20"/>
              </w:rPr>
            </w:pPr>
          </w:p>
          <w:p w:rsidR="00CB7AE7" w:rsidRPr="00A831A4" w:rsidRDefault="00CB7AE7" w:rsidP="00CB7AE7">
            <w:pPr>
              <w:rPr>
                <w:sz w:val="20"/>
                <w:szCs w:val="20"/>
              </w:rPr>
            </w:pPr>
            <w:r w:rsidRPr="00A831A4">
              <w:rPr>
                <w:sz w:val="20"/>
                <w:szCs w:val="20"/>
              </w:rPr>
              <w:t>(By Leave)</w:t>
            </w:r>
          </w:p>
          <w:p w:rsidR="00CB7AE7" w:rsidRPr="00A831A4" w:rsidRDefault="00CB7AE7" w:rsidP="00CB7AE7">
            <w:pPr>
              <w:rPr>
                <w:sz w:val="20"/>
                <w:szCs w:val="20"/>
              </w:rPr>
            </w:pPr>
          </w:p>
          <w:p w:rsidR="00CB7AE7" w:rsidRPr="00A831A4" w:rsidRDefault="00A23382" w:rsidP="00CB7AE7">
            <w:pPr>
              <w:rPr>
                <w:sz w:val="20"/>
                <w:szCs w:val="20"/>
              </w:rPr>
            </w:pPr>
            <w:r>
              <w:rPr>
                <w:sz w:val="20"/>
                <w:szCs w:val="20"/>
                <w:lang w:val="fr-CA"/>
              </w:rPr>
              <w:pict>
                <v:rect id="_x0000_i1070" style="width:106.1pt;height:1pt" o:hrpct="500" o:hrstd="t" o:hrnoshade="t" o:hr="t" fillcolor="black [3213]" stroked="f"/>
              </w:pict>
            </w:r>
          </w:p>
        </w:tc>
        <w:tc>
          <w:tcPr>
            <w:tcW w:w="588" w:type="pct"/>
          </w:tcPr>
          <w:p w:rsidR="00CB7AE7" w:rsidRPr="00A831A4" w:rsidRDefault="00CB7AE7" w:rsidP="005F1ED8">
            <w:pPr>
              <w:jc w:val="center"/>
              <w:rPr>
                <w:sz w:val="20"/>
                <w:szCs w:val="20"/>
              </w:rPr>
            </w:pPr>
          </w:p>
          <w:p w:rsidR="00CB7AE7" w:rsidRPr="00A831A4" w:rsidRDefault="00CB7AE7" w:rsidP="005F1ED8">
            <w:pPr>
              <w:jc w:val="center"/>
              <w:rPr>
                <w:sz w:val="20"/>
                <w:szCs w:val="20"/>
              </w:rPr>
            </w:pPr>
          </w:p>
          <w:p w:rsidR="00CB7AE7" w:rsidRPr="00A831A4" w:rsidRDefault="00CB7AE7" w:rsidP="005F1ED8">
            <w:pPr>
              <w:jc w:val="center"/>
              <w:rPr>
                <w:sz w:val="20"/>
                <w:szCs w:val="20"/>
              </w:rPr>
            </w:pPr>
          </w:p>
          <w:p w:rsidR="00CB7AE7" w:rsidRPr="00A831A4" w:rsidRDefault="00CB7AE7" w:rsidP="005F1ED8">
            <w:pPr>
              <w:jc w:val="center"/>
              <w:rPr>
                <w:sz w:val="20"/>
                <w:szCs w:val="20"/>
              </w:rPr>
            </w:pPr>
          </w:p>
          <w:p w:rsidR="00CB7AE7" w:rsidRPr="00A831A4" w:rsidRDefault="00CB7AE7" w:rsidP="005F1ED8">
            <w:pPr>
              <w:jc w:val="center"/>
              <w:rPr>
                <w:sz w:val="20"/>
                <w:szCs w:val="20"/>
              </w:rPr>
            </w:pPr>
          </w:p>
          <w:p w:rsidR="00CB7AE7" w:rsidRPr="00A831A4" w:rsidRDefault="00CB7AE7" w:rsidP="005F1ED8">
            <w:pPr>
              <w:jc w:val="center"/>
              <w:rPr>
                <w:sz w:val="20"/>
                <w:szCs w:val="20"/>
              </w:rPr>
            </w:pPr>
          </w:p>
          <w:p w:rsidR="00CB7AE7" w:rsidRPr="00A831A4" w:rsidRDefault="00CB7AE7" w:rsidP="005F1ED8">
            <w:pPr>
              <w:jc w:val="center"/>
              <w:rPr>
                <w:sz w:val="20"/>
                <w:szCs w:val="20"/>
              </w:rPr>
            </w:pPr>
          </w:p>
          <w:p w:rsidR="00CB7AE7" w:rsidRPr="00A831A4" w:rsidRDefault="00CB7AE7" w:rsidP="005F1ED8">
            <w:pPr>
              <w:jc w:val="center"/>
              <w:rPr>
                <w:sz w:val="20"/>
                <w:szCs w:val="20"/>
              </w:rPr>
            </w:pPr>
          </w:p>
          <w:p w:rsidR="00CB7AE7" w:rsidRPr="00A831A4" w:rsidRDefault="00CB7AE7" w:rsidP="005F1ED8">
            <w:pPr>
              <w:jc w:val="center"/>
              <w:rPr>
                <w:sz w:val="20"/>
                <w:szCs w:val="20"/>
              </w:rPr>
            </w:pPr>
          </w:p>
          <w:p w:rsidR="00CB7AE7" w:rsidRPr="00A831A4" w:rsidRDefault="00CB7AE7" w:rsidP="005F1ED8">
            <w:pPr>
              <w:jc w:val="center"/>
              <w:rPr>
                <w:sz w:val="20"/>
                <w:szCs w:val="20"/>
              </w:rPr>
            </w:pPr>
          </w:p>
          <w:p w:rsidR="00CB7AE7" w:rsidRPr="00A831A4" w:rsidRDefault="00CB7AE7" w:rsidP="005F1ED8">
            <w:pPr>
              <w:jc w:val="center"/>
              <w:rPr>
                <w:sz w:val="20"/>
                <w:szCs w:val="20"/>
              </w:rPr>
            </w:pPr>
          </w:p>
          <w:p w:rsidR="00CB7AE7" w:rsidRPr="00A831A4" w:rsidRDefault="00CB7AE7" w:rsidP="005F1ED8">
            <w:pPr>
              <w:jc w:val="center"/>
              <w:rPr>
                <w:sz w:val="20"/>
                <w:szCs w:val="20"/>
              </w:rPr>
            </w:pPr>
          </w:p>
        </w:tc>
        <w:tc>
          <w:tcPr>
            <w:tcW w:w="2206" w:type="pct"/>
          </w:tcPr>
          <w:p w:rsidR="00CB7AE7" w:rsidRPr="00A831A4" w:rsidRDefault="00CB7AE7" w:rsidP="008A3BCF">
            <w:pPr>
              <w:rPr>
                <w:sz w:val="20"/>
                <w:szCs w:val="20"/>
              </w:rPr>
            </w:pPr>
          </w:p>
        </w:tc>
      </w:tr>
    </w:tbl>
    <w:p w:rsidR="008277C4" w:rsidRPr="00A831A4" w:rsidRDefault="008277C4" w:rsidP="00F40249">
      <w:pPr>
        <w:rPr>
          <w:sz w:val="20"/>
          <w:szCs w:val="20"/>
        </w:rPr>
      </w:pPr>
    </w:p>
    <w:p w:rsidR="008277C4" w:rsidRPr="00A831A4" w:rsidRDefault="008277C4" w:rsidP="00F40249">
      <w:pPr>
        <w:rPr>
          <w:sz w:val="20"/>
          <w:szCs w:val="20"/>
        </w:rPr>
      </w:pPr>
    </w:p>
    <w:p w:rsidR="0010587F" w:rsidRPr="00A831A4" w:rsidRDefault="0010587F" w:rsidP="00F40249">
      <w:pPr>
        <w:rPr>
          <w:sz w:val="20"/>
          <w:szCs w:val="20"/>
        </w:rPr>
      </w:pPr>
    </w:p>
    <w:p w:rsidR="00EB2B90" w:rsidRPr="00A831A4" w:rsidRDefault="00EB2B90" w:rsidP="00F40249">
      <w:pPr>
        <w:rPr>
          <w:sz w:val="20"/>
          <w:szCs w:val="20"/>
        </w:rPr>
        <w:sectPr w:rsidR="00EB2B90" w:rsidRPr="00A831A4" w:rsidSect="00F40249">
          <w:headerReference w:type="even" r:id="rId59"/>
          <w:headerReference w:type="default" r:id="rId60"/>
          <w:footerReference w:type="even" r:id="rId61"/>
          <w:footerReference w:type="default" r:id="rId62"/>
          <w:headerReference w:type="first" r:id="rId63"/>
          <w:footerReference w:type="first" r:id="rId64"/>
          <w:pgSz w:w="12240" w:h="15840"/>
          <w:pgMar w:top="720" w:right="965" w:bottom="1080" w:left="1656" w:header="720" w:footer="965" w:gutter="0"/>
          <w:cols w:space="720"/>
          <w:titlePg/>
          <w:docGrid w:linePitch="326"/>
        </w:sectPr>
      </w:pPr>
    </w:p>
    <w:p w:rsidR="00987E32" w:rsidRPr="00A831A4" w:rsidRDefault="00987E32" w:rsidP="00987E32">
      <w:pPr>
        <w:tabs>
          <w:tab w:val="center" w:pos="5220"/>
          <w:tab w:val="right" w:pos="10800"/>
        </w:tabs>
        <w:jc w:val="center"/>
        <w:rPr>
          <w:rFonts w:ascii="Arial" w:hAnsi="Arial" w:cs="Arial"/>
          <w:szCs w:val="24"/>
          <w:lang w:val="fr-CA"/>
        </w:rPr>
      </w:pPr>
      <w:bookmarkStart w:id="8" w:name="1"/>
      <w:bookmarkStart w:id="9" w:name="QuickMark"/>
      <w:bookmarkEnd w:id="8"/>
      <w:bookmarkEnd w:id="9"/>
      <w:r w:rsidRPr="00A831A4">
        <w:rPr>
          <w:rFonts w:ascii="Arial" w:hAnsi="Arial" w:cs="Arial"/>
          <w:b/>
          <w:szCs w:val="24"/>
          <w:lang w:val="fr-FR"/>
        </w:rPr>
        <w:lastRenderedPageBreak/>
        <w:t>- 2023 -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987E32" w:rsidRPr="00A831A4" w:rsidTr="008E30C2">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lang w:val="fr-FR"/>
              </w:rPr>
            </w:pPr>
            <w:r w:rsidRPr="00A831A4">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lang w:val="fr-FR"/>
              </w:rPr>
            </w:pPr>
            <w:r w:rsidRPr="00A831A4">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lang w:val="fr-FR"/>
              </w:rPr>
            </w:pPr>
            <w:r w:rsidRPr="00A831A4">
              <w:rPr>
                <w:rFonts w:ascii="Arial" w:eastAsia="Arial" w:hAnsi="Arial"/>
                <w:b/>
                <w:color w:val="000000"/>
                <w:sz w:val="13"/>
              </w:rPr>
              <w:t>DECEMBER – DÉCEMBRE</w:t>
            </w:r>
          </w:p>
        </w:tc>
      </w:tr>
      <w:tr w:rsidR="00987E32" w:rsidRPr="00A831A4" w:rsidTr="008E30C2">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S</w:t>
            </w:r>
          </w:p>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M</w:t>
            </w:r>
          </w:p>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T</w:t>
            </w:r>
          </w:p>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W</w:t>
            </w:r>
          </w:p>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T</w:t>
            </w:r>
          </w:p>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F</w:t>
            </w:r>
          </w:p>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S</w:t>
            </w:r>
          </w:p>
          <w:p w:rsidR="00987E32" w:rsidRPr="00A831A4" w:rsidRDefault="00987E32" w:rsidP="008E30C2">
            <w:pPr>
              <w:jc w:val="center"/>
              <w:textAlignment w:val="baseline"/>
              <w:rPr>
                <w:rFonts w:ascii="Arial" w:eastAsia="Arial" w:hAnsi="Arial"/>
                <w:b/>
                <w:color w:val="000000"/>
                <w:sz w:val="13"/>
                <w:szCs w:val="13"/>
              </w:rPr>
            </w:pPr>
            <w:r w:rsidRPr="00A831A4">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S</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M</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T</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W</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T</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F</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S</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S</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M</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T</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W</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T</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F</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S</w:t>
            </w:r>
          </w:p>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S</w:t>
            </w:r>
          </w:p>
        </w:tc>
      </w:tr>
      <w:tr w:rsidR="00987E32" w:rsidRPr="00A831A4"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1</w:t>
            </w:r>
          </w:p>
        </w:tc>
        <w:tc>
          <w:tcPr>
            <w:tcW w:w="224"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6</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7</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4</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1</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2</w:t>
            </w:r>
          </w:p>
        </w:tc>
      </w:tr>
      <w:tr w:rsidR="00987E32" w:rsidRPr="00A831A4" w:rsidTr="008E30C2">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8</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H</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9</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CC</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13</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14</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CC</w:t>
            </w:r>
          </w:p>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8</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10</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11</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3</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CC</w:t>
            </w:r>
          </w:p>
          <w:p w:rsidR="00987E32" w:rsidRPr="00A831A4" w:rsidRDefault="00987E32" w:rsidP="008E30C2">
            <w:pPr>
              <w:jc w:val="center"/>
              <w:rPr>
                <w:rFonts w:ascii="Arial" w:hAnsi="Arial" w:cs="Arial"/>
                <w:sz w:val="13"/>
                <w:szCs w:val="13"/>
              </w:rPr>
            </w:pPr>
            <w:r w:rsidRPr="00A831A4">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8</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9</w:t>
            </w:r>
          </w:p>
        </w:tc>
      </w:tr>
      <w:tr w:rsidR="00987E32" w:rsidRPr="00A831A4" w:rsidTr="008E30C2">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15</w:t>
            </w:r>
          </w:p>
        </w:tc>
        <w:tc>
          <w:tcPr>
            <w:tcW w:w="224" w:type="pct"/>
            <w:tcBorders>
              <w:top w:val="double" w:sz="4" w:space="0" w:color="auto"/>
              <w:left w:val="single" w:sz="4" w:space="0" w:color="auto"/>
              <w:bottom w:val="single" w:sz="4" w:space="0" w:color="auto"/>
              <w:right w:val="single" w:sz="4" w:space="0" w:color="auto"/>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16</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18</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20</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21</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12</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rPr>
            </w:pPr>
            <w:r w:rsidRPr="00A831A4">
              <w:rPr>
                <w:rFonts w:ascii="Arial" w:eastAsia="Arial" w:hAnsi="Arial" w:cs="Arial"/>
                <w:b/>
                <w:color w:val="000000"/>
                <w:sz w:val="13"/>
              </w:rPr>
              <w:t>H</w:t>
            </w:r>
          </w:p>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13</w:t>
            </w:r>
          </w:p>
        </w:tc>
        <w:tc>
          <w:tcPr>
            <w:tcW w:w="225" w:type="pct"/>
            <w:tcBorders>
              <w:top w:val="single" w:sz="4" w:space="0" w:color="000000" w:themeColor="text1"/>
              <w:left w:val="single" w:sz="4" w:space="0" w:color="auto"/>
              <w:bottom w:val="single" w:sz="4" w:space="0" w:color="auto"/>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17</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18</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15</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16</w:t>
            </w:r>
          </w:p>
        </w:tc>
      </w:tr>
      <w:tr w:rsidR="00987E32" w:rsidRPr="00A831A4"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22</w:t>
            </w:r>
          </w:p>
        </w:tc>
        <w:tc>
          <w:tcPr>
            <w:tcW w:w="224"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27</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28</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19</w:t>
            </w:r>
          </w:p>
        </w:tc>
        <w:tc>
          <w:tcPr>
            <w:tcW w:w="22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25</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22</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rPr>
                <w:rFonts w:ascii="Arial" w:hAnsi="Arial" w:cs="Arial"/>
                <w:sz w:val="13"/>
                <w:szCs w:val="13"/>
              </w:rPr>
            </w:pPr>
            <w:r w:rsidRPr="00A831A4">
              <w:rPr>
                <w:rFonts w:ascii="Arial" w:hAnsi="Arial" w:cs="Arial"/>
                <w:sz w:val="13"/>
                <w:szCs w:val="13"/>
              </w:rPr>
              <w:t>23</w:t>
            </w:r>
          </w:p>
        </w:tc>
      </w:tr>
      <w:tr w:rsidR="00987E32" w:rsidRPr="00A831A4" w:rsidTr="008E30C2">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29</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31</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rPr>
            </w:pPr>
            <w:r w:rsidRPr="00A831A4">
              <w:rPr>
                <w:rFonts w:ascii="Arial" w:eastAsia="Arial" w:hAnsi="Arial" w:cs="Arial"/>
                <w:color w:val="000000"/>
                <w:sz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 xml:space="preserve">  24 /</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31</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spacing w:before="91" w:line="148" w:lineRule="exact"/>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H</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spacing w:before="91" w:line="148" w:lineRule="exact"/>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H</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29</w:t>
            </w: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30</w:t>
            </w:r>
          </w:p>
        </w:tc>
      </w:tr>
    </w:tbl>
    <w:p w:rsidR="00987E32" w:rsidRPr="00A831A4" w:rsidRDefault="00987E32" w:rsidP="00987E32">
      <w:pPr>
        <w:tabs>
          <w:tab w:val="center" w:pos="5220"/>
          <w:tab w:val="right" w:pos="10440"/>
        </w:tabs>
        <w:spacing w:before="120"/>
        <w:jc w:val="center"/>
        <w:rPr>
          <w:rFonts w:ascii="Arial" w:hAnsi="Arial" w:cs="Arial"/>
          <w:szCs w:val="24"/>
        </w:rPr>
      </w:pPr>
      <w:r w:rsidRPr="00A831A4">
        <w:rPr>
          <w:rFonts w:ascii="Arial" w:hAnsi="Arial" w:cs="Arial"/>
          <w:b/>
          <w:szCs w:val="24"/>
        </w:rPr>
        <w:t>- 2024 -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987E32" w:rsidRPr="00A831A4"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MARCH – MARS</w:t>
            </w:r>
          </w:p>
        </w:tc>
      </w:tr>
      <w:tr w:rsidR="00987E32" w:rsidRPr="00A831A4"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W</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F</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W</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F</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W</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F</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tc>
      </w:tr>
      <w:tr w:rsidR="00987E32" w:rsidRPr="00A831A4"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A831A4" w:rsidRDefault="00987E32" w:rsidP="008E30C2">
            <w:pPr>
              <w:spacing w:before="91" w:line="148" w:lineRule="exact"/>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H</w:t>
            </w:r>
          </w:p>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Arial" w:hAnsi="Arial" w:cs="Arial"/>
                <w:color w:val="000000"/>
                <w:sz w:val="13"/>
                <w:szCs w:val="13"/>
              </w:rPr>
              <w:t>1</w:t>
            </w:r>
          </w:p>
        </w:tc>
        <w:tc>
          <w:tcPr>
            <w:tcW w:w="222"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2</w:t>
            </w:r>
          </w:p>
        </w:tc>
        <w:tc>
          <w:tcPr>
            <w:tcW w:w="222"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A831A4" w:rsidRDefault="00987E32" w:rsidP="008E30C2">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A831A4" w:rsidRDefault="00987E32" w:rsidP="008E30C2">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w:t>
            </w:r>
          </w:p>
        </w:tc>
      </w:tr>
      <w:tr w:rsidR="00987E32" w:rsidRPr="00A831A4"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spacing w:before="241" w:after="34" w:line="147" w:lineRule="exact"/>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spacing w:before="2" w:after="34" w:line="147" w:lineRule="exact"/>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11</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4</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5</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8</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9</w:t>
            </w:r>
          </w:p>
        </w:tc>
      </w:tr>
      <w:tr w:rsidR="00987E32" w:rsidRPr="00A831A4"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spacing w:before="240" w:after="30" w:line="147" w:lineRule="exact"/>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spacing w:before="91" w:line="148" w:lineRule="exact"/>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CC</w:t>
            </w:r>
          </w:p>
          <w:p w:rsidR="00987E32" w:rsidRPr="00A831A4" w:rsidRDefault="00987E32" w:rsidP="008E30C2">
            <w:pPr>
              <w:spacing w:before="1" w:after="30" w:line="147" w:lineRule="exact"/>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CC</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10</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11</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16</w:t>
            </w:r>
          </w:p>
        </w:tc>
      </w:tr>
      <w:tr w:rsidR="00987E32" w:rsidRPr="00A831A4"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spacing w:before="212" w:after="30" w:line="147" w:lineRule="exact"/>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spacing w:before="212" w:after="30" w:line="147" w:lineRule="exact"/>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17</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CC</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NR</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21</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23</w:t>
            </w:r>
          </w:p>
        </w:tc>
      </w:tr>
      <w:tr w:rsidR="00987E32" w:rsidRPr="00A831A4" w:rsidTr="008E30C2">
        <w:trPr>
          <w:trHeight w:val="319"/>
        </w:trPr>
        <w:tc>
          <w:tcPr>
            <w:tcW w:w="222"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spacing w:before="39" w:after="30" w:line="147" w:lineRule="exact"/>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spacing w:before="39" w:after="30" w:line="147" w:lineRule="exact"/>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 xml:space="preserve">  24 /</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31</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25</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26</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28</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A831A4" w:rsidRDefault="00987E32" w:rsidP="008E30C2">
            <w:pPr>
              <w:spacing w:before="91" w:line="148" w:lineRule="exact"/>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H</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29</w:t>
            </w:r>
          </w:p>
        </w:tc>
        <w:tc>
          <w:tcPr>
            <w:tcW w:w="214" w:type="pct"/>
            <w:tcBorders>
              <w:top w:val="single" w:sz="4" w:space="0" w:color="000000" w:themeColor="text1"/>
              <w:left w:val="doub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30</w:t>
            </w:r>
          </w:p>
        </w:tc>
      </w:tr>
      <w:tr w:rsidR="00987E32" w:rsidRPr="00A831A4"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JUNE – JUIN</w:t>
            </w:r>
          </w:p>
        </w:tc>
      </w:tr>
      <w:tr w:rsidR="00987E32" w:rsidRPr="00A831A4"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W</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F</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W</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F</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W</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F</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tc>
      </w:tr>
      <w:tr w:rsidR="00987E32" w:rsidRPr="00A831A4"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H</w:t>
            </w:r>
          </w:p>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5</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OR</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eastAsia="Times New Roman"/>
                <w:color w:val="000000"/>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eastAsia="Times New Roman"/>
                <w:color w:val="000000"/>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eastAsia="Times New Roman"/>
                <w:color w:val="000000"/>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1</w:t>
            </w:r>
          </w:p>
        </w:tc>
      </w:tr>
      <w:tr w:rsidR="00987E32" w:rsidRPr="00A831A4"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9</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11</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12</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OR</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OR</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8</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10</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2</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8</w:t>
            </w:r>
          </w:p>
        </w:tc>
      </w:tr>
      <w:tr w:rsidR="00987E32" w:rsidRPr="00A831A4"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CC</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16</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17</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18</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19</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9</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b/>
                <w:color w:val="000000"/>
                <w:sz w:val="13"/>
              </w:rPr>
            </w:pPr>
            <w:r w:rsidRPr="00A831A4">
              <w:rPr>
                <w:rFonts w:ascii="Arial" w:eastAsia="Arial" w:hAnsi="Arial"/>
                <w:b/>
                <w:color w:val="000000"/>
                <w:sz w:val="13"/>
              </w:rPr>
              <w:t>CC</w:t>
            </w:r>
          </w:p>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15</w:t>
            </w:r>
          </w:p>
        </w:tc>
      </w:tr>
      <w:tr w:rsidR="00987E32" w:rsidRPr="00A831A4"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RV</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21</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23</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24</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25</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26</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19</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H</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20</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olor w:val="000000"/>
                <w:sz w:val="13"/>
              </w:rPr>
            </w:pPr>
            <w:r w:rsidRPr="00A831A4">
              <w:rPr>
                <w:rFonts w:ascii="Arial" w:eastAsia="Arial" w:hAnsi="Arial"/>
                <w:color w:val="000000"/>
                <w:sz w:val="13"/>
              </w:rPr>
              <w:t>22</w:t>
            </w:r>
          </w:p>
        </w:tc>
      </w:tr>
      <w:tr w:rsidR="00987E32" w:rsidRPr="00A831A4" w:rsidTr="008E30C2">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26</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29</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30</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31</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 xml:space="preserve">  23 /</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24</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25</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28</w:t>
            </w: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29</w:t>
            </w:r>
          </w:p>
        </w:tc>
      </w:tr>
      <w:tr w:rsidR="00987E32" w:rsidRPr="00A831A4" w:rsidTr="008E30C2">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SEPTEMBER – SEPTEMBRE</w:t>
            </w:r>
          </w:p>
        </w:tc>
      </w:tr>
      <w:tr w:rsidR="00987E32" w:rsidRPr="00A831A4" w:rsidTr="008E30C2">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6"/>
                <w:szCs w:val="16"/>
              </w:rPr>
            </w:pPr>
            <w:r w:rsidRPr="00A831A4">
              <w:rPr>
                <w:rFonts w:ascii="Arial" w:hAnsi="Arial" w:cs="Arial"/>
                <w:b/>
                <w:sz w:val="13"/>
                <w:szCs w:val="13"/>
              </w:rPr>
              <w:t>D</w:t>
            </w:r>
          </w:p>
        </w:tc>
        <w:tc>
          <w:tcPr>
            <w:tcW w:w="222" w:type="pct"/>
            <w:tcBorders>
              <w:top w:val="double" w:sz="6" w:space="0" w:color="auto"/>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W</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F</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W</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F</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A831A4"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W</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T</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F</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p w:rsidR="00987E32" w:rsidRPr="00A831A4" w:rsidRDefault="00987E32" w:rsidP="008E30C2">
            <w:pPr>
              <w:tabs>
                <w:tab w:val="center" w:pos="5220"/>
                <w:tab w:val="right" w:pos="10440"/>
              </w:tabs>
              <w:jc w:val="center"/>
              <w:rPr>
                <w:rFonts w:ascii="Arial" w:hAnsi="Arial" w:cs="Arial"/>
                <w:b/>
                <w:sz w:val="13"/>
                <w:szCs w:val="13"/>
              </w:rPr>
            </w:pPr>
            <w:r w:rsidRPr="00A831A4">
              <w:rPr>
                <w:rFonts w:ascii="Arial" w:hAnsi="Arial" w:cs="Arial"/>
                <w:b/>
                <w:sz w:val="13"/>
                <w:szCs w:val="13"/>
              </w:rPr>
              <w:t>S</w:t>
            </w:r>
          </w:p>
        </w:tc>
      </w:tr>
      <w:tr w:rsidR="00987E32" w:rsidRPr="00A831A4"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tcPr>
          <w:p w:rsidR="00987E32" w:rsidRPr="00A831A4"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H</w:t>
            </w:r>
          </w:p>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2</w:t>
            </w:r>
          </w:p>
        </w:tc>
        <w:tc>
          <w:tcPr>
            <w:tcW w:w="222" w:type="pct"/>
            <w:tcBorders>
              <w:top w:val="single" w:sz="4" w:space="0" w:color="auto"/>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5</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A831A4"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987E32" w:rsidRPr="00A831A4"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1</w:t>
            </w: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H</w:t>
            </w:r>
          </w:p>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Arial" w:hAnsi="Arial" w:cs="Arial"/>
                <w:color w:val="000000"/>
                <w:sz w:val="13"/>
                <w:szCs w:val="13"/>
              </w:rPr>
              <w:t>2</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7</w:t>
            </w:r>
          </w:p>
        </w:tc>
      </w:tr>
      <w:tr w:rsidR="00987E32" w:rsidRPr="00A831A4"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11</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12</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4</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H</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5</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8</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14</w:t>
            </w:r>
          </w:p>
        </w:tc>
      </w:tr>
      <w:tr w:rsidR="00987E32" w:rsidRPr="00A831A4"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11</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15</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21</w:t>
            </w:r>
          </w:p>
        </w:tc>
      </w:tr>
      <w:tr w:rsidR="00987E32" w:rsidRPr="00A831A4"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22</w:t>
            </w:r>
          </w:p>
        </w:tc>
        <w:tc>
          <w:tcPr>
            <w:tcW w:w="291" w:type="pct"/>
            <w:tcBorders>
              <w:top w:val="single" w:sz="4" w:space="0" w:color="auto"/>
              <w:left w:val="single" w:sz="4" w:space="0" w:color="000000" w:themeColor="text1"/>
              <w:bottom w:val="double" w:sz="4" w:space="0" w:color="auto"/>
              <w:right w:val="sing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28</w:t>
            </w:r>
          </w:p>
        </w:tc>
      </w:tr>
      <w:tr w:rsidR="00987E32" w:rsidRPr="00A831A4" w:rsidTr="008E30C2">
        <w:trPr>
          <w:trHeight w:val="375"/>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r w:rsidRPr="00A831A4">
              <w:rPr>
                <w:rFonts w:ascii="Arial" w:eastAsia="Times New Roman" w:hAnsi="Arial" w:cs="Arial"/>
                <w:color w:val="000000"/>
                <w:sz w:val="13"/>
                <w:szCs w:val="13"/>
              </w:rPr>
              <w:t>31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831A4"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doub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29</w:t>
            </w:r>
          </w:p>
        </w:tc>
        <w:tc>
          <w:tcPr>
            <w:tcW w:w="291"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b/>
                <w:color w:val="000000"/>
                <w:sz w:val="13"/>
                <w:szCs w:val="13"/>
              </w:rPr>
            </w:pPr>
            <w:r w:rsidRPr="00A831A4">
              <w:rPr>
                <w:rFonts w:ascii="Arial" w:eastAsia="Arial" w:hAnsi="Arial" w:cs="Arial"/>
                <w:b/>
                <w:color w:val="000000"/>
                <w:sz w:val="13"/>
                <w:szCs w:val="13"/>
              </w:rPr>
              <w:t>H</w:t>
            </w:r>
          </w:p>
          <w:p w:rsidR="00987E32" w:rsidRPr="00A831A4" w:rsidRDefault="00987E32" w:rsidP="008E30C2">
            <w:pPr>
              <w:jc w:val="center"/>
              <w:textAlignment w:val="baseline"/>
              <w:rPr>
                <w:rFonts w:ascii="Arial" w:eastAsia="Arial" w:hAnsi="Arial" w:cs="Arial"/>
                <w:color w:val="000000"/>
                <w:sz w:val="13"/>
                <w:szCs w:val="13"/>
              </w:rPr>
            </w:pPr>
            <w:r w:rsidRPr="00A831A4">
              <w:rPr>
                <w:rFonts w:ascii="Arial" w:eastAsia="Arial" w:hAnsi="Arial" w:cs="Arial"/>
                <w:color w:val="000000"/>
                <w:sz w:val="13"/>
                <w:szCs w:val="13"/>
              </w:rPr>
              <w:t>30</w:t>
            </w:r>
          </w:p>
        </w:tc>
        <w:tc>
          <w:tcPr>
            <w:tcW w:w="205" w:type="pct"/>
            <w:tcBorders>
              <w:top w:val="single" w:sz="4" w:space="0" w:color="000000" w:themeColor="text1"/>
              <w:left w:val="double" w:sz="4"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987E32" w:rsidRPr="00A831A4" w:rsidRDefault="00987E32" w:rsidP="008E30C2">
            <w:pPr>
              <w:jc w:val="center"/>
              <w:textAlignment w:val="baseline"/>
              <w:rPr>
                <w:rFonts w:ascii="Arial" w:eastAsia="Times New Roman" w:hAnsi="Arial" w:cs="Arial"/>
                <w:color w:val="000000"/>
                <w:sz w:val="13"/>
                <w:szCs w:val="13"/>
              </w:rPr>
            </w:pPr>
          </w:p>
        </w:tc>
      </w:tr>
      <w:tr w:rsidR="00987E32" w:rsidRPr="00A831A4"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987E32" w:rsidRPr="00A831A4" w:rsidRDefault="00987E32" w:rsidP="008E30C2">
            <w:pPr>
              <w:spacing w:before="40"/>
              <w:jc w:val="right"/>
              <w:rPr>
                <w:rFonts w:ascii="Arial" w:hAnsi="Arial" w:cs="Arial"/>
                <w:b/>
                <w:sz w:val="13"/>
                <w:szCs w:val="13"/>
              </w:rPr>
            </w:pPr>
            <w:r w:rsidRPr="00A831A4">
              <w:rPr>
                <w:rFonts w:ascii="Arial" w:hAnsi="Arial" w:cs="Arial"/>
                <w:b/>
                <w:sz w:val="13"/>
                <w:szCs w:val="13"/>
              </w:rPr>
              <w:t>Sitting of the Court /</w:t>
            </w:r>
          </w:p>
          <w:p w:rsidR="00987E32" w:rsidRPr="00A831A4" w:rsidRDefault="00987E32" w:rsidP="008E30C2">
            <w:pPr>
              <w:jc w:val="right"/>
              <w:rPr>
                <w:rFonts w:ascii="Arial" w:hAnsi="Arial" w:cs="Arial"/>
                <w:b/>
                <w:sz w:val="13"/>
                <w:szCs w:val="13"/>
              </w:rPr>
            </w:pPr>
            <w:r w:rsidRPr="00A831A4">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987E32" w:rsidRPr="00A831A4" w:rsidRDefault="00987E32" w:rsidP="008E30C2">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987E32" w:rsidRPr="00A831A4" w:rsidRDefault="00987E32" w:rsidP="008E30C2">
            <w:pPr>
              <w:tabs>
                <w:tab w:val="left" w:pos="203"/>
              </w:tabs>
              <w:spacing w:before="40" w:after="120"/>
              <w:rPr>
                <w:rFonts w:ascii="Arial" w:hAnsi="Arial" w:cs="Arial"/>
                <w:b/>
                <w:sz w:val="13"/>
                <w:szCs w:val="13"/>
                <w:lang w:val="fr-CA"/>
              </w:rPr>
            </w:pPr>
            <w:r w:rsidRPr="00A831A4">
              <w:rPr>
                <w:rFonts w:ascii="Arial" w:hAnsi="Arial" w:cs="Arial"/>
                <w:b/>
                <w:sz w:val="13"/>
                <w:szCs w:val="13"/>
                <w:lang w:val="fr-CA"/>
              </w:rPr>
              <w:t>18</w:t>
            </w:r>
            <w:r w:rsidRPr="00A831A4">
              <w:rPr>
                <w:rFonts w:ascii="Arial" w:hAnsi="Arial" w:cs="Arial"/>
                <w:b/>
                <w:sz w:val="13"/>
                <w:szCs w:val="13"/>
                <w:lang w:val="fr-CA"/>
              </w:rPr>
              <w:tab/>
              <w:t xml:space="preserve"> sitting weeks / semaines séances de la Cour</w:t>
            </w:r>
          </w:p>
          <w:p w:rsidR="00987E32" w:rsidRPr="00A831A4" w:rsidRDefault="00987E32" w:rsidP="008E30C2">
            <w:pPr>
              <w:tabs>
                <w:tab w:val="left" w:pos="203"/>
              </w:tabs>
              <w:rPr>
                <w:rFonts w:ascii="Arial" w:hAnsi="Arial" w:cs="Arial"/>
                <w:b/>
                <w:sz w:val="13"/>
                <w:szCs w:val="13"/>
                <w:lang w:val="fr-CA"/>
              </w:rPr>
            </w:pPr>
            <w:r w:rsidRPr="00A831A4">
              <w:rPr>
                <w:rFonts w:ascii="Arial" w:hAnsi="Arial" w:cs="Arial"/>
                <w:b/>
                <w:sz w:val="13"/>
                <w:szCs w:val="13"/>
                <w:lang w:val="fr-CA"/>
              </w:rPr>
              <w:t>87</w:t>
            </w:r>
            <w:r w:rsidRPr="00A831A4">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987E32" w:rsidRPr="00A831A4" w:rsidRDefault="00987E32" w:rsidP="008E30C2">
            <w:pPr>
              <w:spacing w:before="40" w:after="120"/>
              <w:jc w:val="right"/>
              <w:rPr>
                <w:rFonts w:ascii="Arial" w:hAnsi="Arial" w:cs="Arial"/>
                <w:b/>
                <w:sz w:val="13"/>
                <w:szCs w:val="13"/>
                <w:lang w:val="fr-FR"/>
              </w:rPr>
            </w:pPr>
            <w:r w:rsidRPr="00A831A4">
              <w:rPr>
                <w:rFonts w:ascii="Arial" w:hAnsi="Arial" w:cs="Arial"/>
                <w:b/>
                <w:sz w:val="13"/>
                <w:szCs w:val="13"/>
                <w:lang w:val="fr-FR"/>
              </w:rPr>
              <w:t>Rosh Hashanah / Nouvel An juif</w:t>
            </w:r>
          </w:p>
          <w:p w:rsidR="00987E32" w:rsidRPr="00A831A4" w:rsidRDefault="00987E32" w:rsidP="008E30C2">
            <w:pPr>
              <w:jc w:val="right"/>
              <w:rPr>
                <w:rFonts w:ascii="Arial" w:hAnsi="Arial" w:cs="Arial"/>
                <w:b/>
                <w:sz w:val="13"/>
                <w:szCs w:val="13"/>
                <w:lang w:val="fr-CA"/>
              </w:rPr>
            </w:pPr>
            <w:r w:rsidRPr="00A831A4">
              <w:rPr>
                <w:rFonts w:ascii="Arial" w:hAnsi="Arial" w:cs="Arial"/>
                <w:b/>
                <w:sz w:val="13"/>
                <w:szCs w:val="13"/>
                <w:lang w:val="fr-FR"/>
              </w:rPr>
              <w:t>Yom Kippur / Yom Kippour</w:t>
            </w:r>
          </w:p>
        </w:tc>
        <w:tc>
          <w:tcPr>
            <w:tcW w:w="205" w:type="pct"/>
            <w:hideMark/>
          </w:tcPr>
          <w:p w:rsidR="00987E32" w:rsidRPr="00A831A4" w:rsidRDefault="00987E32" w:rsidP="008E30C2">
            <w:pPr>
              <w:spacing w:before="40" w:after="120"/>
              <w:jc w:val="center"/>
              <w:rPr>
                <w:rFonts w:ascii="Arial" w:hAnsi="Arial" w:cs="Arial"/>
                <w:b/>
                <w:sz w:val="13"/>
                <w:szCs w:val="13"/>
                <w:lang w:val="fr-CA"/>
              </w:rPr>
            </w:pPr>
            <w:r w:rsidRPr="00A831A4">
              <w:rPr>
                <w:rFonts w:ascii="Arial" w:hAnsi="Arial" w:cs="Arial"/>
                <w:b/>
                <w:sz w:val="13"/>
                <w:szCs w:val="13"/>
                <w:lang w:val="fr-CA"/>
              </w:rPr>
              <w:t>RH</w:t>
            </w:r>
          </w:p>
          <w:p w:rsidR="00987E32" w:rsidRPr="00A831A4" w:rsidRDefault="00987E32" w:rsidP="008E30C2">
            <w:pPr>
              <w:jc w:val="center"/>
              <w:rPr>
                <w:rFonts w:ascii="Arial" w:hAnsi="Arial" w:cs="Arial"/>
                <w:b/>
                <w:sz w:val="13"/>
                <w:szCs w:val="13"/>
                <w:lang w:val="fr-CA"/>
              </w:rPr>
            </w:pPr>
            <w:r w:rsidRPr="00A831A4">
              <w:rPr>
                <w:rFonts w:ascii="Arial" w:hAnsi="Arial" w:cs="Arial"/>
                <w:b/>
                <w:sz w:val="13"/>
                <w:szCs w:val="13"/>
                <w:lang w:val="fr-CA"/>
              </w:rPr>
              <w:t>YK</w:t>
            </w:r>
          </w:p>
        </w:tc>
      </w:tr>
      <w:tr w:rsidR="00987E32" w:rsidRPr="00A831A4"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987E32" w:rsidRPr="00A831A4" w:rsidRDefault="00987E32" w:rsidP="008E30C2">
            <w:pPr>
              <w:jc w:val="right"/>
              <w:rPr>
                <w:rFonts w:ascii="Arial" w:hAnsi="Arial" w:cs="Arial"/>
                <w:b/>
                <w:sz w:val="13"/>
                <w:szCs w:val="13"/>
                <w:lang w:val="fr-CA"/>
              </w:rPr>
            </w:pPr>
            <w:r w:rsidRPr="00A831A4">
              <w:rPr>
                <w:rFonts w:ascii="Arial" w:hAnsi="Arial" w:cs="Arial"/>
                <w:b/>
                <w:sz w:val="13"/>
                <w:szCs w:val="13"/>
                <w:lang w:val="fr-CA"/>
              </w:rPr>
              <w:t>Court conference /</w:t>
            </w:r>
          </w:p>
          <w:p w:rsidR="00987E32" w:rsidRPr="00A831A4" w:rsidRDefault="00987E32" w:rsidP="008E30C2">
            <w:pPr>
              <w:jc w:val="right"/>
              <w:rPr>
                <w:rFonts w:ascii="Arial" w:hAnsi="Arial" w:cs="Arial"/>
                <w:b/>
                <w:sz w:val="13"/>
                <w:szCs w:val="13"/>
                <w:lang w:val="fr-CA"/>
              </w:rPr>
            </w:pPr>
            <w:r w:rsidRPr="00A831A4">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7E32" w:rsidRPr="00A831A4" w:rsidRDefault="00987E32" w:rsidP="008E30C2">
            <w:pPr>
              <w:jc w:val="center"/>
              <w:rPr>
                <w:rFonts w:ascii="Arial" w:hAnsi="Arial" w:cs="Arial"/>
                <w:b/>
                <w:sz w:val="13"/>
                <w:szCs w:val="13"/>
                <w:lang w:val="fr-FR"/>
              </w:rPr>
            </w:pPr>
            <w:r w:rsidRPr="00A831A4">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987E32" w:rsidRPr="00A831A4" w:rsidRDefault="00987E32" w:rsidP="008E30C2">
            <w:pPr>
              <w:tabs>
                <w:tab w:val="left" w:pos="203"/>
              </w:tabs>
              <w:rPr>
                <w:rFonts w:ascii="Arial" w:hAnsi="Arial" w:cs="Arial"/>
                <w:b/>
                <w:sz w:val="13"/>
                <w:szCs w:val="13"/>
                <w:lang w:val="fr-CA"/>
              </w:rPr>
            </w:pPr>
            <w:r w:rsidRPr="00A831A4">
              <w:rPr>
                <w:rFonts w:ascii="Arial" w:hAnsi="Arial" w:cs="Arial"/>
                <w:b/>
                <w:sz w:val="13"/>
                <w:szCs w:val="13"/>
                <w:lang w:val="fr-CA"/>
              </w:rPr>
              <w:t>9</w:t>
            </w:r>
            <w:r w:rsidRPr="00A831A4">
              <w:rPr>
                <w:rFonts w:ascii="Arial" w:hAnsi="Arial" w:cs="Arial"/>
                <w:b/>
                <w:sz w:val="13"/>
                <w:szCs w:val="13"/>
                <w:lang w:val="fr-CA"/>
              </w:rPr>
              <w:tab/>
              <w:t>Court conference days /</w:t>
            </w:r>
          </w:p>
          <w:p w:rsidR="00987E32" w:rsidRPr="00A831A4" w:rsidRDefault="00987E32" w:rsidP="008E30C2">
            <w:pPr>
              <w:tabs>
                <w:tab w:val="left" w:pos="203"/>
              </w:tabs>
              <w:rPr>
                <w:rFonts w:ascii="Arial" w:hAnsi="Arial" w:cs="Arial"/>
                <w:b/>
                <w:sz w:val="13"/>
                <w:szCs w:val="13"/>
                <w:lang w:val="fr-CA"/>
              </w:rPr>
            </w:pPr>
            <w:r w:rsidRPr="00A831A4">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987E32" w:rsidRPr="00A831A4" w:rsidRDefault="00987E32" w:rsidP="008E30C2">
            <w:pPr>
              <w:spacing w:before="40" w:after="120"/>
              <w:jc w:val="right"/>
              <w:rPr>
                <w:rFonts w:ascii="Arial" w:hAnsi="Arial" w:cs="Arial"/>
                <w:b/>
                <w:sz w:val="13"/>
                <w:szCs w:val="13"/>
                <w:lang w:val="en-US"/>
              </w:rPr>
            </w:pPr>
            <w:r w:rsidRPr="00A831A4">
              <w:rPr>
                <w:rFonts w:ascii="Arial" w:hAnsi="Arial" w:cs="Arial"/>
                <w:b/>
                <w:sz w:val="13"/>
                <w:szCs w:val="13"/>
                <w:lang w:val="en-US"/>
              </w:rPr>
              <w:t>Orthodox Easter / Pâques orthodoxe</w:t>
            </w:r>
          </w:p>
          <w:p w:rsidR="00987E32" w:rsidRPr="00A831A4" w:rsidRDefault="00987E32" w:rsidP="008E30C2">
            <w:pPr>
              <w:jc w:val="right"/>
              <w:rPr>
                <w:rFonts w:ascii="Arial" w:hAnsi="Arial" w:cs="Arial"/>
                <w:b/>
                <w:sz w:val="13"/>
                <w:szCs w:val="13"/>
                <w:lang w:val="en-US"/>
              </w:rPr>
            </w:pPr>
            <w:r w:rsidRPr="00A831A4">
              <w:rPr>
                <w:rFonts w:ascii="Arial" w:hAnsi="Arial" w:cs="Arial"/>
                <w:b/>
                <w:sz w:val="13"/>
                <w:szCs w:val="13"/>
                <w:lang w:val="en-US"/>
              </w:rPr>
              <w:t>Naw-Rúz</w:t>
            </w:r>
          </w:p>
        </w:tc>
        <w:tc>
          <w:tcPr>
            <w:tcW w:w="205" w:type="pct"/>
          </w:tcPr>
          <w:p w:rsidR="00987E32" w:rsidRPr="00A831A4" w:rsidRDefault="00987E32" w:rsidP="008E30C2">
            <w:pPr>
              <w:spacing w:before="40" w:after="120"/>
              <w:jc w:val="center"/>
              <w:rPr>
                <w:rFonts w:ascii="Arial" w:hAnsi="Arial" w:cs="Arial"/>
                <w:b/>
                <w:sz w:val="13"/>
                <w:szCs w:val="13"/>
                <w:lang w:val="fr-CA"/>
              </w:rPr>
            </w:pPr>
            <w:r w:rsidRPr="00A831A4">
              <w:rPr>
                <w:rFonts w:ascii="Arial" w:hAnsi="Arial" w:cs="Arial"/>
                <w:b/>
                <w:sz w:val="13"/>
                <w:szCs w:val="13"/>
                <w:lang w:val="fr-CA"/>
              </w:rPr>
              <w:t>OR</w:t>
            </w:r>
          </w:p>
          <w:p w:rsidR="00987E32" w:rsidRPr="00A831A4" w:rsidRDefault="00987E32" w:rsidP="008E30C2">
            <w:pPr>
              <w:jc w:val="center"/>
              <w:rPr>
                <w:rFonts w:ascii="Arial" w:hAnsi="Arial" w:cs="Arial"/>
                <w:b/>
                <w:sz w:val="13"/>
                <w:szCs w:val="13"/>
                <w:lang w:val="fr-CA"/>
              </w:rPr>
            </w:pPr>
            <w:r w:rsidRPr="00A831A4">
              <w:rPr>
                <w:rFonts w:ascii="Arial" w:hAnsi="Arial" w:cs="Arial"/>
                <w:b/>
                <w:sz w:val="13"/>
                <w:szCs w:val="13"/>
                <w:lang w:val="fr-CA"/>
              </w:rPr>
              <w:t>NR</w:t>
            </w:r>
          </w:p>
        </w:tc>
      </w:tr>
      <w:tr w:rsidR="00987E32"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987E32" w:rsidRPr="00A831A4" w:rsidRDefault="00987E32" w:rsidP="008E30C2">
            <w:pPr>
              <w:jc w:val="right"/>
              <w:rPr>
                <w:rFonts w:ascii="Arial" w:hAnsi="Arial" w:cs="Arial"/>
                <w:b/>
                <w:sz w:val="13"/>
                <w:szCs w:val="13"/>
              </w:rPr>
            </w:pPr>
            <w:r w:rsidRPr="00A831A4">
              <w:rPr>
                <w:rFonts w:ascii="Arial" w:hAnsi="Arial" w:cs="Arial"/>
                <w:b/>
                <w:sz w:val="13"/>
                <w:szCs w:val="13"/>
              </w:rPr>
              <w:t xml:space="preserve">Holiday / </w:t>
            </w:r>
            <w:r w:rsidRPr="00A831A4">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987E32" w:rsidRPr="00A831A4" w:rsidRDefault="00987E32" w:rsidP="008E30C2">
            <w:pPr>
              <w:jc w:val="center"/>
              <w:rPr>
                <w:rFonts w:ascii="Arial" w:hAnsi="Arial" w:cs="Arial"/>
                <w:b/>
                <w:sz w:val="13"/>
                <w:szCs w:val="13"/>
              </w:rPr>
            </w:pPr>
            <w:r w:rsidRPr="00A831A4">
              <w:rPr>
                <w:rFonts w:ascii="Arial" w:hAnsi="Arial" w:cs="Arial"/>
                <w:b/>
                <w:sz w:val="13"/>
                <w:szCs w:val="13"/>
              </w:rPr>
              <w:t>H</w:t>
            </w:r>
          </w:p>
        </w:tc>
        <w:tc>
          <w:tcPr>
            <w:tcW w:w="1629" w:type="pct"/>
            <w:gridSpan w:val="8"/>
            <w:tcBorders>
              <w:top w:val="nil"/>
              <w:left w:val="single" w:sz="4" w:space="0" w:color="auto"/>
              <w:bottom w:val="nil"/>
              <w:right w:val="nil"/>
            </w:tcBorders>
            <w:hideMark/>
          </w:tcPr>
          <w:p w:rsidR="00987E32" w:rsidRPr="00A831A4" w:rsidRDefault="00987E32" w:rsidP="008E30C2">
            <w:pPr>
              <w:tabs>
                <w:tab w:val="left" w:pos="203"/>
              </w:tabs>
              <w:rPr>
                <w:rFonts w:ascii="Arial" w:hAnsi="Arial" w:cs="Arial"/>
                <w:b/>
                <w:sz w:val="13"/>
                <w:szCs w:val="13"/>
              </w:rPr>
            </w:pPr>
            <w:r w:rsidRPr="00A831A4">
              <w:rPr>
                <w:rFonts w:ascii="Arial" w:hAnsi="Arial" w:cs="Arial"/>
                <w:b/>
                <w:sz w:val="13"/>
                <w:szCs w:val="13"/>
              </w:rPr>
              <w:t>3</w:t>
            </w:r>
            <w:r w:rsidRPr="00A831A4">
              <w:rPr>
                <w:rFonts w:ascii="Arial" w:hAnsi="Arial" w:cs="Arial"/>
                <w:b/>
                <w:sz w:val="13"/>
                <w:szCs w:val="13"/>
              </w:rPr>
              <w:tab/>
              <w:t xml:space="preserve">holidays during sitting days / </w:t>
            </w:r>
          </w:p>
          <w:p w:rsidR="00987E32" w:rsidRPr="00A831A4" w:rsidRDefault="00987E32" w:rsidP="008E30C2">
            <w:pPr>
              <w:tabs>
                <w:tab w:val="left" w:pos="203"/>
              </w:tabs>
              <w:rPr>
                <w:rFonts w:ascii="Arial" w:hAnsi="Arial" w:cs="Arial"/>
                <w:b/>
                <w:sz w:val="13"/>
                <w:szCs w:val="13"/>
                <w:lang w:val="fr-CA"/>
              </w:rPr>
            </w:pPr>
            <w:r w:rsidRPr="00A831A4">
              <w:rPr>
                <w:rFonts w:ascii="Arial" w:hAnsi="Arial" w:cs="Arial"/>
                <w:b/>
                <w:sz w:val="13"/>
                <w:szCs w:val="13"/>
              </w:rPr>
              <w:tab/>
            </w:r>
            <w:r w:rsidRPr="00A831A4">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987E32" w:rsidRPr="00A831A4" w:rsidRDefault="00987E32" w:rsidP="008E30C2">
            <w:pPr>
              <w:spacing w:before="40" w:after="120"/>
              <w:jc w:val="right"/>
              <w:rPr>
                <w:rFonts w:ascii="Arial" w:hAnsi="Arial" w:cs="Arial"/>
                <w:b/>
                <w:sz w:val="13"/>
                <w:szCs w:val="13"/>
                <w:lang w:val="fr-FR"/>
              </w:rPr>
            </w:pPr>
            <w:r w:rsidRPr="00A831A4">
              <w:rPr>
                <w:rFonts w:ascii="Arial" w:hAnsi="Arial" w:cs="Arial"/>
                <w:b/>
                <w:sz w:val="13"/>
                <w:szCs w:val="13"/>
                <w:lang w:val="fr-FR"/>
              </w:rPr>
              <w:t>Ridván</w:t>
            </w:r>
          </w:p>
        </w:tc>
        <w:tc>
          <w:tcPr>
            <w:tcW w:w="205" w:type="pct"/>
          </w:tcPr>
          <w:p w:rsidR="00987E32" w:rsidRPr="00D104F9" w:rsidRDefault="00987E32" w:rsidP="008E30C2">
            <w:pPr>
              <w:spacing w:before="40" w:after="120"/>
              <w:jc w:val="center"/>
              <w:rPr>
                <w:rFonts w:ascii="Arial" w:hAnsi="Arial" w:cs="Arial"/>
                <w:b/>
                <w:sz w:val="13"/>
                <w:szCs w:val="13"/>
                <w:lang w:val="fr-FR"/>
              </w:rPr>
            </w:pPr>
            <w:r w:rsidRPr="00A831A4">
              <w:rPr>
                <w:rFonts w:ascii="Arial" w:hAnsi="Arial" w:cs="Arial"/>
                <w:b/>
                <w:sz w:val="13"/>
                <w:szCs w:val="13"/>
                <w:lang w:val="fr-FR"/>
              </w:rPr>
              <w:t>RV</w:t>
            </w:r>
          </w:p>
        </w:tc>
      </w:tr>
    </w:tbl>
    <w:p w:rsidR="002410B8" w:rsidRPr="0022323B" w:rsidRDefault="002410B8" w:rsidP="00987E32">
      <w:pPr>
        <w:tabs>
          <w:tab w:val="center" w:pos="5220"/>
          <w:tab w:val="right" w:pos="10800"/>
        </w:tabs>
        <w:rPr>
          <w:lang w:val="fr-CA"/>
        </w:rPr>
      </w:pPr>
    </w:p>
    <w:sectPr w:rsidR="002410B8" w:rsidRPr="0022323B" w:rsidSect="00B4618C">
      <w:headerReference w:type="default" r:id="rId65"/>
      <w:footerReference w:type="default" r:id="rId66"/>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35" w:rsidRDefault="000B4535" w:rsidP="00A87207">
      <w:r>
        <w:separator/>
      </w:r>
    </w:p>
  </w:endnote>
  <w:endnote w:type="continuationSeparator" w:id="0">
    <w:p w:rsidR="000B4535" w:rsidRDefault="000B4535"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Default="000B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0B4535" w:rsidRDefault="000B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B4535" w:rsidRDefault="000B4535">
    <w:pPr>
      <w:tabs>
        <w:tab w:val="center" w:pos="4740"/>
      </w:tabs>
    </w:pPr>
    <w:r>
      <w:tab/>
      <w:t xml:space="preserve">- </w:t>
    </w:r>
    <w:r>
      <w:pgNum/>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Pr="00924065" w:rsidRDefault="000B4535"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Default="00A233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59" style="width:480.95pt;height:1pt" o:hralign="center" o:hrstd="t" o:hrnoshade="t" o:hr="t" fillcolor="black [3213]" stroked="f"/>
      </w:pict>
    </w:r>
  </w:p>
  <w:p w:rsidR="000B4535" w:rsidRPr="0009648D" w:rsidRDefault="000B4535" w:rsidP="00ED7E83">
    <w:pPr>
      <w:tabs>
        <w:tab w:val="center" w:pos="4680"/>
      </w:tabs>
    </w:pPr>
    <w:r>
      <w:tab/>
    </w:r>
    <w:r w:rsidRPr="0009648D">
      <w:t xml:space="preserve">- </w:t>
    </w:r>
    <w:r>
      <w:fldChar w:fldCharType="begin"/>
    </w:r>
    <w:r>
      <w:instrText xml:space="preserve"> PAGE   \* MERGEFORMAT </w:instrText>
    </w:r>
    <w:r>
      <w:fldChar w:fldCharType="separate"/>
    </w:r>
    <w:r w:rsidR="00A23382">
      <w:rPr>
        <w:noProof/>
      </w:rPr>
      <w:t>6</w:t>
    </w:r>
    <w:r>
      <w:rPr>
        <w:noProof/>
      </w:rPr>
      <w:fldChar w:fldCharType="end"/>
    </w:r>
    <w:r w:rsidRPr="0009648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Default="00A23382">
    <w:pPr>
      <w:pStyle w:val="Footer"/>
      <w:rPr>
        <w:lang w:val="fr-CA"/>
      </w:rPr>
    </w:pPr>
    <w:r>
      <w:rPr>
        <w:lang w:val="fr-CA"/>
      </w:rPr>
      <w:pict>
        <v:rect id="_x0000_i1060" style="width:480.95pt;height:1pt" o:hralign="center" o:hrstd="t" o:hrnoshade="t" o:hr="t" fillcolor="black [3213]" stroked="f"/>
      </w:pict>
    </w:r>
  </w:p>
  <w:p w:rsidR="000B4535" w:rsidRDefault="000B4535" w:rsidP="00245129">
    <w:pPr>
      <w:tabs>
        <w:tab w:val="center" w:pos="4680"/>
      </w:tabs>
    </w:pPr>
    <w:r>
      <w:tab/>
    </w:r>
    <w:r w:rsidRPr="0009648D">
      <w:t xml:space="preserve">- </w:t>
    </w:r>
    <w:r>
      <w:fldChar w:fldCharType="begin"/>
    </w:r>
    <w:r>
      <w:instrText xml:space="preserve"> PAGE   \* MERGEFORMAT </w:instrText>
    </w:r>
    <w:r>
      <w:fldChar w:fldCharType="separate"/>
    </w:r>
    <w:r w:rsidR="00A23382">
      <w:rPr>
        <w:noProof/>
      </w:rPr>
      <w:t>1</w:t>
    </w:r>
    <w:r>
      <w:rPr>
        <w:noProof/>
      </w:rPr>
      <w:fldChar w:fldCharType="end"/>
    </w:r>
    <w:r w:rsidRPr="0009648D">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Default="000B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0B4535" w:rsidRDefault="000B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B4535" w:rsidRDefault="000B4535">
    <w:pPr>
      <w:tabs>
        <w:tab w:val="center" w:pos="4740"/>
      </w:tabs>
    </w:pPr>
    <w:r>
      <w:tab/>
      <w:t xml:space="preserve">- </w:t>
    </w:r>
    <w:r>
      <w:pgNum/>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Default="00A23382" w:rsidP="00755F22">
    <w:pPr>
      <w:tabs>
        <w:tab w:val="left" w:pos="-1440"/>
        <w:tab w:val="left" w:pos="-720"/>
      </w:tabs>
    </w:pPr>
    <w:r>
      <w:pict>
        <v:rect id="_x0000_i1064" style="width:480.95pt;height:1pt" o:hralign="center" o:hrstd="t" o:hrnoshade="t" o:hr="t" fillcolor="black [3213]" stroked="f"/>
      </w:pict>
    </w:r>
  </w:p>
  <w:p w:rsidR="000B4535" w:rsidRDefault="000B4535" w:rsidP="00EB2B90">
    <w:pPr>
      <w:tabs>
        <w:tab w:val="center" w:pos="4680"/>
      </w:tabs>
    </w:pPr>
    <w:r>
      <w:tab/>
      <w:t xml:space="preserve">- </w:t>
    </w:r>
    <w:r>
      <w:fldChar w:fldCharType="begin"/>
    </w:r>
    <w:r>
      <w:instrText xml:space="preserve"> PAGE   \* MERGEFORMAT </w:instrText>
    </w:r>
    <w:r>
      <w:fldChar w:fldCharType="separate"/>
    </w:r>
    <w:r w:rsidR="00A23382">
      <w:rPr>
        <w:noProof/>
      </w:rPr>
      <w:t>9</w:t>
    </w:r>
    <w:r>
      <w:rPr>
        <w:noProof/>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Default="00A23382" w:rsidP="00EB2B90">
    <w:pPr>
      <w:tabs>
        <w:tab w:val="center" w:pos="4680"/>
      </w:tabs>
    </w:pPr>
    <w:r>
      <w:pict>
        <v:rect id="_x0000_i1065" style="width:480.95pt;height:1pt" o:hralign="center" o:hrstd="t" o:hrnoshade="t" o:hr="t" fillcolor="black [3213]" stroked="f"/>
      </w:pict>
    </w:r>
  </w:p>
  <w:p w:rsidR="000B4535" w:rsidRPr="0031432F" w:rsidRDefault="000B4535" w:rsidP="00EB2B90">
    <w:pPr>
      <w:tabs>
        <w:tab w:val="center" w:pos="4680"/>
      </w:tabs>
    </w:pPr>
    <w:r>
      <w:tab/>
      <w:t xml:space="preserve">- </w:t>
    </w:r>
    <w:r>
      <w:fldChar w:fldCharType="begin"/>
    </w:r>
    <w:r>
      <w:instrText xml:space="preserve"> PAGE   \* MERGEFORMAT </w:instrText>
    </w:r>
    <w:r>
      <w:fldChar w:fldCharType="separate"/>
    </w:r>
    <w:r w:rsidR="00A23382">
      <w:rPr>
        <w:noProof/>
      </w:rPr>
      <w:t>7</w:t>
    </w:r>
    <w:r>
      <w:rPr>
        <w:noProof/>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Default="000B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0B4535" w:rsidRDefault="000B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B4535" w:rsidRDefault="000B4535">
    <w:pPr>
      <w:tabs>
        <w:tab w:val="center" w:pos="4740"/>
      </w:tabs>
    </w:pPr>
    <w:r>
      <w:tab/>
      <w:t xml:space="preserve">- </w:t>
    </w:r>
    <w:r>
      <w:pgNum/>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Default="00A233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71" style="width:480.95pt;height:1pt" o:hralign="center" o:hrstd="t" o:hrnoshade="t" o:hr="t" fillcolor="black [3213]" stroked="f"/>
      </w:pict>
    </w:r>
  </w:p>
  <w:p w:rsidR="000B4535" w:rsidRDefault="000B4535"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Default="00A23382">
    <w:pPr>
      <w:pStyle w:val="Footer"/>
      <w:rPr>
        <w:lang w:val="fr-CA"/>
      </w:rPr>
    </w:pPr>
    <w:r>
      <w:rPr>
        <w:lang w:val="fr-CA"/>
      </w:rPr>
      <w:pict>
        <v:rect id="_x0000_i1072" style="width:480.95pt;height:1pt" o:hralign="center" o:hrstd="t" o:hrnoshade="t" o:hr="t" fillcolor="black [3213]" stroked="f"/>
      </w:pict>
    </w:r>
  </w:p>
  <w:p w:rsidR="000B4535" w:rsidRDefault="000B4535" w:rsidP="00EB2B90">
    <w:pPr>
      <w:tabs>
        <w:tab w:val="center" w:pos="4680"/>
      </w:tabs>
    </w:pPr>
    <w:r>
      <w:tab/>
      <w:t xml:space="preserve">- </w:t>
    </w:r>
    <w:r>
      <w:fldChar w:fldCharType="begin"/>
    </w:r>
    <w:r>
      <w:instrText xml:space="preserve"> PAGE   \* MERGEFORMAT </w:instrText>
    </w:r>
    <w:r>
      <w:fldChar w:fldCharType="separate"/>
    </w:r>
    <w:r w:rsidR="00A23382">
      <w:rPr>
        <w:noProof/>
      </w:rPr>
      <w:t>10</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35" w:rsidRDefault="000B4535" w:rsidP="00A87207">
      <w:r>
        <w:separator/>
      </w:r>
    </w:p>
  </w:footnote>
  <w:footnote w:type="continuationSeparator" w:id="0">
    <w:p w:rsidR="000B4535" w:rsidRDefault="000B4535"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0B4535" w:rsidRPr="00D2793A">
      <w:tc>
        <w:tcPr>
          <w:tcW w:w="4200" w:type="dxa"/>
          <w:tcMar>
            <w:left w:w="0" w:type="dxa"/>
            <w:right w:w="0" w:type="dxa"/>
          </w:tcMar>
        </w:tcPr>
        <w:p w:rsidR="000B4535" w:rsidRDefault="000B453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0B4535" w:rsidRDefault="000B453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0B4535" w:rsidRDefault="000B453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0B4535" w:rsidRPr="00FF6BA5" w:rsidRDefault="000B453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0B4535" w:rsidRPr="00FF6BA5" w:rsidRDefault="000B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0B4535" w:rsidRPr="00FF6BA5" w:rsidRDefault="000B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0B4535" w:rsidRPr="00FF6BA5" w:rsidRDefault="000B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Default="000B4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0B4535" w:rsidRPr="00D2683C" w:rsidTr="00245129">
      <w:tc>
        <w:tcPr>
          <w:tcW w:w="4200" w:type="dxa"/>
          <w:tcMar>
            <w:left w:w="0" w:type="dxa"/>
            <w:right w:w="0" w:type="dxa"/>
          </w:tcMar>
        </w:tcPr>
        <w:p w:rsidR="000B4535" w:rsidRPr="00634F42" w:rsidRDefault="000B4535"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0B4535" w:rsidRPr="00755F22" w:rsidRDefault="000B4535"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0B4535" w:rsidRPr="00755F22" w:rsidRDefault="000B4535"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0B4535" w:rsidRPr="00755F22" w:rsidRDefault="000B4535"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0B4535" w:rsidRPr="00FF6BA5" w:rsidRDefault="000B4535" w:rsidP="00755F22">
    <w:pPr>
      <w:tabs>
        <w:tab w:val="left" w:pos="-1440"/>
        <w:tab w:val="left" w:pos="-720"/>
      </w:tabs>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Default="000B45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0B4535">
      <w:tc>
        <w:tcPr>
          <w:tcW w:w="4230" w:type="dxa"/>
          <w:tcMar>
            <w:left w:w="0" w:type="dxa"/>
            <w:right w:w="0" w:type="dxa"/>
          </w:tcMar>
        </w:tcPr>
        <w:p w:rsidR="000B4535" w:rsidRDefault="000B453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0B4535" w:rsidRDefault="000B453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0B4535" w:rsidRDefault="000B453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0B4535">
      <w:trPr>
        <w:gridAfter w:val="2"/>
        <w:wAfter w:w="5250" w:type="dxa"/>
      </w:trPr>
      <w:tc>
        <w:tcPr>
          <w:tcW w:w="4230" w:type="dxa"/>
          <w:tcMar>
            <w:left w:w="0" w:type="dxa"/>
            <w:right w:w="0" w:type="dxa"/>
          </w:tcMar>
        </w:tcPr>
        <w:p w:rsidR="000B4535" w:rsidRDefault="000B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0B4535" w:rsidRDefault="000B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0B4535" w:rsidRPr="00755F22" w:rsidTr="00245129">
      <w:tc>
        <w:tcPr>
          <w:tcW w:w="4230" w:type="dxa"/>
          <w:tcMar>
            <w:left w:w="0" w:type="dxa"/>
            <w:right w:w="0" w:type="dxa"/>
          </w:tcMar>
        </w:tcPr>
        <w:p w:rsidR="000B4535" w:rsidRPr="00755F22" w:rsidRDefault="000B4535" w:rsidP="00831CA9">
          <w:pPr>
            <w:keepNext/>
            <w:keepLines/>
            <w:rPr>
              <w:sz w:val="20"/>
              <w:szCs w:val="20"/>
            </w:rPr>
          </w:pPr>
          <w:r w:rsidRPr="00755F22">
            <w:rPr>
              <w:sz w:val="20"/>
              <w:szCs w:val="20"/>
            </w:rPr>
            <w:t>Motions</w:t>
          </w:r>
        </w:p>
      </w:tc>
      <w:tc>
        <w:tcPr>
          <w:tcW w:w="1170" w:type="dxa"/>
          <w:tcMar>
            <w:left w:w="0" w:type="dxa"/>
            <w:right w:w="0" w:type="dxa"/>
          </w:tcMar>
        </w:tcPr>
        <w:p w:rsidR="000B4535" w:rsidRPr="00755F22" w:rsidRDefault="000B4535" w:rsidP="00831CA9">
          <w:pPr>
            <w:keepLines/>
            <w:jc w:val="center"/>
            <w:rPr>
              <w:sz w:val="20"/>
              <w:szCs w:val="20"/>
            </w:rPr>
          </w:pPr>
        </w:p>
        <w:p w:rsidR="000B4535" w:rsidRPr="00755F22" w:rsidRDefault="000B4535" w:rsidP="00831CA9">
          <w:pPr>
            <w:keepLines/>
            <w:tabs>
              <w:tab w:val="left" w:pos="-1440"/>
              <w:tab w:val="left" w:pos="-720"/>
            </w:tabs>
            <w:jc w:val="center"/>
            <w:rPr>
              <w:sz w:val="20"/>
              <w:szCs w:val="20"/>
            </w:rPr>
          </w:pPr>
        </w:p>
      </w:tc>
      <w:tc>
        <w:tcPr>
          <w:tcW w:w="4080" w:type="dxa"/>
          <w:tcMar>
            <w:left w:w="0" w:type="dxa"/>
            <w:right w:w="0" w:type="dxa"/>
          </w:tcMar>
        </w:tcPr>
        <w:p w:rsidR="000B4535" w:rsidRPr="00BA6468" w:rsidRDefault="000B4535" w:rsidP="00BA6468">
          <w:pPr>
            <w:keepLines/>
            <w:rPr>
              <w:sz w:val="20"/>
              <w:szCs w:val="20"/>
              <w:lang w:val="fr-CA"/>
            </w:rPr>
          </w:pPr>
          <w:r w:rsidRPr="00BA6468">
            <w:rPr>
              <w:sz w:val="20"/>
              <w:szCs w:val="20"/>
              <w:lang w:val="fr-CA"/>
            </w:rPr>
            <w:t>Requêtes</w:t>
          </w:r>
        </w:p>
      </w:tc>
    </w:tr>
  </w:tbl>
  <w:p w:rsidR="000B4535" w:rsidRDefault="000B4535" w:rsidP="00831CA9">
    <w:pP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Default="000B453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0B4535" w:rsidRPr="00D2793A">
      <w:tc>
        <w:tcPr>
          <w:tcW w:w="4200" w:type="dxa"/>
          <w:tcMar>
            <w:left w:w="0" w:type="dxa"/>
            <w:right w:w="0" w:type="dxa"/>
          </w:tcMar>
        </w:tcPr>
        <w:p w:rsidR="000B4535" w:rsidRDefault="000B453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0B4535" w:rsidRDefault="000B453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0B4535" w:rsidRPr="00B01A03" w:rsidRDefault="000B453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0B4535" w:rsidRPr="00B01A03" w:rsidRDefault="000B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0B4535" w:rsidRPr="00B01A03" w:rsidRDefault="000B4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0B4535" w:rsidRPr="00D2793A" w:rsidTr="00245129">
      <w:tc>
        <w:tcPr>
          <w:tcW w:w="4200" w:type="dxa"/>
          <w:tcMar>
            <w:left w:w="0" w:type="dxa"/>
            <w:right w:w="0" w:type="dxa"/>
          </w:tcMar>
        </w:tcPr>
        <w:p w:rsidR="000B4535" w:rsidRPr="00F40249" w:rsidRDefault="000B4535"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0B4535" w:rsidRDefault="000B4535" w:rsidP="00102926">
          <w:pPr>
            <w:keepNext/>
            <w:keepLines/>
            <w:tabs>
              <w:tab w:val="left" w:pos="-1440"/>
              <w:tab w:val="left" w:pos="-720"/>
            </w:tabs>
            <w:jc w:val="center"/>
            <w:rPr>
              <w:sz w:val="20"/>
              <w:szCs w:val="20"/>
            </w:rPr>
          </w:pPr>
        </w:p>
        <w:p w:rsidR="000B4535" w:rsidRDefault="000B4535" w:rsidP="00102926">
          <w:pPr>
            <w:keepNext/>
            <w:keepLines/>
            <w:tabs>
              <w:tab w:val="left" w:pos="-1440"/>
              <w:tab w:val="left" w:pos="-720"/>
            </w:tabs>
            <w:jc w:val="center"/>
            <w:rPr>
              <w:sz w:val="20"/>
              <w:szCs w:val="20"/>
            </w:rPr>
          </w:pPr>
        </w:p>
        <w:p w:rsidR="000B4535" w:rsidRPr="00F40249" w:rsidRDefault="000B4535" w:rsidP="00102926">
          <w:pPr>
            <w:keepNext/>
            <w:keepLines/>
            <w:tabs>
              <w:tab w:val="left" w:pos="-1440"/>
              <w:tab w:val="left" w:pos="-720"/>
            </w:tabs>
            <w:jc w:val="center"/>
            <w:rPr>
              <w:sz w:val="20"/>
              <w:szCs w:val="20"/>
            </w:rPr>
          </w:pPr>
        </w:p>
      </w:tc>
      <w:tc>
        <w:tcPr>
          <w:tcW w:w="4230" w:type="dxa"/>
          <w:tcMar>
            <w:left w:w="0" w:type="dxa"/>
            <w:right w:w="0" w:type="dxa"/>
          </w:tcMar>
        </w:tcPr>
        <w:p w:rsidR="000B4535" w:rsidRPr="00F40249" w:rsidRDefault="000B4535"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0B4535" w:rsidRPr="00B01A03" w:rsidRDefault="000B4535"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5" w:rsidRDefault="000B4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204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F7"/>
    <w:rsid w:val="00002704"/>
    <w:rsid w:val="00016B68"/>
    <w:rsid w:val="00020DC3"/>
    <w:rsid w:val="0003223B"/>
    <w:rsid w:val="000327B2"/>
    <w:rsid w:val="00033A57"/>
    <w:rsid w:val="0004528B"/>
    <w:rsid w:val="00045DE3"/>
    <w:rsid w:val="00064FBA"/>
    <w:rsid w:val="00067305"/>
    <w:rsid w:val="00091BA6"/>
    <w:rsid w:val="00091FA6"/>
    <w:rsid w:val="0009686C"/>
    <w:rsid w:val="00096BD9"/>
    <w:rsid w:val="000B3C9A"/>
    <w:rsid w:val="000B40A2"/>
    <w:rsid w:val="000B4535"/>
    <w:rsid w:val="000B4624"/>
    <w:rsid w:val="000C0ACD"/>
    <w:rsid w:val="000C0D2A"/>
    <w:rsid w:val="000C1D9D"/>
    <w:rsid w:val="000C5CE8"/>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E76"/>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5129"/>
    <w:rsid w:val="00245879"/>
    <w:rsid w:val="00253236"/>
    <w:rsid w:val="002534CE"/>
    <w:rsid w:val="00267FD5"/>
    <w:rsid w:val="00271E1E"/>
    <w:rsid w:val="00274D34"/>
    <w:rsid w:val="00276C52"/>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308AA"/>
    <w:rsid w:val="00331B52"/>
    <w:rsid w:val="00333403"/>
    <w:rsid w:val="003359D3"/>
    <w:rsid w:val="00345645"/>
    <w:rsid w:val="0034657E"/>
    <w:rsid w:val="00351475"/>
    <w:rsid w:val="00355967"/>
    <w:rsid w:val="00382C47"/>
    <w:rsid w:val="00384384"/>
    <w:rsid w:val="003866AE"/>
    <w:rsid w:val="00393AB2"/>
    <w:rsid w:val="003B3977"/>
    <w:rsid w:val="003C291C"/>
    <w:rsid w:val="003D49B1"/>
    <w:rsid w:val="003E1D4C"/>
    <w:rsid w:val="003E5F3E"/>
    <w:rsid w:val="003F414B"/>
    <w:rsid w:val="00407C5D"/>
    <w:rsid w:val="0041245B"/>
    <w:rsid w:val="004137A0"/>
    <w:rsid w:val="00422D9A"/>
    <w:rsid w:val="004317DE"/>
    <w:rsid w:val="00432989"/>
    <w:rsid w:val="004342A0"/>
    <w:rsid w:val="00440E24"/>
    <w:rsid w:val="00447103"/>
    <w:rsid w:val="0044776A"/>
    <w:rsid w:val="00460AFC"/>
    <w:rsid w:val="0047471F"/>
    <w:rsid w:val="00496AE0"/>
    <w:rsid w:val="004B195E"/>
    <w:rsid w:val="004B2E86"/>
    <w:rsid w:val="004B66B4"/>
    <w:rsid w:val="004B7F60"/>
    <w:rsid w:val="004C1AAC"/>
    <w:rsid w:val="004C1C35"/>
    <w:rsid w:val="004E1E0A"/>
    <w:rsid w:val="004E44A7"/>
    <w:rsid w:val="004E5524"/>
    <w:rsid w:val="004F090E"/>
    <w:rsid w:val="00501F3C"/>
    <w:rsid w:val="00506BE1"/>
    <w:rsid w:val="00520F9E"/>
    <w:rsid w:val="0052229C"/>
    <w:rsid w:val="00527CC7"/>
    <w:rsid w:val="00560DF1"/>
    <w:rsid w:val="0056248C"/>
    <w:rsid w:val="00564B09"/>
    <w:rsid w:val="0056581A"/>
    <w:rsid w:val="00567602"/>
    <w:rsid w:val="00567680"/>
    <w:rsid w:val="00571CA4"/>
    <w:rsid w:val="00573AF2"/>
    <w:rsid w:val="00582136"/>
    <w:rsid w:val="005967EF"/>
    <w:rsid w:val="005B2EA9"/>
    <w:rsid w:val="005B6826"/>
    <w:rsid w:val="005C6840"/>
    <w:rsid w:val="005F1ED8"/>
    <w:rsid w:val="005F263E"/>
    <w:rsid w:val="00600252"/>
    <w:rsid w:val="00612A40"/>
    <w:rsid w:val="0062714A"/>
    <w:rsid w:val="00634F42"/>
    <w:rsid w:val="00645947"/>
    <w:rsid w:val="006615F4"/>
    <w:rsid w:val="00675479"/>
    <w:rsid w:val="00680709"/>
    <w:rsid w:val="00681F61"/>
    <w:rsid w:val="00684F23"/>
    <w:rsid w:val="00691D1D"/>
    <w:rsid w:val="00693C38"/>
    <w:rsid w:val="00696BF9"/>
    <w:rsid w:val="00697C62"/>
    <w:rsid w:val="006A329B"/>
    <w:rsid w:val="006A7EB8"/>
    <w:rsid w:val="006B6926"/>
    <w:rsid w:val="006C221F"/>
    <w:rsid w:val="006C3F47"/>
    <w:rsid w:val="006C5F7A"/>
    <w:rsid w:val="006E06AF"/>
    <w:rsid w:val="006E1CB0"/>
    <w:rsid w:val="006F350F"/>
    <w:rsid w:val="00717608"/>
    <w:rsid w:val="00727571"/>
    <w:rsid w:val="00732DB7"/>
    <w:rsid w:val="0074238B"/>
    <w:rsid w:val="00745EF7"/>
    <w:rsid w:val="00751643"/>
    <w:rsid w:val="00755F22"/>
    <w:rsid w:val="00766E4A"/>
    <w:rsid w:val="007820CE"/>
    <w:rsid w:val="00782AE4"/>
    <w:rsid w:val="0079724F"/>
    <w:rsid w:val="007A3EAE"/>
    <w:rsid w:val="007B09D6"/>
    <w:rsid w:val="007B4DFF"/>
    <w:rsid w:val="007C04FC"/>
    <w:rsid w:val="007C38F7"/>
    <w:rsid w:val="007C3D5F"/>
    <w:rsid w:val="007C3DB0"/>
    <w:rsid w:val="007C426E"/>
    <w:rsid w:val="007C47C2"/>
    <w:rsid w:val="007D3E0F"/>
    <w:rsid w:val="007E4282"/>
    <w:rsid w:val="007F387B"/>
    <w:rsid w:val="00802863"/>
    <w:rsid w:val="008112A9"/>
    <w:rsid w:val="0081473A"/>
    <w:rsid w:val="00815B3C"/>
    <w:rsid w:val="0081610A"/>
    <w:rsid w:val="008277C4"/>
    <w:rsid w:val="0082783A"/>
    <w:rsid w:val="00831CA9"/>
    <w:rsid w:val="00842B6B"/>
    <w:rsid w:val="00844E40"/>
    <w:rsid w:val="00845C2A"/>
    <w:rsid w:val="00850E1F"/>
    <w:rsid w:val="0085476B"/>
    <w:rsid w:val="00861034"/>
    <w:rsid w:val="0086340B"/>
    <w:rsid w:val="008706C8"/>
    <w:rsid w:val="00873743"/>
    <w:rsid w:val="00877592"/>
    <w:rsid w:val="008859F1"/>
    <w:rsid w:val="008902B1"/>
    <w:rsid w:val="00890FEB"/>
    <w:rsid w:val="00893449"/>
    <w:rsid w:val="00895E7E"/>
    <w:rsid w:val="008961FD"/>
    <w:rsid w:val="008A3BCF"/>
    <w:rsid w:val="008A5C1A"/>
    <w:rsid w:val="008C2318"/>
    <w:rsid w:val="008C2D9E"/>
    <w:rsid w:val="008D085E"/>
    <w:rsid w:val="008D292F"/>
    <w:rsid w:val="008D3D4B"/>
    <w:rsid w:val="008E03DC"/>
    <w:rsid w:val="008E30C2"/>
    <w:rsid w:val="00902E51"/>
    <w:rsid w:val="009058B9"/>
    <w:rsid w:val="00924065"/>
    <w:rsid w:val="00930B8A"/>
    <w:rsid w:val="00930D68"/>
    <w:rsid w:val="00932DB4"/>
    <w:rsid w:val="00941A4B"/>
    <w:rsid w:val="00946242"/>
    <w:rsid w:val="0095096B"/>
    <w:rsid w:val="00955827"/>
    <w:rsid w:val="00957556"/>
    <w:rsid w:val="00960E85"/>
    <w:rsid w:val="00961C83"/>
    <w:rsid w:val="00970CD3"/>
    <w:rsid w:val="009723FA"/>
    <w:rsid w:val="00984546"/>
    <w:rsid w:val="00987E32"/>
    <w:rsid w:val="009901B6"/>
    <w:rsid w:val="009921E9"/>
    <w:rsid w:val="00996510"/>
    <w:rsid w:val="009A75CF"/>
    <w:rsid w:val="009B36BA"/>
    <w:rsid w:val="009C4E23"/>
    <w:rsid w:val="009D1F15"/>
    <w:rsid w:val="009D4890"/>
    <w:rsid w:val="009D555E"/>
    <w:rsid w:val="009E100A"/>
    <w:rsid w:val="009F3024"/>
    <w:rsid w:val="009F39BA"/>
    <w:rsid w:val="00A0355E"/>
    <w:rsid w:val="00A067B5"/>
    <w:rsid w:val="00A23382"/>
    <w:rsid w:val="00A234E1"/>
    <w:rsid w:val="00A242F4"/>
    <w:rsid w:val="00A375D1"/>
    <w:rsid w:val="00A41D2B"/>
    <w:rsid w:val="00A51D10"/>
    <w:rsid w:val="00A52A83"/>
    <w:rsid w:val="00A61252"/>
    <w:rsid w:val="00A6552C"/>
    <w:rsid w:val="00A744AF"/>
    <w:rsid w:val="00A760C7"/>
    <w:rsid w:val="00A81DCF"/>
    <w:rsid w:val="00A82C7B"/>
    <w:rsid w:val="00A831A4"/>
    <w:rsid w:val="00A87207"/>
    <w:rsid w:val="00A935AA"/>
    <w:rsid w:val="00A956D3"/>
    <w:rsid w:val="00AB2201"/>
    <w:rsid w:val="00AB2F8C"/>
    <w:rsid w:val="00AC3CBD"/>
    <w:rsid w:val="00AD1D34"/>
    <w:rsid w:val="00AD3259"/>
    <w:rsid w:val="00AE043C"/>
    <w:rsid w:val="00AF08EB"/>
    <w:rsid w:val="00AF1715"/>
    <w:rsid w:val="00AF3904"/>
    <w:rsid w:val="00B00A0B"/>
    <w:rsid w:val="00B010C0"/>
    <w:rsid w:val="00B15CBE"/>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C680C"/>
    <w:rsid w:val="00BD06DA"/>
    <w:rsid w:val="00BD264E"/>
    <w:rsid w:val="00BD4217"/>
    <w:rsid w:val="00BE34F7"/>
    <w:rsid w:val="00BE5B3E"/>
    <w:rsid w:val="00BF25F3"/>
    <w:rsid w:val="00C01FCB"/>
    <w:rsid w:val="00C1697B"/>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B7AE7"/>
    <w:rsid w:val="00CC4D84"/>
    <w:rsid w:val="00CD4EFE"/>
    <w:rsid w:val="00CE198A"/>
    <w:rsid w:val="00CF08C8"/>
    <w:rsid w:val="00D004FC"/>
    <w:rsid w:val="00D04577"/>
    <w:rsid w:val="00D22BC0"/>
    <w:rsid w:val="00D2683C"/>
    <w:rsid w:val="00D2793A"/>
    <w:rsid w:val="00D31809"/>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1F0C"/>
    <w:rsid w:val="00DE349D"/>
    <w:rsid w:val="00DE7417"/>
    <w:rsid w:val="00E0270C"/>
    <w:rsid w:val="00E049C0"/>
    <w:rsid w:val="00E06DFA"/>
    <w:rsid w:val="00E06F20"/>
    <w:rsid w:val="00E20A0A"/>
    <w:rsid w:val="00E240C2"/>
    <w:rsid w:val="00E356C7"/>
    <w:rsid w:val="00E414CA"/>
    <w:rsid w:val="00E41A5A"/>
    <w:rsid w:val="00E45FE4"/>
    <w:rsid w:val="00E6437E"/>
    <w:rsid w:val="00E64FA7"/>
    <w:rsid w:val="00E65960"/>
    <w:rsid w:val="00E664DA"/>
    <w:rsid w:val="00E670F7"/>
    <w:rsid w:val="00E71254"/>
    <w:rsid w:val="00E75CFD"/>
    <w:rsid w:val="00E770CB"/>
    <w:rsid w:val="00E80D6C"/>
    <w:rsid w:val="00E8544A"/>
    <w:rsid w:val="00E8642A"/>
    <w:rsid w:val="00E903A1"/>
    <w:rsid w:val="00E92A2D"/>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63FF"/>
    <w:rsid w:val="00F718FA"/>
    <w:rsid w:val="00F75954"/>
    <w:rsid w:val="00F761A3"/>
    <w:rsid w:val="00F77B6C"/>
    <w:rsid w:val="00F86535"/>
    <w:rsid w:val="00F9272D"/>
    <w:rsid w:val="00F9518C"/>
    <w:rsid w:val="00FA316E"/>
    <w:rsid w:val="00FA3373"/>
    <w:rsid w:val="00FA59EF"/>
    <w:rsid w:val="00FA7B17"/>
    <w:rsid w:val="00FB19A2"/>
    <w:rsid w:val="00FB1DB6"/>
    <w:rsid w:val="00FB4A2E"/>
    <w:rsid w:val="00FC7090"/>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paragraph" w:customStyle="1" w:styleId="SCCSsoc">
    <w:name w:val="SCC.Ssoc"/>
    <w:basedOn w:val="Normal"/>
    <w:next w:val="Normal"/>
    <w:link w:val="SCCSsocChar0"/>
    <w:rsid w:val="000B4535"/>
    <w:rPr>
      <w:b/>
      <w:smallCaps/>
      <w:szCs w:val="24"/>
    </w:rPr>
  </w:style>
  <w:style w:type="character" w:customStyle="1" w:styleId="SCCSsocChar0">
    <w:name w:val="SCC.Ssoc Char"/>
    <w:basedOn w:val="DefaultParagraphFont"/>
    <w:link w:val="SCCSsoc"/>
    <w:rsid w:val="000B4535"/>
    <w:rPr>
      <w:b/>
      <w:smallCaps/>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1209" TargetMode="External"/><Relationship Id="rId18" Type="http://schemas.openxmlformats.org/officeDocument/2006/relationships/hyperlink" Target="https://www.scc-csc.ca/case-dossier/info/sum-som-eng.aspx?cas=41279" TargetMode="External"/><Relationship Id="rId26" Type="http://schemas.openxmlformats.org/officeDocument/2006/relationships/hyperlink" Target="https://www.scc-csc.ca/case-dossier/info/sum-som-eng.aspx?cas=41326" TargetMode="External"/><Relationship Id="rId39" Type="http://schemas.openxmlformats.org/officeDocument/2006/relationships/hyperlink" Target="https://www.scc-csc.ca/case-dossier/info/sum-som-fra.aspx?cas=41305" TargetMode="External"/><Relationship Id="rId21" Type="http://schemas.openxmlformats.org/officeDocument/2006/relationships/hyperlink" Target="https://www.scc-csc.ca/case-dossier/info/sum-som-eng.aspx?cas=41244" TargetMode="External"/><Relationship Id="rId34" Type="http://schemas.openxmlformats.org/officeDocument/2006/relationships/hyperlink" Target="https://www.scc-csc.ca/case-dossier/info/sum-som-fra.aspx?cas=41119" TargetMode="External"/><Relationship Id="rId42" Type="http://schemas.openxmlformats.org/officeDocument/2006/relationships/hyperlink" Target="https://www.scc-csc.ca/case-dossier/info/sum-som-fra.aspx?cas=41202"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footer" Target="footer4.xml"/><Relationship Id="rId63" Type="http://schemas.openxmlformats.org/officeDocument/2006/relationships/header" Target="header9.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c-csc.ca/case-dossier/info/sum-som-eng.aspx?cas=41187" TargetMode="External"/><Relationship Id="rId29" Type="http://schemas.openxmlformats.org/officeDocument/2006/relationships/hyperlink" Target="https://www.scc-csc.ca/case-dossier/info/sum-som-eng.aspx?cas=41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 TargetMode="External"/><Relationship Id="rId24" Type="http://schemas.openxmlformats.org/officeDocument/2006/relationships/hyperlink" Target="https://www.scc-csc.ca/case-dossier/info/sum-som-eng.aspx?cas=41301" TargetMode="External"/><Relationship Id="rId32" Type="http://schemas.openxmlformats.org/officeDocument/2006/relationships/hyperlink" Target="https://www.scc-csc.ca/case-dossier/info/sum-som-fra.aspx?cas=41120" TargetMode="External"/><Relationship Id="rId37" Type="http://schemas.openxmlformats.org/officeDocument/2006/relationships/hyperlink" Target="https://www.scc-csc.ca/case-dossier/info/sum-som-fra.aspx?cas=41192" TargetMode="External"/><Relationship Id="rId40" Type="http://schemas.openxmlformats.org/officeDocument/2006/relationships/hyperlink" Target="https://www.scc-csc.ca/case-dossier/info/sum-som-fra.aspx?cas=41216" TargetMode="External"/><Relationship Id="rId45" Type="http://schemas.openxmlformats.org/officeDocument/2006/relationships/hyperlink" Target="https://www.scc-csc.ca/case-dossier/info/sum-som-fra.aspx?cas=41174" TargetMode="External"/><Relationship Id="rId53" Type="http://schemas.openxmlformats.org/officeDocument/2006/relationships/header" Target="header4.xml"/><Relationship Id="rId58" Type="http://schemas.openxmlformats.org/officeDocument/2006/relationships/footer" Target="footer6.xml"/><Relationship Id="rId66"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www.scc-csc.ca/case-dossier/info/sum-som-eng.aspx?cas=41120" TargetMode="External"/><Relationship Id="rId23" Type="http://schemas.openxmlformats.org/officeDocument/2006/relationships/hyperlink" Target="https://www.scc-csc.ca/case-dossier/info/sum-som-eng.aspx?cas=41216" TargetMode="External"/><Relationship Id="rId28" Type="http://schemas.openxmlformats.org/officeDocument/2006/relationships/hyperlink" Target="https://www.scc-csc.ca/case-dossier/info/sum-som-eng.aspx?cas=41174" TargetMode="External"/><Relationship Id="rId36" Type="http://schemas.openxmlformats.org/officeDocument/2006/relationships/hyperlink" Target="https://www.scc-csc.ca/case-dossier/info/sum-som-fra.aspx?cas=41191" TargetMode="External"/><Relationship Id="rId49" Type="http://schemas.openxmlformats.org/officeDocument/2006/relationships/footer" Target="footer1.xml"/><Relationship Id="rId57" Type="http://schemas.openxmlformats.org/officeDocument/2006/relationships/header" Target="header6.xml"/><Relationship Id="rId61" Type="http://schemas.openxmlformats.org/officeDocument/2006/relationships/footer" Target="footer7.xml"/><Relationship Id="rId10" Type="http://schemas.openxmlformats.org/officeDocument/2006/relationships/hyperlink" Target="https://www.scc-csc.ca/case-dossier/rec-doc/request-demande-fra.aspx" TargetMode="External"/><Relationship Id="rId19" Type="http://schemas.openxmlformats.org/officeDocument/2006/relationships/hyperlink" Target="https://www.scc-csc.ca/case-dossier/info/sum-som-eng.aspx?cas=41191" TargetMode="External"/><Relationship Id="rId31" Type="http://schemas.openxmlformats.org/officeDocument/2006/relationships/hyperlink" Target="https://www.scc-csc.ca/case-dossier/info/sum-som-fra.aspx?cas=41133" TargetMode="External"/><Relationship Id="rId44" Type="http://schemas.openxmlformats.org/officeDocument/2006/relationships/hyperlink" Target="https://www.scc-csc.ca/case-dossier/info/sum-som-fra.aspx?cas=41327" TargetMode="External"/><Relationship Id="rId52" Type="http://schemas.openxmlformats.org/officeDocument/2006/relationships/footer" Target="footer3.xml"/><Relationship Id="rId60" Type="http://schemas.openxmlformats.org/officeDocument/2006/relationships/header" Target="header8.xml"/><Relationship Id="rId65"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hyperlink" Target="https://www.scc-csc.ca/case-dossier/info/sum-som-eng.aspx?cas=41133" TargetMode="External"/><Relationship Id="rId22" Type="http://schemas.openxmlformats.org/officeDocument/2006/relationships/hyperlink" Target="https://www.scc-csc.ca/case-dossier/info/sum-som-eng.aspx?cas=41305" TargetMode="External"/><Relationship Id="rId27" Type="http://schemas.openxmlformats.org/officeDocument/2006/relationships/hyperlink" Target="https://www.scc-csc.ca/case-dossier/info/sum-som-eng.aspx?cas=41327" TargetMode="External"/><Relationship Id="rId30" Type="http://schemas.openxmlformats.org/officeDocument/2006/relationships/hyperlink" Target="https://www.scc-csc.ca/case-dossier/info/sum-som-fra.aspx?cas=41209" TargetMode="External"/><Relationship Id="rId35" Type="http://schemas.openxmlformats.org/officeDocument/2006/relationships/hyperlink" Target="https://www.scc-csc.ca/case-dossier/info/sum-som-fra.aspx?cas=41279" TargetMode="External"/><Relationship Id="rId43" Type="http://schemas.openxmlformats.org/officeDocument/2006/relationships/hyperlink" Target="https://www.scc-csc.ca/case-dossier/info/sum-som-fra.aspx?cas=41326" TargetMode="External"/><Relationship Id="rId48" Type="http://schemas.openxmlformats.org/officeDocument/2006/relationships/header" Target="header2.xml"/><Relationship Id="rId56" Type="http://schemas.openxmlformats.org/officeDocument/2006/relationships/footer" Target="footer5.xml"/><Relationship Id="rId64" Type="http://schemas.openxmlformats.org/officeDocument/2006/relationships/footer" Target="footer9.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119" TargetMode="External"/><Relationship Id="rId25" Type="http://schemas.openxmlformats.org/officeDocument/2006/relationships/hyperlink" Target="https://www.scc-csc.ca/case-dossier/info/sum-som-eng.aspx?cas=41202" TargetMode="External"/><Relationship Id="rId33" Type="http://schemas.openxmlformats.org/officeDocument/2006/relationships/hyperlink" Target="https://www.scc-csc.ca/case-dossier/info/sum-som-fra.aspx?cas=41187" TargetMode="External"/><Relationship Id="rId38" Type="http://schemas.openxmlformats.org/officeDocument/2006/relationships/hyperlink" Target="https://www.scc-csc.ca/case-dossier/info/sum-som-fra.aspx?cas=41244" TargetMode="External"/><Relationship Id="rId46" Type="http://schemas.openxmlformats.org/officeDocument/2006/relationships/hyperlink" Target="https://www.scc-csc.ca/case-dossier/info/sum-som-fra.aspx?cas=41263" TargetMode="External"/><Relationship Id="rId59" Type="http://schemas.openxmlformats.org/officeDocument/2006/relationships/header" Target="header7.xml"/><Relationship Id="rId67" Type="http://schemas.openxmlformats.org/officeDocument/2006/relationships/fontTable" Target="fontTable.xml"/><Relationship Id="rId20" Type="http://schemas.openxmlformats.org/officeDocument/2006/relationships/hyperlink" Target="https://www.scc-csc.ca/case-dossier/info/sum-som-eng.aspx?cas=41192" TargetMode="External"/><Relationship Id="rId41" Type="http://schemas.openxmlformats.org/officeDocument/2006/relationships/hyperlink" Target="https://www.scc-csc.ca/case-dossier/info/sum-som-fra.aspx?cas=41301" TargetMode="External"/><Relationship Id="rId54" Type="http://schemas.openxmlformats.org/officeDocument/2006/relationships/header" Target="header5.xml"/><Relationship Id="rId6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FC4A2-F3E6-4E93-8745-9344A4FC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13</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2024-07-29T18:17:00Z</dcterms:created>
  <dcterms:modified xsi:type="dcterms:W3CDTF">2024-09-23T14:03:00Z</dcterms:modified>
</cp:coreProperties>
</file>