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3C" w:rsidRDefault="00E6133C">
      <w:pPr>
        <w:jc w:val="both"/>
      </w:pPr>
      <w:r>
        <w:rPr>
          <w:b/>
          <w:bCs/>
        </w:rPr>
        <w:t xml:space="preserve">SUPREME COURT OF CANADA </w:t>
      </w:r>
      <w:r>
        <w:rPr>
          <w:b/>
          <w:bCs/>
        </w:rPr>
        <w:noBreakHyphen/>
      </w:r>
      <w:r>
        <w:rPr>
          <w:b/>
          <w:bCs/>
        </w:rPr>
        <w:noBreakHyphen/>
        <w:t xml:space="preserve"> JUDGMENT TO BE RENDERED IN APPEAL</w:t>
      </w:r>
    </w:p>
    <w:p w:rsidR="00E6133C" w:rsidRPr="000C11A9" w:rsidRDefault="00E6133C">
      <w:pPr>
        <w:jc w:val="both"/>
        <w:rPr>
          <w:lang w:val="fr-CA"/>
        </w:rPr>
      </w:pPr>
      <w:r>
        <w:t>OTTAWA</w:t>
      </w:r>
      <w:proofErr w:type="gramStart"/>
      <w:r>
        <w:t>,  2008</w:t>
      </w:r>
      <w:proofErr w:type="gramEnd"/>
      <w:r>
        <w:t xml:space="preserve">-11-07.  THE  SUPREME  COURT  OF  CANADA  ANNOUNCED  TODAY  THAT  JUDGMENT  IN  THE  FOLLOWING  APPEAL  WILL  BE  DELIVERED  AT  9:45  A.M.  </w:t>
      </w:r>
      <w:proofErr w:type="gramStart"/>
      <w:r w:rsidRPr="000C11A9">
        <w:rPr>
          <w:lang w:val="fr-CA"/>
        </w:rPr>
        <w:t xml:space="preserve">EST  ON  </w:t>
      </w:r>
      <w:r w:rsidRPr="000C11A9">
        <w:rPr>
          <w:b/>
          <w:bCs/>
          <w:lang w:val="fr-CA"/>
        </w:rPr>
        <w:t>FRIDAY,  NOVEMBER  14,  2008</w:t>
      </w:r>
      <w:proofErr w:type="gramEnd"/>
      <w:r w:rsidRPr="000C11A9">
        <w:rPr>
          <w:lang w:val="fr-CA"/>
        </w:rPr>
        <w:t>.</w:t>
      </w:r>
    </w:p>
    <w:p w:rsidR="00E6133C" w:rsidRPr="000C11A9" w:rsidRDefault="00E6133C">
      <w:pPr>
        <w:jc w:val="both"/>
        <w:rPr>
          <w:lang w:val="fr-CA"/>
        </w:rPr>
      </w:pPr>
      <w:r w:rsidRPr="000C11A9">
        <w:rPr>
          <w:lang w:val="fr-CA"/>
        </w:rPr>
        <w:t>FROM</w:t>
      </w:r>
      <w:proofErr w:type="gramStart"/>
      <w:r w:rsidRPr="000C11A9">
        <w:rPr>
          <w:lang w:val="fr-CA"/>
        </w:rPr>
        <w:t>:  SUPREME</w:t>
      </w:r>
      <w:proofErr w:type="gramEnd"/>
      <w:r w:rsidRPr="000C11A9">
        <w:rPr>
          <w:lang w:val="fr-CA"/>
        </w:rPr>
        <w:t xml:space="preserve">  COURT  OF  CANADA  (613) 995</w:t>
      </w:r>
      <w:r w:rsidRPr="000C11A9">
        <w:rPr>
          <w:lang w:val="fr-CA"/>
        </w:rPr>
        <w:noBreakHyphen/>
        <w:t>4330</w:t>
      </w:r>
    </w:p>
    <w:p w:rsidR="00E6133C" w:rsidRPr="000C11A9" w:rsidRDefault="00E6133C">
      <w:pPr>
        <w:jc w:val="both"/>
        <w:rPr>
          <w:lang w:val="fr-CA"/>
        </w:rPr>
      </w:pPr>
    </w:p>
    <w:p w:rsidR="00E6133C" w:rsidRPr="000C11A9" w:rsidRDefault="00E6133C">
      <w:pPr>
        <w:jc w:val="both"/>
        <w:rPr>
          <w:lang w:val="fr-CA"/>
        </w:rPr>
      </w:pPr>
      <w:r w:rsidRPr="000C11A9">
        <w:rPr>
          <w:b/>
          <w:bCs/>
          <w:lang w:val="fr-CA"/>
        </w:rPr>
        <w:t xml:space="preserve">COUR SUPRÊME DU CANADA </w:t>
      </w:r>
      <w:r w:rsidRPr="000C11A9">
        <w:rPr>
          <w:b/>
          <w:bCs/>
          <w:lang w:val="fr-CA"/>
        </w:rPr>
        <w:noBreakHyphen/>
      </w:r>
      <w:r w:rsidRPr="000C11A9">
        <w:rPr>
          <w:b/>
          <w:bCs/>
          <w:lang w:val="fr-CA"/>
        </w:rPr>
        <w:noBreakHyphen/>
        <w:t xml:space="preserve"> PROCHAIN JUGEMENT SUR APPEL</w:t>
      </w:r>
    </w:p>
    <w:p w:rsidR="00E6133C" w:rsidRPr="000C11A9" w:rsidRDefault="00E6133C">
      <w:pPr>
        <w:jc w:val="both"/>
        <w:rPr>
          <w:lang w:val="fr-CA"/>
        </w:rPr>
      </w:pPr>
      <w:r w:rsidRPr="000C11A9">
        <w:rPr>
          <w:lang w:val="fr-CA"/>
        </w:rPr>
        <w:t>OTTAWA,  2008-11-07.  LA  COUR  SUPRÊME  DU  CANADA  A  ANNONCÉ  AUJOURD</w:t>
      </w:r>
      <w:r>
        <w:rPr>
          <w:lang w:val="fr-CA"/>
        </w:rPr>
        <w:t>’</w:t>
      </w:r>
      <w:r w:rsidRPr="000C11A9">
        <w:rPr>
          <w:lang w:val="fr-CA"/>
        </w:rPr>
        <w:t xml:space="preserve">HUI  QUE  JUGEMENT  SERA  RENDU  DANS  L'APPEL  SUIVANT  </w:t>
      </w:r>
      <w:r w:rsidRPr="000C11A9">
        <w:rPr>
          <w:b/>
          <w:bCs/>
          <w:lang w:val="fr-CA"/>
        </w:rPr>
        <w:t>LE  VENDREDI  14  NOVEMBRE  2008</w:t>
      </w:r>
      <w:r w:rsidRPr="000C11A9">
        <w:rPr>
          <w:lang w:val="fr-CA"/>
        </w:rPr>
        <w:t>,  À  9 h 45  HNE.</w:t>
      </w:r>
    </w:p>
    <w:p w:rsidR="00E6133C" w:rsidRPr="000C11A9" w:rsidRDefault="00E6133C">
      <w:pPr>
        <w:jc w:val="both"/>
        <w:rPr>
          <w:lang w:val="fr-CA"/>
        </w:rPr>
      </w:pPr>
      <w:r w:rsidRPr="000C11A9">
        <w:rPr>
          <w:lang w:val="fr-CA"/>
        </w:rPr>
        <w:t>SOURCE</w:t>
      </w:r>
      <w:proofErr w:type="gramStart"/>
      <w:r w:rsidRPr="000C11A9">
        <w:rPr>
          <w:lang w:val="fr-CA"/>
        </w:rPr>
        <w:t>:  COUR</w:t>
      </w:r>
      <w:proofErr w:type="gramEnd"/>
      <w:r w:rsidRPr="000C11A9">
        <w:rPr>
          <w:lang w:val="fr-CA"/>
        </w:rPr>
        <w:t xml:space="preserve">  SUPRÊME  DU  CANADA  (613) 995</w:t>
      </w:r>
      <w:r w:rsidRPr="000C11A9">
        <w:rPr>
          <w:lang w:val="fr-CA"/>
        </w:rPr>
        <w:noBreakHyphen/>
        <w:t>4330</w:t>
      </w:r>
    </w:p>
    <w:p w:rsidR="00E6133C" w:rsidRPr="000C11A9" w:rsidRDefault="00E6133C">
      <w:pPr>
        <w:jc w:val="both"/>
        <w:rPr>
          <w:lang w:val="fr-CA"/>
        </w:rPr>
      </w:pPr>
    </w:p>
    <w:p w:rsidR="00E6133C" w:rsidRPr="000C11A9" w:rsidRDefault="00E6133C">
      <w:pPr>
        <w:jc w:val="both"/>
        <w:rPr>
          <w:lang w:val="fr-CA"/>
        </w:rPr>
      </w:pPr>
      <w:proofErr w:type="spellStart"/>
      <w:r w:rsidRPr="000C11A9">
        <w:rPr>
          <w:lang w:val="fr-CA"/>
        </w:rPr>
        <w:t>Comments</w:t>
      </w:r>
      <w:proofErr w:type="spellEnd"/>
      <w:r w:rsidRPr="000C11A9">
        <w:rPr>
          <w:lang w:val="fr-CA"/>
        </w:rPr>
        <w:t xml:space="preserve"> / Commentaires : </w:t>
      </w:r>
      <w:r w:rsidRPr="000C11A9">
        <w:rPr>
          <w:rStyle w:val="Hypertext"/>
          <w:lang w:val="fr-CA"/>
        </w:rPr>
        <w:t>comments@scc-csc.gc.ca</w:t>
      </w:r>
      <w:r w:rsidRPr="000C11A9">
        <w:rPr>
          <w:lang w:val="fr-CA"/>
        </w:rPr>
        <w:t xml:space="preserve"> </w:t>
      </w:r>
    </w:p>
    <w:p w:rsidR="00E6133C" w:rsidRPr="000C11A9" w:rsidRDefault="00E6133C">
      <w:pPr>
        <w:jc w:val="both"/>
        <w:rPr>
          <w:lang w:val="fr-CA"/>
        </w:rPr>
      </w:pPr>
    </w:p>
    <w:p w:rsidR="00E6133C" w:rsidRPr="000C11A9" w:rsidRDefault="00E6133C">
      <w:pPr>
        <w:jc w:val="both"/>
        <w:rPr>
          <w:lang w:val="fr-CA"/>
        </w:rPr>
      </w:pPr>
    </w:p>
    <w:p w:rsidR="00E6133C" w:rsidRDefault="00E6133C">
      <w:pPr>
        <w:jc w:val="both"/>
        <w:rPr>
          <w:lang w:val="en-GB"/>
        </w:rPr>
      </w:pPr>
      <w:r>
        <w:rPr>
          <w:i/>
          <w:iCs/>
          <w:lang w:val="en-GB"/>
        </w:rPr>
        <w:t xml:space="preserve">Her Majesty the Queen v. Rathiskumar Mahalingan </w:t>
      </w:r>
      <w:r>
        <w:rPr>
          <w:lang w:val="en-GB"/>
        </w:rPr>
        <w:t>(Ont.) (31499)</w:t>
      </w:r>
    </w:p>
    <w:p w:rsidR="00E6133C" w:rsidRDefault="00E6133C">
      <w:pPr>
        <w:jc w:val="both"/>
        <w:rPr>
          <w:lang w:val="en-GB"/>
        </w:rPr>
      </w:pPr>
    </w:p>
    <w:p w:rsidR="00E6133C" w:rsidRDefault="00E6133C">
      <w:pPr>
        <w:jc w:val="both"/>
        <w:rPr>
          <w:lang w:val="en-GB"/>
        </w:rPr>
      </w:pPr>
    </w:p>
    <w:p w:rsidR="00E6133C" w:rsidRDefault="00E6133C">
      <w:pPr>
        <w:jc w:val="both"/>
        <w:rPr>
          <w:lang w:val="en-GB"/>
        </w:rPr>
      </w:pPr>
      <w:r>
        <w:rPr>
          <w:b/>
          <w:bCs/>
          <w:lang w:val="en-GB"/>
        </w:rPr>
        <w:t xml:space="preserve">REASONS FOR JUDGMENT WILL ALSO BE RELEASED IN THE FOLLOWING APPEAL / LES MOTIFS DE JUGEMENT SERONT ÉGALEMENT DÉPOSÉS DANS L'APPEL </w:t>
      </w:r>
      <w:proofErr w:type="gramStart"/>
      <w:r>
        <w:rPr>
          <w:b/>
          <w:bCs/>
          <w:lang w:val="en-GB"/>
        </w:rPr>
        <w:t>SUIVANT :</w:t>
      </w:r>
      <w:proofErr w:type="gramEnd"/>
    </w:p>
    <w:p w:rsidR="00E6133C" w:rsidRDefault="00E6133C">
      <w:pPr>
        <w:jc w:val="both"/>
        <w:rPr>
          <w:lang w:val="en-GB"/>
        </w:rPr>
      </w:pPr>
    </w:p>
    <w:p w:rsidR="00E6133C" w:rsidRDefault="00E6133C">
      <w:pPr>
        <w:jc w:val="both"/>
        <w:rPr>
          <w:lang w:val="en-GB"/>
        </w:rPr>
      </w:pPr>
    </w:p>
    <w:p w:rsidR="00E6133C" w:rsidRDefault="00E6133C">
      <w:pPr>
        <w:jc w:val="both"/>
        <w:rPr>
          <w:lang w:val="en-GB"/>
        </w:rPr>
      </w:pPr>
      <w:r>
        <w:rPr>
          <w:i/>
          <w:iCs/>
          <w:lang w:val="en-GB"/>
        </w:rPr>
        <w:t xml:space="preserve">Kenneth Stephen Terrance </w:t>
      </w:r>
      <w:proofErr w:type="spellStart"/>
      <w:r>
        <w:rPr>
          <w:i/>
          <w:iCs/>
          <w:lang w:val="en-GB"/>
        </w:rPr>
        <w:t>Solowan</w:t>
      </w:r>
      <w:proofErr w:type="spellEnd"/>
      <w:r>
        <w:rPr>
          <w:i/>
          <w:iCs/>
          <w:lang w:val="en-GB"/>
        </w:rPr>
        <w:t xml:space="preserve"> v. Her Majesty the Queen </w:t>
      </w:r>
      <w:r>
        <w:rPr>
          <w:lang w:val="en-GB"/>
        </w:rPr>
        <w:t>(B.C.) (32237)</w:t>
      </w:r>
    </w:p>
    <w:p w:rsidR="00E6133C" w:rsidRDefault="00E6133C">
      <w:pPr>
        <w:jc w:val="both"/>
        <w:rPr>
          <w:lang w:val="en-GB"/>
        </w:rPr>
      </w:pPr>
    </w:p>
    <w:p w:rsidR="00E6133C" w:rsidRDefault="00E6133C">
      <w:pPr>
        <w:jc w:val="both"/>
        <w:rPr>
          <w:lang w:val="en-GB"/>
        </w:rPr>
      </w:pPr>
    </w:p>
    <w:p w:rsidR="00E6133C" w:rsidRDefault="000C11A9">
      <w:pPr>
        <w:spacing w:line="19" w:lineRule="exact"/>
        <w:jc w:val="both"/>
        <w:rPr>
          <w:lang w:val="en-GB"/>
        </w:rPr>
      </w:pPr>
      <w:r>
        <w:rPr>
          <w:noProof/>
        </w:rPr>
        <mc:AlternateContent>
          <mc:Choice Requires="wps">
            <w:drawing>
              <wp:anchor distT="0" distB="0" distL="114300" distR="114300" simplePos="0" relativeHeight="25165516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147DC" id="Rectangle 2" o:spid="_x0000_s1026" style="position:absolute;margin-left:252pt;margin-top:0;width:10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LA7AIAADs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" o:allowincell="f" fillcolor="black" stroked="f" strokeweight="0">
                <w10:wrap anchorx="page"/>
                <w10:anchorlock/>
              </v:rect>
            </w:pict>
          </mc:Fallback>
        </mc:AlternateContent>
      </w:r>
    </w:p>
    <w:p w:rsidR="00E6133C" w:rsidRDefault="00E6133C">
      <w:pPr>
        <w:jc w:val="both"/>
        <w:rPr>
          <w:lang w:val="en-GB"/>
        </w:rPr>
      </w:pPr>
    </w:p>
    <w:p w:rsidR="00E6133C" w:rsidRDefault="00E6133C">
      <w:pPr>
        <w:jc w:val="both"/>
        <w:rPr>
          <w:lang w:val="en-GB"/>
        </w:rPr>
      </w:pPr>
      <w:r>
        <w:rPr>
          <w:lang w:val="en-GB"/>
        </w:rPr>
        <w:t xml:space="preserve">Note for subscribers: </w:t>
      </w:r>
    </w:p>
    <w:p w:rsidR="00E6133C" w:rsidRDefault="00E6133C">
      <w:pPr>
        <w:jc w:val="both"/>
        <w:rPr>
          <w:lang w:val="en-GB"/>
        </w:rPr>
      </w:pPr>
      <w:r>
        <w:rPr>
          <w:lang w:val="en-GB"/>
        </w:rPr>
        <w:t>The summaries of the cases are available at</w:t>
      </w:r>
      <w:r>
        <w:rPr>
          <w:sz w:val="20"/>
          <w:szCs w:val="20"/>
          <w:lang w:val="en-GB"/>
        </w:rPr>
        <w:t xml:space="preserve"> </w:t>
      </w:r>
      <w:r>
        <w:rPr>
          <w:rStyle w:val="Hypertext"/>
          <w:lang w:val="en-GB"/>
        </w:rPr>
        <w:t>http://www.scc-</w:t>
      </w:r>
      <w:proofErr w:type="gramStart"/>
      <w:r>
        <w:rPr>
          <w:rStyle w:val="Hypertext"/>
          <w:lang w:val="en-GB"/>
        </w:rPr>
        <w:t xml:space="preserve">csc.gc.ca </w:t>
      </w:r>
      <w:r>
        <w:rPr>
          <w:lang w:val="en-GB"/>
        </w:rPr>
        <w:t>:</w:t>
      </w:r>
      <w:proofErr w:type="gramEnd"/>
    </w:p>
    <w:p w:rsidR="00E6133C" w:rsidRDefault="00E6133C">
      <w:pPr>
        <w:jc w:val="both"/>
        <w:rPr>
          <w:sz w:val="20"/>
          <w:szCs w:val="20"/>
          <w:lang w:val="en-GB"/>
        </w:rPr>
      </w:pPr>
      <w:r>
        <w:rPr>
          <w:lang w:val="en-GB"/>
        </w:rPr>
        <w:t>Click on Cases and on SCC Case Information, type in the Case Number and press Search.  Click on the Case Number on the Search Result screen, and when the docket screen appears, click on “Summary” which will appear in the left column.</w:t>
      </w:r>
    </w:p>
    <w:p w:rsidR="00E6133C" w:rsidRDefault="00E6133C">
      <w:pPr>
        <w:jc w:val="both"/>
        <w:rPr>
          <w:sz w:val="20"/>
          <w:szCs w:val="20"/>
          <w:lang w:val="en-GB"/>
        </w:rPr>
      </w:pPr>
    </w:p>
    <w:p w:rsidR="00E6133C" w:rsidRDefault="00E6133C">
      <w:pPr>
        <w:jc w:val="both"/>
        <w:rPr>
          <w:lang w:val="en-GB"/>
        </w:rPr>
      </w:pPr>
      <w:r>
        <w:rPr>
          <w:lang w:val="en-GB"/>
        </w:rPr>
        <w:t xml:space="preserve">Alternatively, click on </w:t>
      </w:r>
    </w:p>
    <w:p w:rsidR="00E6133C" w:rsidRDefault="00E6133C">
      <w:pPr>
        <w:jc w:val="both"/>
        <w:rPr>
          <w:sz w:val="20"/>
          <w:szCs w:val="20"/>
          <w:lang w:val="en-GB"/>
        </w:rPr>
      </w:pPr>
      <w:r>
        <w:rPr>
          <w:rStyle w:val="Hypertext"/>
          <w:lang w:val="en-GB"/>
        </w:rPr>
        <w:t>http://scc.lexum.umontreal.ca/en/news_release/2008/08-11-07.2/08-11-07.2.html</w:t>
      </w:r>
    </w:p>
    <w:p w:rsidR="00E6133C" w:rsidRDefault="00E6133C">
      <w:pPr>
        <w:jc w:val="both"/>
        <w:rPr>
          <w:lang w:val="en-GB"/>
        </w:rPr>
      </w:pPr>
    </w:p>
    <w:p w:rsidR="00E6133C" w:rsidRDefault="00E6133C">
      <w:pPr>
        <w:jc w:val="both"/>
        <w:rPr>
          <w:lang w:val="en-GB"/>
        </w:rPr>
      </w:pPr>
    </w:p>
    <w:p w:rsidR="00E6133C" w:rsidRDefault="00E6133C">
      <w:pPr>
        <w:jc w:val="both"/>
        <w:rPr>
          <w:lang w:val="fr-CA"/>
        </w:rPr>
      </w:pPr>
      <w:r>
        <w:rPr>
          <w:lang w:val="fr-CA"/>
        </w:rPr>
        <w:t xml:space="preserve">Note pour les abonnés : </w:t>
      </w:r>
    </w:p>
    <w:p w:rsidR="00E6133C" w:rsidRPr="000C11A9" w:rsidRDefault="00E6133C">
      <w:pPr>
        <w:jc w:val="both"/>
        <w:rPr>
          <w:rFonts w:eastAsia="MingLiU-ExtB"/>
          <w:lang w:val="fr-CA"/>
        </w:rPr>
      </w:pPr>
      <w:r>
        <w:rPr>
          <w:lang w:val="fr-CA"/>
        </w:rPr>
        <w:t xml:space="preserve">Les sommaires des causes sont affichés à </w:t>
      </w:r>
      <w:r w:rsidRPr="000C11A9">
        <w:rPr>
          <w:lang w:val="fr-CA"/>
        </w:rPr>
        <w:t xml:space="preserve">l’adresse </w:t>
      </w:r>
      <w:r w:rsidRPr="000C11A9">
        <w:rPr>
          <w:rStyle w:val="Hypertext"/>
          <w:lang w:val="fr-CA"/>
        </w:rPr>
        <w:t>http://www.scc-csc.gc.ca</w:t>
      </w:r>
      <w:r w:rsidRPr="000C11A9">
        <w:rPr>
          <w:rFonts w:eastAsia="MingLiU-ExtB"/>
          <w:lang w:val="fr-CA"/>
        </w:rPr>
        <w:t xml:space="preserve"> :</w:t>
      </w:r>
    </w:p>
    <w:p w:rsidR="00E6133C" w:rsidRPr="000C11A9" w:rsidRDefault="00E6133C">
      <w:pPr>
        <w:jc w:val="both"/>
        <w:rPr>
          <w:sz w:val="20"/>
          <w:szCs w:val="20"/>
          <w:lang w:val="fr-CA"/>
        </w:rPr>
      </w:pPr>
      <w:r w:rsidRPr="000C11A9">
        <w:rPr>
          <w:lang w:val="fr-CA"/>
        </w:rPr>
        <w:t xml:space="preserve">Cliquez sur « Dossiers », puis sur « Renseignements sur les dossiers ». Tapez le </w:t>
      </w:r>
      <w:proofErr w:type="spellStart"/>
      <w:r w:rsidRPr="000C11A9">
        <w:rPr>
          <w:lang w:val="fr-CA"/>
        </w:rPr>
        <w:t>n</w:t>
      </w:r>
      <w:r w:rsidRPr="000C11A9">
        <w:rPr>
          <w:vertAlign w:val="superscript"/>
          <w:lang w:val="fr-CA"/>
        </w:rPr>
        <w:t>o</w:t>
      </w:r>
      <w:proofErr w:type="spellEnd"/>
      <w:r w:rsidRPr="000C11A9">
        <w:rPr>
          <w:lang w:val="fr-CA"/>
        </w:rPr>
        <w:t xml:space="preserve"> de dossier et appuyez sur « Recherche ».  Cliquez sur le </w:t>
      </w:r>
      <w:proofErr w:type="spellStart"/>
      <w:r w:rsidRPr="000C11A9">
        <w:rPr>
          <w:lang w:val="fr-CA"/>
        </w:rPr>
        <w:t>n</w:t>
      </w:r>
      <w:r w:rsidRPr="000C11A9">
        <w:rPr>
          <w:vertAlign w:val="superscript"/>
          <w:lang w:val="fr-CA"/>
        </w:rPr>
        <w:t>o</w:t>
      </w:r>
      <w:proofErr w:type="spellEnd"/>
      <w:r w:rsidRPr="000C11A9">
        <w:rPr>
          <w:lang w:val="fr-CA"/>
        </w:rPr>
        <w:t xml:space="preserve"> du dossier dans les Résultats de la recherche pour accéder au Registre. Cliquez enfin sur le lien menant au « Sommaire » qui figure dans la colonne de gauche.</w:t>
      </w:r>
    </w:p>
    <w:p w:rsidR="00E6133C" w:rsidRPr="000C11A9" w:rsidRDefault="00E6133C">
      <w:pPr>
        <w:jc w:val="both"/>
        <w:rPr>
          <w:sz w:val="20"/>
          <w:szCs w:val="20"/>
          <w:lang w:val="fr-CA"/>
        </w:rPr>
      </w:pPr>
    </w:p>
    <w:p w:rsidR="00E6133C" w:rsidRPr="000C11A9" w:rsidRDefault="00E6133C">
      <w:pPr>
        <w:jc w:val="both"/>
        <w:rPr>
          <w:lang w:val="fr-CA"/>
        </w:rPr>
      </w:pPr>
      <w:r w:rsidRPr="000C11A9">
        <w:rPr>
          <w:lang w:val="fr-CA"/>
        </w:rPr>
        <w:t xml:space="preserve">Autre façon de procéder : Cliquer sur </w:t>
      </w:r>
    </w:p>
    <w:p w:rsidR="00E6133C" w:rsidRPr="000C11A9" w:rsidRDefault="00E6133C">
      <w:pPr>
        <w:jc w:val="both"/>
        <w:rPr>
          <w:lang w:val="fr-CA"/>
        </w:rPr>
      </w:pPr>
      <w:r w:rsidRPr="000C11A9">
        <w:rPr>
          <w:rStyle w:val="Hypertext"/>
          <w:lang w:val="fr-CA"/>
        </w:rPr>
        <w:t>http://scc.lexum.umontreal.ca/fr/news_release/2008/08-11-07.2/08-11-07.2.html</w:t>
      </w:r>
    </w:p>
    <w:p w:rsidR="00E6133C" w:rsidRPr="000C11A9" w:rsidRDefault="00E6133C">
      <w:pPr>
        <w:jc w:val="both"/>
        <w:rPr>
          <w:lang w:val="fr-CA"/>
        </w:rPr>
      </w:pPr>
    </w:p>
    <w:p w:rsidR="00E6133C" w:rsidRPr="000C11A9" w:rsidRDefault="000C11A9">
      <w:pPr>
        <w:spacing w:line="19" w:lineRule="exact"/>
        <w:jc w:val="both"/>
        <w:rPr>
          <w:lang w:val="fr-CA"/>
        </w:rPr>
      </w:pPr>
      <w:r>
        <w:rPr>
          <w:noProof/>
        </w:rPr>
        <mc:AlternateContent>
          <mc:Choice Requires="wps">
            <w:drawing>
              <wp:anchor distT="0" distB="0" distL="114300" distR="114300" simplePos="0" relativeHeight="251656192"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1373" id="Rectangle 3" o:spid="_x0000_s1026" style="position:absolute;margin-left:252pt;margin-top:0;width:10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I7QIAADs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hHVByO0CAAA7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E6133C" w:rsidRPr="000C11A9" w:rsidRDefault="00E6133C">
      <w:pPr>
        <w:jc w:val="both"/>
        <w:rPr>
          <w:lang w:val="fr-CA"/>
        </w:rPr>
      </w:pPr>
    </w:p>
    <w:p w:rsidR="00E6133C" w:rsidRPr="000C11A9" w:rsidRDefault="00E6133C">
      <w:pPr>
        <w:jc w:val="both"/>
        <w:rPr>
          <w:sz w:val="20"/>
          <w:szCs w:val="20"/>
          <w:lang w:val="fr-CA"/>
        </w:rPr>
      </w:pPr>
    </w:p>
    <w:p w:rsidR="00E6133C" w:rsidRDefault="00E6133C">
      <w:pPr>
        <w:tabs>
          <w:tab w:val="left" w:pos="-1440"/>
        </w:tabs>
        <w:ind w:left="720" w:hanging="720"/>
        <w:jc w:val="both"/>
        <w:rPr>
          <w:sz w:val="20"/>
          <w:szCs w:val="20"/>
          <w:lang w:val="en-GB"/>
        </w:rPr>
      </w:pPr>
      <w:bookmarkStart w:id="0" w:name="a1"/>
      <w:r>
        <w:rPr>
          <w:b/>
          <w:bCs/>
          <w:sz w:val="20"/>
          <w:szCs w:val="20"/>
          <w:lang w:val="en-GB"/>
        </w:rPr>
        <w:t>31499</w:t>
      </w:r>
      <w:bookmarkEnd w:id="0"/>
      <w:r>
        <w:rPr>
          <w:sz w:val="20"/>
          <w:szCs w:val="20"/>
          <w:lang w:val="en-GB"/>
        </w:rPr>
        <w:tab/>
      </w:r>
      <w:bookmarkStart w:id="1" w:name="a3"/>
      <w:r>
        <w:rPr>
          <w:b/>
          <w:bCs/>
          <w:i/>
          <w:iCs/>
          <w:sz w:val="20"/>
          <w:szCs w:val="20"/>
          <w:lang w:val="en-GB"/>
        </w:rPr>
        <w:t xml:space="preserve">Her Majesty </w:t>
      </w:r>
      <w:proofErr w:type="gramStart"/>
      <w:r>
        <w:rPr>
          <w:b/>
          <w:bCs/>
          <w:i/>
          <w:iCs/>
          <w:sz w:val="20"/>
          <w:szCs w:val="20"/>
          <w:lang w:val="en-GB"/>
        </w:rPr>
        <w:t>The</w:t>
      </w:r>
      <w:proofErr w:type="gramEnd"/>
      <w:r>
        <w:rPr>
          <w:b/>
          <w:bCs/>
          <w:i/>
          <w:iCs/>
          <w:sz w:val="20"/>
          <w:szCs w:val="20"/>
          <w:lang w:val="en-GB"/>
        </w:rPr>
        <w:t xml:space="preserve"> Queen v. Rathiskumar Mahalingan</w:t>
      </w:r>
      <w:bookmarkEnd w:id="1"/>
    </w:p>
    <w:p w:rsidR="00E6133C" w:rsidRDefault="00E6133C">
      <w:pPr>
        <w:tabs>
          <w:tab w:val="left" w:pos="-1440"/>
        </w:tabs>
        <w:ind w:left="720" w:hanging="720"/>
        <w:jc w:val="both"/>
        <w:rPr>
          <w:sz w:val="20"/>
          <w:szCs w:val="20"/>
          <w:lang w:val="en-GB"/>
        </w:rPr>
        <w:sectPr w:rsidR="00E6133C">
          <w:pgSz w:w="12240" w:h="15840"/>
          <w:pgMar w:top="1080" w:right="1440" w:bottom="720" w:left="1440" w:header="1080" w:footer="720" w:gutter="0"/>
          <w:cols w:space="720"/>
          <w:noEndnote/>
        </w:sectPr>
      </w:pPr>
    </w:p>
    <w:p w:rsidR="00E6133C" w:rsidRDefault="00E6133C">
      <w:pPr>
        <w:jc w:val="both"/>
        <w:rPr>
          <w:sz w:val="20"/>
          <w:szCs w:val="20"/>
          <w:lang w:val="en-GB"/>
        </w:rPr>
      </w:pPr>
      <w:bookmarkStart w:id="2" w:name="QuickMark"/>
      <w:bookmarkEnd w:id="2"/>
      <w:r>
        <w:rPr>
          <w:sz w:val="20"/>
          <w:szCs w:val="20"/>
          <w:lang w:val="en-GB"/>
        </w:rPr>
        <w:t xml:space="preserve">Criminal law (non-Charter) - Trial - Whether this Court should revisit the application of issue estoppel to the criminal </w:t>
      </w:r>
      <w:r>
        <w:rPr>
          <w:sz w:val="20"/>
          <w:szCs w:val="20"/>
          <w:lang w:val="en-GB"/>
        </w:rPr>
        <w:lastRenderedPageBreak/>
        <w:t>law - Whether the Court of Appeal erred in law in holding that if issue estoppel applies to the criminal law, it applies to a subsequent acquittal - Whether the Court of Appeal erred in law in refusing to apply the curative proviso - Whether the Court of Appeal erred in law in finding that the trial judge did not adequately present the theory of the defence.</w:t>
      </w:r>
    </w:p>
    <w:p w:rsidR="00E6133C" w:rsidRDefault="00E6133C">
      <w:pPr>
        <w:jc w:val="both"/>
        <w:rPr>
          <w:sz w:val="20"/>
          <w:szCs w:val="20"/>
          <w:lang w:val="en-GB"/>
        </w:rPr>
      </w:pPr>
    </w:p>
    <w:p w:rsidR="00E6133C" w:rsidRDefault="000C11A9">
      <w:pPr>
        <w:jc w:val="both"/>
        <w:rPr>
          <w:sz w:val="20"/>
          <w:szCs w:val="20"/>
          <w:lang w:val="en-GB"/>
        </w:rPr>
      </w:pPr>
      <w:r w:rsidRPr="000C11A9">
        <w:rPr>
          <w:sz w:val="20"/>
          <w:szCs w:val="20"/>
          <w:lang w:val="en-GB"/>
        </w:rPr>
        <w:t xml:space="preserve">The Respondent, Rathiskumar Mahalingan, was tried for attempted murder before a judge and jury. The charge against Mahalingan and two co-accused arose from a gang attack. Identity was the central issue at trial for all three accused.  One co-accused offered an alibi defence and was acquitted. The other co-accused was convicted of aggravated assault. Mahalingan was acquitted of attempted murder but convicted of the included offence of aggravated assault. The Court of Appeal for Ontario ordered that </w:t>
      </w:r>
      <w:proofErr w:type="spellStart"/>
      <w:r w:rsidRPr="000C11A9">
        <w:rPr>
          <w:sz w:val="20"/>
          <w:szCs w:val="20"/>
          <w:lang w:val="en-GB"/>
        </w:rPr>
        <w:t>Mahalingan’s</w:t>
      </w:r>
      <w:proofErr w:type="spellEnd"/>
      <w:r w:rsidRPr="000C11A9">
        <w:rPr>
          <w:sz w:val="20"/>
          <w:szCs w:val="20"/>
          <w:lang w:val="en-GB"/>
        </w:rPr>
        <w:t xml:space="preserve"> appeal be allowed, his conviction set aside and a new trial ordered.</w:t>
      </w:r>
    </w:p>
    <w:p w:rsidR="00E6133C" w:rsidRDefault="00E6133C">
      <w:pPr>
        <w:jc w:val="both"/>
        <w:rPr>
          <w:sz w:val="20"/>
          <w:szCs w:val="20"/>
          <w:lang w:val="en-GB"/>
        </w:rPr>
      </w:pPr>
    </w:p>
    <w:p w:rsidR="00E6133C" w:rsidRDefault="00E6133C">
      <w:pPr>
        <w:jc w:val="both"/>
        <w:rPr>
          <w:sz w:val="20"/>
          <w:szCs w:val="20"/>
          <w:lang w:val="en-GB"/>
        </w:rPr>
      </w:pPr>
    </w:p>
    <w:p w:rsidR="00E6133C" w:rsidRDefault="00F71DBB" w:rsidP="00F71DBB">
      <w:pPr>
        <w:tabs>
          <w:tab w:val="left" w:pos="3402"/>
        </w:tabs>
        <w:jc w:val="both"/>
        <w:rPr>
          <w:sz w:val="20"/>
          <w:szCs w:val="20"/>
          <w:lang w:val="en-GB"/>
        </w:rPr>
      </w:pPr>
      <w:r>
        <w:rPr>
          <w:sz w:val="20"/>
          <w:szCs w:val="20"/>
          <w:lang w:val="en-GB"/>
        </w:rPr>
        <w:t>Origin of the case:</w:t>
      </w:r>
      <w:bookmarkStart w:id="3" w:name="a4"/>
      <w:r>
        <w:rPr>
          <w:sz w:val="20"/>
          <w:szCs w:val="20"/>
          <w:lang w:val="en-GB"/>
        </w:rPr>
        <w:tab/>
      </w:r>
      <w:r w:rsidR="00E6133C">
        <w:rPr>
          <w:sz w:val="20"/>
          <w:szCs w:val="20"/>
          <w:lang w:val="en-GB"/>
        </w:rPr>
        <w:t>Ontario</w:t>
      </w:r>
      <w:bookmarkEnd w:id="3"/>
    </w:p>
    <w:p w:rsidR="00E6133C" w:rsidRDefault="00E6133C">
      <w:pPr>
        <w:jc w:val="both"/>
        <w:rPr>
          <w:sz w:val="20"/>
          <w:szCs w:val="20"/>
          <w:lang w:val="en-GB"/>
        </w:rPr>
      </w:pPr>
    </w:p>
    <w:p w:rsidR="00E6133C" w:rsidRDefault="00F71DBB" w:rsidP="00F71DBB">
      <w:pPr>
        <w:tabs>
          <w:tab w:val="left" w:pos="3402"/>
        </w:tabs>
        <w:jc w:val="both"/>
        <w:rPr>
          <w:sz w:val="20"/>
          <w:szCs w:val="20"/>
          <w:lang w:val="en-GB"/>
        </w:rPr>
      </w:pPr>
      <w:bookmarkStart w:id="4" w:name="a2"/>
      <w:r>
        <w:rPr>
          <w:sz w:val="20"/>
          <w:szCs w:val="20"/>
          <w:lang w:val="en-GB"/>
        </w:rPr>
        <w:t>File No.:</w:t>
      </w:r>
      <w:r>
        <w:rPr>
          <w:sz w:val="20"/>
          <w:szCs w:val="20"/>
          <w:lang w:val="en-GB"/>
        </w:rPr>
        <w:tab/>
      </w:r>
      <w:r w:rsidR="00E6133C">
        <w:rPr>
          <w:sz w:val="20"/>
          <w:szCs w:val="20"/>
          <w:lang w:val="en-GB"/>
        </w:rPr>
        <w:t>31499</w:t>
      </w:r>
      <w:bookmarkEnd w:id="4"/>
    </w:p>
    <w:p w:rsidR="00E6133C" w:rsidRDefault="00E6133C">
      <w:pPr>
        <w:jc w:val="both"/>
        <w:rPr>
          <w:sz w:val="20"/>
          <w:szCs w:val="20"/>
          <w:lang w:val="en-GB"/>
        </w:rPr>
      </w:pPr>
    </w:p>
    <w:p w:rsidR="00E6133C" w:rsidRDefault="00E6133C" w:rsidP="00F71DBB">
      <w:pPr>
        <w:tabs>
          <w:tab w:val="left" w:pos="3402"/>
        </w:tabs>
        <w:jc w:val="both"/>
        <w:rPr>
          <w:sz w:val="20"/>
          <w:szCs w:val="20"/>
          <w:lang w:val="en-GB"/>
        </w:rPr>
      </w:pPr>
      <w:r>
        <w:rPr>
          <w:sz w:val="20"/>
          <w:szCs w:val="20"/>
          <w:lang w:val="en-GB"/>
        </w:rPr>
        <w:t>Judgment of the Court of Appeal:</w:t>
      </w:r>
      <w:bookmarkStart w:id="5" w:name="a5"/>
      <w:bookmarkEnd w:id="5"/>
      <w:r w:rsidR="00F71DBB">
        <w:rPr>
          <w:sz w:val="20"/>
          <w:szCs w:val="20"/>
          <w:lang w:val="en-GB"/>
        </w:rPr>
        <w:tab/>
      </w:r>
      <w:r>
        <w:rPr>
          <w:sz w:val="20"/>
          <w:szCs w:val="20"/>
          <w:lang w:val="en-GB"/>
        </w:rPr>
        <w:t>April 20, 2006</w:t>
      </w:r>
    </w:p>
    <w:p w:rsidR="00E6133C" w:rsidRDefault="00E6133C">
      <w:pPr>
        <w:jc w:val="both"/>
        <w:rPr>
          <w:sz w:val="20"/>
          <w:szCs w:val="20"/>
          <w:lang w:val="en-GB"/>
        </w:rPr>
      </w:pPr>
    </w:p>
    <w:p w:rsidR="00E6133C" w:rsidRDefault="00F71DBB" w:rsidP="00F71DBB">
      <w:pPr>
        <w:tabs>
          <w:tab w:val="left" w:pos="3402"/>
        </w:tabs>
        <w:jc w:val="both"/>
        <w:rPr>
          <w:sz w:val="20"/>
          <w:szCs w:val="20"/>
          <w:lang w:val="en-GB"/>
        </w:rPr>
      </w:pPr>
      <w:bookmarkStart w:id="6" w:name="a6"/>
      <w:r>
        <w:rPr>
          <w:sz w:val="20"/>
          <w:szCs w:val="20"/>
          <w:lang w:val="en-GB"/>
        </w:rPr>
        <w:t>Counsel:</w:t>
      </w:r>
      <w:r>
        <w:rPr>
          <w:sz w:val="20"/>
          <w:szCs w:val="20"/>
          <w:lang w:val="en-GB"/>
        </w:rPr>
        <w:tab/>
      </w:r>
      <w:r w:rsidR="00E6133C">
        <w:rPr>
          <w:sz w:val="20"/>
          <w:szCs w:val="20"/>
          <w:lang w:val="en-GB"/>
        </w:rPr>
        <w:t xml:space="preserve">Lucy </w:t>
      </w:r>
      <w:proofErr w:type="spellStart"/>
      <w:r w:rsidR="00E6133C">
        <w:rPr>
          <w:sz w:val="20"/>
          <w:szCs w:val="20"/>
          <w:lang w:val="en-GB"/>
        </w:rPr>
        <w:t>Cecchetto</w:t>
      </w:r>
      <w:bookmarkEnd w:id="6"/>
      <w:proofErr w:type="spellEnd"/>
      <w:r w:rsidR="00E6133C">
        <w:rPr>
          <w:sz w:val="20"/>
          <w:szCs w:val="20"/>
          <w:lang w:val="en-GB"/>
        </w:rPr>
        <w:t xml:space="preserve"> for the Appellant</w:t>
      </w:r>
    </w:p>
    <w:p w:rsidR="00E6133C" w:rsidRPr="00F71DBB" w:rsidRDefault="00F71DBB" w:rsidP="00F71DBB">
      <w:pPr>
        <w:tabs>
          <w:tab w:val="left" w:pos="3402"/>
        </w:tabs>
        <w:jc w:val="both"/>
        <w:rPr>
          <w:sz w:val="20"/>
          <w:szCs w:val="20"/>
        </w:rPr>
      </w:pPr>
      <w:bookmarkStart w:id="7" w:name="a7"/>
      <w:r>
        <w:rPr>
          <w:sz w:val="20"/>
          <w:szCs w:val="20"/>
        </w:rPr>
        <w:tab/>
      </w:r>
      <w:r w:rsidR="00E6133C" w:rsidRPr="00F71DBB">
        <w:rPr>
          <w:sz w:val="20"/>
          <w:szCs w:val="20"/>
        </w:rPr>
        <w:t>Philip Campbell</w:t>
      </w:r>
      <w:bookmarkEnd w:id="7"/>
      <w:r w:rsidR="00E6133C" w:rsidRPr="00F71DBB">
        <w:rPr>
          <w:sz w:val="20"/>
          <w:szCs w:val="20"/>
        </w:rPr>
        <w:t xml:space="preserve"> for the Respondent</w:t>
      </w:r>
    </w:p>
    <w:p w:rsidR="00E6133C" w:rsidRPr="00F71DBB" w:rsidRDefault="00E6133C">
      <w:pPr>
        <w:jc w:val="both"/>
      </w:pPr>
    </w:p>
    <w:p w:rsidR="00E6133C" w:rsidRPr="00F71DBB" w:rsidRDefault="000C11A9">
      <w:pPr>
        <w:spacing w:line="19" w:lineRule="exact"/>
        <w:jc w:val="both"/>
      </w:pPr>
      <w:r>
        <w:rPr>
          <w:noProof/>
        </w:rPr>
        <mc:AlternateContent>
          <mc:Choice Requires="wps">
            <w:drawing>
              <wp:anchor distT="0" distB="0" distL="114300" distR="114300" simplePos="0" relativeHeight="25165721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F62B" id="Rectangle 4" o:spid="_x0000_s1026" style="position:absolute;margin-left:252pt;margin-top:0;width:10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G97AIAADs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" o:allowincell="f" fillcolor="black" stroked="f" strokeweight="0">
                <w10:wrap anchorx="page"/>
                <w10:anchorlock/>
              </v:rect>
            </w:pict>
          </mc:Fallback>
        </mc:AlternateContent>
      </w:r>
    </w:p>
    <w:p w:rsidR="00E6133C" w:rsidRPr="00F71DBB" w:rsidRDefault="00E6133C">
      <w:pPr>
        <w:jc w:val="both"/>
        <w:rPr>
          <w:sz w:val="20"/>
          <w:szCs w:val="20"/>
        </w:rPr>
      </w:pPr>
    </w:p>
    <w:p w:rsidR="00E6133C" w:rsidRDefault="00E6133C">
      <w:pPr>
        <w:tabs>
          <w:tab w:val="left" w:pos="-1440"/>
        </w:tabs>
        <w:ind w:left="720" w:hanging="720"/>
        <w:jc w:val="both"/>
        <w:rPr>
          <w:sz w:val="20"/>
          <w:szCs w:val="20"/>
          <w:lang w:val="fr-CA"/>
        </w:rPr>
      </w:pPr>
      <w:r w:rsidRPr="00F71DBB">
        <w:rPr>
          <w:b/>
          <w:bCs/>
          <w:sz w:val="20"/>
          <w:szCs w:val="20"/>
        </w:rPr>
        <w:t>31499</w:t>
      </w:r>
      <w:r w:rsidRPr="00F71DBB">
        <w:rPr>
          <w:sz w:val="20"/>
          <w:szCs w:val="20"/>
        </w:rPr>
        <w:tab/>
      </w:r>
      <w:r w:rsidRPr="00F71DBB">
        <w:rPr>
          <w:b/>
          <w:bCs/>
          <w:i/>
          <w:iCs/>
          <w:sz w:val="20"/>
          <w:szCs w:val="20"/>
        </w:rPr>
        <w:t xml:space="preserve">Sa Majesté la Reine c. Rathiskumar </w:t>
      </w:r>
      <w:r>
        <w:rPr>
          <w:b/>
          <w:bCs/>
          <w:i/>
          <w:iCs/>
          <w:sz w:val="20"/>
          <w:szCs w:val="20"/>
          <w:lang w:val="fr-CA"/>
        </w:rPr>
        <w:t>Mahalingan</w:t>
      </w:r>
    </w:p>
    <w:p w:rsidR="00E6133C" w:rsidRDefault="00E6133C">
      <w:pPr>
        <w:jc w:val="both"/>
        <w:rPr>
          <w:sz w:val="20"/>
          <w:szCs w:val="20"/>
          <w:lang w:val="fr-CA"/>
        </w:rPr>
      </w:pPr>
    </w:p>
    <w:p w:rsidR="00E6133C" w:rsidRDefault="00E6133C">
      <w:pPr>
        <w:jc w:val="both"/>
        <w:rPr>
          <w:sz w:val="20"/>
          <w:szCs w:val="20"/>
          <w:lang w:val="fr-CA"/>
        </w:rPr>
      </w:pPr>
      <w:r w:rsidRPr="000C11A9">
        <w:rPr>
          <w:sz w:val="20"/>
          <w:szCs w:val="20"/>
          <w:lang w:val="fr-CA"/>
        </w:rPr>
        <w:t>Droit criminel (excluant la Charte) - Procès - Notre Cour devrait</w:t>
      </w:r>
      <w:r w:rsidRPr="000C11A9">
        <w:rPr>
          <w:sz w:val="20"/>
          <w:szCs w:val="20"/>
          <w:lang w:val="fr-CA"/>
        </w:rPr>
        <w:noBreakHyphen/>
        <w:t xml:space="preserve">elle </w:t>
      </w:r>
      <w:proofErr w:type="gramStart"/>
      <w:r w:rsidRPr="000C11A9">
        <w:rPr>
          <w:sz w:val="20"/>
          <w:szCs w:val="20"/>
          <w:lang w:val="fr-CA"/>
        </w:rPr>
        <w:t>réexaminer</w:t>
      </w:r>
      <w:proofErr w:type="gramEnd"/>
      <w:r w:rsidRPr="000C11A9">
        <w:rPr>
          <w:sz w:val="20"/>
          <w:szCs w:val="20"/>
          <w:lang w:val="fr-CA"/>
        </w:rPr>
        <w:t xml:space="preserve"> l’application en droit criminel de l’irrecevabilité à remettre</w:t>
      </w:r>
      <w:r>
        <w:rPr>
          <w:sz w:val="20"/>
          <w:szCs w:val="20"/>
          <w:lang w:val="fr-CA"/>
        </w:rPr>
        <w:t xml:space="preserve"> en cause une question? - La Cour d’appel a</w:t>
      </w:r>
      <w:r>
        <w:rPr>
          <w:sz w:val="20"/>
          <w:szCs w:val="20"/>
          <w:lang w:val="fr-CA"/>
        </w:rPr>
        <w:noBreakHyphen/>
        <w:t>t</w:t>
      </w:r>
      <w:r>
        <w:rPr>
          <w:sz w:val="20"/>
          <w:szCs w:val="20"/>
          <w:lang w:val="fr-CA"/>
        </w:rPr>
        <w:noBreakHyphen/>
        <w:t>elle commis une erreur de droit en statuant que, si l’irrecevabilité à remettre en cause une question s’applique en droit criminel, elle s’applique à un acquittement subséquent? - La Cour d’appel a</w:t>
      </w:r>
      <w:r>
        <w:rPr>
          <w:sz w:val="20"/>
          <w:szCs w:val="20"/>
          <w:lang w:val="fr-CA"/>
        </w:rPr>
        <w:noBreakHyphen/>
        <w:t>t</w:t>
      </w:r>
      <w:r>
        <w:rPr>
          <w:sz w:val="20"/>
          <w:szCs w:val="20"/>
          <w:lang w:val="fr-CA"/>
        </w:rPr>
        <w:noBreakHyphen/>
        <w:t>elle commis une erreur de droit en refusant d’appliquer la disposition réparatrice? - La Cour d’appel a</w:t>
      </w:r>
      <w:r>
        <w:rPr>
          <w:sz w:val="20"/>
          <w:szCs w:val="20"/>
          <w:lang w:val="fr-CA"/>
        </w:rPr>
        <w:noBreakHyphen/>
        <w:t>t</w:t>
      </w:r>
      <w:r>
        <w:rPr>
          <w:sz w:val="20"/>
          <w:szCs w:val="20"/>
          <w:lang w:val="fr-CA"/>
        </w:rPr>
        <w:noBreakHyphen/>
        <w:t xml:space="preserve">elle commis une erreur de droit en concluant que le juge du procès n’a pas correctement exposé la théorie de la défense? </w:t>
      </w:r>
    </w:p>
    <w:p w:rsidR="00E6133C" w:rsidRDefault="00E6133C">
      <w:pPr>
        <w:jc w:val="both"/>
        <w:rPr>
          <w:sz w:val="20"/>
          <w:szCs w:val="20"/>
          <w:lang w:val="fr-CA"/>
        </w:rPr>
      </w:pPr>
    </w:p>
    <w:p w:rsidR="000C11A9" w:rsidRPr="000C11A9" w:rsidRDefault="000C11A9" w:rsidP="000C11A9">
      <w:pPr>
        <w:rPr>
          <w:sz w:val="20"/>
          <w:szCs w:val="20"/>
          <w:lang w:val="fr-CA"/>
        </w:rPr>
      </w:pPr>
      <w:r w:rsidRPr="000C11A9">
        <w:rPr>
          <w:sz w:val="20"/>
          <w:szCs w:val="20"/>
          <w:lang w:val="fr-CA"/>
        </w:rPr>
        <w:t>L’intimé, Rathiskumar Mahalingan, a subi son procès pour tentative de meurtre devant un juge et jury. Les accusations portées contre M. Mahalingan et ses deux coaccusés l’ont été à la suite d’une agression commise par un gang. La question cruciale au procès des trois accusés était l’identité. L’un des coaccusés a présenté une défense d’alibi et a été acquitté. L’autre coaccusé a été déclaré coupable de voies de fait graves. Monsieur Mahalingan a été acquitté de tentative de meurtre, mais déclaré coupable de l’infraction incluse de voies de fait graves. La Cour d’appel de l’Ontario a accueilli l’appel de ce dernier, annulé sa déclaration de culpabilité et ordonné la tenue d’un nouveau procès.</w:t>
      </w:r>
    </w:p>
    <w:p w:rsidR="00E6133C" w:rsidRDefault="00E6133C">
      <w:pPr>
        <w:jc w:val="both"/>
        <w:rPr>
          <w:sz w:val="20"/>
          <w:szCs w:val="20"/>
          <w:lang w:val="fr-CA"/>
        </w:rPr>
      </w:pPr>
    </w:p>
    <w:p w:rsidR="00E6133C" w:rsidRDefault="00E6133C">
      <w:pPr>
        <w:jc w:val="both"/>
        <w:rPr>
          <w:sz w:val="20"/>
          <w:szCs w:val="20"/>
          <w:lang w:val="fr-CA"/>
        </w:rPr>
      </w:pPr>
    </w:p>
    <w:p w:rsidR="00E6133C" w:rsidRDefault="00E6133C">
      <w:pPr>
        <w:jc w:val="both"/>
        <w:rPr>
          <w:sz w:val="20"/>
          <w:szCs w:val="20"/>
          <w:lang w:val="fr-CA"/>
        </w:rPr>
      </w:pPr>
    </w:p>
    <w:p w:rsidR="00E6133C" w:rsidRDefault="00E6133C" w:rsidP="00F71DBB">
      <w:pPr>
        <w:tabs>
          <w:tab w:val="left" w:pos="3402"/>
        </w:tabs>
        <w:jc w:val="both"/>
        <w:rPr>
          <w:sz w:val="20"/>
          <w:szCs w:val="20"/>
          <w:lang w:val="fr-CA"/>
        </w:rPr>
      </w:pPr>
      <w:r>
        <w:rPr>
          <w:sz w:val="20"/>
          <w:szCs w:val="20"/>
          <w:lang w:val="fr-CA"/>
        </w:rPr>
        <w:t>Origine de la c</w:t>
      </w:r>
      <w:r w:rsidR="00F71DBB">
        <w:rPr>
          <w:sz w:val="20"/>
          <w:szCs w:val="20"/>
          <w:lang w:val="fr-CA"/>
        </w:rPr>
        <w:t>ause :</w:t>
      </w:r>
      <w:r w:rsidR="00F71DBB">
        <w:rPr>
          <w:sz w:val="20"/>
          <w:szCs w:val="20"/>
          <w:lang w:val="fr-CA"/>
        </w:rPr>
        <w:tab/>
      </w:r>
      <w:r>
        <w:rPr>
          <w:sz w:val="20"/>
          <w:szCs w:val="20"/>
          <w:lang w:val="fr-CA"/>
        </w:rPr>
        <w:t>Ontario</w:t>
      </w:r>
    </w:p>
    <w:p w:rsidR="00E6133C" w:rsidRDefault="00E6133C">
      <w:pPr>
        <w:jc w:val="both"/>
        <w:rPr>
          <w:sz w:val="20"/>
          <w:szCs w:val="20"/>
          <w:lang w:val="fr-CA"/>
        </w:rPr>
      </w:pPr>
    </w:p>
    <w:p w:rsidR="00E6133C" w:rsidRDefault="00E6133C" w:rsidP="00F71DBB">
      <w:pPr>
        <w:tabs>
          <w:tab w:val="left" w:pos="3402"/>
        </w:tabs>
        <w:jc w:val="both"/>
        <w:rPr>
          <w:sz w:val="20"/>
          <w:szCs w:val="20"/>
          <w:lang w:val="fr-CA"/>
        </w:rPr>
      </w:pPr>
      <w:r>
        <w:rPr>
          <w:sz w:val="20"/>
          <w:szCs w:val="20"/>
          <w:lang w:val="fr-CA"/>
        </w:rPr>
        <w:t>N</w:t>
      </w:r>
      <w:r>
        <w:rPr>
          <w:sz w:val="20"/>
          <w:szCs w:val="20"/>
          <w:vertAlign w:val="superscript"/>
          <w:lang w:val="fr-CA"/>
        </w:rPr>
        <w:t>o</w:t>
      </w:r>
      <w:r w:rsidR="00F71DBB">
        <w:rPr>
          <w:sz w:val="20"/>
          <w:szCs w:val="20"/>
          <w:lang w:val="fr-CA"/>
        </w:rPr>
        <w:t xml:space="preserve"> du greffe :</w:t>
      </w:r>
      <w:r w:rsidR="00F71DBB">
        <w:rPr>
          <w:sz w:val="20"/>
          <w:szCs w:val="20"/>
          <w:lang w:val="fr-CA"/>
        </w:rPr>
        <w:tab/>
      </w:r>
      <w:r>
        <w:rPr>
          <w:sz w:val="20"/>
          <w:szCs w:val="20"/>
          <w:lang w:val="fr-CA"/>
        </w:rPr>
        <w:t>31499</w:t>
      </w:r>
    </w:p>
    <w:p w:rsidR="00E6133C" w:rsidRDefault="00E6133C">
      <w:pPr>
        <w:jc w:val="both"/>
        <w:rPr>
          <w:sz w:val="20"/>
          <w:szCs w:val="20"/>
          <w:lang w:val="fr-CA"/>
        </w:rPr>
      </w:pPr>
    </w:p>
    <w:p w:rsidR="00E6133C" w:rsidRDefault="00F71DBB" w:rsidP="00F71DBB">
      <w:pPr>
        <w:tabs>
          <w:tab w:val="left" w:pos="-1440"/>
          <w:tab w:val="left" w:pos="3402"/>
        </w:tabs>
        <w:ind w:left="2160" w:hanging="2160"/>
        <w:jc w:val="both"/>
        <w:rPr>
          <w:sz w:val="20"/>
          <w:szCs w:val="20"/>
          <w:lang w:val="fr-CA"/>
        </w:rPr>
      </w:pPr>
      <w:r>
        <w:rPr>
          <w:sz w:val="20"/>
          <w:szCs w:val="20"/>
          <w:lang w:val="fr-CA"/>
        </w:rPr>
        <w:t>Arrêt de la Cour d’appel :</w:t>
      </w:r>
      <w:r>
        <w:rPr>
          <w:sz w:val="20"/>
          <w:szCs w:val="20"/>
          <w:lang w:val="fr-CA"/>
        </w:rPr>
        <w:tab/>
      </w:r>
      <w:r>
        <w:rPr>
          <w:sz w:val="20"/>
          <w:szCs w:val="20"/>
          <w:lang w:val="fr-CA"/>
        </w:rPr>
        <w:tab/>
      </w:r>
      <w:r w:rsidR="00E6133C">
        <w:rPr>
          <w:sz w:val="20"/>
          <w:szCs w:val="20"/>
          <w:lang w:val="fr-CA"/>
        </w:rPr>
        <w:t>20 avril 2006</w:t>
      </w:r>
    </w:p>
    <w:p w:rsidR="00E6133C" w:rsidRDefault="00E6133C">
      <w:pPr>
        <w:jc w:val="both"/>
        <w:rPr>
          <w:sz w:val="20"/>
          <w:szCs w:val="20"/>
          <w:lang w:val="fr-CA"/>
        </w:rPr>
      </w:pPr>
    </w:p>
    <w:p w:rsidR="00E6133C" w:rsidRPr="00F71DBB" w:rsidRDefault="00F71DBB" w:rsidP="00F71DBB">
      <w:pPr>
        <w:tabs>
          <w:tab w:val="left" w:pos="3402"/>
        </w:tabs>
        <w:jc w:val="both"/>
        <w:rPr>
          <w:sz w:val="20"/>
          <w:szCs w:val="20"/>
        </w:rPr>
      </w:pPr>
      <w:proofErr w:type="spellStart"/>
      <w:proofErr w:type="gramStart"/>
      <w:r w:rsidRPr="00F71DBB">
        <w:rPr>
          <w:sz w:val="20"/>
          <w:szCs w:val="20"/>
        </w:rPr>
        <w:t>Avocats</w:t>
      </w:r>
      <w:proofErr w:type="spellEnd"/>
      <w:r w:rsidRPr="00F71DBB">
        <w:rPr>
          <w:sz w:val="20"/>
          <w:szCs w:val="20"/>
        </w:rPr>
        <w:t xml:space="preserve"> :</w:t>
      </w:r>
      <w:proofErr w:type="gramEnd"/>
      <w:r w:rsidRPr="00F71DBB">
        <w:rPr>
          <w:sz w:val="20"/>
          <w:szCs w:val="20"/>
        </w:rPr>
        <w:tab/>
      </w:r>
      <w:r w:rsidR="00E6133C" w:rsidRPr="00F71DBB">
        <w:rPr>
          <w:sz w:val="20"/>
          <w:szCs w:val="20"/>
        </w:rPr>
        <w:t xml:space="preserve">Lucy </w:t>
      </w:r>
      <w:proofErr w:type="spellStart"/>
      <w:r w:rsidR="00E6133C" w:rsidRPr="00F71DBB">
        <w:rPr>
          <w:sz w:val="20"/>
          <w:szCs w:val="20"/>
        </w:rPr>
        <w:t>Cecchetto</w:t>
      </w:r>
      <w:proofErr w:type="spellEnd"/>
      <w:r w:rsidR="00E6133C" w:rsidRPr="00F71DBB">
        <w:rPr>
          <w:sz w:val="20"/>
          <w:szCs w:val="20"/>
        </w:rPr>
        <w:t xml:space="preserve"> pour </w:t>
      </w:r>
      <w:proofErr w:type="spellStart"/>
      <w:r w:rsidR="00E6133C" w:rsidRPr="00F71DBB">
        <w:rPr>
          <w:sz w:val="20"/>
          <w:szCs w:val="20"/>
        </w:rPr>
        <w:t>l’appelante</w:t>
      </w:r>
      <w:proofErr w:type="spellEnd"/>
    </w:p>
    <w:p w:rsidR="00E6133C" w:rsidRPr="00F71DBB" w:rsidRDefault="00F71DBB" w:rsidP="00F71DBB">
      <w:pPr>
        <w:tabs>
          <w:tab w:val="left" w:pos="3402"/>
        </w:tabs>
        <w:jc w:val="both"/>
        <w:rPr>
          <w:sz w:val="20"/>
          <w:szCs w:val="20"/>
        </w:rPr>
      </w:pPr>
      <w:r>
        <w:rPr>
          <w:sz w:val="20"/>
          <w:szCs w:val="20"/>
        </w:rPr>
        <w:tab/>
      </w:r>
      <w:r w:rsidR="00E6133C" w:rsidRPr="00F71DBB">
        <w:rPr>
          <w:sz w:val="20"/>
          <w:szCs w:val="20"/>
        </w:rPr>
        <w:t xml:space="preserve">Philip Campbell pour </w:t>
      </w:r>
      <w:proofErr w:type="spellStart"/>
      <w:r w:rsidR="00E6133C" w:rsidRPr="00F71DBB">
        <w:rPr>
          <w:sz w:val="20"/>
          <w:szCs w:val="20"/>
        </w:rPr>
        <w:t>l’intimé</w:t>
      </w:r>
      <w:proofErr w:type="spellEnd"/>
    </w:p>
    <w:p w:rsidR="00E6133C" w:rsidRPr="00F71DBB" w:rsidRDefault="00E6133C">
      <w:pPr>
        <w:jc w:val="both"/>
      </w:pPr>
    </w:p>
    <w:p w:rsidR="00E6133C" w:rsidRPr="00F71DBB" w:rsidRDefault="000C11A9">
      <w:pPr>
        <w:spacing w:line="19" w:lineRule="exact"/>
        <w:jc w:val="both"/>
      </w:pPr>
      <w:r>
        <w:rPr>
          <w:noProof/>
        </w:rPr>
        <mc:AlternateContent>
          <mc:Choice Requires="wps">
            <w:drawing>
              <wp:anchor distT="0" distB="0" distL="114300" distR="114300" simplePos="0" relativeHeight="251658240"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011D" id="Rectangle 5" o:spid="_x0000_s1026" style="position:absolute;margin-left:252pt;margin-top:0;width:10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eT7QIAADs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WVFnk+0CAAA7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E6133C" w:rsidRPr="00F71DBB" w:rsidRDefault="00E6133C">
      <w:pPr>
        <w:jc w:val="both"/>
      </w:pPr>
    </w:p>
    <w:p w:rsidR="00E6133C" w:rsidRPr="00F71DBB" w:rsidRDefault="00E6133C">
      <w:pPr>
        <w:tabs>
          <w:tab w:val="left" w:pos="-1440"/>
        </w:tabs>
        <w:ind w:left="720" w:hanging="720"/>
        <w:jc w:val="both"/>
        <w:rPr>
          <w:sz w:val="20"/>
          <w:szCs w:val="20"/>
        </w:rPr>
      </w:pPr>
      <w:r w:rsidRPr="00F71DBB">
        <w:rPr>
          <w:b/>
          <w:bCs/>
          <w:sz w:val="20"/>
          <w:szCs w:val="20"/>
        </w:rPr>
        <w:t>32237</w:t>
      </w:r>
      <w:r w:rsidRPr="00F71DBB">
        <w:rPr>
          <w:sz w:val="20"/>
          <w:szCs w:val="20"/>
        </w:rPr>
        <w:tab/>
      </w:r>
      <w:r w:rsidRPr="00F71DBB">
        <w:rPr>
          <w:b/>
          <w:bCs/>
          <w:i/>
          <w:iCs/>
          <w:sz w:val="20"/>
          <w:szCs w:val="20"/>
        </w:rPr>
        <w:t xml:space="preserve">Kenneth Stephen Terrance </w:t>
      </w:r>
      <w:proofErr w:type="spellStart"/>
      <w:r w:rsidRPr="00F71DBB">
        <w:rPr>
          <w:b/>
          <w:bCs/>
          <w:i/>
          <w:iCs/>
          <w:sz w:val="20"/>
          <w:szCs w:val="20"/>
        </w:rPr>
        <w:t>Solowan</w:t>
      </w:r>
      <w:proofErr w:type="spellEnd"/>
      <w:r w:rsidRPr="00F71DBB">
        <w:rPr>
          <w:b/>
          <w:bCs/>
          <w:i/>
          <w:iCs/>
          <w:sz w:val="20"/>
          <w:szCs w:val="20"/>
        </w:rPr>
        <w:t xml:space="preserve"> v. Her Majesty </w:t>
      </w:r>
      <w:proofErr w:type="gramStart"/>
      <w:r w:rsidRPr="00F71DBB">
        <w:rPr>
          <w:b/>
          <w:bCs/>
          <w:i/>
          <w:iCs/>
          <w:sz w:val="20"/>
          <w:szCs w:val="20"/>
        </w:rPr>
        <w:t>The</w:t>
      </w:r>
      <w:proofErr w:type="gramEnd"/>
      <w:r w:rsidRPr="00F71DBB">
        <w:rPr>
          <w:b/>
          <w:bCs/>
          <w:i/>
          <w:iCs/>
          <w:sz w:val="20"/>
          <w:szCs w:val="20"/>
        </w:rPr>
        <w:t xml:space="preserve"> Queen</w:t>
      </w:r>
    </w:p>
    <w:p w:rsidR="00E6133C" w:rsidRPr="00F71DBB" w:rsidRDefault="00E6133C">
      <w:pPr>
        <w:jc w:val="both"/>
        <w:rPr>
          <w:sz w:val="20"/>
          <w:szCs w:val="20"/>
        </w:rPr>
      </w:pPr>
    </w:p>
    <w:p w:rsidR="00E6133C" w:rsidRPr="00F71DBB" w:rsidRDefault="00E6133C">
      <w:pPr>
        <w:jc w:val="both"/>
        <w:rPr>
          <w:sz w:val="20"/>
          <w:szCs w:val="20"/>
        </w:rPr>
        <w:sectPr w:rsidR="00E6133C" w:rsidRPr="00F71DBB">
          <w:headerReference w:type="default" r:id="rId6"/>
          <w:type w:val="continuous"/>
          <w:pgSz w:w="12240" w:h="15840"/>
          <w:pgMar w:top="1080" w:right="1440" w:bottom="720" w:left="1440" w:header="1080" w:footer="720" w:gutter="0"/>
          <w:cols w:space="720"/>
          <w:noEndnote/>
        </w:sectPr>
      </w:pPr>
    </w:p>
    <w:p w:rsidR="00E6133C" w:rsidRDefault="00E6133C">
      <w:pPr>
        <w:jc w:val="both"/>
        <w:rPr>
          <w:sz w:val="20"/>
          <w:szCs w:val="20"/>
          <w:lang w:val="en-GB"/>
        </w:rPr>
      </w:pPr>
      <w:r w:rsidRPr="00F71DBB">
        <w:rPr>
          <w:sz w:val="20"/>
          <w:szCs w:val="20"/>
        </w:rPr>
        <w:t xml:space="preserve">Criminal law </w:t>
      </w:r>
      <w:r w:rsidRPr="00F71DBB">
        <w:rPr>
          <w:sz w:val="20"/>
          <w:szCs w:val="20"/>
        </w:rPr>
        <w:noBreakHyphen/>
        <w:t xml:space="preserve"> Se</w:t>
      </w:r>
      <w:proofErr w:type="spellStart"/>
      <w:r>
        <w:rPr>
          <w:sz w:val="20"/>
          <w:szCs w:val="20"/>
          <w:lang w:val="en-GB"/>
        </w:rPr>
        <w:t>ntencing</w:t>
      </w:r>
      <w:proofErr w:type="spellEnd"/>
      <w:r>
        <w:rPr>
          <w:sz w:val="20"/>
          <w:szCs w:val="20"/>
          <w:lang w:val="en-GB"/>
        </w:rPr>
        <w:t xml:space="preserve"> </w:t>
      </w:r>
      <w:r>
        <w:rPr>
          <w:sz w:val="20"/>
          <w:szCs w:val="20"/>
          <w:lang w:val="en-GB"/>
        </w:rPr>
        <w:noBreakHyphen/>
        <w:t xml:space="preserve"> Proportionality in sentencing </w:t>
      </w:r>
      <w:r>
        <w:rPr>
          <w:sz w:val="20"/>
          <w:szCs w:val="20"/>
          <w:lang w:val="en-GB"/>
        </w:rPr>
        <w:noBreakHyphen/>
        <w:t xml:space="preserve"> Summary convictions </w:t>
      </w:r>
      <w:r>
        <w:rPr>
          <w:sz w:val="20"/>
          <w:szCs w:val="20"/>
          <w:lang w:val="en-GB"/>
        </w:rPr>
        <w:noBreakHyphen/>
        <w:t xml:space="preserve"> Whether the Court of Appeal erred in finding that for the purposes of the application of the principles of sentencing, in a case where the Crown proceeds summarily, the maximum sentence is the sentence available had the Crown proceeded by indictment. </w:t>
      </w:r>
    </w:p>
    <w:p w:rsidR="00E6133C" w:rsidRDefault="00E6133C">
      <w:pPr>
        <w:jc w:val="both"/>
        <w:rPr>
          <w:sz w:val="20"/>
          <w:szCs w:val="20"/>
          <w:lang w:val="en-GB"/>
        </w:rPr>
      </w:pPr>
    </w:p>
    <w:p w:rsidR="00E6133C" w:rsidRDefault="00E6133C">
      <w:pPr>
        <w:jc w:val="both"/>
        <w:rPr>
          <w:sz w:val="20"/>
          <w:szCs w:val="20"/>
          <w:lang w:val="en-GB"/>
        </w:rPr>
      </w:pPr>
      <w:r>
        <w:rPr>
          <w:sz w:val="20"/>
          <w:szCs w:val="20"/>
          <w:lang w:val="en-GB"/>
        </w:rPr>
        <w:lastRenderedPageBreak/>
        <w:t>The Appellant pleaded guilty to the following counts: possession of stolen property under $5,000, taking an automobile without the owner’s consent, and failing to stop for police.  On November 22, 2006, the 20</w:t>
      </w:r>
      <w:r>
        <w:rPr>
          <w:sz w:val="20"/>
          <w:szCs w:val="20"/>
          <w:lang w:val="en-GB"/>
        </w:rPr>
        <w:noBreakHyphen/>
        <w:t>year</w:t>
      </w:r>
      <w:r>
        <w:rPr>
          <w:sz w:val="20"/>
          <w:szCs w:val="20"/>
          <w:lang w:val="en-GB"/>
        </w:rPr>
        <w:noBreakHyphen/>
        <w:t>old Appellant took an automobile with the owner’s consent but retained possession of it longer than the owner permitted. On December 4, 2006, the police found the Appellant to be in possession of another stolen vehicle. After refusing directions to stop, the Appellant engaged in a high</w:t>
      </w:r>
      <w:r>
        <w:rPr>
          <w:sz w:val="20"/>
          <w:szCs w:val="20"/>
          <w:lang w:val="en-GB"/>
        </w:rPr>
        <w:noBreakHyphen/>
        <w:t>speed chase that ended with the deployment of a spike belt by police. The Crown proceeded summarily on all offences.   The Appellant was sentenced to 15 months in prison on the basis of his record.  The Court of Appeal later reduced the sentence by three months.</w:t>
      </w:r>
    </w:p>
    <w:p w:rsidR="00E6133C" w:rsidRDefault="00E6133C">
      <w:pPr>
        <w:jc w:val="both"/>
        <w:rPr>
          <w:sz w:val="20"/>
          <w:szCs w:val="20"/>
          <w:lang w:val="en-GB"/>
        </w:rPr>
      </w:pPr>
    </w:p>
    <w:p w:rsidR="00E6133C" w:rsidRDefault="00E6133C">
      <w:pPr>
        <w:jc w:val="both"/>
        <w:rPr>
          <w:sz w:val="20"/>
          <w:szCs w:val="20"/>
          <w:lang w:val="en-GB"/>
        </w:rPr>
      </w:pPr>
    </w:p>
    <w:p w:rsidR="00E6133C" w:rsidRDefault="00F71DBB" w:rsidP="00F71DBB">
      <w:pPr>
        <w:tabs>
          <w:tab w:val="left" w:pos="3402"/>
        </w:tabs>
        <w:jc w:val="both"/>
        <w:rPr>
          <w:sz w:val="20"/>
          <w:szCs w:val="20"/>
          <w:lang w:val="en-GB"/>
        </w:rPr>
      </w:pPr>
      <w:r>
        <w:rPr>
          <w:sz w:val="20"/>
          <w:szCs w:val="20"/>
          <w:lang w:val="en-GB"/>
        </w:rPr>
        <w:t>Origin of the case:</w:t>
      </w:r>
      <w:r>
        <w:rPr>
          <w:sz w:val="20"/>
          <w:szCs w:val="20"/>
          <w:lang w:val="en-GB"/>
        </w:rPr>
        <w:tab/>
      </w:r>
      <w:r w:rsidR="00E6133C">
        <w:rPr>
          <w:sz w:val="20"/>
          <w:szCs w:val="20"/>
          <w:lang w:val="en-GB"/>
        </w:rPr>
        <w:t>British Columbia</w:t>
      </w:r>
    </w:p>
    <w:p w:rsidR="00E6133C" w:rsidRDefault="00E6133C">
      <w:pPr>
        <w:jc w:val="both"/>
        <w:rPr>
          <w:sz w:val="20"/>
          <w:szCs w:val="20"/>
          <w:lang w:val="en-GB"/>
        </w:rPr>
      </w:pPr>
    </w:p>
    <w:p w:rsidR="00E6133C" w:rsidRDefault="00F71DBB" w:rsidP="00F71DBB">
      <w:pPr>
        <w:tabs>
          <w:tab w:val="left" w:pos="3402"/>
        </w:tabs>
        <w:jc w:val="both"/>
        <w:rPr>
          <w:sz w:val="20"/>
          <w:szCs w:val="20"/>
          <w:lang w:val="en-GB"/>
        </w:rPr>
      </w:pPr>
      <w:r>
        <w:rPr>
          <w:sz w:val="20"/>
          <w:szCs w:val="20"/>
          <w:lang w:val="en-GB"/>
        </w:rPr>
        <w:t>File No.:</w:t>
      </w:r>
      <w:r>
        <w:rPr>
          <w:sz w:val="20"/>
          <w:szCs w:val="20"/>
          <w:lang w:val="en-GB"/>
        </w:rPr>
        <w:tab/>
      </w:r>
      <w:r w:rsidR="00E6133C">
        <w:rPr>
          <w:sz w:val="20"/>
          <w:szCs w:val="20"/>
          <w:lang w:val="en-GB"/>
        </w:rPr>
        <w:t>32237</w:t>
      </w:r>
    </w:p>
    <w:p w:rsidR="00E6133C" w:rsidRDefault="00E6133C">
      <w:pPr>
        <w:jc w:val="both"/>
        <w:rPr>
          <w:sz w:val="20"/>
          <w:szCs w:val="20"/>
          <w:lang w:val="en-GB"/>
        </w:rPr>
      </w:pPr>
    </w:p>
    <w:p w:rsidR="00E6133C" w:rsidRDefault="00E6133C" w:rsidP="00F71DBB">
      <w:pPr>
        <w:tabs>
          <w:tab w:val="left" w:pos="3402"/>
        </w:tabs>
        <w:jc w:val="both"/>
        <w:rPr>
          <w:sz w:val="20"/>
          <w:szCs w:val="20"/>
          <w:lang w:val="en-GB"/>
        </w:rPr>
      </w:pPr>
      <w:r>
        <w:rPr>
          <w:sz w:val="20"/>
          <w:szCs w:val="20"/>
          <w:lang w:val="en-GB"/>
        </w:rPr>
        <w:t xml:space="preserve">Judgment of the </w:t>
      </w:r>
      <w:r w:rsidR="00F71DBB">
        <w:rPr>
          <w:sz w:val="20"/>
          <w:szCs w:val="20"/>
          <w:lang w:val="en-GB"/>
        </w:rPr>
        <w:t>Court of Appeal:</w:t>
      </w:r>
      <w:r w:rsidR="00F71DBB">
        <w:rPr>
          <w:sz w:val="20"/>
          <w:szCs w:val="20"/>
          <w:lang w:val="en-GB"/>
        </w:rPr>
        <w:tab/>
      </w:r>
      <w:r>
        <w:rPr>
          <w:sz w:val="20"/>
          <w:szCs w:val="20"/>
          <w:lang w:val="en-GB"/>
        </w:rPr>
        <w:t>July 18, 2007</w:t>
      </w:r>
    </w:p>
    <w:p w:rsidR="00E6133C" w:rsidRDefault="00E6133C">
      <w:pPr>
        <w:jc w:val="both"/>
        <w:rPr>
          <w:sz w:val="20"/>
          <w:szCs w:val="20"/>
          <w:lang w:val="en-GB"/>
        </w:rPr>
      </w:pPr>
    </w:p>
    <w:p w:rsidR="00E6133C" w:rsidRDefault="00F71DBB" w:rsidP="00F71DBB">
      <w:pPr>
        <w:tabs>
          <w:tab w:val="left" w:pos="3402"/>
        </w:tabs>
        <w:jc w:val="both"/>
        <w:rPr>
          <w:sz w:val="20"/>
          <w:szCs w:val="20"/>
          <w:lang w:val="en-GB"/>
        </w:rPr>
      </w:pPr>
      <w:r>
        <w:rPr>
          <w:sz w:val="20"/>
          <w:szCs w:val="20"/>
          <w:lang w:val="en-GB"/>
        </w:rPr>
        <w:t>Counsel:</w:t>
      </w:r>
      <w:r>
        <w:rPr>
          <w:sz w:val="20"/>
          <w:szCs w:val="20"/>
          <w:lang w:val="en-GB"/>
        </w:rPr>
        <w:tab/>
      </w:r>
      <w:r w:rsidR="00E6133C">
        <w:rPr>
          <w:sz w:val="20"/>
          <w:szCs w:val="20"/>
          <w:lang w:val="en-GB"/>
        </w:rPr>
        <w:t xml:space="preserve">Roger P. </w:t>
      </w:r>
      <w:proofErr w:type="spellStart"/>
      <w:r w:rsidR="00E6133C">
        <w:rPr>
          <w:sz w:val="20"/>
          <w:szCs w:val="20"/>
          <w:lang w:val="en-GB"/>
        </w:rPr>
        <w:t>Thirkell</w:t>
      </w:r>
      <w:proofErr w:type="spellEnd"/>
      <w:r w:rsidR="00E6133C">
        <w:rPr>
          <w:sz w:val="20"/>
          <w:szCs w:val="20"/>
          <w:lang w:val="en-GB"/>
        </w:rPr>
        <w:t xml:space="preserve"> for the Appellant</w:t>
      </w:r>
    </w:p>
    <w:p w:rsidR="00E6133C" w:rsidRPr="00F71DBB" w:rsidRDefault="00F71DBB" w:rsidP="00F71DBB">
      <w:pPr>
        <w:tabs>
          <w:tab w:val="left" w:pos="3402"/>
        </w:tabs>
        <w:jc w:val="both"/>
        <w:rPr>
          <w:sz w:val="20"/>
          <w:szCs w:val="20"/>
        </w:rPr>
      </w:pPr>
      <w:r>
        <w:rPr>
          <w:sz w:val="20"/>
          <w:szCs w:val="20"/>
        </w:rPr>
        <w:tab/>
      </w:r>
      <w:r w:rsidR="00E6133C" w:rsidRPr="00F71DBB">
        <w:rPr>
          <w:sz w:val="20"/>
          <w:szCs w:val="20"/>
        </w:rPr>
        <w:t>Wendy Rubin for the Respondent</w:t>
      </w:r>
    </w:p>
    <w:p w:rsidR="00E6133C" w:rsidRPr="00F71DBB" w:rsidRDefault="00E6133C">
      <w:pPr>
        <w:jc w:val="both"/>
        <w:rPr>
          <w:sz w:val="20"/>
          <w:szCs w:val="20"/>
        </w:rPr>
      </w:pPr>
    </w:p>
    <w:p w:rsidR="00E6133C" w:rsidRPr="00F71DBB" w:rsidRDefault="000C11A9">
      <w:pPr>
        <w:spacing w:line="19" w:lineRule="exact"/>
        <w:jc w:val="both"/>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9FE84" id="Rectangle 6" o:spid="_x0000_s1026" style="position:absolute;margin-left:252pt;margin-top:0;width:10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at7AIAADs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" o:allowincell="f" fillcolor="black" stroked="f" strokeweight="0">
                <w10:wrap anchorx="page"/>
                <w10:anchorlock/>
              </v:rect>
            </w:pict>
          </mc:Fallback>
        </mc:AlternateContent>
      </w:r>
    </w:p>
    <w:p w:rsidR="00E6133C" w:rsidRPr="00F71DBB" w:rsidRDefault="00E6133C">
      <w:pPr>
        <w:jc w:val="both"/>
        <w:rPr>
          <w:sz w:val="20"/>
          <w:szCs w:val="20"/>
        </w:rPr>
      </w:pPr>
    </w:p>
    <w:p w:rsidR="00E6133C" w:rsidRDefault="00E6133C">
      <w:pPr>
        <w:tabs>
          <w:tab w:val="left" w:pos="-1440"/>
        </w:tabs>
        <w:ind w:left="720" w:hanging="720"/>
        <w:jc w:val="both"/>
        <w:rPr>
          <w:sz w:val="20"/>
          <w:szCs w:val="20"/>
          <w:lang w:val="fr-CA"/>
        </w:rPr>
      </w:pPr>
      <w:r w:rsidRPr="00F71DBB">
        <w:rPr>
          <w:b/>
          <w:bCs/>
          <w:sz w:val="20"/>
          <w:szCs w:val="20"/>
        </w:rPr>
        <w:t>32237</w:t>
      </w:r>
      <w:r w:rsidRPr="00F71DBB">
        <w:rPr>
          <w:b/>
          <w:bCs/>
          <w:sz w:val="20"/>
          <w:szCs w:val="20"/>
        </w:rPr>
        <w:tab/>
      </w:r>
      <w:r w:rsidRPr="00F71DBB">
        <w:rPr>
          <w:b/>
          <w:bCs/>
          <w:i/>
          <w:iCs/>
          <w:sz w:val="20"/>
          <w:szCs w:val="20"/>
        </w:rPr>
        <w:t xml:space="preserve">Kenneth Stephen </w:t>
      </w:r>
      <w:proofErr w:type="spellStart"/>
      <w:r w:rsidRPr="00F71DBB">
        <w:rPr>
          <w:b/>
          <w:bCs/>
          <w:i/>
          <w:iCs/>
          <w:sz w:val="20"/>
          <w:szCs w:val="20"/>
        </w:rPr>
        <w:t>Ter</w:t>
      </w:r>
      <w:proofErr w:type="spellEnd"/>
      <w:r>
        <w:rPr>
          <w:b/>
          <w:bCs/>
          <w:i/>
          <w:iCs/>
          <w:sz w:val="20"/>
          <w:szCs w:val="20"/>
          <w:lang w:val="fr-CA"/>
        </w:rPr>
        <w:t xml:space="preserve">rance </w:t>
      </w:r>
      <w:proofErr w:type="spellStart"/>
      <w:r>
        <w:rPr>
          <w:b/>
          <w:bCs/>
          <w:i/>
          <w:iCs/>
          <w:sz w:val="20"/>
          <w:szCs w:val="20"/>
          <w:lang w:val="fr-CA"/>
        </w:rPr>
        <w:t>Solowan</w:t>
      </w:r>
      <w:proofErr w:type="spellEnd"/>
      <w:r>
        <w:rPr>
          <w:b/>
          <w:bCs/>
          <w:i/>
          <w:iCs/>
          <w:sz w:val="20"/>
          <w:szCs w:val="20"/>
          <w:lang w:val="fr-CA"/>
        </w:rPr>
        <w:t xml:space="preserve"> c. Sa Majesté la Reine</w:t>
      </w:r>
    </w:p>
    <w:p w:rsidR="00E6133C" w:rsidRDefault="00E6133C">
      <w:pPr>
        <w:jc w:val="both"/>
        <w:rPr>
          <w:sz w:val="20"/>
          <w:szCs w:val="20"/>
          <w:lang w:val="fr-CA"/>
        </w:rPr>
      </w:pPr>
    </w:p>
    <w:p w:rsidR="00E6133C" w:rsidRDefault="00E6133C">
      <w:pPr>
        <w:jc w:val="both"/>
        <w:rPr>
          <w:sz w:val="20"/>
          <w:szCs w:val="20"/>
          <w:lang w:val="fr-CA"/>
        </w:rPr>
      </w:pPr>
      <w:r>
        <w:rPr>
          <w:sz w:val="20"/>
          <w:szCs w:val="20"/>
          <w:lang w:val="fr-CA"/>
        </w:rPr>
        <w:t xml:space="preserve">Droit criminel </w:t>
      </w:r>
      <w:r>
        <w:rPr>
          <w:sz w:val="20"/>
          <w:szCs w:val="20"/>
          <w:lang w:val="fr-CA"/>
        </w:rPr>
        <w:noBreakHyphen/>
        <w:t xml:space="preserve"> Détermination de la peine </w:t>
      </w:r>
      <w:r>
        <w:rPr>
          <w:sz w:val="20"/>
          <w:szCs w:val="20"/>
          <w:lang w:val="fr-CA"/>
        </w:rPr>
        <w:noBreakHyphen/>
        <w:t xml:space="preserve"> Proportionnalité de la peine </w:t>
      </w:r>
      <w:r>
        <w:rPr>
          <w:sz w:val="20"/>
          <w:szCs w:val="20"/>
          <w:lang w:val="fr-CA"/>
        </w:rPr>
        <w:noBreakHyphen/>
        <w:t xml:space="preserve"> Déclarations de culpabilité par procédure sommaire </w:t>
      </w:r>
      <w:r>
        <w:rPr>
          <w:sz w:val="20"/>
          <w:szCs w:val="20"/>
          <w:lang w:val="fr-CA"/>
        </w:rPr>
        <w:noBreakHyphen/>
        <w:t xml:space="preserve"> La Cour d’appel a</w:t>
      </w:r>
      <w:r>
        <w:rPr>
          <w:sz w:val="20"/>
          <w:szCs w:val="20"/>
          <w:lang w:val="fr-CA"/>
        </w:rPr>
        <w:noBreakHyphen/>
        <w:t>t</w:t>
      </w:r>
      <w:r>
        <w:rPr>
          <w:sz w:val="20"/>
          <w:szCs w:val="20"/>
          <w:lang w:val="fr-CA"/>
        </w:rPr>
        <w:noBreakHyphen/>
        <w:t xml:space="preserve">elle fait une erreur en concluant que, pour l’application des principes de la détermination de la peine, dans un cas où la Couronne choisit la procédure sommaire, la peine maximale est celle qui aurait pu être infligée si la Couronne avait choisi la mise en accusation? </w:t>
      </w:r>
    </w:p>
    <w:p w:rsidR="00E6133C" w:rsidRDefault="00E6133C">
      <w:pPr>
        <w:jc w:val="both"/>
        <w:rPr>
          <w:sz w:val="20"/>
          <w:szCs w:val="20"/>
          <w:lang w:val="fr-CA"/>
        </w:rPr>
      </w:pPr>
    </w:p>
    <w:p w:rsidR="00E6133C" w:rsidRDefault="00E6133C">
      <w:pPr>
        <w:jc w:val="both"/>
        <w:rPr>
          <w:sz w:val="20"/>
          <w:szCs w:val="20"/>
          <w:lang w:val="fr-CA"/>
        </w:rPr>
      </w:pPr>
      <w:r>
        <w:rPr>
          <w:sz w:val="20"/>
          <w:szCs w:val="20"/>
          <w:lang w:val="fr-CA"/>
        </w:rPr>
        <w:t>L’appelant a plaidé coupable aux chefs d’accusation suivants : avoir été en possession de biens volés d’une valeur de moins de 5 000 $, avoir pris une automobile sans le consentement de son propriétaire et ne pas s’être arrêté à la demande de la police. Le 22 novembre 2006, l’appelant, qui était alors âgé de 20 ans, a pris une automobile avec le consentement de son propriétaire mais l’a gardée en sa possession plus longtemps que le propriétaire ne l’avait permis. Le 4 décembre 2006, la police a trouvé l’appelant en possession d’un autre véhicule volé. Après que l’appelant eut refusé de s’arrêter comme le lui demandait la police, il y a eu une poursuite à grande vitesse, qui a pris fin lorsque la police a déployé une bande cloutée. La Couronne a eu recours à la procédure sommaire à l’égard de toutes les infractions. L’appelant a été condamné à 15 mois de prison compte tenu de son dossier. La Cour d’appel a ultérieurement ramené la peine à trois mois.</w:t>
      </w:r>
    </w:p>
    <w:p w:rsidR="00E6133C" w:rsidRDefault="00E6133C">
      <w:pPr>
        <w:jc w:val="both"/>
        <w:rPr>
          <w:sz w:val="20"/>
          <w:szCs w:val="20"/>
          <w:lang w:val="fr-CA"/>
        </w:rPr>
      </w:pPr>
    </w:p>
    <w:p w:rsidR="00E6133C" w:rsidRDefault="00E6133C">
      <w:pPr>
        <w:jc w:val="both"/>
        <w:rPr>
          <w:sz w:val="20"/>
          <w:szCs w:val="20"/>
          <w:lang w:val="fr-CA"/>
        </w:rPr>
      </w:pPr>
    </w:p>
    <w:p w:rsidR="00E6133C" w:rsidRDefault="00F71DBB" w:rsidP="00F71DBB">
      <w:pPr>
        <w:tabs>
          <w:tab w:val="left" w:pos="3402"/>
        </w:tabs>
        <w:jc w:val="both"/>
        <w:rPr>
          <w:sz w:val="20"/>
          <w:szCs w:val="20"/>
          <w:lang w:val="fr-CA"/>
        </w:rPr>
      </w:pPr>
      <w:r>
        <w:rPr>
          <w:sz w:val="20"/>
          <w:szCs w:val="20"/>
          <w:lang w:val="fr-CA"/>
        </w:rPr>
        <w:t>Origine de la cause :</w:t>
      </w:r>
      <w:r>
        <w:rPr>
          <w:sz w:val="20"/>
          <w:szCs w:val="20"/>
          <w:lang w:val="fr-CA"/>
        </w:rPr>
        <w:tab/>
      </w:r>
      <w:r w:rsidR="00E6133C">
        <w:rPr>
          <w:sz w:val="20"/>
          <w:szCs w:val="20"/>
          <w:lang w:val="fr-CA"/>
        </w:rPr>
        <w:t>Colombie</w:t>
      </w:r>
      <w:r w:rsidR="00E6133C">
        <w:rPr>
          <w:sz w:val="20"/>
          <w:szCs w:val="20"/>
          <w:lang w:val="fr-CA"/>
        </w:rPr>
        <w:noBreakHyphen/>
        <w:t>Britannique</w:t>
      </w:r>
    </w:p>
    <w:p w:rsidR="00E6133C" w:rsidRDefault="00E6133C">
      <w:pPr>
        <w:jc w:val="both"/>
        <w:rPr>
          <w:sz w:val="20"/>
          <w:szCs w:val="20"/>
          <w:lang w:val="fr-CA"/>
        </w:rPr>
      </w:pPr>
    </w:p>
    <w:p w:rsidR="00E6133C" w:rsidRDefault="00E6133C" w:rsidP="00F71DBB">
      <w:pPr>
        <w:tabs>
          <w:tab w:val="left" w:pos="3402"/>
        </w:tabs>
        <w:jc w:val="both"/>
        <w:rPr>
          <w:sz w:val="20"/>
          <w:szCs w:val="20"/>
          <w:lang w:val="fr-CA"/>
        </w:rPr>
      </w:pPr>
      <w:r>
        <w:rPr>
          <w:sz w:val="20"/>
          <w:szCs w:val="20"/>
          <w:lang w:val="fr-CA"/>
        </w:rPr>
        <w:t>N</w:t>
      </w:r>
      <w:r>
        <w:rPr>
          <w:sz w:val="20"/>
          <w:szCs w:val="20"/>
          <w:vertAlign w:val="superscript"/>
          <w:lang w:val="fr-CA"/>
        </w:rPr>
        <w:t>o</w:t>
      </w:r>
      <w:r w:rsidR="00F71DBB">
        <w:rPr>
          <w:sz w:val="20"/>
          <w:szCs w:val="20"/>
          <w:lang w:val="fr-CA"/>
        </w:rPr>
        <w:t xml:space="preserve"> du greffe :</w:t>
      </w:r>
      <w:r w:rsidR="00F71DBB">
        <w:rPr>
          <w:sz w:val="20"/>
          <w:szCs w:val="20"/>
          <w:lang w:val="fr-CA"/>
        </w:rPr>
        <w:tab/>
      </w:r>
      <w:r>
        <w:rPr>
          <w:sz w:val="20"/>
          <w:szCs w:val="20"/>
          <w:lang w:val="fr-CA"/>
        </w:rPr>
        <w:t>32237</w:t>
      </w:r>
    </w:p>
    <w:p w:rsidR="00E6133C" w:rsidRDefault="00E6133C">
      <w:pPr>
        <w:jc w:val="both"/>
        <w:rPr>
          <w:sz w:val="20"/>
          <w:szCs w:val="20"/>
          <w:lang w:val="fr-CA"/>
        </w:rPr>
      </w:pPr>
    </w:p>
    <w:p w:rsidR="00E6133C" w:rsidRDefault="00F71DBB" w:rsidP="00F71DBB">
      <w:pPr>
        <w:tabs>
          <w:tab w:val="left" w:pos="-1440"/>
          <w:tab w:val="left" w:pos="3402"/>
        </w:tabs>
        <w:ind w:left="3600" w:hanging="3600"/>
        <w:jc w:val="both"/>
        <w:rPr>
          <w:sz w:val="20"/>
          <w:szCs w:val="20"/>
          <w:lang w:val="fr-CA"/>
        </w:rPr>
      </w:pPr>
      <w:r>
        <w:rPr>
          <w:sz w:val="20"/>
          <w:szCs w:val="20"/>
          <w:lang w:val="fr-CA"/>
        </w:rPr>
        <w:t>Arrêt de la Cour d’appel :</w:t>
      </w:r>
      <w:r>
        <w:rPr>
          <w:sz w:val="20"/>
          <w:szCs w:val="20"/>
          <w:lang w:val="fr-CA"/>
        </w:rPr>
        <w:tab/>
      </w:r>
      <w:r w:rsidR="00E6133C">
        <w:rPr>
          <w:sz w:val="20"/>
          <w:szCs w:val="20"/>
          <w:lang w:val="fr-CA"/>
        </w:rPr>
        <w:t>18 juillet 2007</w:t>
      </w:r>
    </w:p>
    <w:p w:rsidR="00E6133C" w:rsidRDefault="00E6133C">
      <w:pPr>
        <w:jc w:val="both"/>
        <w:rPr>
          <w:sz w:val="20"/>
          <w:szCs w:val="20"/>
          <w:lang w:val="fr-CA"/>
        </w:rPr>
      </w:pPr>
    </w:p>
    <w:p w:rsidR="00E6133C" w:rsidRDefault="00F71DBB" w:rsidP="00F71DBB">
      <w:pPr>
        <w:tabs>
          <w:tab w:val="left" w:pos="3402"/>
        </w:tabs>
        <w:jc w:val="both"/>
        <w:rPr>
          <w:sz w:val="20"/>
          <w:szCs w:val="20"/>
          <w:lang w:val="fr-CA"/>
        </w:rPr>
      </w:pPr>
      <w:r>
        <w:rPr>
          <w:sz w:val="20"/>
          <w:szCs w:val="20"/>
          <w:lang w:val="fr-CA"/>
        </w:rPr>
        <w:t>Avocats :</w:t>
      </w:r>
      <w:r>
        <w:rPr>
          <w:sz w:val="20"/>
          <w:szCs w:val="20"/>
          <w:lang w:val="fr-CA"/>
        </w:rPr>
        <w:tab/>
      </w:r>
      <w:r w:rsidR="00E6133C">
        <w:rPr>
          <w:sz w:val="20"/>
          <w:szCs w:val="20"/>
          <w:lang w:val="fr-CA"/>
        </w:rPr>
        <w:t xml:space="preserve">Roger P. </w:t>
      </w:r>
      <w:proofErr w:type="spellStart"/>
      <w:r w:rsidR="00E6133C">
        <w:rPr>
          <w:sz w:val="20"/>
          <w:szCs w:val="20"/>
          <w:lang w:val="fr-CA"/>
        </w:rPr>
        <w:t>Thirkell</w:t>
      </w:r>
      <w:proofErr w:type="spellEnd"/>
      <w:r w:rsidR="00E6133C">
        <w:rPr>
          <w:sz w:val="20"/>
          <w:szCs w:val="20"/>
          <w:lang w:val="fr-CA"/>
        </w:rPr>
        <w:t xml:space="preserve"> pour l’appelant</w:t>
      </w:r>
    </w:p>
    <w:p w:rsidR="00E6133C" w:rsidRDefault="00F71DBB" w:rsidP="00F71DBB">
      <w:pPr>
        <w:tabs>
          <w:tab w:val="left" w:pos="3402"/>
        </w:tabs>
        <w:jc w:val="both"/>
        <w:rPr>
          <w:sz w:val="20"/>
          <w:szCs w:val="20"/>
          <w:lang w:val="fr-CA"/>
        </w:rPr>
      </w:pPr>
      <w:r>
        <w:rPr>
          <w:sz w:val="20"/>
          <w:szCs w:val="20"/>
          <w:lang w:val="fr-CA"/>
        </w:rPr>
        <w:tab/>
      </w:r>
      <w:bookmarkStart w:id="8" w:name="_GoBack"/>
      <w:bookmarkEnd w:id="8"/>
      <w:r w:rsidR="00E6133C">
        <w:rPr>
          <w:sz w:val="20"/>
          <w:szCs w:val="20"/>
          <w:lang w:val="fr-CA"/>
        </w:rPr>
        <w:t>Wendy Rubin pour l’intimée</w:t>
      </w:r>
    </w:p>
    <w:p w:rsidR="00E6133C" w:rsidRDefault="00E6133C">
      <w:pPr>
        <w:jc w:val="both"/>
      </w:pPr>
    </w:p>
    <w:p w:rsidR="00E6133C" w:rsidRDefault="000C11A9">
      <w:pPr>
        <w:spacing w:line="19" w:lineRule="exact"/>
        <w:jc w:val="both"/>
        <w:rPr>
          <w:lang w:val="en-GB"/>
        </w:rPr>
      </w:pPr>
      <w:r>
        <w:rPr>
          <w:noProof/>
        </w:rPr>
        <mc:AlternateContent>
          <mc:Choice Requires="wps">
            <w:drawing>
              <wp:anchor distT="0" distB="0" distL="114300" distR="114300" simplePos="0" relativeHeight="25166028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1FF2" id="Rectangle 7" o:spid="_x0000_s1026" style="position:absolute;margin-left:252pt;margin-top:0;width:10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Wl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Ek2Fpe0CAAA7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E6133C" w:rsidRDefault="00E6133C">
      <w:pPr>
        <w:jc w:val="both"/>
        <w:rPr>
          <w:lang w:val="en-GB"/>
        </w:rPr>
      </w:pPr>
    </w:p>
    <w:p w:rsidR="00E6133C" w:rsidRDefault="00E6133C">
      <w:pPr>
        <w:jc w:val="both"/>
        <w:rPr>
          <w:sz w:val="20"/>
          <w:szCs w:val="20"/>
          <w:lang w:val="fr-CA"/>
        </w:rPr>
      </w:pPr>
    </w:p>
    <w:p w:rsidR="00E6133C" w:rsidRDefault="00E6133C">
      <w:pPr>
        <w:jc w:val="both"/>
        <w:rPr>
          <w:sz w:val="20"/>
          <w:szCs w:val="20"/>
          <w:lang w:val="en-GB"/>
        </w:rPr>
      </w:pPr>
    </w:p>
    <w:sectPr w:rsidR="00E6133C" w:rsidSect="00E6133C">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3C" w:rsidRDefault="00E6133C" w:rsidP="00E6133C">
      <w:r>
        <w:separator/>
      </w:r>
    </w:p>
  </w:endnote>
  <w:endnote w:type="continuationSeparator" w:id="0">
    <w:p w:rsidR="00E6133C" w:rsidRDefault="00E6133C" w:rsidP="00E6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3C" w:rsidRDefault="00E6133C" w:rsidP="00E6133C">
      <w:r>
        <w:separator/>
      </w:r>
    </w:p>
  </w:footnote>
  <w:footnote w:type="continuationSeparator" w:id="0">
    <w:p w:rsidR="00E6133C" w:rsidRDefault="00E6133C" w:rsidP="00E6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3C" w:rsidRDefault="00E6133C">
    <w:pPr>
      <w:framePr w:w="9361" w:wrap="notBeside" w:vAnchor="text" w:hAnchor="text" w:x="1" w:y="1"/>
      <w:jc w:val="center"/>
    </w:pPr>
    <w:r>
      <w:sym w:font="Symbol" w:char="F02D"/>
    </w:r>
    <w:r>
      <w:sym w:font="Symbol" w:char="F020"/>
    </w:r>
    <w:r>
      <w:fldChar w:fldCharType="begin"/>
    </w:r>
    <w:r>
      <w:instrText xml:space="preserve">PAGE </w:instrText>
    </w:r>
    <w:r>
      <w:fldChar w:fldCharType="separate"/>
    </w:r>
    <w:r w:rsidR="00F71DBB">
      <w:rPr>
        <w:noProof/>
      </w:rPr>
      <w:t>3</w:t>
    </w:r>
    <w:r>
      <w:fldChar w:fldCharType="end"/>
    </w:r>
    <w:r>
      <w:sym w:font="Symbol" w:char="F020"/>
    </w:r>
    <w:r>
      <w:sym w:font="Symbol" w:char="F02D"/>
    </w:r>
  </w:p>
  <w:p w:rsidR="00E6133C" w:rsidRDefault="00E6133C"/>
  <w:p w:rsidR="00E6133C" w:rsidRDefault="00E6133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3C"/>
    <w:rsid w:val="000C11A9"/>
    <w:rsid w:val="00E6133C"/>
    <w:rsid w:val="00F7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FF19D6-588D-4A36-90AE-7ACB762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1232</Words>
  <Characters>6501</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3</cp:revision>
  <dcterms:created xsi:type="dcterms:W3CDTF">2019-02-26T14:14:00Z</dcterms:created>
  <dcterms:modified xsi:type="dcterms:W3CDTF">2019-02-26T14:21:00Z</dcterms:modified>
</cp:coreProperties>
</file>