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4D42" w:rsidRDefault="003F43E6" w:rsidP="003F43E6">
      <w:pPr>
        <w:pStyle w:val="Header"/>
        <w:jc w:val="center"/>
        <w:rPr>
          <w:b/>
          <w:sz w:val="32"/>
        </w:rPr>
      </w:pPr>
      <w:bookmarkStart w:id="0" w:name="_GoBack"/>
      <w:bookmarkEnd w:id="0"/>
      <w:r w:rsidRPr="004B4D42">
        <w:rPr>
          <w:b/>
          <w:sz w:val="32"/>
        </w:rPr>
        <w:t>Supreme Court of Canada / Cour suprême du Canada</w:t>
      </w:r>
    </w:p>
    <w:p w:rsidR="003F43E6" w:rsidRPr="004B4D42" w:rsidRDefault="003F43E6" w:rsidP="006F2579">
      <w:pPr>
        <w:widowControl w:val="0"/>
        <w:rPr>
          <w:i/>
        </w:rPr>
      </w:pPr>
    </w:p>
    <w:p w:rsidR="006F2579" w:rsidRPr="004B4D42" w:rsidRDefault="006F2579" w:rsidP="006F2579">
      <w:pPr>
        <w:widowControl w:val="0"/>
        <w:rPr>
          <w:i/>
        </w:rPr>
      </w:pPr>
      <w:r w:rsidRPr="004B4D42">
        <w:rPr>
          <w:i/>
        </w:rPr>
        <w:t>(le français suit)</w:t>
      </w:r>
    </w:p>
    <w:p w:rsidR="006F2579" w:rsidRPr="004B4D42" w:rsidRDefault="006F2579" w:rsidP="006F2579">
      <w:pPr>
        <w:widowControl w:val="0"/>
      </w:pPr>
    </w:p>
    <w:p w:rsidR="006F2579" w:rsidRPr="004B4D42" w:rsidRDefault="00B07908" w:rsidP="006F2579">
      <w:pPr>
        <w:widowControl w:val="0"/>
        <w:jc w:val="center"/>
        <w:rPr>
          <w:b/>
        </w:rPr>
      </w:pPr>
      <w:r w:rsidRPr="004B4D42">
        <w:fldChar w:fldCharType="begin"/>
      </w:r>
      <w:r w:rsidR="006F2579" w:rsidRPr="004B4D42">
        <w:instrText xml:space="preserve"> SEQ CHAPTER \h \r 1</w:instrText>
      </w:r>
      <w:r w:rsidRPr="004B4D42">
        <w:fldChar w:fldCharType="end"/>
      </w:r>
      <w:r w:rsidR="006F2579" w:rsidRPr="004B4D42">
        <w:rPr>
          <w:b/>
        </w:rPr>
        <w:t>JUDGMENT</w:t>
      </w:r>
      <w:r w:rsidR="00B17AAC" w:rsidRPr="004B4D42">
        <w:rPr>
          <w:b/>
        </w:rPr>
        <w:t>S</w:t>
      </w:r>
      <w:r w:rsidR="006F2579" w:rsidRPr="004B4D42">
        <w:rPr>
          <w:b/>
        </w:rPr>
        <w:t xml:space="preserve"> TO B</w:t>
      </w:r>
      <w:r w:rsidR="00001846" w:rsidRPr="004B4D42">
        <w:rPr>
          <w:b/>
        </w:rPr>
        <w:t>E RENDERED IN LEAVE APPLICATION</w:t>
      </w:r>
      <w:r w:rsidR="00B17AAC" w:rsidRPr="004B4D42">
        <w:rPr>
          <w:b/>
        </w:rPr>
        <w:t>S</w:t>
      </w:r>
    </w:p>
    <w:p w:rsidR="006F2579" w:rsidRPr="004B4D42" w:rsidRDefault="006F2579" w:rsidP="006F2579">
      <w:pPr>
        <w:widowControl w:val="0"/>
        <w:rPr>
          <w:b/>
        </w:rPr>
      </w:pPr>
    </w:p>
    <w:p w:rsidR="006F2579" w:rsidRPr="004B4D42" w:rsidRDefault="00957342" w:rsidP="006F2579">
      <w:pPr>
        <w:widowControl w:val="0"/>
        <w:rPr>
          <w:b/>
        </w:rPr>
      </w:pPr>
      <w:r>
        <w:rPr>
          <w:b/>
        </w:rPr>
        <w:t>November</w:t>
      </w:r>
      <w:r w:rsidR="0001736B">
        <w:rPr>
          <w:b/>
        </w:rPr>
        <w:t xml:space="preserve"> </w:t>
      </w:r>
      <w:r w:rsidR="00232934">
        <w:rPr>
          <w:b/>
        </w:rPr>
        <w:t>2</w:t>
      </w:r>
      <w:r w:rsidR="006F2579" w:rsidRPr="004B4D42">
        <w:rPr>
          <w:b/>
        </w:rPr>
        <w:t xml:space="preserve">, </w:t>
      </w:r>
      <w:r w:rsidR="0054689F">
        <w:rPr>
          <w:b/>
        </w:rPr>
        <w:t>2015</w:t>
      </w:r>
    </w:p>
    <w:p w:rsidR="006F2579" w:rsidRPr="004B4D42" w:rsidRDefault="006F2579" w:rsidP="006F2579">
      <w:pPr>
        <w:widowControl w:val="0"/>
        <w:rPr>
          <w:b/>
        </w:rPr>
      </w:pPr>
      <w:r w:rsidRPr="004B4D42">
        <w:rPr>
          <w:b/>
        </w:rPr>
        <w:t>For immediate release</w:t>
      </w:r>
    </w:p>
    <w:p w:rsidR="006F2579" w:rsidRPr="004B4D42" w:rsidRDefault="006F2579" w:rsidP="006F2579">
      <w:pPr>
        <w:widowControl w:val="0"/>
      </w:pPr>
    </w:p>
    <w:p w:rsidR="006F2579" w:rsidRPr="00F9562A" w:rsidRDefault="006F2579" w:rsidP="006F2579">
      <w:pPr>
        <w:widowControl w:val="0"/>
        <w:rPr>
          <w:lang w:val="fr-CA"/>
        </w:rPr>
      </w:pPr>
      <w:r w:rsidRPr="004B4D42">
        <w:rPr>
          <w:b/>
        </w:rPr>
        <w:t>OTTAWA</w:t>
      </w:r>
      <w:r w:rsidRPr="004B4D42">
        <w:t xml:space="preserve"> – The Supreme Court of Canada announced today that judgment in the following application</w:t>
      </w:r>
      <w:r w:rsidR="008600ED" w:rsidRPr="004B4D42">
        <w:t>s</w:t>
      </w:r>
      <w:r w:rsidRPr="004B4D42">
        <w:t xml:space="preserve"> for leave to appeal will be delivered at 9:45 a.m. E</w:t>
      </w:r>
      <w:r w:rsidR="00957342">
        <w:t>S</w:t>
      </w:r>
      <w:r w:rsidRPr="004B4D42">
        <w:t xml:space="preserve">T on Thursday, </w:t>
      </w:r>
      <w:r w:rsidR="00957342">
        <w:t>Novem</w:t>
      </w:r>
      <w:r w:rsidR="00A024F6">
        <w:t xml:space="preserve">ber </w:t>
      </w:r>
      <w:r w:rsidR="00957342">
        <w:t>5</w:t>
      </w:r>
      <w:r w:rsidR="00960719" w:rsidRPr="004B4D42">
        <w:t>,</w:t>
      </w:r>
      <w:r w:rsidR="002F38D7" w:rsidRPr="004B4D42">
        <w:t xml:space="preserve"> </w:t>
      </w:r>
      <w:r w:rsidR="006648D1" w:rsidRPr="004B4D42">
        <w:t>2015</w:t>
      </w:r>
      <w:r w:rsidRPr="004B4D42">
        <w:t xml:space="preserve">.  </w:t>
      </w:r>
      <w:r w:rsidRPr="00F9562A">
        <w:rPr>
          <w:lang w:val="fr-CA"/>
        </w:rPr>
        <w:t>This list is subject to change.</w:t>
      </w:r>
    </w:p>
    <w:p w:rsidR="006F2579" w:rsidRPr="00F9562A" w:rsidRDefault="006F2579" w:rsidP="006F2579">
      <w:pPr>
        <w:widowControl w:val="0"/>
        <w:rPr>
          <w:lang w:val="fr-CA"/>
        </w:rPr>
      </w:pPr>
    </w:p>
    <w:p w:rsidR="00FF5AA4" w:rsidRPr="00F9562A" w:rsidRDefault="00FF5AA4" w:rsidP="006F2579">
      <w:pPr>
        <w:widowControl w:val="0"/>
        <w:rPr>
          <w:lang w:val="fr-CA"/>
        </w:rPr>
      </w:pPr>
    </w:p>
    <w:p w:rsidR="006F2579" w:rsidRPr="004B4D42" w:rsidRDefault="006F2579" w:rsidP="006F2579">
      <w:pPr>
        <w:widowControl w:val="0"/>
        <w:jc w:val="center"/>
        <w:rPr>
          <w:lang w:val="fr-CA"/>
        </w:rPr>
      </w:pPr>
      <w:r w:rsidRPr="004B4D42">
        <w:rPr>
          <w:b/>
          <w:lang w:val="fr-CA"/>
        </w:rPr>
        <w:t>PROCHAIN</w:t>
      </w:r>
      <w:r w:rsidR="00B17AAC" w:rsidRPr="004B4D42">
        <w:rPr>
          <w:b/>
          <w:lang w:val="fr-CA"/>
        </w:rPr>
        <w:t>S</w:t>
      </w:r>
      <w:r w:rsidRPr="004B4D42">
        <w:rPr>
          <w:b/>
          <w:lang w:val="fr-CA"/>
        </w:rPr>
        <w:t xml:space="preserve"> JUGEMENT</w:t>
      </w:r>
      <w:r w:rsidR="00B17AAC" w:rsidRPr="004B4D42">
        <w:rPr>
          <w:b/>
          <w:lang w:val="fr-CA"/>
        </w:rPr>
        <w:t>S</w:t>
      </w:r>
      <w:r w:rsidR="00001846" w:rsidRPr="004B4D42">
        <w:rPr>
          <w:b/>
          <w:lang w:val="fr-CA"/>
        </w:rPr>
        <w:t xml:space="preserve"> SUR DEMANDE</w:t>
      </w:r>
      <w:r w:rsidR="00B17AAC" w:rsidRPr="004B4D42">
        <w:rPr>
          <w:b/>
          <w:lang w:val="fr-CA"/>
        </w:rPr>
        <w:t>S</w:t>
      </w:r>
      <w:r w:rsidRPr="004B4D42">
        <w:rPr>
          <w:b/>
          <w:lang w:val="fr-CA"/>
        </w:rPr>
        <w:t xml:space="preserve"> D’AUTORISATION</w:t>
      </w:r>
    </w:p>
    <w:p w:rsidR="006F2579" w:rsidRPr="004B4D42" w:rsidRDefault="006F2579" w:rsidP="006F2579">
      <w:pPr>
        <w:widowControl w:val="0"/>
        <w:rPr>
          <w:lang w:val="fr-CA"/>
        </w:rPr>
      </w:pPr>
    </w:p>
    <w:p w:rsidR="006F2579" w:rsidRPr="004B4D42" w:rsidRDefault="006F2579" w:rsidP="006F2579">
      <w:pPr>
        <w:widowControl w:val="0"/>
        <w:rPr>
          <w:b/>
          <w:lang w:val="fr-CA"/>
        </w:rPr>
      </w:pPr>
      <w:r w:rsidRPr="004B4D42">
        <w:rPr>
          <w:b/>
          <w:lang w:val="fr-CA"/>
        </w:rPr>
        <w:t>Le</w:t>
      </w:r>
      <w:r w:rsidR="00957A76" w:rsidRPr="004B4D42">
        <w:rPr>
          <w:b/>
          <w:lang w:val="fr-CA"/>
        </w:rPr>
        <w:t xml:space="preserve"> </w:t>
      </w:r>
      <w:r w:rsidR="00232934">
        <w:rPr>
          <w:b/>
          <w:lang w:val="fr-CA"/>
        </w:rPr>
        <w:t>2</w:t>
      </w:r>
      <w:r w:rsidR="0001736B">
        <w:rPr>
          <w:b/>
          <w:lang w:val="fr-CA"/>
        </w:rPr>
        <w:t xml:space="preserve"> </w:t>
      </w:r>
      <w:r w:rsidR="00957342">
        <w:rPr>
          <w:b/>
          <w:lang w:val="fr-CA"/>
        </w:rPr>
        <w:t>novem</w:t>
      </w:r>
      <w:r w:rsidR="0001736B">
        <w:rPr>
          <w:b/>
          <w:lang w:val="fr-CA"/>
        </w:rPr>
        <w:t>bre</w:t>
      </w:r>
      <w:r w:rsidR="00506A2E" w:rsidRPr="004B4D42">
        <w:rPr>
          <w:b/>
          <w:lang w:val="fr-CA"/>
        </w:rPr>
        <w:t xml:space="preserve"> </w:t>
      </w:r>
      <w:r w:rsidR="006648D1" w:rsidRPr="004B4D42">
        <w:rPr>
          <w:b/>
          <w:lang w:val="fr-CA"/>
        </w:rPr>
        <w:t>2015</w:t>
      </w:r>
    </w:p>
    <w:p w:rsidR="006F2579" w:rsidRPr="004B4D42" w:rsidRDefault="006F2579" w:rsidP="006F2579">
      <w:pPr>
        <w:widowControl w:val="0"/>
        <w:rPr>
          <w:b/>
          <w:lang w:val="fr-CA"/>
        </w:rPr>
      </w:pPr>
      <w:r w:rsidRPr="004B4D42">
        <w:rPr>
          <w:b/>
          <w:lang w:val="fr-CA"/>
        </w:rPr>
        <w:t>Pour diffusion immédiate</w:t>
      </w:r>
    </w:p>
    <w:p w:rsidR="006F2579" w:rsidRPr="004B4D42" w:rsidRDefault="006F2579" w:rsidP="006F2579">
      <w:pPr>
        <w:widowControl w:val="0"/>
        <w:rPr>
          <w:b/>
          <w:lang w:val="fr-CA"/>
        </w:rPr>
      </w:pPr>
    </w:p>
    <w:p w:rsidR="006F2579" w:rsidRPr="004B4D42" w:rsidRDefault="006F2579" w:rsidP="006F2579">
      <w:pPr>
        <w:widowControl w:val="0"/>
        <w:rPr>
          <w:lang w:val="fr-CA"/>
        </w:rPr>
      </w:pPr>
      <w:r w:rsidRPr="004B4D42">
        <w:rPr>
          <w:b/>
          <w:lang w:val="fr-CA"/>
        </w:rPr>
        <w:t>OTTAWA</w:t>
      </w:r>
      <w:r w:rsidRPr="004B4D42">
        <w:rPr>
          <w:lang w:val="fr-CA"/>
        </w:rPr>
        <w:t xml:space="preserve"> – La Cour suprême du Canada annonce que jugement ser</w:t>
      </w:r>
      <w:r w:rsidR="008600ED" w:rsidRPr="004B4D42">
        <w:rPr>
          <w:lang w:val="fr-CA"/>
        </w:rPr>
        <w:t>a</w:t>
      </w:r>
      <w:r w:rsidRPr="004B4D42">
        <w:rPr>
          <w:lang w:val="fr-CA"/>
        </w:rPr>
        <w:t xml:space="preserve"> rendu dans l</w:t>
      </w:r>
      <w:r w:rsidR="008600ED" w:rsidRPr="004B4D42">
        <w:rPr>
          <w:lang w:val="fr-CA"/>
        </w:rPr>
        <w:t>es</w:t>
      </w:r>
      <w:r w:rsidRPr="004B4D42">
        <w:rPr>
          <w:lang w:val="fr-CA"/>
        </w:rPr>
        <w:t xml:space="preserve"> demande</w:t>
      </w:r>
      <w:r w:rsidR="008600ED" w:rsidRPr="004B4D42">
        <w:rPr>
          <w:lang w:val="fr-CA"/>
        </w:rPr>
        <w:t>s</w:t>
      </w:r>
      <w:r w:rsidRPr="004B4D42">
        <w:rPr>
          <w:lang w:val="fr-CA"/>
        </w:rPr>
        <w:t xml:space="preserve"> d</w:t>
      </w:r>
      <w:r w:rsidR="00001846" w:rsidRPr="004B4D42">
        <w:rPr>
          <w:lang w:val="fr-CA"/>
        </w:rPr>
        <w:t>’autorisation d’appel suivante</w:t>
      </w:r>
      <w:r w:rsidR="008600ED" w:rsidRPr="004B4D42">
        <w:rPr>
          <w:lang w:val="fr-CA"/>
        </w:rPr>
        <w:t>s</w:t>
      </w:r>
      <w:r w:rsidRPr="004B4D42">
        <w:rPr>
          <w:lang w:val="fr-CA"/>
        </w:rPr>
        <w:t xml:space="preserve"> le jeudi </w:t>
      </w:r>
      <w:r w:rsidR="00957342">
        <w:rPr>
          <w:lang w:val="fr-CA"/>
        </w:rPr>
        <w:t>5 novembre</w:t>
      </w:r>
      <w:r w:rsidR="00533CD5" w:rsidRPr="004B4D42">
        <w:rPr>
          <w:lang w:val="fr-CA"/>
        </w:rPr>
        <w:t xml:space="preserve"> </w:t>
      </w:r>
      <w:r w:rsidR="006648D1" w:rsidRPr="004B4D42">
        <w:rPr>
          <w:lang w:val="fr-CA"/>
        </w:rPr>
        <w:t>2015</w:t>
      </w:r>
      <w:r w:rsidRPr="004B4D42">
        <w:rPr>
          <w:lang w:val="fr-CA"/>
        </w:rPr>
        <w:t xml:space="preserve">, à 9 h 45 </w:t>
      </w:r>
      <w:r w:rsidR="000627A2" w:rsidRPr="004B4D42">
        <w:rPr>
          <w:lang w:val="fr-CA"/>
        </w:rPr>
        <w:t>H</w:t>
      </w:r>
      <w:r w:rsidR="00957342">
        <w:rPr>
          <w:lang w:val="fr-CA"/>
        </w:rPr>
        <w:t>N</w:t>
      </w:r>
      <w:r w:rsidRPr="004B4D42">
        <w:rPr>
          <w:lang w:val="fr-CA"/>
        </w:rPr>
        <w:t>E.  Cette liste est sujette à modifications.</w:t>
      </w:r>
    </w:p>
    <w:p w:rsidR="006F2579" w:rsidRPr="004B4D42" w:rsidRDefault="006F2579" w:rsidP="006F2579">
      <w:pPr>
        <w:widowControl w:val="0"/>
        <w:outlineLvl w:val="0"/>
        <w:rPr>
          <w:szCs w:val="24"/>
          <w:lang w:val="fr-CA"/>
        </w:rPr>
      </w:pPr>
    </w:p>
    <w:p w:rsidR="001838E0" w:rsidRPr="004B4D42" w:rsidRDefault="003D353C" w:rsidP="009B14F4">
      <w:pPr>
        <w:widowControl w:val="0"/>
        <w:jc w:val="both"/>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E14D31" w:rsidRPr="001F2F00" w:rsidRDefault="00E14D31" w:rsidP="000B6193">
      <w:pPr>
        <w:jc w:val="both"/>
        <w:rPr>
          <w:sz w:val="20"/>
          <w:lang w:val="fr-CA"/>
        </w:rPr>
      </w:pPr>
    </w:p>
    <w:p w:rsidR="00957342" w:rsidRPr="0081539C" w:rsidRDefault="00957342" w:rsidP="005731FD">
      <w:pPr>
        <w:pStyle w:val="NoSpacing"/>
        <w:numPr>
          <w:ilvl w:val="0"/>
          <w:numId w:val="25"/>
        </w:numPr>
        <w:ind w:left="360"/>
        <w:jc w:val="both"/>
        <w:rPr>
          <w:sz w:val="20"/>
          <w:szCs w:val="20"/>
          <w:lang w:val="en-CA"/>
        </w:rPr>
      </w:pPr>
      <w:r w:rsidRPr="0081539C">
        <w:rPr>
          <w:i/>
          <w:sz w:val="20"/>
          <w:szCs w:val="20"/>
          <w:lang w:val="en-CA"/>
        </w:rPr>
        <w:t>Allan Jeffery Harris v. Her Majesty the Queen</w:t>
      </w:r>
      <w:r w:rsidRPr="0081539C">
        <w:rPr>
          <w:sz w:val="20"/>
          <w:szCs w:val="20"/>
          <w:lang w:val="en-CA"/>
        </w:rPr>
        <w:t xml:space="preserve"> (F</w:t>
      </w:r>
      <w:r w:rsidR="0081539C">
        <w:rPr>
          <w:sz w:val="20"/>
          <w:szCs w:val="20"/>
          <w:lang w:val="en-CA"/>
        </w:rPr>
        <w:t>.</w:t>
      </w:r>
      <w:r w:rsidRPr="0081539C">
        <w:rPr>
          <w:sz w:val="20"/>
          <w:szCs w:val="20"/>
          <w:lang w:val="en-CA"/>
        </w:rPr>
        <w:t>C</w:t>
      </w:r>
      <w:r w:rsidR="0081539C">
        <w:rPr>
          <w:sz w:val="20"/>
          <w:szCs w:val="20"/>
          <w:lang w:val="en-CA"/>
        </w:rPr>
        <w:t>.</w:t>
      </w:r>
      <w:r w:rsidRPr="0081539C">
        <w:rPr>
          <w:sz w:val="20"/>
          <w:szCs w:val="20"/>
          <w:lang w:val="en-CA"/>
        </w:rPr>
        <w:t>) (Civil) (By Leave) (</w:t>
      </w:r>
      <w:hyperlink r:id="rId8" w:history="1">
        <w:r w:rsidRPr="0081539C">
          <w:rPr>
            <w:rStyle w:val="Hyperlink"/>
            <w:sz w:val="20"/>
            <w:szCs w:val="20"/>
            <w:lang w:val="en-CA"/>
          </w:rPr>
          <w:t>36481</w:t>
        </w:r>
      </w:hyperlink>
      <w:r w:rsidRPr="0081539C">
        <w:rPr>
          <w:sz w:val="20"/>
          <w:szCs w:val="20"/>
          <w:lang w:val="en-CA"/>
        </w:rPr>
        <w:t>)</w:t>
      </w:r>
    </w:p>
    <w:p w:rsidR="00957342" w:rsidRPr="0081539C" w:rsidRDefault="00957342" w:rsidP="005731FD">
      <w:pPr>
        <w:pStyle w:val="NoSpacing"/>
        <w:ind w:left="360" w:hanging="360"/>
        <w:jc w:val="both"/>
        <w:rPr>
          <w:sz w:val="20"/>
          <w:szCs w:val="20"/>
          <w:lang w:val="en-CA"/>
        </w:rPr>
      </w:pPr>
    </w:p>
    <w:p w:rsidR="00957342" w:rsidRPr="0081539C" w:rsidRDefault="00957342" w:rsidP="005731FD">
      <w:pPr>
        <w:pStyle w:val="NoSpacing"/>
        <w:numPr>
          <w:ilvl w:val="0"/>
          <w:numId w:val="25"/>
        </w:numPr>
        <w:ind w:left="360"/>
        <w:jc w:val="both"/>
        <w:rPr>
          <w:sz w:val="20"/>
          <w:szCs w:val="20"/>
          <w:lang w:val="en-CA"/>
        </w:rPr>
      </w:pPr>
      <w:r w:rsidRPr="0081539C">
        <w:rPr>
          <w:i/>
          <w:sz w:val="20"/>
          <w:szCs w:val="20"/>
          <w:lang w:val="en-CA"/>
        </w:rPr>
        <w:t>Colleen Margaret Abbott v. Her Majesty the Queen</w:t>
      </w:r>
      <w:r w:rsidRPr="0081539C">
        <w:rPr>
          <w:sz w:val="20"/>
          <w:szCs w:val="20"/>
          <w:lang w:val="en-CA"/>
        </w:rPr>
        <w:t xml:space="preserve"> (</w:t>
      </w:r>
      <w:r w:rsidR="0081539C" w:rsidRPr="0081539C">
        <w:rPr>
          <w:sz w:val="20"/>
          <w:szCs w:val="20"/>
          <w:lang w:val="en-CA"/>
        </w:rPr>
        <w:t>F</w:t>
      </w:r>
      <w:r w:rsidR="0081539C">
        <w:rPr>
          <w:sz w:val="20"/>
          <w:szCs w:val="20"/>
          <w:lang w:val="en-CA"/>
        </w:rPr>
        <w:t>.</w:t>
      </w:r>
      <w:r w:rsidR="0081539C" w:rsidRPr="0081539C">
        <w:rPr>
          <w:sz w:val="20"/>
          <w:szCs w:val="20"/>
          <w:lang w:val="en-CA"/>
        </w:rPr>
        <w:t>C</w:t>
      </w:r>
      <w:r w:rsidR="0081539C">
        <w:rPr>
          <w:sz w:val="20"/>
          <w:szCs w:val="20"/>
          <w:lang w:val="en-CA"/>
        </w:rPr>
        <w:t>.</w:t>
      </w:r>
      <w:r w:rsidRPr="0081539C">
        <w:rPr>
          <w:sz w:val="20"/>
          <w:szCs w:val="20"/>
          <w:lang w:val="en-CA"/>
        </w:rPr>
        <w:t>) (Civil) (By Leave) (</w:t>
      </w:r>
      <w:hyperlink r:id="rId9" w:history="1">
        <w:r w:rsidRPr="0081539C">
          <w:rPr>
            <w:rStyle w:val="Hyperlink"/>
            <w:sz w:val="20"/>
            <w:szCs w:val="20"/>
            <w:lang w:val="en-CA"/>
          </w:rPr>
          <w:t>36483</w:t>
        </w:r>
      </w:hyperlink>
      <w:r w:rsidRPr="0081539C">
        <w:rPr>
          <w:sz w:val="20"/>
          <w:szCs w:val="20"/>
          <w:lang w:val="en-CA"/>
        </w:rPr>
        <w:t>)</w:t>
      </w:r>
    </w:p>
    <w:p w:rsidR="00957342" w:rsidRPr="0081539C" w:rsidRDefault="00957342" w:rsidP="005731FD">
      <w:pPr>
        <w:pStyle w:val="NoSpacing"/>
        <w:ind w:left="360" w:hanging="360"/>
        <w:jc w:val="both"/>
        <w:rPr>
          <w:sz w:val="20"/>
          <w:szCs w:val="20"/>
          <w:lang w:val="en-CA"/>
        </w:rPr>
      </w:pPr>
    </w:p>
    <w:p w:rsidR="00957342" w:rsidRPr="0081539C" w:rsidRDefault="00957342" w:rsidP="005731FD">
      <w:pPr>
        <w:pStyle w:val="NoSpacing"/>
        <w:numPr>
          <w:ilvl w:val="0"/>
          <w:numId w:val="25"/>
        </w:numPr>
        <w:ind w:left="360"/>
        <w:jc w:val="both"/>
        <w:rPr>
          <w:sz w:val="20"/>
          <w:szCs w:val="20"/>
          <w:lang w:val="en-CA"/>
        </w:rPr>
      </w:pPr>
      <w:r w:rsidRPr="0081539C">
        <w:rPr>
          <w:i/>
          <w:sz w:val="20"/>
          <w:szCs w:val="20"/>
          <w:lang w:val="en-CA"/>
        </w:rPr>
        <w:t>Arthur Jackes v. Her Majesty the Queen</w:t>
      </w:r>
      <w:r w:rsidRPr="0081539C">
        <w:rPr>
          <w:sz w:val="20"/>
          <w:szCs w:val="20"/>
          <w:lang w:val="en-CA"/>
        </w:rPr>
        <w:t xml:space="preserve"> (</w:t>
      </w:r>
      <w:r w:rsidR="0081539C" w:rsidRPr="0081539C">
        <w:rPr>
          <w:sz w:val="20"/>
          <w:szCs w:val="20"/>
          <w:lang w:val="en-CA"/>
        </w:rPr>
        <w:t>F</w:t>
      </w:r>
      <w:r w:rsidR="0081539C">
        <w:rPr>
          <w:sz w:val="20"/>
          <w:szCs w:val="20"/>
          <w:lang w:val="en-CA"/>
        </w:rPr>
        <w:t>.</w:t>
      </w:r>
      <w:r w:rsidR="0081539C" w:rsidRPr="0081539C">
        <w:rPr>
          <w:sz w:val="20"/>
          <w:szCs w:val="20"/>
          <w:lang w:val="en-CA"/>
        </w:rPr>
        <w:t>C</w:t>
      </w:r>
      <w:r w:rsidR="0081539C">
        <w:rPr>
          <w:sz w:val="20"/>
          <w:szCs w:val="20"/>
          <w:lang w:val="en-CA"/>
        </w:rPr>
        <w:t>.</w:t>
      </w:r>
      <w:r w:rsidRPr="0081539C">
        <w:rPr>
          <w:sz w:val="20"/>
          <w:szCs w:val="20"/>
          <w:lang w:val="en-CA"/>
        </w:rPr>
        <w:t>) (Civil) (By Leave) (</w:t>
      </w:r>
      <w:hyperlink r:id="rId10" w:history="1">
        <w:r w:rsidRPr="0081539C">
          <w:rPr>
            <w:rStyle w:val="Hyperlink"/>
            <w:sz w:val="20"/>
            <w:szCs w:val="20"/>
            <w:lang w:val="en-CA"/>
          </w:rPr>
          <w:t>36519</w:t>
        </w:r>
      </w:hyperlink>
      <w:r w:rsidRPr="0081539C">
        <w:rPr>
          <w:sz w:val="20"/>
          <w:szCs w:val="20"/>
          <w:lang w:val="en-CA"/>
        </w:rPr>
        <w:t>)</w:t>
      </w:r>
    </w:p>
    <w:p w:rsidR="00957342" w:rsidRPr="0081539C" w:rsidRDefault="00957342" w:rsidP="005731FD">
      <w:pPr>
        <w:pStyle w:val="NoSpacing"/>
        <w:ind w:left="360" w:hanging="360"/>
        <w:jc w:val="both"/>
        <w:rPr>
          <w:sz w:val="20"/>
          <w:szCs w:val="20"/>
          <w:lang w:val="en-CA"/>
        </w:rPr>
      </w:pPr>
    </w:p>
    <w:p w:rsidR="00957342" w:rsidRPr="0081539C" w:rsidRDefault="00957342" w:rsidP="005731FD">
      <w:pPr>
        <w:pStyle w:val="NoSpacing"/>
        <w:numPr>
          <w:ilvl w:val="0"/>
          <w:numId w:val="25"/>
        </w:numPr>
        <w:ind w:left="360"/>
        <w:jc w:val="both"/>
        <w:rPr>
          <w:sz w:val="20"/>
          <w:szCs w:val="20"/>
          <w:lang w:val="en-CA"/>
        </w:rPr>
      </w:pPr>
      <w:r w:rsidRPr="0081539C">
        <w:rPr>
          <w:i/>
          <w:sz w:val="20"/>
          <w:szCs w:val="20"/>
          <w:lang w:val="en-CA"/>
        </w:rPr>
        <w:t xml:space="preserve">Wojciech Jerry Krzyz v. Her Majesty the Queen </w:t>
      </w:r>
      <w:r w:rsidRPr="0081539C">
        <w:rPr>
          <w:sz w:val="20"/>
          <w:szCs w:val="20"/>
          <w:lang w:val="en-CA"/>
        </w:rPr>
        <w:t>(</w:t>
      </w:r>
      <w:r w:rsidR="0081539C" w:rsidRPr="0081539C">
        <w:rPr>
          <w:sz w:val="20"/>
          <w:szCs w:val="20"/>
          <w:lang w:val="en-CA"/>
        </w:rPr>
        <w:t>F</w:t>
      </w:r>
      <w:r w:rsidR="0081539C">
        <w:rPr>
          <w:sz w:val="20"/>
          <w:szCs w:val="20"/>
          <w:lang w:val="en-CA"/>
        </w:rPr>
        <w:t>.</w:t>
      </w:r>
      <w:r w:rsidR="0081539C" w:rsidRPr="0081539C">
        <w:rPr>
          <w:sz w:val="20"/>
          <w:szCs w:val="20"/>
          <w:lang w:val="en-CA"/>
        </w:rPr>
        <w:t>C</w:t>
      </w:r>
      <w:r w:rsidR="0081539C">
        <w:rPr>
          <w:sz w:val="20"/>
          <w:szCs w:val="20"/>
          <w:lang w:val="en-CA"/>
        </w:rPr>
        <w:t>.</w:t>
      </w:r>
      <w:r w:rsidRPr="0081539C">
        <w:rPr>
          <w:sz w:val="20"/>
          <w:szCs w:val="20"/>
          <w:lang w:val="en-CA"/>
        </w:rPr>
        <w:t>) (Civil) (By Leave) (</w:t>
      </w:r>
      <w:hyperlink r:id="rId11" w:history="1">
        <w:r w:rsidRPr="0081539C">
          <w:rPr>
            <w:rStyle w:val="Hyperlink"/>
            <w:sz w:val="20"/>
            <w:szCs w:val="20"/>
            <w:lang w:val="en-CA"/>
          </w:rPr>
          <w:t>36560</w:t>
        </w:r>
      </w:hyperlink>
      <w:r w:rsidRPr="0081539C">
        <w:rPr>
          <w:sz w:val="20"/>
          <w:szCs w:val="20"/>
          <w:lang w:val="en-CA"/>
        </w:rPr>
        <w:t>)</w:t>
      </w:r>
    </w:p>
    <w:p w:rsidR="00957342" w:rsidRPr="0081539C" w:rsidRDefault="00957342" w:rsidP="005731FD">
      <w:pPr>
        <w:pStyle w:val="NoSpacing"/>
        <w:ind w:left="360" w:hanging="360"/>
        <w:jc w:val="both"/>
        <w:rPr>
          <w:sz w:val="20"/>
          <w:szCs w:val="20"/>
          <w:lang w:val="en-CA"/>
        </w:rPr>
      </w:pPr>
    </w:p>
    <w:p w:rsidR="00957342" w:rsidRPr="0081539C" w:rsidRDefault="00957342" w:rsidP="005731FD">
      <w:pPr>
        <w:pStyle w:val="NoSpacing"/>
        <w:numPr>
          <w:ilvl w:val="0"/>
          <w:numId w:val="25"/>
        </w:numPr>
        <w:ind w:left="360"/>
        <w:jc w:val="both"/>
        <w:rPr>
          <w:sz w:val="20"/>
          <w:szCs w:val="20"/>
          <w:lang w:val="en-CA"/>
        </w:rPr>
      </w:pPr>
      <w:r w:rsidRPr="0081539C">
        <w:rPr>
          <w:i/>
          <w:sz w:val="20"/>
          <w:szCs w:val="20"/>
          <w:lang w:val="en-CA"/>
        </w:rPr>
        <w:t xml:space="preserve">Urszula Krzyz v. Her Majesty the Queen </w:t>
      </w:r>
      <w:r w:rsidRPr="0081539C">
        <w:rPr>
          <w:sz w:val="20"/>
          <w:szCs w:val="20"/>
          <w:lang w:val="en-CA"/>
        </w:rPr>
        <w:t>(</w:t>
      </w:r>
      <w:r w:rsidR="0081539C" w:rsidRPr="0081539C">
        <w:rPr>
          <w:sz w:val="20"/>
          <w:szCs w:val="20"/>
          <w:lang w:val="en-CA"/>
        </w:rPr>
        <w:t>F</w:t>
      </w:r>
      <w:r w:rsidR="0081539C">
        <w:rPr>
          <w:sz w:val="20"/>
          <w:szCs w:val="20"/>
          <w:lang w:val="en-CA"/>
        </w:rPr>
        <w:t>.</w:t>
      </w:r>
      <w:r w:rsidR="0081539C" w:rsidRPr="0081539C">
        <w:rPr>
          <w:sz w:val="20"/>
          <w:szCs w:val="20"/>
          <w:lang w:val="en-CA"/>
        </w:rPr>
        <w:t>C</w:t>
      </w:r>
      <w:r w:rsidR="0081539C">
        <w:rPr>
          <w:sz w:val="20"/>
          <w:szCs w:val="20"/>
          <w:lang w:val="en-CA"/>
        </w:rPr>
        <w:t>.</w:t>
      </w:r>
      <w:r w:rsidRPr="0081539C">
        <w:rPr>
          <w:sz w:val="20"/>
          <w:szCs w:val="20"/>
          <w:lang w:val="en-CA"/>
        </w:rPr>
        <w:t>) (Civil) (By Leave) (</w:t>
      </w:r>
      <w:hyperlink r:id="rId12" w:history="1">
        <w:r w:rsidRPr="0081539C">
          <w:rPr>
            <w:rStyle w:val="Hyperlink"/>
            <w:sz w:val="20"/>
            <w:szCs w:val="20"/>
            <w:lang w:val="en-CA"/>
          </w:rPr>
          <w:t>36561</w:t>
        </w:r>
      </w:hyperlink>
      <w:r w:rsidRPr="0081539C">
        <w:rPr>
          <w:sz w:val="20"/>
          <w:szCs w:val="20"/>
          <w:lang w:val="en-CA"/>
        </w:rPr>
        <w:t>)</w:t>
      </w:r>
    </w:p>
    <w:p w:rsidR="00957342" w:rsidRPr="0081539C" w:rsidRDefault="00957342" w:rsidP="005731FD">
      <w:pPr>
        <w:ind w:left="360" w:hanging="360"/>
        <w:jc w:val="both"/>
        <w:rPr>
          <w:sz w:val="20"/>
          <w:u w:val="single"/>
          <w:lang w:val="en-CA"/>
        </w:rPr>
      </w:pPr>
    </w:p>
    <w:p w:rsidR="00957342" w:rsidRPr="0081539C" w:rsidRDefault="00957342" w:rsidP="005731FD">
      <w:pPr>
        <w:pStyle w:val="ListParagraph"/>
        <w:numPr>
          <w:ilvl w:val="0"/>
          <w:numId w:val="25"/>
        </w:numPr>
        <w:ind w:left="360"/>
        <w:jc w:val="both"/>
        <w:rPr>
          <w:sz w:val="20"/>
          <w:lang w:val="en-CA" w:eastAsia="en-CA"/>
        </w:rPr>
      </w:pPr>
      <w:r w:rsidRPr="0081539C">
        <w:rPr>
          <w:i/>
          <w:sz w:val="20"/>
          <w:lang w:val="en-CA" w:eastAsia="en-CA"/>
        </w:rPr>
        <w:t xml:space="preserve">Michael Joseph </w:t>
      </w:r>
      <w:r w:rsidR="0081539C">
        <w:rPr>
          <w:i/>
          <w:sz w:val="20"/>
          <w:lang w:val="en-CA" w:eastAsia="en-CA"/>
        </w:rPr>
        <w:t>Wilson v. Her Majesty the Queen</w:t>
      </w:r>
      <w:r w:rsidRPr="0081539C">
        <w:rPr>
          <w:sz w:val="20"/>
          <w:lang w:val="en-CA" w:eastAsia="en-CA"/>
        </w:rPr>
        <w:t xml:space="preserve"> (B.C.) (Criminal) (By Leave) (</w:t>
      </w:r>
      <w:hyperlink r:id="rId13" w:history="1">
        <w:r w:rsidRPr="0081539C">
          <w:rPr>
            <w:rStyle w:val="Hyperlink"/>
            <w:sz w:val="20"/>
            <w:lang w:val="en-CA" w:eastAsia="en-CA"/>
          </w:rPr>
          <w:t>36525</w:t>
        </w:r>
      </w:hyperlink>
      <w:r w:rsidRPr="0081539C">
        <w:rPr>
          <w:sz w:val="20"/>
          <w:lang w:val="en-CA" w:eastAsia="en-CA"/>
        </w:rPr>
        <w:t>)</w:t>
      </w:r>
    </w:p>
    <w:p w:rsidR="00957342" w:rsidRPr="0081539C" w:rsidRDefault="00957342" w:rsidP="005731FD">
      <w:pPr>
        <w:ind w:left="360" w:hanging="360"/>
        <w:jc w:val="both"/>
        <w:rPr>
          <w:sz w:val="20"/>
          <w:lang w:val="en-CA" w:eastAsia="en-CA"/>
        </w:rPr>
      </w:pPr>
    </w:p>
    <w:p w:rsidR="00957342" w:rsidRPr="0081539C" w:rsidRDefault="00957342" w:rsidP="005731FD">
      <w:pPr>
        <w:pStyle w:val="ListParagraph"/>
        <w:numPr>
          <w:ilvl w:val="0"/>
          <w:numId w:val="25"/>
        </w:numPr>
        <w:ind w:left="360"/>
        <w:jc w:val="both"/>
        <w:rPr>
          <w:sz w:val="20"/>
          <w:lang w:val="en-CA" w:eastAsia="en-CA"/>
        </w:rPr>
      </w:pPr>
      <w:r w:rsidRPr="0081539C">
        <w:rPr>
          <w:i/>
          <w:sz w:val="20"/>
          <w:lang w:val="en-CA" w:eastAsia="en-CA"/>
        </w:rPr>
        <w:t>Dianna Louise Parsons et al. v. Her Majest</w:t>
      </w:r>
      <w:r w:rsidR="0081539C">
        <w:rPr>
          <w:i/>
          <w:sz w:val="20"/>
          <w:lang w:val="en-CA" w:eastAsia="en-CA"/>
        </w:rPr>
        <w:t>y the Queen in Right of Ontario</w:t>
      </w:r>
      <w:r w:rsidRPr="0081539C">
        <w:rPr>
          <w:i/>
          <w:sz w:val="20"/>
          <w:lang w:val="en-CA" w:eastAsia="en-CA"/>
        </w:rPr>
        <w:t xml:space="preserve"> et al.</w:t>
      </w:r>
      <w:r w:rsidRPr="0081539C">
        <w:rPr>
          <w:sz w:val="20"/>
          <w:lang w:val="en-CA" w:eastAsia="en-CA"/>
        </w:rPr>
        <w:t xml:space="preserve"> (Ont.) (Civil) (By Leave) (</w:t>
      </w:r>
      <w:hyperlink r:id="rId14" w:history="1">
        <w:r w:rsidRPr="0081539C">
          <w:rPr>
            <w:rStyle w:val="Hyperlink"/>
            <w:sz w:val="20"/>
            <w:lang w:val="en-CA" w:eastAsia="en-CA"/>
          </w:rPr>
          <w:t>36456</w:t>
        </w:r>
      </w:hyperlink>
      <w:r w:rsidRPr="0081539C">
        <w:rPr>
          <w:sz w:val="20"/>
          <w:lang w:val="en-CA" w:eastAsia="en-CA"/>
        </w:rPr>
        <w:t>)</w:t>
      </w:r>
    </w:p>
    <w:p w:rsidR="00957342" w:rsidRPr="0081539C" w:rsidRDefault="00957342" w:rsidP="005731FD">
      <w:pPr>
        <w:ind w:left="360" w:hanging="360"/>
        <w:contextualSpacing/>
        <w:jc w:val="both"/>
        <w:rPr>
          <w:sz w:val="20"/>
          <w:lang w:val="en-CA" w:eastAsia="en-CA"/>
        </w:rPr>
      </w:pPr>
    </w:p>
    <w:p w:rsidR="00957342" w:rsidRPr="0081539C" w:rsidRDefault="00957342" w:rsidP="005731FD">
      <w:pPr>
        <w:pStyle w:val="ListParagraph"/>
        <w:numPr>
          <w:ilvl w:val="0"/>
          <w:numId w:val="25"/>
        </w:numPr>
        <w:ind w:left="360"/>
        <w:jc w:val="both"/>
        <w:rPr>
          <w:rFonts w:eastAsiaTheme="minorEastAsia"/>
          <w:sz w:val="20"/>
          <w:lang w:val="en-CA" w:eastAsia="en-CA"/>
        </w:rPr>
      </w:pPr>
      <w:r w:rsidRPr="0081539C">
        <w:rPr>
          <w:i/>
          <w:sz w:val="20"/>
          <w:lang w:val="en-CA" w:eastAsia="en-CA"/>
        </w:rPr>
        <w:t>Anita Endean, as representative plaintiff v. Her Majesty the Queen in Right of the Province of British Columbia</w:t>
      </w:r>
      <w:r w:rsidR="0081539C">
        <w:rPr>
          <w:i/>
          <w:sz w:val="20"/>
          <w:lang w:val="en-CA" w:eastAsia="en-CA"/>
        </w:rPr>
        <w:t xml:space="preserve"> et al. </w:t>
      </w:r>
      <w:r w:rsidRPr="0081539C">
        <w:rPr>
          <w:sz w:val="20"/>
          <w:lang w:val="en-CA" w:eastAsia="en-CA"/>
        </w:rPr>
        <w:t>(B.C.) (Civil) (By Leave) (</w:t>
      </w:r>
      <w:hyperlink r:id="rId15" w:history="1">
        <w:r w:rsidRPr="0081539C">
          <w:rPr>
            <w:rStyle w:val="Hyperlink"/>
            <w:sz w:val="20"/>
            <w:lang w:val="en-CA" w:eastAsia="en-CA"/>
          </w:rPr>
          <w:t>35843</w:t>
        </w:r>
      </w:hyperlink>
      <w:r w:rsidRPr="0081539C">
        <w:rPr>
          <w:sz w:val="20"/>
          <w:lang w:val="en-CA" w:eastAsia="en-CA"/>
        </w:rPr>
        <w:t>)</w:t>
      </w:r>
    </w:p>
    <w:p w:rsidR="00957342" w:rsidRPr="0081539C" w:rsidRDefault="00957342" w:rsidP="005731FD">
      <w:pPr>
        <w:ind w:left="360" w:hanging="360"/>
        <w:jc w:val="both"/>
        <w:rPr>
          <w:sz w:val="20"/>
        </w:rPr>
      </w:pPr>
    </w:p>
    <w:p w:rsidR="00957342" w:rsidRPr="0081539C" w:rsidRDefault="00957342" w:rsidP="005731FD">
      <w:pPr>
        <w:pStyle w:val="ListParagraph"/>
        <w:numPr>
          <w:ilvl w:val="0"/>
          <w:numId w:val="25"/>
        </w:numPr>
        <w:ind w:left="360"/>
        <w:jc w:val="both"/>
        <w:rPr>
          <w:rFonts w:eastAsia="Calibri"/>
          <w:sz w:val="20"/>
        </w:rPr>
      </w:pPr>
      <w:r w:rsidRPr="0081539C">
        <w:rPr>
          <w:rFonts w:eastAsia="Calibri"/>
          <w:i/>
          <w:sz w:val="20"/>
        </w:rPr>
        <w:t>Michele Fiorilli v. Her Majesty the Queen</w:t>
      </w:r>
      <w:r w:rsidRPr="0081539C">
        <w:rPr>
          <w:rFonts w:eastAsia="Calibri"/>
          <w:sz w:val="20"/>
        </w:rPr>
        <w:t xml:space="preserve"> (Ont.) (Criminal) (By Leave) (</w:t>
      </w:r>
      <w:hyperlink r:id="rId16" w:history="1">
        <w:r w:rsidRPr="0081539C">
          <w:rPr>
            <w:rStyle w:val="Hyperlink"/>
            <w:rFonts w:eastAsia="Calibri"/>
            <w:sz w:val="20"/>
          </w:rPr>
          <w:t>36517</w:t>
        </w:r>
      </w:hyperlink>
      <w:r w:rsidRPr="0081539C">
        <w:rPr>
          <w:rFonts w:eastAsia="Calibri"/>
          <w:sz w:val="20"/>
        </w:rPr>
        <w:t>)</w:t>
      </w:r>
    </w:p>
    <w:p w:rsidR="00957342" w:rsidRPr="0081539C" w:rsidRDefault="00957342" w:rsidP="005731FD">
      <w:pPr>
        <w:widowControl w:val="0"/>
        <w:autoSpaceDE w:val="0"/>
        <w:autoSpaceDN w:val="0"/>
        <w:adjustRightInd w:val="0"/>
        <w:ind w:left="360" w:hanging="360"/>
        <w:jc w:val="both"/>
        <w:rPr>
          <w:rFonts w:eastAsia="Calibri"/>
          <w:sz w:val="20"/>
        </w:rPr>
      </w:pPr>
    </w:p>
    <w:p w:rsidR="00957342" w:rsidRPr="0081539C" w:rsidRDefault="00957342" w:rsidP="005731FD">
      <w:pPr>
        <w:pStyle w:val="ListParagraph"/>
        <w:numPr>
          <w:ilvl w:val="0"/>
          <w:numId w:val="25"/>
        </w:numPr>
        <w:ind w:left="360"/>
        <w:jc w:val="both"/>
        <w:rPr>
          <w:rFonts w:eastAsia="Calibri"/>
          <w:sz w:val="20"/>
        </w:rPr>
      </w:pPr>
      <w:r w:rsidRPr="0081539C">
        <w:rPr>
          <w:rFonts w:eastAsia="Calibri"/>
          <w:i/>
          <w:sz w:val="20"/>
        </w:rPr>
        <w:t>AXA General Insurance v. Ian Tucker</w:t>
      </w:r>
      <w:r w:rsidRPr="0081539C">
        <w:rPr>
          <w:rFonts w:eastAsia="Calibri"/>
          <w:sz w:val="20"/>
        </w:rPr>
        <w:t xml:space="preserve"> (N.L.) (Civil) (By Leave) (</w:t>
      </w:r>
      <w:hyperlink r:id="rId17" w:history="1">
        <w:r w:rsidRPr="0081539C">
          <w:rPr>
            <w:rStyle w:val="Hyperlink"/>
            <w:rFonts w:eastAsia="Calibri"/>
            <w:sz w:val="20"/>
          </w:rPr>
          <w:t>36492</w:t>
        </w:r>
      </w:hyperlink>
      <w:r w:rsidRPr="0081539C">
        <w:rPr>
          <w:rFonts w:eastAsia="Calibri"/>
          <w:sz w:val="20"/>
        </w:rPr>
        <w:t>)</w:t>
      </w:r>
    </w:p>
    <w:p w:rsidR="00957342" w:rsidRPr="0081539C" w:rsidRDefault="00957342" w:rsidP="005731FD">
      <w:pPr>
        <w:widowControl w:val="0"/>
        <w:autoSpaceDE w:val="0"/>
        <w:autoSpaceDN w:val="0"/>
        <w:adjustRightInd w:val="0"/>
        <w:ind w:left="360" w:hanging="360"/>
        <w:jc w:val="both"/>
        <w:rPr>
          <w:rFonts w:eastAsia="Calibri"/>
          <w:sz w:val="20"/>
        </w:rPr>
      </w:pPr>
    </w:p>
    <w:p w:rsidR="00957342" w:rsidRPr="0081539C" w:rsidRDefault="00957342" w:rsidP="005731FD">
      <w:pPr>
        <w:pStyle w:val="ListParagraph"/>
        <w:numPr>
          <w:ilvl w:val="0"/>
          <w:numId w:val="25"/>
        </w:numPr>
        <w:ind w:left="360"/>
        <w:jc w:val="both"/>
        <w:rPr>
          <w:rFonts w:eastAsia="Calibri"/>
          <w:sz w:val="20"/>
          <w:lang w:val="fr-CA"/>
        </w:rPr>
      </w:pPr>
      <w:r w:rsidRPr="0081539C">
        <w:rPr>
          <w:rFonts w:eastAsia="Calibri"/>
          <w:i/>
          <w:sz w:val="20"/>
          <w:lang w:val="fr-CA"/>
        </w:rPr>
        <w:t>Dragoljub Milunovic c. Yves Bélanger et a</w:t>
      </w:r>
      <w:r w:rsidR="0081539C">
        <w:rPr>
          <w:rFonts w:eastAsia="Calibri"/>
          <w:i/>
          <w:sz w:val="20"/>
          <w:lang w:val="fr-CA"/>
        </w:rPr>
        <w:t>utre</w:t>
      </w:r>
      <w:r w:rsidRPr="0081539C">
        <w:rPr>
          <w:rFonts w:eastAsia="Calibri"/>
          <w:sz w:val="20"/>
          <w:lang w:val="fr-CA"/>
        </w:rPr>
        <w:t xml:space="preserve"> (Qc) (Civile) (Autorisation) (</w:t>
      </w:r>
      <w:hyperlink r:id="rId18" w:history="1">
        <w:r w:rsidRPr="0081539C">
          <w:rPr>
            <w:rStyle w:val="Hyperlink"/>
            <w:rFonts w:eastAsia="Calibri"/>
            <w:sz w:val="20"/>
            <w:lang w:val="fr-CA"/>
          </w:rPr>
          <w:t>36553</w:t>
        </w:r>
      </w:hyperlink>
      <w:r w:rsidRPr="0081539C">
        <w:rPr>
          <w:rFonts w:eastAsia="Calibri"/>
          <w:sz w:val="20"/>
          <w:lang w:val="fr-CA"/>
        </w:rPr>
        <w:t>)</w:t>
      </w:r>
    </w:p>
    <w:p w:rsidR="00957342" w:rsidRPr="0081539C" w:rsidRDefault="00957342" w:rsidP="005731FD">
      <w:pPr>
        <w:ind w:left="360" w:hanging="360"/>
        <w:jc w:val="both"/>
        <w:rPr>
          <w:rFonts w:eastAsia="Calibri"/>
          <w:sz w:val="20"/>
          <w:lang w:val="fr-CA"/>
        </w:rPr>
      </w:pPr>
    </w:p>
    <w:p w:rsidR="00957342" w:rsidRPr="0081539C" w:rsidRDefault="00957342" w:rsidP="005731FD">
      <w:pPr>
        <w:pStyle w:val="ListParagraph"/>
        <w:numPr>
          <w:ilvl w:val="0"/>
          <w:numId w:val="25"/>
        </w:numPr>
        <w:ind w:left="360"/>
        <w:jc w:val="both"/>
        <w:rPr>
          <w:sz w:val="20"/>
        </w:rPr>
      </w:pPr>
      <w:r w:rsidRPr="0081539C">
        <w:rPr>
          <w:bCs/>
          <w:i/>
          <w:iCs/>
          <w:sz w:val="20"/>
        </w:rPr>
        <w:t>Jason Steven Philip v. Her Majesty the Queen</w:t>
      </w:r>
      <w:r w:rsidRPr="0081539C">
        <w:rPr>
          <w:sz w:val="20"/>
        </w:rPr>
        <w:t xml:space="preserve"> (Alta.) (Criminal) (By Leave) (</w:t>
      </w:r>
      <w:hyperlink r:id="rId19" w:history="1">
        <w:r w:rsidRPr="0081539C">
          <w:rPr>
            <w:rStyle w:val="Hyperlink"/>
            <w:sz w:val="20"/>
          </w:rPr>
          <w:t>36512</w:t>
        </w:r>
      </w:hyperlink>
      <w:r w:rsidRPr="0081539C">
        <w:rPr>
          <w:sz w:val="20"/>
        </w:rPr>
        <w:t>)</w:t>
      </w:r>
    </w:p>
    <w:p w:rsidR="00957342" w:rsidRPr="0081539C" w:rsidRDefault="00957342" w:rsidP="005731FD">
      <w:pPr>
        <w:ind w:left="360" w:hanging="360"/>
        <w:jc w:val="both"/>
        <w:rPr>
          <w:rFonts w:eastAsia="Calibri"/>
          <w:sz w:val="20"/>
          <w:lang w:val="en-CA"/>
        </w:rPr>
      </w:pPr>
    </w:p>
    <w:p w:rsidR="00957342" w:rsidRPr="0081539C" w:rsidRDefault="00957342" w:rsidP="005731FD">
      <w:pPr>
        <w:pStyle w:val="ListParagraph"/>
        <w:numPr>
          <w:ilvl w:val="0"/>
          <w:numId w:val="25"/>
        </w:numPr>
        <w:ind w:left="360"/>
        <w:jc w:val="both"/>
        <w:rPr>
          <w:sz w:val="20"/>
        </w:rPr>
      </w:pPr>
      <w:r w:rsidRPr="0081539C">
        <w:rPr>
          <w:bCs/>
          <w:i/>
          <w:iCs/>
          <w:sz w:val="20"/>
        </w:rPr>
        <w:t>Wael Maged Badawy v. Ghada Hamdy Nafie</w:t>
      </w:r>
      <w:r w:rsidRPr="0081539C">
        <w:rPr>
          <w:sz w:val="20"/>
        </w:rPr>
        <w:t xml:space="preserve"> (Alta.) (Civil) (By Leave) (</w:t>
      </w:r>
      <w:hyperlink r:id="rId20" w:history="1">
        <w:r w:rsidRPr="0081539C">
          <w:rPr>
            <w:rStyle w:val="Hyperlink"/>
            <w:sz w:val="20"/>
          </w:rPr>
          <w:t>36371</w:t>
        </w:r>
      </w:hyperlink>
      <w:r w:rsidRPr="0081539C">
        <w:rPr>
          <w:sz w:val="20"/>
        </w:rPr>
        <w:t>)</w:t>
      </w:r>
    </w:p>
    <w:p w:rsidR="00957342" w:rsidRPr="0081539C" w:rsidRDefault="00957342" w:rsidP="005731FD">
      <w:pPr>
        <w:ind w:left="360" w:hanging="360"/>
        <w:jc w:val="both"/>
        <w:rPr>
          <w:sz w:val="20"/>
        </w:rPr>
      </w:pPr>
    </w:p>
    <w:p w:rsidR="00957342" w:rsidRPr="0081539C" w:rsidRDefault="00957342" w:rsidP="005731FD">
      <w:pPr>
        <w:pStyle w:val="ListParagraph"/>
        <w:numPr>
          <w:ilvl w:val="0"/>
          <w:numId w:val="25"/>
        </w:numPr>
        <w:ind w:left="360"/>
        <w:jc w:val="both"/>
        <w:rPr>
          <w:rFonts w:eastAsia="Calibri"/>
          <w:sz w:val="20"/>
          <w:lang w:val="en-CA"/>
        </w:rPr>
      </w:pPr>
      <w:r w:rsidRPr="0081539C">
        <w:rPr>
          <w:rFonts w:eastAsia="Calibri"/>
          <w:bCs/>
          <w:i/>
          <w:iCs/>
          <w:sz w:val="20"/>
          <w:lang w:val="en-CA"/>
        </w:rPr>
        <w:t>Robbie Richard Erasmo v. Attorney General of Canada</w:t>
      </w:r>
      <w:r w:rsidRPr="0081539C">
        <w:rPr>
          <w:rFonts w:eastAsia="Calibri"/>
          <w:sz w:val="20"/>
          <w:lang w:val="en-CA"/>
        </w:rPr>
        <w:t xml:space="preserve"> (F</w:t>
      </w:r>
      <w:r w:rsidR="0081539C">
        <w:rPr>
          <w:rFonts w:eastAsia="Calibri"/>
          <w:sz w:val="20"/>
          <w:lang w:val="en-CA"/>
        </w:rPr>
        <w:t>.</w:t>
      </w:r>
      <w:r w:rsidRPr="0081539C">
        <w:rPr>
          <w:rFonts w:eastAsia="Calibri"/>
          <w:sz w:val="20"/>
          <w:lang w:val="en-CA"/>
        </w:rPr>
        <w:t>C</w:t>
      </w:r>
      <w:r w:rsidR="0081539C">
        <w:rPr>
          <w:rFonts w:eastAsia="Calibri"/>
          <w:sz w:val="20"/>
          <w:lang w:val="en-CA"/>
        </w:rPr>
        <w:t>.</w:t>
      </w:r>
      <w:r w:rsidRPr="0081539C">
        <w:rPr>
          <w:rFonts w:eastAsia="Calibri"/>
          <w:sz w:val="20"/>
          <w:lang w:val="en-CA"/>
        </w:rPr>
        <w:t>) (Criminal) (By Leave) (</w:t>
      </w:r>
      <w:hyperlink r:id="rId21" w:history="1">
        <w:r w:rsidRPr="0081539C">
          <w:rPr>
            <w:rStyle w:val="Hyperlink"/>
            <w:rFonts w:eastAsia="Calibri"/>
            <w:sz w:val="20"/>
            <w:lang w:val="en-CA"/>
          </w:rPr>
          <w:t>36510</w:t>
        </w:r>
      </w:hyperlink>
      <w:r w:rsidRPr="0081539C">
        <w:rPr>
          <w:rFonts w:eastAsia="Calibri"/>
          <w:sz w:val="20"/>
          <w:lang w:val="en-CA"/>
        </w:rPr>
        <w:t>)</w:t>
      </w:r>
    </w:p>
    <w:p w:rsidR="00957342" w:rsidRPr="0081539C" w:rsidRDefault="00957342" w:rsidP="005731FD">
      <w:pPr>
        <w:widowControl w:val="0"/>
        <w:autoSpaceDE w:val="0"/>
        <w:autoSpaceDN w:val="0"/>
        <w:adjustRightInd w:val="0"/>
        <w:ind w:left="360" w:hanging="360"/>
        <w:jc w:val="both"/>
        <w:rPr>
          <w:sz w:val="20"/>
          <w:lang w:val="en-CA"/>
        </w:rPr>
      </w:pPr>
    </w:p>
    <w:p w:rsidR="00957342" w:rsidRPr="0081539C" w:rsidRDefault="00957342" w:rsidP="005731FD">
      <w:pPr>
        <w:pStyle w:val="ListParagraph"/>
        <w:numPr>
          <w:ilvl w:val="0"/>
          <w:numId w:val="25"/>
        </w:numPr>
        <w:ind w:left="360"/>
        <w:jc w:val="both"/>
        <w:rPr>
          <w:rFonts w:eastAsia="Calibri"/>
          <w:sz w:val="20"/>
          <w:lang w:val="fr-FR"/>
        </w:rPr>
      </w:pPr>
      <w:r w:rsidRPr="0081539C">
        <w:rPr>
          <w:rFonts w:eastAsia="Calibri"/>
          <w:bCs/>
          <w:i/>
          <w:iCs/>
          <w:sz w:val="20"/>
          <w:lang w:val="fr-FR"/>
        </w:rPr>
        <w:t>Oda Kagimbi c. Procureur Général du Canada</w:t>
      </w:r>
      <w:r w:rsidRPr="0081539C">
        <w:rPr>
          <w:rFonts w:eastAsia="Calibri"/>
          <w:sz w:val="20"/>
          <w:lang w:val="fr-FR"/>
        </w:rPr>
        <w:t xml:space="preserve"> (C</w:t>
      </w:r>
      <w:r w:rsidR="0081539C">
        <w:rPr>
          <w:rFonts w:eastAsia="Calibri"/>
          <w:sz w:val="20"/>
          <w:lang w:val="fr-FR"/>
        </w:rPr>
        <w:t>.</w:t>
      </w:r>
      <w:r w:rsidRPr="0081539C">
        <w:rPr>
          <w:rFonts w:eastAsia="Calibri"/>
          <w:sz w:val="20"/>
          <w:lang w:val="fr-FR"/>
        </w:rPr>
        <w:t>F</w:t>
      </w:r>
      <w:r w:rsidR="0081539C">
        <w:rPr>
          <w:rFonts w:eastAsia="Calibri"/>
          <w:sz w:val="20"/>
          <w:lang w:val="fr-FR"/>
        </w:rPr>
        <w:t>.</w:t>
      </w:r>
      <w:r w:rsidRPr="0081539C">
        <w:rPr>
          <w:rFonts w:eastAsia="Calibri"/>
          <w:sz w:val="20"/>
          <w:lang w:val="fr-FR"/>
        </w:rPr>
        <w:t>) (Civile) (Autorisation) (</w:t>
      </w:r>
      <w:hyperlink r:id="rId22" w:history="1">
        <w:r w:rsidRPr="0081539C">
          <w:rPr>
            <w:rStyle w:val="Hyperlink"/>
            <w:rFonts w:eastAsia="Calibri"/>
            <w:sz w:val="20"/>
            <w:lang w:val="fr-FR"/>
          </w:rPr>
          <w:t>36534</w:t>
        </w:r>
      </w:hyperlink>
      <w:r w:rsidRPr="0081539C">
        <w:rPr>
          <w:rFonts w:eastAsia="Calibri"/>
          <w:sz w:val="20"/>
          <w:lang w:val="fr-FR"/>
        </w:rPr>
        <w:t>)</w:t>
      </w:r>
    </w:p>
    <w:p w:rsidR="00957342" w:rsidRPr="0081539C" w:rsidRDefault="00957342" w:rsidP="005731FD">
      <w:pPr>
        <w:widowControl w:val="0"/>
        <w:autoSpaceDE w:val="0"/>
        <w:autoSpaceDN w:val="0"/>
        <w:adjustRightInd w:val="0"/>
        <w:ind w:left="360" w:hanging="360"/>
        <w:jc w:val="both"/>
        <w:rPr>
          <w:sz w:val="20"/>
          <w:lang w:val="fr-FR"/>
        </w:rPr>
      </w:pPr>
    </w:p>
    <w:p w:rsidR="00957342" w:rsidRPr="0081539C" w:rsidRDefault="00957342" w:rsidP="005731FD">
      <w:pPr>
        <w:pStyle w:val="ListParagraph"/>
        <w:numPr>
          <w:ilvl w:val="0"/>
          <w:numId w:val="25"/>
        </w:numPr>
        <w:ind w:left="360"/>
        <w:jc w:val="both"/>
        <w:rPr>
          <w:sz w:val="20"/>
        </w:rPr>
      </w:pPr>
      <w:r w:rsidRPr="0081539C">
        <w:rPr>
          <w:i/>
          <w:sz w:val="20"/>
        </w:rPr>
        <w:t>Ariston Realty Corp. v. Elcarim Inc.</w:t>
      </w:r>
      <w:r w:rsidR="0081539C">
        <w:rPr>
          <w:i/>
          <w:sz w:val="20"/>
        </w:rPr>
        <w:t xml:space="preserve"> et al. </w:t>
      </w:r>
      <w:r w:rsidR="00F9562A">
        <w:rPr>
          <w:sz w:val="20"/>
        </w:rPr>
        <w:t>(Ont</w:t>
      </w:r>
      <w:r w:rsidR="0081539C">
        <w:rPr>
          <w:sz w:val="20"/>
        </w:rPr>
        <w:t>.</w:t>
      </w:r>
      <w:r w:rsidRPr="0081539C">
        <w:rPr>
          <w:sz w:val="20"/>
        </w:rPr>
        <w:t>) (Civil) (By Leave)</w:t>
      </w:r>
      <w:r w:rsidR="0081539C">
        <w:rPr>
          <w:sz w:val="20"/>
        </w:rPr>
        <w:t xml:space="preserve"> </w:t>
      </w:r>
      <w:r w:rsidR="0081539C" w:rsidRPr="0081539C">
        <w:rPr>
          <w:sz w:val="20"/>
        </w:rPr>
        <w:t>(</w:t>
      </w:r>
      <w:hyperlink r:id="rId23" w:history="1">
        <w:r w:rsidR="0081539C" w:rsidRPr="0081539C">
          <w:rPr>
            <w:rStyle w:val="Hyperlink"/>
            <w:sz w:val="20"/>
          </w:rPr>
          <w:t>36325</w:t>
        </w:r>
      </w:hyperlink>
      <w:r w:rsidR="0081539C" w:rsidRPr="0081539C">
        <w:rPr>
          <w:sz w:val="20"/>
        </w:rPr>
        <w:t>)</w:t>
      </w:r>
    </w:p>
    <w:p w:rsidR="00957342" w:rsidRPr="0081539C" w:rsidRDefault="00957342" w:rsidP="0081539C">
      <w:pPr>
        <w:ind w:left="720" w:hanging="720"/>
        <w:rPr>
          <w:sz w:val="20"/>
        </w:rPr>
      </w:pPr>
    </w:p>
    <w:p w:rsidR="009550BB" w:rsidRPr="007F2DB8" w:rsidRDefault="009550BB" w:rsidP="007F2DB8">
      <w:pPr>
        <w:ind w:left="360" w:hanging="360"/>
        <w:jc w:val="both"/>
        <w:rPr>
          <w:sz w:val="20"/>
        </w:rPr>
      </w:pPr>
    </w:p>
    <w:p w:rsidR="00F70C8A" w:rsidRPr="007F2DB8" w:rsidRDefault="00F70C8A" w:rsidP="007F2DB8">
      <w:pPr>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2DB8" w:rsidRPr="007F2DB8" w:rsidTr="007F2DB8">
        <w:tc>
          <w:tcPr>
            <w:tcW w:w="543" w:type="pct"/>
          </w:tcPr>
          <w:p w:rsidR="007F2DB8" w:rsidRPr="007F2DB8" w:rsidRDefault="007F2DB8" w:rsidP="007F2DB8">
            <w:pPr>
              <w:jc w:val="both"/>
              <w:rPr>
                <w:sz w:val="20"/>
              </w:rPr>
            </w:pPr>
            <w:r w:rsidRPr="007F2DB8">
              <w:rPr>
                <w:rStyle w:val="SCCFileNumberChar"/>
                <w:sz w:val="20"/>
                <w:szCs w:val="20"/>
              </w:rPr>
              <w:t>36481</w:t>
            </w:r>
          </w:p>
        </w:tc>
        <w:tc>
          <w:tcPr>
            <w:tcW w:w="4457" w:type="pct"/>
            <w:gridSpan w:val="3"/>
          </w:tcPr>
          <w:p w:rsidR="007F2DB8" w:rsidRPr="007F2DB8" w:rsidRDefault="007F2DB8" w:rsidP="007F2DB8">
            <w:pPr>
              <w:pStyle w:val="SCCLsocParty"/>
              <w:jc w:val="both"/>
              <w:rPr>
                <w:b/>
                <w:sz w:val="20"/>
                <w:szCs w:val="20"/>
                <w:lang w:val="en-US"/>
              </w:rPr>
            </w:pPr>
            <w:r w:rsidRPr="007F2DB8">
              <w:rPr>
                <w:b/>
                <w:sz w:val="20"/>
                <w:szCs w:val="20"/>
                <w:lang w:val="en-US"/>
              </w:rPr>
              <w:t>Allan Jeffery Harris v. Her Majesty the Queen</w:t>
            </w:r>
          </w:p>
          <w:p w:rsidR="007F2DB8" w:rsidRPr="007F2DB8" w:rsidRDefault="007F2DB8" w:rsidP="007F2DB8">
            <w:pPr>
              <w:jc w:val="both"/>
              <w:rPr>
                <w:sz w:val="20"/>
              </w:rPr>
            </w:pPr>
            <w:r w:rsidRPr="007F2DB8">
              <w:rPr>
                <w:sz w:val="20"/>
              </w:rPr>
              <w:t>(FC) (Civil) (By Leave)</w:t>
            </w:r>
          </w:p>
        </w:tc>
      </w:tr>
      <w:tr w:rsidR="007F2DB8" w:rsidRPr="007F2DB8" w:rsidTr="007F2DB8">
        <w:tc>
          <w:tcPr>
            <w:tcW w:w="5000" w:type="pct"/>
            <w:gridSpan w:val="4"/>
          </w:tcPr>
          <w:p w:rsidR="007F2DB8" w:rsidRPr="007F2DB8" w:rsidRDefault="007F2DB8" w:rsidP="007F2DB8">
            <w:pPr>
              <w:jc w:val="both"/>
              <w:rPr>
                <w:sz w:val="20"/>
              </w:rPr>
            </w:pPr>
            <w:r w:rsidRPr="007F2DB8">
              <w:rPr>
                <w:sz w:val="20"/>
              </w:rPr>
              <w:t>Civil procedure – Time – Several applicants in separate actions seeking extension of time to appeal Federal Court order in another case concerning validity of and interim exemption from new regulations pertaining to use of medical marijuana – Federal Court of Appeal dismissing motions – Whether members of class affected by a Federal Court ruling should have a right of appeal – Whether Federal Court of Appeal erred in dismissing appeal – Whether applicant should be granted interim exemption pending adjudication of application for leave to appeal.</w:t>
            </w:r>
          </w:p>
        </w:tc>
      </w:tr>
      <w:tr w:rsidR="007F2DB8" w:rsidRPr="007F2DB8" w:rsidTr="007F2DB8">
        <w:tc>
          <w:tcPr>
            <w:tcW w:w="5000" w:type="pct"/>
            <w:gridSpan w:val="4"/>
          </w:tcPr>
          <w:p w:rsidR="007F2DB8" w:rsidRPr="007F2DB8" w:rsidRDefault="007F2DB8" w:rsidP="007F2DB8">
            <w:pPr>
              <w:jc w:val="both"/>
              <w:rPr>
                <w:sz w:val="20"/>
              </w:rPr>
            </w:pPr>
          </w:p>
        </w:tc>
      </w:tr>
      <w:tr w:rsidR="007F2DB8" w:rsidRPr="007F2DB8" w:rsidTr="007F2DB8">
        <w:tc>
          <w:tcPr>
            <w:tcW w:w="5000" w:type="pct"/>
            <w:gridSpan w:val="4"/>
          </w:tcPr>
          <w:p w:rsidR="007F2DB8" w:rsidRPr="007F2DB8" w:rsidRDefault="007F2DB8" w:rsidP="007F2DB8">
            <w:pPr>
              <w:jc w:val="both"/>
              <w:rPr>
                <w:sz w:val="20"/>
              </w:rPr>
            </w:pPr>
            <w:r w:rsidRPr="007F2DB8">
              <w:rPr>
                <w:sz w:val="20"/>
              </w:rPr>
              <w:t>The applicant had been issued a permit that allowed him to grow and use marijuana for personal, medicinal purposes. The grower permit regime was replaced in April, 2014 and thereafter permit-holders were required to purchase marijuana from licenced commercial producers. Many of those permit-holders commenced actions in the Federal Court, challenging the new legislative provisions. All of the actions except one were stayed and it proceeded to trial. Some of those plaintiffs were also granted interlocutory injunctive relief, exempting them from the new regime. The applicant brought a motion for an extension of time to appeal the December 30, 2014 Federal Court order in the related case.</w:t>
            </w: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t>December 30, 2014</w:t>
            </w:r>
          </w:p>
          <w:p w:rsidR="007F2DB8" w:rsidRPr="007F2DB8" w:rsidRDefault="007F2DB8" w:rsidP="007F2DB8">
            <w:pPr>
              <w:jc w:val="both"/>
              <w:rPr>
                <w:sz w:val="20"/>
              </w:rPr>
            </w:pPr>
            <w:r w:rsidRPr="007F2DB8">
              <w:rPr>
                <w:sz w:val="20"/>
              </w:rPr>
              <w:t>Federal Court</w:t>
            </w:r>
          </w:p>
          <w:p w:rsidR="007F2DB8" w:rsidRPr="007F2DB8" w:rsidRDefault="007F2DB8" w:rsidP="007F2DB8">
            <w:pPr>
              <w:jc w:val="both"/>
              <w:rPr>
                <w:sz w:val="20"/>
              </w:rPr>
            </w:pPr>
            <w:r w:rsidRPr="007F2DB8">
              <w:rPr>
                <w:sz w:val="20"/>
              </w:rPr>
              <w:t>(Manson J.)</w:t>
            </w:r>
          </w:p>
          <w:p w:rsidR="007F2DB8" w:rsidRPr="007F2DB8" w:rsidRDefault="00A96461" w:rsidP="007F2DB8">
            <w:pPr>
              <w:jc w:val="both"/>
              <w:rPr>
                <w:sz w:val="20"/>
              </w:rPr>
            </w:pPr>
            <w:hyperlink r:id="rId24" w:history="1">
              <w:r w:rsidR="007F2DB8" w:rsidRPr="007F2DB8">
                <w:rPr>
                  <w:rStyle w:val="Hyperlink"/>
                  <w:sz w:val="20"/>
                </w:rPr>
                <w:t>2014 FC 1260</w:t>
              </w:r>
            </w:hyperlink>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 xml:space="preserve">In </w:t>
            </w:r>
            <w:r w:rsidRPr="007F2DB8">
              <w:rPr>
                <w:i/>
                <w:sz w:val="20"/>
              </w:rPr>
              <w:t>Allard et al. v. Canada</w:t>
            </w:r>
            <w:r w:rsidRPr="007F2DB8">
              <w:rPr>
                <w:sz w:val="20"/>
              </w:rPr>
              <w:t xml:space="preserve">, 2014 FC 1260 plaintiffs’ motion for interlocutory exemption from provisions of </w:t>
            </w:r>
            <w:r w:rsidRPr="007F2DB8">
              <w:rPr>
                <w:i/>
                <w:sz w:val="20"/>
              </w:rPr>
              <w:t>Marijuana for Medical Purposes Regulations</w:t>
            </w:r>
            <w:r w:rsidRPr="007F2DB8">
              <w:rPr>
                <w:sz w:val="20"/>
              </w:rPr>
              <w:t>, SOR/2013-119 granted in part</w:t>
            </w: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lastRenderedPageBreak/>
              <w:t>April 14, 2015</w:t>
            </w:r>
          </w:p>
          <w:p w:rsidR="007F2DB8" w:rsidRPr="007F2DB8" w:rsidRDefault="007F2DB8" w:rsidP="007F2DB8">
            <w:pPr>
              <w:jc w:val="both"/>
              <w:rPr>
                <w:sz w:val="20"/>
              </w:rPr>
            </w:pPr>
            <w:r w:rsidRPr="007F2DB8">
              <w:rPr>
                <w:sz w:val="20"/>
              </w:rPr>
              <w:t>Federal Court of Appeal</w:t>
            </w:r>
          </w:p>
          <w:p w:rsidR="007F2DB8" w:rsidRPr="007F2DB8" w:rsidRDefault="007F2DB8" w:rsidP="007F2DB8">
            <w:pPr>
              <w:jc w:val="both"/>
              <w:rPr>
                <w:sz w:val="20"/>
              </w:rPr>
            </w:pPr>
            <w:r w:rsidRPr="007F2DB8">
              <w:rPr>
                <w:sz w:val="20"/>
              </w:rPr>
              <w:t>(Dawson J.A.)</w:t>
            </w:r>
          </w:p>
          <w:p w:rsidR="007F2DB8" w:rsidRPr="007F2DB8" w:rsidRDefault="007F2DB8" w:rsidP="007F2DB8">
            <w:pPr>
              <w:jc w:val="both"/>
              <w:rPr>
                <w:sz w:val="20"/>
              </w:rPr>
            </w:pPr>
            <w:r w:rsidRPr="007F2DB8">
              <w:rPr>
                <w:sz w:val="20"/>
              </w:rPr>
              <w:t>Unreported</w:t>
            </w:r>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ind w:right="90"/>
              <w:jc w:val="both"/>
              <w:rPr>
                <w:sz w:val="20"/>
              </w:rPr>
            </w:pPr>
            <w:r w:rsidRPr="007F2DB8">
              <w:rPr>
                <w:sz w:val="20"/>
              </w:rPr>
              <w:t xml:space="preserve">Applicant’s motion for extension of time in which to file notice of appeal in </w:t>
            </w:r>
            <w:r w:rsidRPr="007F2DB8">
              <w:rPr>
                <w:i/>
                <w:sz w:val="20"/>
              </w:rPr>
              <w:t>Allard</w:t>
            </w:r>
            <w:r w:rsidRPr="007F2DB8">
              <w:rPr>
                <w:sz w:val="20"/>
              </w:rPr>
              <w:t xml:space="preserve"> action and for interim order preserving permit rights dismissed</w:t>
            </w: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t>June 15, 2015</w:t>
            </w:r>
          </w:p>
          <w:p w:rsidR="007F2DB8" w:rsidRPr="007F2DB8" w:rsidRDefault="007F2DB8" w:rsidP="007F2DB8">
            <w:pPr>
              <w:jc w:val="both"/>
              <w:rPr>
                <w:sz w:val="20"/>
              </w:rPr>
            </w:pPr>
            <w:r w:rsidRPr="007F2DB8">
              <w:rPr>
                <w:sz w:val="20"/>
              </w:rPr>
              <w:t>Supreme Court of Canada</w:t>
            </w:r>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Application for leave to appeal filed</w:t>
            </w:r>
          </w:p>
          <w:p w:rsidR="007F2DB8" w:rsidRPr="007F2DB8" w:rsidRDefault="007F2DB8" w:rsidP="007F2DB8">
            <w:pPr>
              <w:jc w:val="both"/>
              <w:rPr>
                <w:sz w:val="20"/>
              </w:rPr>
            </w:pPr>
          </w:p>
        </w:tc>
      </w:tr>
    </w:tbl>
    <w:p w:rsidR="007F2DB8" w:rsidRDefault="007F2DB8" w:rsidP="007F2DB8">
      <w:pPr>
        <w:jc w:val="both"/>
        <w:rPr>
          <w:sz w:val="20"/>
        </w:rPr>
      </w:pPr>
    </w:p>
    <w:p w:rsidR="007F2DB8" w:rsidRPr="007F2DB8" w:rsidRDefault="007F2DB8" w:rsidP="007F2D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2DB8" w:rsidRPr="007F2DB8" w:rsidTr="007F2DB8">
        <w:tc>
          <w:tcPr>
            <w:tcW w:w="543" w:type="pct"/>
          </w:tcPr>
          <w:p w:rsidR="007F2DB8" w:rsidRPr="007F2DB8" w:rsidRDefault="007F2DB8" w:rsidP="007F2DB8">
            <w:pPr>
              <w:jc w:val="both"/>
              <w:rPr>
                <w:sz w:val="20"/>
                <w:lang w:val="fr-CA"/>
              </w:rPr>
            </w:pPr>
            <w:r w:rsidRPr="007F2DB8">
              <w:rPr>
                <w:rStyle w:val="SCCFileNumberChar"/>
                <w:sz w:val="20"/>
                <w:szCs w:val="20"/>
                <w:lang w:val="fr-CA"/>
              </w:rPr>
              <w:t>36481</w:t>
            </w:r>
          </w:p>
        </w:tc>
        <w:tc>
          <w:tcPr>
            <w:tcW w:w="4457" w:type="pct"/>
            <w:gridSpan w:val="3"/>
          </w:tcPr>
          <w:p w:rsidR="007F2DB8" w:rsidRPr="007F2DB8" w:rsidRDefault="007F2DB8" w:rsidP="007F2DB8">
            <w:pPr>
              <w:pStyle w:val="SCCLsocParty"/>
              <w:jc w:val="both"/>
              <w:rPr>
                <w:b/>
                <w:sz w:val="20"/>
                <w:szCs w:val="20"/>
              </w:rPr>
            </w:pPr>
            <w:r w:rsidRPr="007F2DB8">
              <w:rPr>
                <w:b/>
                <w:sz w:val="20"/>
                <w:szCs w:val="20"/>
              </w:rPr>
              <w:t>Allan Jeffery Harris c. Sa Majesté la Reine</w:t>
            </w:r>
          </w:p>
          <w:p w:rsidR="007F2DB8" w:rsidRPr="007F2DB8" w:rsidRDefault="007F2DB8" w:rsidP="007F2DB8">
            <w:pPr>
              <w:jc w:val="both"/>
              <w:rPr>
                <w:sz w:val="20"/>
                <w:lang w:val="fr-CA"/>
              </w:rPr>
            </w:pPr>
            <w:r w:rsidRPr="007F2DB8">
              <w:rPr>
                <w:sz w:val="20"/>
                <w:lang w:val="fr-CA"/>
              </w:rPr>
              <w:t>(CF) (Civile) (Sur autorisation)</w:t>
            </w:r>
          </w:p>
        </w:tc>
      </w:tr>
      <w:tr w:rsidR="007F2DB8" w:rsidRPr="00A96461" w:rsidTr="007F2DB8">
        <w:tc>
          <w:tcPr>
            <w:tcW w:w="5000" w:type="pct"/>
            <w:gridSpan w:val="4"/>
          </w:tcPr>
          <w:p w:rsidR="007F2DB8" w:rsidRPr="007F2DB8" w:rsidRDefault="007F2DB8" w:rsidP="007F2DB8">
            <w:pPr>
              <w:jc w:val="both"/>
              <w:rPr>
                <w:sz w:val="20"/>
                <w:lang w:val="fr-CA"/>
              </w:rPr>
            </w:pPr>
            <w:r w:rsidRPr="007F2DB8">
              <w:rPr>
                <w:sz w:val="20"/>
                <w:lang w:val="fr-CA"/>
              </w:rPr>
              <w:t>Procédure civile – Délais – Plusieurs demandeurs, dans des actions distinctes, sollicitent une prorogation de délai pour interjeter appel d’une ordonnance de la Cour fédérale dans une autre affaire concernant la validité du nouveau règlement relatif à l’usage de la marihuana à des fins médicales et une exemption provisoire à l’égard de ce règlement – La Cour d’appel fédérale a rejeté les requêtes – Les membres du groupe touché par le jugement de la Cour fédérale devraient-ils avoir un droit d’appel? – La Cour d’appel fédérale a-t-elle eu tort de rejeter l’appel? – Y a-t-il lieu d’accorder au demandeur une exemption provisoire en attendant qu’il soit statué sur la demande d’autorisation d’appel?</w:t>
            </w:r>
          </w:p>
        </w:tc>
      </w:tr>
      <w:tr w:rsidR="007F2DB8" w:rsidRPr="00A96461" w:rsidTr="007F2DB8">
        <w:tc>
          <w:tcPr>
            <w:tcW w:w="5000" w:type="pct"/>
            <w:gridSpan w:val="4"/>
          </w:tcPr>
          <w:p w:rsidR="007F2DB8" w:rsidRPr="007F2DB8" w:rsidRDefault="007F2DB8" w:rsidP="007F2DB8">
            <w:pPr>
              <w:jc w:val="both"/>
              <w:rPr>
                <w:sz w:val="20"/>
                <w:lang w:val="fr-CA"/>
              </w:rPr>
            </w:pPr>
          </w:p>
        </w:tc>
      </w:tr>
      <w:tr w:rsidR="007F2DB8" w:rsidRPr="00A96461" w:rsidTr="007F2DB8">
        <w:tc>
          <w:tcPr>
            <w:tcW w:w="5000" w:type="pct"/>
            <w:gridSpan w:val="4"/>
          </w:tcPr>
          <w:p w:rsidR="007F2DB8" w:rsidRPr="007F2DB8" w:rsidRDefault="007F2DB8" w:rsidP="007F2DB8">
            <w:pPr>
              <w:jc w:val="both"/>
              <w:rPr>
                <w:sz w:val="20"/>
                <w:lang w:val="fr-CA"/>
              </w:rPr>
            </w:pPr>
            <w:r w:rsidRPr="007F2DB8">
              <w:rPr>
                <w:sz w:val="20"/>
                <w:lang w:val="fr-CA"/>
              </w:rPr>
              <w:t>Le demandeur s’était vu octroyer un permis qui lui permettait de produire et d’utiliser de la marihuana à des fins personnelles et médicales. En avril 2014, le régime de permis de production a été remplacé et dorénavant, les titulaires de permis devaient acheter de la marihuana de producteurs commerciaux autorisés. Plusieurs titulaires de ces permis ont intenté des actions en  Cour fédérale, contestant les nouvelles dispositions législatives. Toutes ces actions sauf une ont été suspendues et cette dernière est allée à procès. Certains demandeurs se sont vu accorder une injonction interlocutoire, les exemptant du nouveau régime. Le demandeur a présenté une requête en prorogation de délai pour interjeter appel de l’ordonnance prononcée le 30 décembre 2014 par la Cour fédérale dans l’affaire connexe.</w:t>
            </w:r>
          </w:p>
          <w:p w:rsidR="007F2DB8" w:rsidRPr="007F2DB8" w:rsidRDefault="007F2DB8" w:rsidP="007F2DB8">
            <w:pPr>
              <w:jc w:val="both"/>
              <w:rPr>
                <w:sz w:val="20"/>
                <w:lang w:val="fr-CA"/>
              </w:rPr>
            </w:pPr>
          </w:p>
        </w:tc>
      </w:tr>
      <w:tr w:rsidR="007F2DB8" w:rsidRPr="00A96461" w:rsidTr="007F2DB8">
        <w:tc>
          <w:tcPr>
            <w:tcW w:w="2427" w:type="pct"/>
            <w:gridSpan w:val="2"/>
          </w:tcPr>
          <w:p w:rsidR="007F2DB8" w:rsidRPr="007F2DB8" w:rsidRDefault="007F2DB8" w:rsidP="007F2DB8">
            <w:pPr>
              <w:jc w:val="both"/>
              <w:rPr>
                <w:sz w:val="20"/>
                <w:lang w:val="fr-CA"/>
              </w:rPr>
            </w:pPr>
            <w:r w:rsidRPr="007F2DB8">
              <w:rPr>
                <w:sz w:val="20"/>
                <w:lang w:val="fr-CA"/>
              </w:rPr>
              <w:t>30 décembre 2014</w:t>
            </w:r>
          </w:p>
          <w:p w:rsidR="007F2DB8" w:rsidRPr="007F2DB8" w:rsidRDefault="007F2DB8" w:rsidP="007F2DB8">
            <w:pPr>
              <w:jc w:val="both"/>
              <w:rPr>
                <w:sz w:val="20"/>
                <w:lang w:val="fr-CA"/>
              </w:rPr>
            </w:pPr>
            <w:r w:rsidRPr="007F2DB8">
              <w:rPr>
                <w:sz w:val="20"/>
                <w:lang w:val="fr-CA"/>
              </w:rPr>
              <w:t>Cour fédérale</w:t>
            </w:r>
          </w:p>
          <w:p w:rsidR="007F2DB8" w:rsidRPr="007F2DB8" w:rsidRDefault="007F2DB8" w:rsidP="007F2DB8">
            <w:pPr>
              <w:jc w:val="both"/>
              <w:rPr>
                <w:sz w:val="20"/>
                <w:lang w:val="fr-CA"/>
              </w:rPr>
            </w:pPr>
            <w:r w:rsidRPr="007F2DB8">
              <w:rPr>
                <w:sz w:val="20"/>
                <w:lang w:val="fr-CA"/>
              </w:rPr>
              <w:t>(Juge Manson)</w:t>
            </w:r>
          </w:p>
          <w:p w:rsidR="007F2DB8" w:rsidRPr="007F2DB8" w:rsidRDefault="00A96461" w:rsidP="007F2DB8">
            <w:pPr>
              <w:jc w:val="both"/>
              <w:rPr>
                <w:sz w:val="20"/>
                <w:lang w:val="fr-CA"/>
              </w:rPr>
            </w:pPr>
            <w:hyperlink r:id="rId25" w:history="1">
              <w:r w:rsidR="007F2DB8" w:rsidRPr="007F2DB8">
                <w:rPr>
                  <w:rStyle w:val="Hyperlink"/>
                  <w:sz w:val="20"/>
                  <w:lang w:val="fr-CA"/>
                </w:rPr>
                <w:t>2014 FC 1260</w:t>
              </w:r>
            </w:hyperlink>
          </w:p>
        </w:tc>
        <w:tc>
          <w:tcPr>
            <w:tcW w:w="243" w:type="pct"/>
          </w:tcPr>
          <w:p w:rsidR="007F2DB8" w:rsidRPr="007F2DB8" w:rsidRDefault="007F2DB8" w:rsidP="007F2DB8">
            <w:pPr>
              <w:jc w:val="both"/>
              <w:rPr>
                <w:sz w:val="20"/>
                <w:lang w:val="fr-CA"/>
              </w:rPr>
            </w:pPr>
          </w:p>
        </w:tc>
        <w:tc>
          <w:tcPr>
            <w:tcW w:w="2330" w:type="pct"/>
          </w:tcPr>
          <w:p w:rsidR="007F2DB8" w:rsidRPr="007F2DB8" w:rsidRDefault="007F2DB8" w:rsidP="007F2DB8">
            <w:pPr>
              <w:jc w:val="both"/>
              <w:rPr>
                <w:sz w:val="20"/>
                <w:lang w:val="fr-CA"/>
              </w:rPr>
            </w:pPr>
            <w:r w:rsidRPr="007F2DB8">
              <w:rPr>
                <w:sz w:val="20"/>
                <w:lang w:val="fr-CA"/>
              </w:rPr>
              <w:t xml:space="preserve">Dans </w:t>
            </w:r>
            <w:r w:rsidRPr="007F2DB8">
              <w:rPr>
                <w:i/>
                <w:sz w:val="20"/>
                <w:lang w:val="fr-CA"/>
              </w:rPr>
              <w:t>Allard et al. c. Canada</w:t>
            </w:r>
            <w:r w:rsidRPr="007F2DB8">
              <w:rPr>
                <w:sz w:val="20"/>
                <w:lang w:val="fr-CA"/>
              </w:rPr>
              <w:t xml:space="preserve">, 2014 FC 1260, jugement accueillant en partie la requête des demandeurs en première instance en exemption interlocutoire à l’égard des dispositions du </w:t>
            </w:r>
            <w:r w:rsidRPr="007F2DB8">
              <w:rPr>
                <w:i/>
                <w:sz w:val="20"/>
                <w:lang w:val="fr-CA"/>
              </w:rPr>
              <w:t>Règlement sur la marihuana à des fins médicales</w:t>
            </w:r>
            <w:r w:rsidRPr="007F2DB8">
              <w:rPr>
                <w:sz w:val="20"/>
                <w:lang w:val="fr-CA"/>
              </w:rPr>
              <w:t xml:space="preserve">, DORS/2013-119 </w:t>
            </w:r>
          </w:p>
          <w:p w:rsidR="007F2DB8" w:rsidRPr="007F2DB8" w:rsidRDefault="007F2DB8" w:rsidP="007F2DB8">
            <w:pPr>
              <w:jc w:val="both"/>
              <w:rPr>
                <w:sz w:val="20"/>
                <w:lang w:val="fr-CA"/>
              </w:rPr>
            </w:pPr>
          </w:p>
        </w:tc>
      </w:tr>
      <w:tr w:rsidR="007F2DB8" w:rsidRPr="00A96461" w:rsidTr="007F2DB8">
        <w:tc>
          <w:tcPr>
            <w:tcW w:w="2427" w:type="pct"/>
            <w:gridSpan w:val="2"/>
          </w:tcPr>
          <w:p w:rsidR="007F2DB8" w:rsidRPr="007F2DB8" w:rsidRDefault="007F2DB8" w:rsidP="007F2DB8">
            <w:pPr>
              <w:jc w:val="both"/>
              <w:rPr>
                <w:sz w:val="20"/>
                <w:lang w:val="fr-CA"/>
              </w:rPr>
            </w:pPr>
            <w:r w:rsidRPr="007F2DB8">
              <w:rPr>
                <w:sz w:val="20"/>
                <w:lang w:val="fr-CA"/>
              </w:rPr>
              <w:t>14 avril 2015</w:t>
            </w:r>
          </w:p>
          <w:p w:rsidR="007F2DB8" w:rsidRPr="007F2DB8" w:rsidRDefault="007F2DB8" w:rsidP="007F2DB8">
            <w:pPr>
              <w:jc w:val="both"/>
              <w:rPr>
                <w:sz w:val="20"/>
                <w:lang w:val="fr-CA"/>
              </w:rPr>
            </w:pPr>
            <w:r w:rsidRPr="007F2DB8">
              <w:rPr>
                <w:sz w:val="20"/>
                <w:lang w:val="fr-CA"/>
              </w:rPr>
              <w:t>Cour d’appel fédérale</w:t>
            </w:r>
          </w:p>
          <w:p w:rsidR="007F2DB8" w:rsidRPr="007F2DB8" w:rsidRDefault="007F2DB8" w:rsidP="007F2DB8">
            <w:pPr>
              <w:jc w:val="both"/>
              <w:rPr>
                <w:sz w:val="20"/>
                <w:lang w:val="fr-CA"/>
              </w:rPr>
            </w:pPr>
            <w:r w:rsidRPr="007F2DB8">
              <w:rPr>
                <w:sz w:val="20"/>
                <w:lang w:val="fr-CA"/>
              </w:rPr>
              <w:t>(Juge Dawson)</w:t>
            </w:r>
          </w:p>
          <w:p w:rsidR="007F2DB8" w:rsidRPr="007F2DB8" w:rsidRDefault="007F2DB8" w:rsidP="007F2DB8">
            <w:pPr>
              <w:jc w:val="both"/>
              <w:rPr>
                <w:sz w:val="20"/>
                <w:lang w:val="fr-CA"/>
              </w:rPr>
            </w:pPr>
            <w:r w:rsidRPr="007F2DB8">
              <w:rPr>
                <w:sz w:val="20"/>
                <w:lang w:val="fr-CA"/>
              </w:rPr>
              <w:t>Non publié</w:t>
            </w:r>
          </w:p>
        </w:tc>
        <w:tc>
          <w:tcPr>
            <w:tcW w:w="243" w:type="pct"/>
          </w:tcPr>
          <w:p w:rsidR="007F2DB8" w:rsidRPr="007F2DB8" w:rsidRDefault="007F2DB8" w:rsidP="007F2DB8">
            <w:pPr>
              <w:jc w:val="both"/>
              <w:rPr>
                <w:sz w:val="20"/>
                <w:lang w:val="fr-CA"/>
              </w:rPr>
            </w:pPr>
          </w:p>
        </w:tc>
        <w:tc>
          <w:tcPr>
            <w:tcW w:w="2330" w:type="pct"/>
          </w:tcPr>
          <w:p w:rsidR="007F2DB8" w:rsidRPr="007F2DB8" w:rsidRDefault="007F2DB8" w:rsidP="007F2DB8">
            <w:pPr>
              <w:jc w:val="both"/>
              <w:rPr>
                <w:sz w:val="20"/>
                <w:lang w:val="fr-CA"/>
              </w:rPr>
            </w:pPr>
            <w:r w:rsidRPr="007F2DB8">
              <w:rPr>
                <w:sz w:val="20"/>
                <w:lang w:val="fr-CA"/>
              </w:rPr>
              <w:t xml:space="preserve">Rejet de la requête du demandeur en prorogation du délai en vue de déposer un avis d’appel dans l’action </w:t>
            </w:r>
            <w:r w:rsidRPr="007F2DB8">
              <w:rPr>
                <w:i/>
                <w:sz w:val="20"/>
                <w:lang w:val="fr-CA"/>
              </w:rPr>
              <w:t>Allard</w:t>
            </w:r>
            <w:r w:rsidRPr="007F2DB8">
              <w:rPr>
                <w:sz w:val="20"/>
                <w:lang w:val="fr-CA"/>
              </w:rPr>
              <w:t xml:space="preserve"> et en vue d’obtenir une ordonnance provisoire maintenant les droits conférés par le permis</w:t>
            </w:r>
          </w:p>
          <w:p w:rsidR="007F2DB8" w:rsidRPr="007F2DB8" w:rsidRDefault="007F2DB8" w:rsidP="007F2DB8">
            <w:pPr>
              <w:jc w:val="both"/>
              <w:rPr>
                <w:sz w:val="20"/>
                <w:lang w:val="fr-CA"/>
              </w:rPr>
            </w:pPr>
          </w:p>
        </w:tc>
      </w:tr>
      <w:tr w:rsidR="007F2DB8" w:rsidRPr="00A96461" w:rsidTr="007F2DB8">
        <w:tc>
          <w:tcPr>
            <w:tcW w:w="2427" w:type="pct"/>
            <w:gridSpan w:val="2"/>
          </w:tcPr>
          <w:p w:rsidR="007F2DB8" w:rsidRPr="007F2DB8" w:rsidRDefault="007F2DB8" w:rsidP="007F2DB8">
            <w:pPr>
              <w:jc w:val="both"/>
              <w:rPr>
                <w:sz w:val="20"/>
                <w:lang w:val="fr-CA"/>
              </w:rPr>
            </w:pPr>
            <w:r w:rsidRPr="007F2DB8">
              <w:rPr>
                <w:sz w:val="20"/>
                <w:lang w:val="fr-CA"/>
              </w:rPr>
              <w:t>15 juin 2015</w:t>
            </w:r>
          </w:p>
          <w:p w:rsidR="007F2DB8" w:rsidRPr="007F2DB8" w:rsidRDefault="007F2DB8" w:rsidP="007F2DB8">
            <w:pPr>
              <w:jc w:val="both"/>
              <w:rPr>
                <w:sz w:val="20"/>
                <w:lang w:val="fr-CA"/>
              </w:rPr>
            </w:pPr>
            <w:r w:rsidRPr="007F2DB8">
              <w:rPr>
                <w:sz w:val="20"/>
                <w:lang w:val="fr-CA"/>
              </w:rPr>
              <w:t>Cour suprême du Canada</w:t>
            </w:r>
          </w:p>
          <w:p w:rsidR="007F2DB8" w:rsidRPr="007F2DB8" w:rsidRDefault="007F2DB8" w:rsidP="007F2DB8">
            <w:pPr>
              <w:jc w:val="both"/>
              <w:rPr>
                <w:sz w:val="20"/>
                <w:lang w:val="fr-CA"/>
              </w:rPr>
            </w:pPr>
          </w:p>
        </w:tc>
        <w:tc>
          <w:tcPr>
            <w:tcW w:w="243" w:type="pct"/>
          </w:tcPr>
          <w:p w:rsidR="007F2DB8" w:rsidRPr="007F2DB8" w:rsidRDefault="007F2DB8" w:rsidP="007F2DB8">
            <w:pPr>
              <w:jc w:val="both"/>
              <w:rPr>
                <w:sz w:val="20"/>
                <w:lang w:val="fr-CA"/>
              </w:rPr>
            </w:pPr>
          </w:p>
        </w:tc>
        <w:tc>
          <w:tcPr>
            <w:tcW w:w="2330" w:type="pct"/>
          </w:tcPr>
          <w:p w:rsidR="007F2DB8" w:rsidRPr="007F2DB8" w:rsidRDefault="007F2DB8" w:rsidP="007F2DB8">
            <w:pPr>
              <w:jc w:val="both"/>
              <w:rPr>
                <w:sz w:val="20"/>
                <w:lang w:val="fr-CA"/>
              </w:rPr>
            </w:pPr>
            <w:r w:rsidRPr="007F2DB8">
              <w:rPr>
                <w:sz w:val="20"/>
                <w:lang w:val="fr-CA"/>
              </w:rPr>
              <w:t>Dépôt de la demande d’autorisation d’appel</w:t>
            </w:r>
          </w:p>
        </w:tc>
      </w:tr>
    </w:tbl>
    <w:p w:rsidR="007F2DB8" w:rsidRPr="007F2DB8" w:rsidRDefault="007F2DB8" w:rsidP="007F2DB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2DB8" w:rsidRPr="007F2DB8" w:rsidTr="007F2DB8">
        <w:tc>
          <w:tcPr>
            <w:tcW w:w="543" w:type="pct"/>
          </w:tcPr>
          <w:p w:rsidR="007F2DB8" w:rsidRPr="007F2DB8" w:rsidRDefault="007F2DB8" w:rsidP="007F2DB8">
            <w:pPr>
              <w:jc w:val="both"/>
              <w:rPr>
                <w:sz w:val="20"/>
              </w:rPr>
            </w:pPr>
            <w:r w:rsidRPr="007F2DB8">
              <w:rPr>
                <w:rStyle w:val="SCCFileNumberChar"/>
                <w:sz w:val="20"/>
                <w:szCs w:val="20"/>
              </w:rPr>
              <w:t>36483</w:t>
            </w:r>
          </w:p>
        </w:tc>
        <w:tc>
          <w:tcPr>
            <w:tcW w:w="4457" w:type="pct"/>
            <w:gridSpan w:val="3"/>
          </w:tcPr>
          <w:p w:rsidR="007F2DB8" w:rsidRPr="007F2DB8" w:rsidRDefault="007F2DB8" w:rsidP="007F2DB8">
            <w:pPr>
              <w:pStyle w:val="SCCLsocParty"/>
              <w:jc w:val="both"/>
              <w:rPr>
                <w:b/>
                <w:sz w:val="20"/>
                <w:szCs w:val="20"/>
                <w:lang w:val="en-US"/>
              </w:rPr>
            </w:pPr>
            <w:r w:rsidRPr="007F2DB8">
              <w:rPr>
                <w:b/>
                <w:sz w:val="20"/>
                <w:szCs w:val="20"/>
                <w:lang w:val="en-US"/>
              </w:rPr>
              <w:t>Colleen Margaret Abbott v. Her Majesty the Queen</w:t>
            </w:r>
          </w:p>
          <w:p w:rsidR="007F2DB8" w:rsidRPr="007F2DB8" w:rsidRDefault="007F2DB8" w:rsidP="007F2DB8">
            <w:pPr>
              <w:jc w:val="both"/>
              <w:rPr>
                <w:sz w:val="20"/>
              </w:rPr>
            </w:pPr>
            <w:r w:rsidRPr="007F2DB8">
              <w:rPr>
                <w:sz w:val="20"/>
              </w:rPr>
              <w:t>(FC) (Civil) (By Leave)</w:t>
            </w:r>
          </w:p>
        </w:tc>
      </w:tr>
      <w:tr w:rsidR="007F2DB8" w:rsidRPr="007F2DB8" w:rsidTr="007F2DB8">
        <w:tc>
          <w:tcPr>
            <w:tcW w:w="5000" w:type="pct"/>
            <w:gridSpan w:val="4"/>
          </w:tcPr>
          <w:p w:rsidR="007F2DB8" w:rsidRPr="007F2DB8" w:rsidRDefault="007F2DB8" w:rsidP="007F2DB8">
            <w:pPr>
              <w:jc w:val="both"/>
              <w:rPr>
                <w:sz w:val="20"/>
              </w:rPr>
            </w:pPr>
            <w:r w:rsidRPr="007F2DB8">
              <w:rPr>
                <w:sz w:val="20"/>
              </w:rPr>
              <w:t>Civil procedure – Time – Several applicants in separate actions seeking extensions of time to appeal Federal Court order in another case concerning validity of and interim exemption from new regulations pertaining to use of medical marijuana – Federal Court of Appeal dismissing motions – Whether members of class affected by a Federal Court ruling should have a right of appeal – Whether Federal Court of Appeal erred in dismissing appeal – Whether applicant should be granted interim exemption pending adjudication of application for leave to appeal.</w:t>
            </w:r>
          </w:p>
        </w:tc>
      </w:tr>
      <w:tr w:rsidR="007F2DB8" w:rsidRPr="007F2DB8" w:rsidTr="007F2DB8">
        <w:tc>
          <w:tcPr>
            <w:tcW w:w="5000" w:type="pct"/>
            <w:gridSpan w:val="4"/>
          </w:tcPr>
          <w:p w:rsidR="007F2DB8" w:rsidRPr="007F2DB8" w:rsidRDefault="007F2DB8" w:rsidP="007F2DB8">
            <w:pPr>
              <w:jc w:val="both"/>
              <w:rPr>
                <w:sz w:val="20"/>
              </w:rPr>
            </w:pPr>
          </w:p>
        </w:tc>
      </w:tr>
      <w:tr w:rsidR="007F2DB8" w:rsidRPr="007F2DB8" w:rsidTr="007F2DB8">
        <w:tc>
          <w:tcPr>
            <w:tcW w:w="5000" w:type="pct"/>
            <w:gridSpan w:val="4"/>
          </w:tcPr>
          <w:p w:rsidR="007F2DB8" w:rsidRPr="007F2DB8" w:rsidRDefault="007F2DB8" w:rsidP="007F2DB8">
            <w:pPr>
              <w:jc w:val="both"/>
              <w:rPr>
                <w:sz w:val="20"/>
              </w:rPr>
            </w:pPr>
            <w:r w:rsidRPr="007F2DB8">
              <w:rPr>
                <w:sz w:val="20"/>
              </w:rPr>
              <w:lastRenderedPageBreak/>
              <w:t>The applicant had been issued a permit that allowed her to grow and use marijuana for personal, medicinal purposes. The grower permit regime was replaced in April, 2014 and thereafter permit-holders were required to purchase marijuana from licenced commercial producers. Many of those permit-holders commenced actions in the Federal Court, challenging the new legislative provisions. All of the actions except one were stayed and it proceeded to trial. Some of those plaintiffs were also granted interlocutory injunctive relief, exempting them from the new regime.  The applicant brought a motion for an extension of time to appeal the December 30, 2014 Federal Court order in the related case.</w:t>
            </w: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t>March 21, 2014</w:t>
            </w:r>
          </w:p>
          <w:p w:rsidR="007F2DB8" w:rsidRPr="007F2DB8" w:rsidRDefault="007F2DB8" w:rsidP="007F2DB8">
            <w:pPr>
              <w:jc w:val="both"/>
              <w:rPr>
                <w:sz w:val="20"/>
              </w:rPr>
            </w:pPr>
            <w:r w:rsidRPr="007F2DB8">
              <w:rPr>
                <w:sz w:val="20"/>
              </w:rPr>
              <w:t>Federal Court</w:t>
            </w:r>
          </w:p>
          <w:p w:rsidR="007F2DB8" w:rsidRPr="007F2DB8" w:rsidRDefault="007F2DB8" w:rsidP="007F2DB8">
            <w:pPr>
              <w:jc w:val="both"/>
              <w:rPr>
                <w:sz w:val="20"/>
              </w:rPr>
            </w:pPr>
            <w:r w:rsidRPr="007F2DB8">
              <w:rPr>
                <w:sz w:val="20"/>
              </w:rPr>
              <w:t>(Manson J.)</w:t>
            </w:r>
          </w:p>
          <w:p w:rsidR="007F2DB8" w:rsidRPr="007F2DB8" w:rsidRDefault="00A96461" w:rsidP="007F2DB8">
            <w:pPr>
              <w:jc w:val="both"/>
              <w:rPr>
                <w:sz w:val="20"/>
              </w:rPr>
            </w:pPr>
            <w:hyperlink r:id="rId26" w:history="1">
              <w:r w:rsidR="007F2DB8" w:rsidRPr="007F2DB8">
                <w:rPr>
                  <w:rStyle w:val="Hyperlink"/>
                  <w:sz w:val="20"/>
                </w:rPr>
                <w:t>2014 FC 1260</w:t>
              </w:r>
            </w:hyperlink>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 xml:space="preserve">In </w:t>
            </w:r>
            <w:r w:rsidRPr="007F2DB8">
              <w:rPr>
                <w:i/>
                <w:sz w:val="20"/>
              </w:rPr>
              <w:t>Allard et al. v. Canada</w:t>
            </w:r>
            <w:r w:rsidRPr="007F2DB8">
              <w:rPr>
                <w:sz w:val="20"/>
              </w:rPr>
              <w:t xml:space="preserve">, 2014 FC 1260, plaintiffs’ motion for interlocutory injunction or interlocutory constitutional exemption from provisions of </w:t>
            </w:r>
            <w:r w:rsidRPr="007F2DB8">
              <w:rPr>
                <w:i/>
                <w:sz w:val="20"/>
              </w:rPr>
              <w:t>Marijuana for Medical Purposes Regulations</w:t>
            </w:r>
            <w:r w:rsidRPr="007F2DB8">
              <w:rPr>
                <w:sz w:val="20"/>
              </w:rPr>
              <w:t>, SOR/2013-119 granted in part</w:t>
            </w: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t>April 14, 2015</w:t>
            </w:r>
          </w:p>
          <w:p w:rsidR="007F2DB8" w:rsidRPr="007F2DB8" w:rsidRDefault="007F2DB8" w:rsidP="007F2DB8">
            <w:pPr>
              <w:jc w:val="both"/>
              <w:rPr>
                <w:sz w:val="20"/>
              </w:rPr>
            </w:pPr>
            <w:r w:rsidRPr="007F2DB8">
              <w:rPr>
                <w:sz w:val="20"/>
              </w:rPr>
              <w:t>Federal Court of Appeal</w:t>
            </w:r>
          </w:p>
          <w:p w:rsidR="007F2DB8" w:rsidRPr="007F2DB8" w:rsidRDefault="007F2DB8" w:rsidP="007F2DB8">
            <w:pPr>
              <w:jc w:val="both"/>
              <w:rPr>
                <w:sz w:val="20"/>
              </w:rPr>
            </w:pPr>
            <w:r w:rsidRPr="007F2DB8">
              <w:rPr>
                <w:sz w:val="20"/>
              </w:rPr>
              <w:t>(Dawson J.A.)</w:t>
            </w:r>
          </w:p>
          <w:p w:rsidR="007F2DB8" w:rsidRPr="007F2DB8" w:rsidRDefault="007F2DB8" w:rsidP="007F2DB8">
            <w:pPr>
              <w:jc w:val="both"/>
              <w:rPr>
                <w:sz w:val="20"/>
              </w:rPr>
            </w:pPr>
            <w:r w:rsidRPr="007F2DB8">
              <w:rPr>
                <w:sz w:val="20"/>
              </w:rPr>
              <w:t>Unreported</w:t>
            </w:r>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 xml:space="preserve">Applicant’s motion for extension of time in which to file notice of appeal in </w:t>
            </w:r>
            <w:r w:rsidRPr="007F2DB8">
              <w:rPr>
                <w:i/>
                <w:sz w:val="20"/>
              </w:rPr>
              <w:t>Allard</w:t>
            </w:r>
            <w:r w:rsidRPr="007F2DB8">
              <w:rPr>
                <w:sz w:val="20"/>
              </w:rPr>
              <w:t xml:space="preserve"> action and for interim order preserving permit rights dismissed</w:t>
            </w: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t>June 15, 2015</w:t>
            </w:r>
          </w:p>
          <w:p w:rsidR="007F2DB8" w:rsidRPr="007F2DB8" w:rsidRDefault="007F2DB8" w:rsidP="007F2DB8">
            <w:pPr>
              <w:jc w:val="both"/>
              <w:rPr>
                <w:sz w:val="20"/>
              </w:rPr>
            </w:pPr>
            <w:r w:rsidRPr="007F2DB8">
              <w:rPr>
                <w:sz w:val="20"/>
              </w:rPr>
              <w:t>Supreme Court of Canada</w:t>
            </w:r>
          </w:p>
          <w:p w:rsidR="007F2DB8" w:rsidRPr="007F2DB8" w:rsidRDefault="007F2DB8" w:rsidP="007F2DB8">
            <w:pPr>
              <w:jc w:val="both"/>
              <w:rPr>
                <w:sz w:val="20"/>
              </w:rPr>
            </w:pPr>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Application for leave to appeal filed</w:t>
            </w:r>
          </w:p>
          <w:p w:rsidR="007F2DB8" w:rsidRPr="007F2DB8" w:rsidRDefault="007F2DB8" w:rsidP="007F2DB8">
            <w:pPr>
              <w:jc w:val="both"/>
              <w:rPr>
                <w:sz w:val="20"/>
              </w:rPr>
            </w:pPr>
          </w:p>
        </w:tc>
      </w:tr>
    </w:tbl>
    <w:p w:rsidR="007F2DB8" w:rsidRPr="007F2DB8" w:rsidRDefault="007F2DB8" w:rsidP="007F2D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2DB8" w:rsidRPr="007F2DB8" w:rsidTr="007F2DB8">
        <w:tc>
          <w:tcPr>
            <w:tcW w:w="543" w:type="pct"/>
          </w:tcPr>
          <w:p w:rsidR="007F2DB8" w:rsidRPr="007F2DB8" w:rsidRDefault="007F2DB8" w:rsidP="007F2DB8">
            <w:pPr>
              <w:jc w:val="both"/>
              <w:rPr>
                <w:sz w:val="20"/>
                <w:lang w:val="fr-CA"/>
              </w:rPr>
            </w:pPr>
            <w:r w:rsidRPr="007F2DB8">
              <w:rPr>
                <w:rStyle w:val="SCCFileNumberChar"/>
                <w:sz w:val="20"/>
                <w:szCs w:val="20"/>
                <w:lang w:val="fr-CA"/>
              </w:rPr>
              <w:t>36483</w:t>
            </w:r>
          </w:p>
        </w:tc>
        <w:tc>
          <w:tcPr>
            <w:tcW w:w="4457" w:type="pct"/>
            <w:gridSpan w:val="3"/>
          </w:tcPr>
          <w:p w:rsidR="007F2DB8" w:rsidRPr="007F2DB8" w:rsidRDefault="007F2DB8" w:rsidP="007F2DB8">
            <w:pPr>
              <w:pStyle w:val="SCCLsocParty"/>
              <w:jc w:val="both"/>
              <w:rPr>
                <w:b/>
                <w:sz w:val="20"/>
                <w:szCs w:val="20"/>
              </w:rPr>
            </w:pPr>
            <w:r w:rsidRPr="007F2DB8">
              <w:rPr>
                <w:b/>
                <w:sz w:val="20"/>
                <w:szCs w:val="20"/>
              </w:rPr>
              <w:t>Colleen Margaret Abbott c. Sa Majesté la Reine</w:t>
            </w:r>
          </w:p>
          <w:p w:rsidR="007F2DB8" w:rsidRPr="007F2DB8" w:rsidRDefault="007F2DB8" w:rsidP="007F2DB8">
            <w:pPr>
              <w:jc w:val="both"/>
              <w:rPr>
                <w:sz w:val="20"/>
                <w:lang w:val="fr-CA"/>
              </w:rPr>
            </w:pPr>
            <w:r w:rsidRPr="007F2DB8">
              <w:rPr>
                <w:sz w:val="20"/>
                <w:lang w:val="fr-CA"/>
              </w:rPr>
              <w:t>(CF) (Civile) (Sur autorisation)</w:t>
            </w:r>
          </w:p>
        </w:tc>
      </w:tr>
      <w:tr w:rsidR="007F2DB8" w:rsidRPr="00A96461" w:rsidTr="007F2DB8">
        <w:tc>
          <w:tcPr>
            <w:tcW w:w="5000" w:type="pct"/>
            <w:gridSpan w:val="4"/>
          </w:tcPr>
          <w:p w:rsidR="007F2DB8" w:rsidRPr="007F2DB8" w:rsidRDefault="007F2DB8" w:rsidP="007F2DB8">
            <w:pPr>
              <w:jc w:val="both"/>
              <w:rPr>
                <w:sz w:val="20"/>
                <w:lang w:val="fr-CA"/>
              </w:rPr>
            </w:pPr>
            <w:r w:rsidRPr="007F2DB8">
              <w:rPr>
                <w:sz w:val="20"/>
                <w:lang w:val="fr-CA"/>
              </w:rPr>
              <w:t>Procédure civile – Délais – Plusieurs demandeurs, dans des actions distinctes, sollicitent des prorogations de délai pour interjeter appel d’une ordonnance de la Cour fédérale dans une autre affaire concernant la validité du nouveau règlement relatif à l’usage de la marihuana à des fins médicales et une exemption provisoire à l’égard de ce règlement – La Cour d’appel fédérale a rejeté les requêtes – Les membres du groupe touché par le jugement de la Cour fédérale devraient-ils avoir un droit d’appel? – La Cour d’appel fédérale a-t-elle eu tort de rejeter l’appel? – Y a-t-il lieu d’accorder à la demanderesse une exemption provisoire en attendant qu’il soit statué sur la demande d’autorisation d’appel?</w:t>
            </w:r>
          </w:p>
        </w:tc>
      </w:tr>
      <w:tr w:rsidR="007F2DB8" w:rsidRPr="00A96461" w:rsidTr="007F2DB8">
        <w:tc>
          <w:tcPr>
            <w:tcW w:w="5000" w:type="pct"/>
            <w:gridSpan w:val="4"/>
          </w:tcPr>
          <w:p w:rsidR="007F2DB8" w:rsidRPr="007F2DB8" w:rsidRDefault="007F2DB8" w:rsidP="007F2DB8">
            <w:pPr>
              <w:jc w:val="both"/>
              <w:rPr>
                <w:sz w:val="20"/>
                <w:lang w:val="fr-CA"/>
              </w:rPr>
            </w:pPr>
          </w:p>
        </w:tc>
      </w:tr>
      <w:tr w:rsidR="007F2DB8" w:rsidRPr="00A96461" w:rsidTr="007F2DB8">
        <w:tc>
          <w:tcPr>
            <w:tcW w:w="5000" w:type="pct"/>
            <w:gridSpan w:val="4"/>
          </w:tcPr>
          <w:p w:rsidR="007F2DB8" w:rsidRPr="007F2DB8" w:rsidRDefault="007F2DB8" w:rsidP="007F2DB8">
            <w:pPr>
              <w:jc w:val="both"/>
              <w:rPr>
                <w:sz w:val="20"/>
                <w:lang w:val="fr-CA"/>
              </w:rPr>
            </w:pPr>
            <w:r w:rsidRPr="007F2DB8">
              <w:rPr>
                <w:sz w:val="20"/>
                <w:lang w:val="fr-CA"/>
              </w:rPr>
              <w:t>La demanderesse s’était vu octroyer un permis qui lui permettait de produire et d’utiliser de la marihuana à des fins personnelles et médicales. En avril 2014, le régime de permis de production a été remplacé et dorénavant, les titulaires de permis devaient acheter de la marihuana de producteurs commerciaux autorisés. Plusieurs titulaires de ces permis ont intenté des actions en  Cour fédérale, contestant les nouvelles dispositions législatives. Toutes ces actions sauf une ont été suspendues et cette dernière est allée à procès. Certains demandeurs se sont vu accorder une injonction interlocutoire, les exemptant du nouveau régime. La demanderesse a présenté une requête en prorogation de délai pour interjeter appel de l’ordonnance prononcée le 30 décembre 2014 par la Cour fédérale dans l’affaire connexe.</w:t>
            </w:r>
          </w:p>
          <w:p w:rsidR="007F2DB8" w:rsidRPr="007F2DB8" w:rsidRDefault="007F2DB8" w:rsidP="007F2DB8">
            <w:pPr>
              <w:jc w:val="both"/>
              <w:rPr>
                <w:sz w:val="20"/>
                <w:lang w:val="fr-CA"/>
              </w:rPr>
            </w:pPr>
          </w:p>
        </w:tc>
      </w:tr>
      <w:tr w:rsidR="007F2DB8" w:rsidRPr="00A96461" w:rsidTr="007F2DB8">
        <w:tc>
          <w:tcPr>
            <w:tcW w:w="2427" w:type="pct"/>
            <w:gridSpan w:val="2"/>
          </w:tcPr>
          <w:p w:rsidR="007F2DB8" w:rsidRPr="007F2DB8" w:rsidRDefault="007F2DB8" w:rsidP="007F2DB8">
            <w:pPr>
              <w:jc w:val="both"/>
              <w:rPr>
                <w:sz w:val="20"/>
                <w:lang w:val="fr-CA"/>
              </w:rPr>
            </w:pPr>
            <w:r w:rsidRPr="007F2DB8">
              <w:rPr>
                <w:sz w:val="20"/>
                <w:lang w:val="fr-CA"/>
              </w:rPr>
              <w:t>21 mars 2014</w:t>
            </w:r>
          </w:p>
          <w:p w:rsidR="007F2DB8" w:rsidRPr="007F2DB8" w:rsidRDefault="007F2DB8" w:rsidP="007F2DB8">
            <w:pPr>
              <w:jc w:val="both"/>
              <w:rPr>
                <w:sz w:val="20"/>
                <w:lang w:val="fr-CA"/>
              </w:rPr>
            </w:pPr>
            <w:r w:rsidRPr="007F2DB8">
              <w:rPr>
                <w:sz w:val="20"/>
                <w:lang w:val="fr-CA"/>
              </w:rPr>
              <w:t>Cour fédérale</w:t>
            </w:r>
          </w:p>
          <w:p w:rsidR="007F2DB8" w:rsidRPr="007F2DB8" w:rsidRDefault="007F2DB8" w:rsidP="007F2DB8">
            <w:pPr>
              <w:jc w:val="both"/>
              <w:rPr>
                <w:sz w:val="20"/>
                <w:lang w:val="fr-CA"/>
              </w:rPr>
            </w:pPr>
            <w:r w:rsidRPr="007F2DB8">
              <w:rPr>
                <w:sz w:val="20"/>
                <w:lang w:val="fr-CA"/>
              </w:rPr>
              <w:t>(Juge Manson)</w:t>
            </w:r>
          </w:p>
          <w:p w:rsidR="007F2DB8" w:rsidRPr="007F2DB8" w:rsidRDefault="00A96461" w:rsidP="007F2DB8">
            <w:pPr>
              <w:jc w:val="both"/>
              <w:rPr>
                <w:sz w:val="20"/>
                <w:lang w:val="fr-CA"/>
              </w:rPr>
            </w:pPr>
            <w:hyperlink r:id="rId27" w:history="1">
              <w:r w:rsidR="007F2DB8" w:rsidRPr="007F2DB8">
                <w:rPr>
                  <w:rStyle w:val="Hyperlink"/>
                  <w:sz w:val="20"/>
                  <w:lang w:val="fr-CA"/>
                </w:rPr>
                <w:t>2014 FC 1260</w:t>
              </w:r>
            </w:hyperlink>
          </w:p>
        </w:tc>
        <w:tc>
          <w:tcPr>
            <w:tcW w:w="243" w:type="pct"/>
          </w:tcPr>
          <w:p w:rsidR="007F2DB8" w:rsidRPr="007F2DB8" w:rsidRDefault="007F2DB8" w:rsidP="007F2DB8">
            <w:pPr>
              <w:jc w:val="both"/>
              <w:rPr>
                <w:sz w:val="20"/>
                <w:lang w:val="fr-CA"/>
              </w:rPr>
            </w:pPr>
          </w:p>
        </w:tc>
        <w:tc>
          <w:tcPr>
            <w:tcW w:w="2330" w:type="pct"/>
          </w:tcPr>
          <w:p w:rsidR="007F2DB8" w:rsidRPr="007F2DB8" w:rsidRDefault="007F2DB8" w:rsidP="007F2DB8">
            <w:pPr>
              <w:jc w:val="both"/>
              <w:rPr>
                <w:sz w:val="20"/>
                <w:lang w:val="fr-CA"/>
              </w:rPr>
            </w:pPr>
            <w:r w:rsidRPr="007F2DB8">
              <w:rPr>
                <w:sz w:val="20"/>
                <w:lang w:val="fr-CA"/>
              </w:rPr>
              <w:t xml:space="preserve">Dans </w:t>
            </w:r>
            <w:r w:rsidRPr="007F2DB8">
              <w:rPr>
                <w:i/>
                <w:sz w:val="20"/>
                <w:lang w:val="fr-CA"/>
              </w:rPr>
              <w:t>Allard et al. c. Canada</w:t>
            </w:r>
            <w:r w:rsidRPr="007F2DB8">
              <w:rPr>
                <w:sz w:val="20"/>
                <w:lang w:val="fr-CA"/>
              </w:rPr>
              <w:t xml:space="preserve">, 2014 FC 1260, jugement accueillant en partie la requête des demandeurs en première instance en injonction interlocutoire ou en exemption constitutionnelle interlocutoire à l’égard des dispositions du </w:t>
            </w:r>
            <w:r w:rsidRPr="007F2DB8">
              <w:rPr>
                <w:i/>
                <w:sz w:val="20"/>
                <w:lang w:val="fr-CA"/>
              </w:rPr>
              <w:t>Règlement sur la marihuana à des fins médicales</w:t>
            </w:r>
            <w:r w:rsidRPr="007F2DB8">
              <w:rPr>
                <w:sz w:val="20"/>
                <w:lang w:val="fr-CA"/>
              </w:rPr>
              <w:t xml:space="preserve">, DORS/2013-119 </w:t>
            </w:r>
          </w:p>
          <w:p w:rsidR="007F2DB8" w:rsidRPr="007F2DB8" w:rsidRDefault="007F2DB8" w:rsidP="007F2DB8">
            <w:pPr>
              <w:jc w:val="both"/>
              <w:rPr>
                <w:sz w:val="20"/>
                <w:lang w:val="fr-CA"/>
              </w:rPr>
            </w:pPr>
          </w:p>
        </w:tc>
      </w:tr>
      <w:tr w:rsidR="007F2DB8" w:rsidRPr="00A96461" w:rsidTr="007F2DB8">
        <w:tc>
          <w:tcPr>
            <w:tcW w:w="2427" w:type="pct"/>
            <w:gridSpan w:val="2"/>
          </w:tcPr>
          <w:p w:rsidR="007F2DB8" w:rsidRPr="007F2DB8" w:rsidRDefault="007F2DB8" w:rsidP="007F2DB8">
            <w:pPr>
              <w:jc w:val="both"/>
              <w:rPr>
                <w:sz w:val="20"/>
                <w:lang w:val="fr-CA"/>
              </w:rPr>
            </w:pPr>
            <w:r w:rsidRPr="007F2DB8">
              <w:rPr>
                <w:sz w:val="20"/>
                <w:lang w:val="fr-CA"/>
              </w:rPr>
              <w:t>14 avril 2015</w:t>
            </w:r>
          </w:p>
          <w:p w:rsidR="007F2DB8" w:rsidRPr="007F2DB8" w:rsidRDefault="007F2DB8" w:rsidP="007F2DB8">
            <w:pPr>
              <w:jc w:val="both"/>
              <w:rPr>
                <w:sz w:val="20"/>
                <w:lang w:val="fr-CA"/>
              </w:rPr>
            </w:pPr>
            <w:r w:rsidRPr="007F2DB8">
              <w:rPr>
                <w:sz w:val="20"/>
                <w:lang w:val="fr-CA"/>
              </w:rPr>
              <w:t>Cour d’appel fédérale</w:t>
            </w:r>
          </w:p>
          <w:p w:rsidR="007F2DB8" w:rsidRPr="007F2DB8" w:rsidRDefault="007F2DB8" w:rsidP="007F2DB8">
            <w:pPr>
              <w:jc w:val="both"/>
              <w:rPr>
                <w:sz w:val="20"/>
                <w:lang w:val="fr-CA"/>
              </w:rPr>
            </w:pPr>
            <w:r w:rsidRPr="007F2DB8">
              <w:rPr>
                <w:sz w:val="20"/>
                <w:lang w:val="fr-CA"/>
              </w:rPr>
              <w:t>(Juge Dawson)</w:t>
            </w:r>
          </w:p>
          <w:p w:rsidR="007F2DB8" w:rsidRPr="007F2DB8" w:rsidRDefault="007F2DB8" w:rsidP="007F2DB8">
            <w:pPr>
              <w:jc w:val="both"/>
              <w:rPr>
                <w:sz w:val="20"/>
                <w:lang w:val="fr-CA"/>
              </w:rPr>
            </w:pPr>
            <w:r w:rsidRPr="007F2DB8">
              <w:rPr>
                <w:sz w:val="20"/>
                <w:lang w:val="fr-CA"/>
              </w:rPr>
              <w:t>Non publié</w:t>
            </w:r>
          </w:p>
        </w:tc>
        <w:tc>
          <w:tcPr>
            <w:tcW w:w="243" w:type="pct"/>
          </w:tcPr>
          <w:p w:rsidR="007F2DB8" w:rsidRPr="007F2DB8" w:rsidRDefault="007F2DB8" w:rsidP="007F2DB8">
            <w:pPr>
              <w:jc w:val="both"/>
              <w:rPr>
                <w:sz w:val="20"/>
                <w:lang w:val="fr-CA"/>
              </w:rPr>
            </w:pPr>
          </w:p>
        </w:tc>
        <w:tc>
          <w:tcPr>
            <w:tcW w:w="2330" w:type="pct"/>
          </w:tcPr>
          <w:p w:rsidR="007F2DB8" w:rsidRPr="007F2DB8" w:rsidRDefault="007F2DB8" w:rsidP="007F2DB8">
            <w:pPr>
              <w:jc w:val="both"/>
              <w:rPr>
                <w:sz w:val="20"/>
                <w:lang w:val="fr-CA"/>
              </w:rPr>
            </w:pPr>
            <w:r w:rsidRPr="007F2DB8">
              <w:rPr>
                <w:sz w:val="20"/>
                <w:lang w:val="fr-CA"/>
              </w:rPr>
              <w:t xml:space="preserve">Rejet de la requête de la demanderesse en prorogation du délai en vue de déposer un avis d’appel dans l’action </w:t>
            </w:r>
            <w:r w:rsidRPr="007F2DB8">
              <w:rPr>
                <w:i/>
                <w:sz w:val="20"/>
                <w:lang w:val="fr-CA"/>
              </w:rPr>
              <w:t>Allard</w:t>
            </w:r>
            <w:r w:rsidRPr="007F2DB8">
              <w:rPr>
                <w:sz w:val="20"/>
                <w:lang w:val="fr-CA"/>
              </w:rPr>
              <w:t xml:space="preserve"> et en vue d’obtenir une ordonnance provisoire maintenant les droits conférés par le permis</w:t>
            </w:r>
          </w:p>
          <w:p w:rsidR="007F2DB8" w:rsidRPr="007F2DB8" w:rsidRDefault="007F2DB8" w:rsidP="007F2DB8">
            <w:pPr>
              <w:jc w:val="both"/>
              <w:rPr>
                <w:sz w:val="20"/>
                <w:lang w:val="fr-CA"/>
              </w:rPr>
            </w:pPr>
          </w:p>
        </w:tc>
      </w:tr>
      <w:tr w:rsidR="007F2DB8" w:rsidRPr="00A96461" w:rsidTr="007F2DB8">
        <w:tc>
          <w:tcPr>
            <w:tcW w:w="2427" w:type="pct"/>
            <w:gridSpan w:val="2"/>
          </w:tcPr>
          <w:p w:rsidR="007F2DB8" w:rsidRPr="007F2DB8" w:rsidRDefault="007F2DB8" w:rsidP="007F2DB8">
            <w:pPr>
              <w:jc w:val="both"/>
              <w:rPr>
                <w:sz w:val="20"/>
                <w:lang w:val="fr-CA"/>
              </w:rPr>
            </w:pPr>
            <w:r w:rsidRPr="007F2DB8">
              <w:rPr>
                <w:sz w:val="20"/>
                <w:lang w:val="fr-CA"/>
              </w:rPr>
              <w:lastRenderedPageBreak/>
              <w:t>15 juin 2015</w:t>
            </w:r>
          </w:p>
          <w:p w:rsidR="007F2DB8" w:rsidRPr="007F2DB8" w:rsidRDefault="007F2DB8" w:rsidP="007F2DB8">
            <w:pPr>
              <w:jc w:val="both"/>
              <w:rPr>
                <w:sz w:val="20"/>
                <w:lang w:val="fr-CA"/>
              </w:rPr>
            </w:pPr>
            <w:r w:rsidRPr="007F2DB8">
              <w:rPr>
                <w:sz w:val="20"/>
                <w:lang w:val="fr-CA"/>
              </w:rPr>
              <w:t>Cour suprême du Canada</w:t>
            </w:r>
          </w:p>
          <w:p w:rsidR="007F2DB8" w:rsidRPr="007F2DB8" w:rsidRDefault="007F2DB8" w:rsidP="007F2DB8">
            <w:pPr>
              <w:jc w:val="both"/>
              <w:rPr>
                <w:sz w:val="20"/>
                <w:lang w:val="fr-CA"/>
              </w:rPr>
            </w:pPr>
          </w:p>
        </w:tc>
        <w:tc>
          <w:tcPr>
            <w:tcW w:w="243" w:type="pct"/>
          </w:tcPr>
          <w:p w:rsidR="007F2DB8" w:rsidRPr="007F2DB8" w:rsidRDefault="007F2DB8" w:rsidP="007F2DB8">
            <w:pPr>
              <w:jc w:val="both"/>
              <w:rPr>
                <w:sz w:val="20"/>
                <w:lang w:val="fr-CA"/>
              </w:rPr>
            </w:pPr>
          </w:p>
        </w:tc>
        <w:tc>
          <w:tcPr>
            <w:tcW w:w="2330" w:type="pct"/>
          </w:tcPr>
          <w:p w:rsidR="007F2DB8" w:rsidRPr="007F2DB8" w:rsidRDefault="007F2DB8" w:rsidP="007F2DB8">
            <w:pPr>
              <w:jc w:val="both"/>
              <w:rPr>
                <w:sz w:val="20"/>
                <w:lang w:val="fr-CA"/>
              </w:rPr>
            </w:pPr>
            <w:r w:rsidRPr="007F2DB8">
              <w:rPr>
                <w:sz w:val="20"/>
                <w:lang w:val="fr-CA"/>
              </w:rPr>
              <w:t>Dépôt de la demande d’autorisation d’appel</w:t>
            </w:r>
          </w:p>
        </w:tc>
      </w:tr>
    </w:tbl>
    <w:p w:rsidR="007F2DB8" w:rsidRPr="007F2DB8" w:rsidRDefault="007F2DB8" w:rsidP="007F2DB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2DB8" w:rsidRPr="007F2DB8" w:rsidTr="007F2DB8">
        <w:tc>
          <w:tcPr>
            <w:tcW w:w="543" w:type="pct"/>
          </w:tcPr>
          <w:p w:rsidR="007F2DB8" w:rsidRPr="007F2DB8" w:rsidRDefault="007F2DB8" w:rsidP="007F2DB8">
            <w:pPr>
              <w:jc w:val="both"/>
              <w:rPr>
                <w:sz w:val="20"/>
              </w:rPr>
            </w:pPr>
            <w:r w:rsidRPr="007F2DB8">
              <w:rPr>
                <w:rStyle w:val="SCCFileNumberChar"/>
                <w:sz w:val="20"/>
                <w:szCs w:val="20"/>
              </w:rPr>
              <w:t>36519</w:t>
            </w:r>
          </w:p>
        </w:tc>
        <w:tc>
          <w:tcPr>
            <w:tcW w:w="4457" w:type="pct"/>
            <w:gridSpan w:val="3"/>
          </w:tcPr>
          <w:p w:rsidR="007F2DB8" w:rsidRPr="007F2DB8" w:rsidRDefault="007F2DB8" w:rsidP="007F2DB8">
            <w:pPr>
              <w:pStyle w:val="SCCLsocParty"/>
              <w:jc w:val="both"/>
              <w:rPr>
                <w:b/>
                <w:sz w:val="20"/>
                <w:szCs w:val="20"/>
                <w:lang w:val="en-US"/>
              </w:rPr>
            </w:pPr>
            <w:r w:rsidRPr="007F2DB8">
              <w:rPr>
                <w:b/>
                <w:sz w:val="20"/>
                <w:szCs w:val="20"/>
                <w:lang w:val="en-US"/>
              </w:rPr>
              <w:t>Arthur Jackes v. Her Majesty the Queen</w:t>
            </w:r>
          </w:p>
          <w:p w:rsidR="007F2DB8" w:rsidRPr="007F2DB8" w:rsidRDefault="007F2DB8" w:rsidP="007F2DB8">
            <w:pPr>
              <w:jc w:val="both"/>
              <w:rPr>
                <w:sz w:val="20"/>
              </w:rPr>
            </w:pPr>
            <w:r w:rsidRPr="007F2DB8">
              <w:rPr>
                <w:sz w:val="20"/>
              </w:rPr>
              <w:t>(FC) (Civil) (By Leave)</w:t>
            </w:r>
          </w:p>
        </w:tc>
      </w:tr>
      <w:tr w:rsidR="007F2DB8" w:rsidRPr="007F2DB8" w:rsidTr="007F2DB8">
        <w:tc>
          <w:tcPr>
            <w:tcW w:w="5000" w:type="pct"/>
            <w:gridSpan w:val="4"/>
          </w:tcPr>
          <w:p w:rsidR="007F2DB8" w:rsidRPr="007F2DB8" w:rsidRDefault="007F2DB8" w:rsidP="007F2DB8">
            <w:pPr>
              <w:jc w:val="both"/>
              <w:rPr>
                <w:sz w:val="20"/>
              </w:rPr>
            </w:pPr>
            <w:r w:rsidRPr="007F2DB8">
              <w:rPr>
                <w:sz w:val="20"/>
              </w:rPr>
              <w:t>Civil procedure – Time – Several applicants in separate actions seeking extensions of time to appeal Federal Court order in another case concerning validity of and interim exemption from new regulations pertaining to use of medical marijuana – Federal Court of Appeal dismissing motions – Whether members of class affected by a Federal Court ruling should have a right of appeal – Whether Federal Court of Appeal erred in dismissing appeal – Whether applicant should be granted interim exemption pending adjudication of application for leave to appeal.</w:t>
            </w:r>
          </w:p>
        </w:tc>
      </w:tr>
      <w:tr w:rsidR="007F2DB8" w:rsidRPr="007F2DB8" w:rsidTr="007F2DB8">
        <w:tc>
          <w:tcPr>
            <w:tcW w:w="5000" w:type="pct"/>
            <w:gridSpan w:val="4"/>
          </w:tcPr>
          <w:p w:rsidR="007F2DB8" w:rsidRPr="007F2DB8" w:rsidRDefault="007F2DB8" w:rsidP="007F2DB8">
            <w:pPr>
              <w:jc w:val="both"/>
              <w:rPr>
                <w:sz w:val="20"/>
              </w:rPr>
            </w:pPr>
          </w:p>
        </w:tc>
      </w:tr>
      <w:tr w:rsidR="007F2DB8" w:rsidRPr="007F2DB8" w:rsidTr="007F2DB8">
        <w:tc>
          <w:tcPr>
            <w:tcW w:w="5000" w:type="pct"/>
            <w:gridSpan w:val="4"/>
          </w:tcPr>
          <w:p w:rsidR="007F2DB8" w:rsidRPr="007F2DB8" w:rsidRDefault="007F2DB8" w:rsidP="007F2DB8">
            <w:pPr>
              <w:jc w:val="both"/>
              <w:rPr>
                <w:sz w:val="20"/>
              </w:rPr>
            </w:pPr>
            <w:r w:rsidRPr="007F2DB8">
              <w:rPr>
                <w:sz w:val="20"/>
              </w:rPr>
              <w:t>The applicant had been issued a permit that allowed him to grow and use marijuana for personal, medicinal purposes. The grower permit regime was replaced in April, 2014 and thereafter permit-holders were required to purchase marijuana from licenced commercial producers. Many of those permit-holders commenced actions in the Federal Court, challenging the new legislative provisions. All of the actions except one were stayed and it proceeded to trial. Some of those plaintiffs were also granted interlocutory injunctive relief, exempting them from the new regime.  The applicant brought a motion for an extension of time to appeal the December 30, 2014 Federal Court order in the related case.</w:t>
            </w: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t>March 21, 2014</w:t>
            </w:r>
          </w:p>
          <w:p w:rsidR="007F2DB8" w:rsidRPr="007F2DB8" w:rsidRDefault="007F2DB8" w:rsidP="007F2DB8">
            <w:pPr>
              <w:jc w:val="both"/>
              <w:rPr>
                <w:sz w:val="20"/>
              </w:rPr>
            </w:pPr>
            <w:r w:rsidRPr="007F2DB8">
              <w:rPr>
                <w:sz w:val="20"/>
              </w:rPr>
              <w:t>Federal Court</w:t>
            </w:r>
          </w:p>
          <w:p w:rsidR="007F2DB8" w:rsidRPr="007F2DB8" w:rsidRDefault="007F2DB8" w:rsidP="007F2DB8">
            <w:pPr>
              <w:jc w:val="both"/>
              <w:rPr>
                <w:sz w:val="20"/>
              </w:rPr>
            </w:pPr>
            <w:r w:rsidRPr="007F2DB8">
              <w:rPr>
                <w:sz w:val="20"/>
              </w:rPr>
              <w:t>(Manson J.)</w:t>
            </w:r>
          </w:p>
          <w:p w:rsidR="007F2DB8" w:rsidRPr="007F2DB8" w:rsidRDefault="00A96461" w:rsidP="007F2DB8">
            <w:pPr>
              <w:jc w:val="both"/>
              <w:rPr>
                <w:sz w:val="20"/>
              </w:rPr>
            </w:pPr>
            <w:hyperlink r:id="rId28" w:history="1">
              <w:r w:rsidR="007F2DB8" w:rsidRPr="007F2DB8">
                <w:rPr>
                  <w:rStyle w:val="Hyperlink"/>
                  <w:sz w:val="20"/>
                </w:rPr>
                <w:t>2014 FC 1260</w:t>
              </w:r>
            </w:hyperlink>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 xml:space="preserve">In </w:t>
            </w:r>
            <w:r w:rsidRPr="007F2DB8">
              <w:rPr>
                <w:i/>
                <w:sz w:val="20"/>
              </w:rPr>
              <w:t>Allard et al. v. Canada</w:t>
            </w:r>
            <w:r w:rsidRPr="007F2DB8">
              <w:rPr>
                <w:sz w:val="20"/>
              </w:rPr>
              <w:t xml:space="preserve">, 2014 FC 1260, plaintiffs’ motion for interlocutory injunction or interlocutory constitutional exemption from provisions of </w:t>
            </w:r>
            <w:r w:rsidRPr="007F2DB8">
              <w:rPr>
                <w:i/>
                <w:sz w:val="20"/>
              </w:rPr>
              <w:t>Marijuana for Medical Purposes Regulations</w:t>
            </w:r>
            <w:r w:rsidRPr="007F2DB8">
              <w:rPr>
                <w:sz w:val="20"/>
              </w:rPr>
              <w:t>, SOR/2013-119 dismissed in part</w:t>
            </w: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t>April 14, 2015</w:t>
            </w:r>
          </w:p>
          <w:p w:rsidR="007F2DB8" w:rsidRPr="007F2DB8" w:rsidRDefault="007F2DB8" w:rsidP="007F2DB8">
            <w:pPr>
              <w:jc w:val="both"/>
              <w:rPr>
                <w:sz w:val="20"/>
              </w:rPr>
            </w:pPr>
            <w:r w:rsidRPr="007F2DB8">
              <w:rPr>
                <w:sz w:val="20"/>
              </w:rPr>
              <w:t>Federal Court of Appeal</w:t>
            </w:r>
          </w:p>
          <w:p w:rsidR="007F2DB8" w:rsidRPr="007F2DB8" w:rsidRDefault="007F2DB8" w:rsidP="007F2DB8">
            <w:pPr>
              <w:jc w:val="both"/>
              <w:rPr>
                <w:sz w:val="20"/>
              </w:rPr>
            </w:pPr>
            <w:r w:rsidRPr="007F2DB8">
              <w:rPr>
                <w:sz w:val="20"/>
              </w:rPr>
              <w:t>(Dawson J.A.)</w:t>
            </w:r>
          </w:p>
          <w:p w:rsidR="007F2DB8" w:rsidRPr="007F2DB8" w:rsidRDefault="007F2DB8" w:rsidP="007F2DB8">
            <w:pPr>
              <w:jc w:val="both"/>
              <w:rPr>
                <w:sz w:val="20"/>
              </w:rPr>
            </w:pPr>
            <w:r w:rsidRPr="007F2DB8">
              <w:rPr>
                <w:sz w:val="20"/>
              </w:rPr>
              <w:t>Unreported</w:t>
            </w:r>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 xml:space="preserve">Applicant’s motion for extension of time in which to file notice of appeal in </w:t>
            </w:r>
            <w:r w:rsidRPr="007F2DB8">
              <w:rPr>
                <w:i/>
                <w:sz w:val="20"/>
              </w:rPr>
              <w:t>Allard</w:t>
            </w:r>
            <w:r w:rsidRPr="007F2DB8">
              <w:rPr>
                <w:sz w:val="20"/>
              </w:rPr>
              <w:t xml:space="preserve"> action and for interim order preserving permit rights dismissed</w:t>
            </w: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t>July 3, 2015</w:t>
            </w:r>
          </w:p>
          <w:p w:rsidR="007F2DB8" w:rsidRPr="007F2DB8" w:rsidRDefault="007F2DB8" w:rsidP="007F2DB8">
            <w:pPr>
              <w:jc w:val="both"/>
              <w:rPr>
                <w:sz w:val="20"/>
              </w:rPr>
            </w:pPr>
            <w:r w:rsidRPr="007F2DB8">
              <w:rPr>
                <w:sz w:val="20"/>
              </w:rPr>
              <w:t>Supreme Court of Canada</w:t>
            </w:r>
          </w:p>
          <w:p w:rsidR="007F2DB8" w:rsidRPr="007F2DB8" w:rsidRDefault="007F2DB8" w:rsidP="007F2DB8">
            <w:pPr>
              <w:jc w:val="both"/>
              <w:rPr>
                <w:sz w:val="20"/>
              </w:rPr>
            </w:pPr>
          </w:p>
          <w:p w:rsidR="007F2DB8" w:rsidRPr="007F2DB8" w:rsidRDefault="007F2DB8" w:rsidP="007F2DB8">
            <w:pPr>
              <w:jc w:val="both"/>
              <w:rPr>
                <w:sz w:val="20"/>
              </w:rPr>
            </w:pPr>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Motion for extension of time in which to serve and file application for leave to appeal  and application for leave to appeal filed</w:t>
            </w:r>
          </w:p>
          <w:p w:rsidR="007F2DB8" w:rsidRPr="007F2DB8" w:rsidRDefault="007F2DB8" w:rsidP="007F2DB8">
            <w:pPr>
              <w:jc w:val="both"/>
              <w:rPr>
                <w:sz w:val="20"/>
              </w:rPr>
            </w:pPr>
          </w:p>
        </w:tc>
      </w:tr>
    </w:tbl>
    <w:p w:rsidR="007F2DB8" w:rsidRPr="007F2DB8" w:rsidRDefault="007F2DB8" w:rsidP="007F2D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2DB8" w:rsidRPr="007F2DB8" w:rsidTr="007F2DB8">
        <w:tc>
          <w:tcPr>
            <w:tcW w:w="543" w:type="pct"/>
          </w:tcPr>
          <w:p w:rsidR="007F2DB8" w:rsidRPr="007F2DB8" w:rsidRDefault="007F2DB8" w:rsidP="007F2DB8">
            <w:pPr>
              <w:jc w:val="both"/>
              <w:rPr>
                <w:sz w:val="20"/>
                <w:lang w:val="fr-CA"/>
              </w:rPr>
            </w:pPr>
            <w:r w:rsidRPr="007F2DB8">
              <w:rPr>
                <w:rStyle w:val="SCCFileNumberChar"/>
                <w:sz w:val="20"/>
                <w:szCs w:val="20"/>
                <w:lang w:val="fr-CA"/>
              </w:rPr>
              <w:t>36519</w:t>
            </w:r>
          </w:p>
        </w:tc>
        <w:tc>
          <w:tcPr>
            <w:tcW w:w="4457" w:type="pct"/>
            <w:gridSpan w:val="3"/>
          </w:tcPr>
          <w:p w:rsidR="007F2DB8" w:rsidRPr="007F2DB8" w:rsidRDefault="007F2DB8" w:rsidP="007F2DB8">
            <w:pPr>
              <w:pStyle w:val="SCCLsocParty"/>
              <w:jc w:val="both"/>
              <w:rPr>
                <w:b/>
                <w:sz w:val="20"/>
                <w:szCs w:val="20"/>
              </w:rPr>
            </w:pPr>
            <w:r w:rsidRPr="007F2DB8">
              <w:rPr>
                <w:b/>
                <w:sz w:val="20"/>
                <w:szCs w:val="20"/>
              </w:rPr>
              <w:t>Arthur Jackes c. Sa Majesté la Reine</w:t>
            </w:r>
          </w:p>
          <w:p w:rsidR="007F2DB8" w:rsidRPr="007F2DB8" w:rsidRDefault="007F2DB8" w:rsidP="007F2DB8">
            <w:pPr>
              <w:jc w:val="both"/>
              <w:rPr>
                <w:sz w:val="20"/>
                <w:lang w:val="fr-CA"/>
              </w:rPr>
            </w:pPr>
            <w:r w:rsidRPr="007F2DB8">
              <w:rPr>
                <w:sz w:val="20"/>
                <w:lang w:val="fr-CA"/>
              </w:rPr>
              <w:t>(CF) (Civile) (Sur autorisation)</w:t>
            </w:r>
          </w:p>
        </w:tc>
      </w:tr>
      <w:tr w:rsidR="007F2DB8" w:rsidRPr="00A96461" w:rsidTr="007F2DB8">
        <w:tc>
          <w:tcPr>
            <w:tcW w:w="5000" w:type="pct"/>
            <w:gridSpan w:val="4"/>
          </w:tcPr>
          <w:p w:rsidR="007F2DB8" w:rsidRPr="007F2DB8" w:rsidRDefault="007F2DB8" w:rsidP="007F2DB8">
            <w:pPr>
              <w:jc w:val="both"/>
              <w:rPr>
                <w:sz w:val="20"/>
                <w:lang w:val="fr-CA"/>
              </w:rPr>
            </w:pPr>
            <w:r w:rsidRPr="007F2DB8">
              <w:rPr>
                <w:sz w:val="20"/>
                <w:lang w:val="fr-CA"/>
              </w:rPr>
              <w:t>Procédure civile – Délais – Plusieurs demandeurs, dans des actions distinctes, sollicitent des prorogations de délai pour interjeter appel d’une ordonnance de la Cour fédérale dans une autre affaire concernant la validité du nouveau règlement relatif à l’usage de la marihuana à des fins médicales et une exemption provisoire à l’égard de ce règlement – La Cour d’appel fédérale a rejeté les requêtes – Les membres du groupe touché par le jugement de la Cour fédérale devraient-ils avoir un droit d’appel? – La Cour d’appel fédérale a-t-elle eu tort de rejeter l’appel? – Y a-t-il lieu d’accorder au demandeur une exemption provisoire en attendant qu’il soit statué sur la demande d’autorisation d’appel?</w:t>
            </w:r>
          </w:p>
        </w:tc>
      </w:tr>
      <w:tr w:rsidR="007F2DB8" w:rsidRPr="00A96461" w:rsidTr="007F2DB8">
        <w:tc>
          <w:tcPr>
            <w:tcW w:w="5000" w:type="pct"/>
            <w:gridSpan w:val="4"/>
          </w:tcPr>
          <w:p w:rsidR="007F2DB8" w:rsidRPr="007F2DB8" w:rsidRDefault="007F2DB8" w:rsidP="007F2DB8">
            <w:pPr>
              <w:jc w:val="both"/>
              <w:rPr>
                <w:sz w:val="20"/>
                <w:lang w:val="fr-CA"/>
              </w:rPr>
            </w:pPr>
          </w:p>
        </w:tc>
      </w:tr>
      <w:tr w:rsidR="007F2DB8" w:rsidRPr="00A96461" w:rsidTr="007F2DB8">
        <w:tc>
          <w:tcPr>
            <w:tcW w:w="5000" w:type="pct"/>
            <w:gridSpan w:val="4"/>
          </w:tcPr>
          <w:p w:rsidR="007F2DB8" w:rsidRPr="007F2DB8" w:rsidRDefault="007F2DB8" w:rsidP="007F2DB8">
            <w:pPr>
              <w:jc w:val="both"/>
              <w:rPr>
                <w:sz w:val="20"/>
                <w:lang w:val="fr-CA"/>
              </w:rPr>
            </w:pPr>
            <w:r w:rsidRPr="007F2DB8">
              <w:rPr>
                <w:sz w:val="20"/>
                <w:lang w:val="fr-CA"/>
              </w:rPr>
              <w:t xml:space="preserve">Le demandeur s’était vu octroyer un permis qui lui permettait de produire et d’utiliser de la marihuana à des fins personnelles et médicales. En avril 2014, le régime de permis de production a été remplacé et dorénavant, les titulaires de permis devaient acheter de la marihuana de producteurs commerciaux autorisés. Plusieurs titulaires de ces permis ont intenté des actions en  Cour fédérale, contestant les nouvelles dispositions législatives. Toutes ces actions sauf une ont été suspendues et cette dernière est allée à procès. Certains demandeurs se sont vu accorder une injonction </w:t>
            </w:r>
            <w:r w:rsidRPr="007F2DB8">
              <w:rPr>
                <w:sz w:val="20"/>
                <w:lang w:val="fr-CA"/>
              </w:rPr>
              <w:lastRenderedPageBreak/>
              <w:t>interlocutoire, les exemptant du nouveau régime. Le demandeur a présenté une requête en prorogation de délai pour interjeter appel de l’ordonnance prononcée le 30 décembre 2014 par la Cour fédérale dans l’affaire connexe.</w:t>
            </w:r>
          </w:p>
          <w:p w:rsidR="007F2DB8" w:rsidRPr="007F2DB8" w:rsidRDefault="007F2DB8" w:rsidP="007F2DB8">
            <w:pPr>
              <w:jc w:val="both"/>
              <w:rPr>
                <w:sz w:val="20"/>
                <w:lang w:val="fr-CA"/>
              </w:rPr>
            </w:pPr>
          </w:p>
        </w:tc>
      </w:tr>
      <w:tr w:rsidR="007F2DB8" w:rsidRPr="00A96461" w:rsidTr="007F2DB8">
        <w:tc>
          <w:tcPr>
            <w:tcW w:w="2427" w:type="pct"/>
            <w:gridSpan w:val="2"/>
          </w:tcPr>
          <w:p w:rsidR="007F2DB8" w:rsidRPr="007F2DB8" w:rsidRDefault="007F2DB8" w:rsidP="007F2DB8">
            <w:pPr>
              <w:jc w:val="both"/>
              <w:rPr>
                <w:sz w:val="20"/>
                <w:lang w:val="fr-CA"/>
              </w:rPr>
            </w:pPr>
            <w:r w:rsidRPr="007F2DB8">
              <w:rPr>
                <w:sz w:val="20"/>
                <w:lang w:val="fr-CA"/>
              </w:rPr>
              <w:lastRenderedPageBreak/>
              <w:t>21 mars 2014</w:t>
            </w:r>
          </w:p>
          <w:p w:rsidR="007F2DB8" w:rsidRPr="007F2DB8" w:rsidRDefault="007F2DB8" w:rsidP="007F2DB8">
            <w:pPr>
              <w:jc w:val="both"/>
              <w:rPr>
                <w:sz w:val="20"/>
                <w:lang w:val="fr-CA"/>
              </w:rPr>
            </w:pPr>
            <w:r w:rsidRPr="007F2DB8">
              <w:rPr>
                <w:sz w:val="20"/>
                <w:lang w:val="fr-CA"/>
              </w:rPr>
              <w:t>Cour fédérale</w:t>
            </w:r>
          </w:p>
          <w:p w:rsidR="007F2DB8" w:rsidRPr="007F2DB8" w:rsidRDefault="007F2DB8" w:rsidP="007F2DB8">
            <w:pPr>
              <w:jc w:val="both"/>
              <w:rPr>
                <w:sz w:val="20"/>
                <w:lang w:val="fr-CA"/>
              </w:rPr>
            </w:pPr>
            <w:r w:rsidRPr="007F2DB8">
              <w:rPr>
                <w:sz w:val="20"/>
                <w:lang w:val="fr-CA"/>
              </w:rPr>
              <w:t>(Juge Manson)</w:t>
            </w:r>
          </w:p>
          <w:p w:rsidR="007F2DB8" w:rsidRPr="007F2DB8" w:rsidRDefault="00A96461" w:rsidP="007F2DB8">
            <w:pPr>
              <w:jc w:val="both"/>
              <w:rPr>
                <w:sz w:val="20"/>
                <w:lang w:val="fr-CA"/>
              </w:rPr>
            </w:pPr>
            <w:hyperlink r:id="rId29" w:history="1">
              <w:r w:rsidR="007F2DB8" w:rsidRPr="007F2DB8">
                <w:rPr>
                  <w:rStyle w:val="Hyperlink"/>
                  <w:sz w:val="20"/>
                  <w:lang w:val="fr-CA"/>
                </w:rPr>
                <w:t>2014 FC 1260</w:t>
              </w:r>
            </w:hyperlink>
          </w:p>
        </w:tc>
        <w:tc>
          <w:tcPr>
            <w:tcW w:w="243" w:type="pct"/>
          </w:tcPr>
          <w:p w:rsidR="007F2DB8" w:rsidRPr="007F2DB8" w:rsidRDefault="007F2DB8" w:rsidP="007F2DB8">
            <w:pPr>
              <w:jc w:val="both"/>
              <w:rPr>
                <w:sz w:val="20"/>
                <w:lang w:val="fr-CA"/>
              </w:rPr>
            </w:pPr>
          </w:p>
        </w:tc>
        <w:tc>
          <w:tcPr>
            <w:tcW w:w="2330" w:type="pct"/>
          </w:tcPr>
          <w:p w:rsidR="007F2DB8" w:rsidRPr="007F2DB8" w:rsidRDefault="007F2DB8" w:rsidP="007F2DB8">
            <w:pPr>
              <w:jc w:val="both"/>
              <w:rPr>
                <w:sz w:val="20"/>
                <w:lang w:val="fr-CA"/>
              </w:rPr>
            </w:pPr>
            <w:r w:rsidRPr="007F2DB8">
              <w:rPr>
                <w:sz w:val="20"/>
                <w:lang w:val="fr-CA"/>
              </w:rPr>
              <w:t xml:space="preserve">Dans </w:t>
            </w:r>
            <w:r w:rsidRPr="007F2DB8">
              <w:rPr>
                <w:i/>
                <w:sz w:val="20"/>
                <w:lang w:val="fr-CA"/>
              </w:rPr>
              <w:t>Allard et al. c. Canada</w:t>
            </w:r>
            <w:r w:rsidRPr="007F2DB8">
              <w:rPr>
                <w:sz w:val="20"/>
                <w:lang w:val="fr-CA"/>
              </w:rPr>
              <w:t xml:space="preserve">, 2014 FC 1260, jugement rejetant en partie la requête des demandeurs en première instance en injonction interlocutoire ou en exemption constitutionnelle interlocutoire à l’égard des dispositions du </w:t>
            </w:r>
            <w:r w:rsidRPr="007F2DB8">
              <w:rPr>
                <w:i/>
                <w:sz w:val="20"/>
                <w:lang w:val="fr-CA"/>
              </w:rPr>
              <w:t>Règlement sur la marihuana à des fins médicales</w:t>
            </w:r>
            <w:r w:rsidRPr="007F2DB8">
              <w:rPr>
                <w:sz w:val="20"/>
                <w:lang w:val="fr-CA"/>
              </w:rPr>
              <w:t xml:space="preserve">, DORS/2013-119 </w:t>
            </w:r>
          </w:p>
          <w:p w:rsidR="007F2DB8" w:rsidRPr="007F2DB8" w:rsidRDefault="007F2DB8" w:rsidP="007F2DB8">
            <w:pPr>
              <w:jc w:val="both"/>
              <w:rPr>
                <w:sz w:val="20"/>
                <w:lang w:val="fr-CA"/>
              </w:rPr>
            </w:pPr>
          </w:p>
        </w:tc>
      </w:tr>
      <w:tr w:rsidR="007F2DB8" w:rsidRPr="00A96461" w:rsidTr="007F2DB8">
        <w:tc>
          <w:tcPr>
            <w:tcW w:w="2427" w:type="pct"/>
            <w:gridSpan w:val="2"/>
          </w:tcPr>
          <w:p w:rsidR="007F2DB8" w:rsidRPr="007F2DB8" w:rsidRDefault="007F2DB8" w:rsidP="007F2DB8">
            <w:pPr>
              <w:jc w:val="both"/>
              <w:rPr>
                <w:sz w:val="20"/>
                <w:lang w:val="fr-CA"/>
              </w:rPr>
            </w:pPr>
            <w:r w:rsidRPr="007F2DB8">
              <w:rPr>
                <w:sz w:val="20"/>
                <w:lang w:val="fr-CA"/>
              </w:rPr>
              <w:t>14 avril 2015</w:t>
            </w:r>
          </w:p>
          <w:p w:rsidR="007F2DB8" w:rsidRPr="007F2DB8" w:rsidRDefault="007F2DB8" w:rsidP="007F2DB8">
            <w:pPr>
              <w:jc w:val="both"/>
              <w:rPr>
                <w:sz w:val="20"/>
                <w:lang w:val="fr-CA"/>
              </w:rPr>
            </w:pPr>
            <w:r w:rsidRPr="007F2DB8">
              <w:rPr>
                <w:sz w:val="20"/>
                <w:lang w:val="fr-CA"/>
              </w:rPr>
              <w:t>Cour d’appel fédérale</w:t>
            </w:r>
          </w:p>
          <w:p w:rsidR="007F2DB8" w:rsidRPr="007F2DB8" w:rsidRDefault="007F2DB8" w:rsidP="007F2DB8">
            <w:pPr>
              <w:jc w:val="both"/>
              <w:rPr>
                <w:sz w:val="20"/>
                <w:lang w:val="fr-CA"/>
              </w:rPr>
            </w:pPr>
            <w:r w:rsidRPr="007F2DB8">
              <w:rPr>
                <w:sz w:val="20"/>
                <w:lang w:val="fr-CA"/>
              </w:rPr>
              <w:t>(Juge Dawson)</w:t>
            </w:r>
          </w:p>
          <w:p w:rsidR="007F2DB8" w:rsidRPr="007F2DB8" w:rsidRDefault="007F2DB8" w:rsidP="007F2DB8">
            <w:pPr>
              <w:jc w:val="both"/>
              <w:rPr>
                <w:sz w:val="20"/>
                <w:lang w:val="fr-CA"/>
              </w:rPr>
            </w:pPr>
            <w:r w:rsidRPr="007F2DB8">
              <w:rPr>
                <w:sz w:val="20"/>
                <w:lang w:val="fr-CA"/>
              </w:rPr>
              <w:t>Non publié</w:t>
            </w:r>
          </w:p>
        </w:tc>
        <w:tc>
          <w:tcPr>
            <w:tcW w:w="243" w:type="pct"/>
          </w:tcPr>
          <w:p w:rsidR="007F2DB8" w:rsidRPr="007F2DB8" w:rsidRDefault="007F2DB8" w:rsidP="007F2DB8">
            <w:pPr>
              <w:jc w:val="both"/>
              <w:rPr>
                <w:sz w:val="20"/>
                <w:lang w:val="fr-CA"/>
              </w:rPr>
            </w:pPr>
          </w:p>
        </w:tc>
        <w:tc>
          <w:tcPr>
            <w:tcW w:w="2330" w:type="pct"/>
          </w:tcPr>
          <w:p w:rsidR="007F2DB8" w:rsidRPr="007F2DB8" w:rsidRDefault="007F2DB8" w:rsidP="007F2DB8">
            <w:pPr>
              <w:jc w:val="both"/>
              <w:rPr>
                <w:sz w:val="20"/>
                <w:lang w:val="fr-CA"/>
              </w:rPr>
            </w:pPr>
            <w:r w:rsidRPr="007F2DB8">
              <w:rPr>
                <w:sz w:val="20"/>
                <w:lang w:val="fr-CA"/>
              </w:rPr>
              <w:t xml:space="preserve">Rejet de la requête du demandeur en prorogation du délai en vue de déposer un avis d’appel dans l’action </w:t>
            </w:r>
            <w:r w:rsidRPr="007F2DB8">
              <w:rPr>
                <w:i/>
                <w:sz w:val="20"/>
                <w:lang w:val="fr-CA"/>
              </w:rPr>
              <w:t>Allard</w:t>
            </w:r>
            <w:r w:rsidRPr="007F2DB8">
              <w:rPr>
                <w:sz w:val="20"/>
                <w:lang w:val="fr-CA"/>
              </w:rPr>
              <w:t xml:space="preserve"> et en vue d’obtenir une ordonnance provisoire maintenant les droits conférés par le permis</w:t>
            </w:r>
          </w:p>
          <w:p w:rsidR="007F2DB8" w:rsidRPr="007F2DB8" w:rsidRDefault="007F2DB8" w:rsidP="007F2DB8">
            <w:pPr>
              <w:jc w:val="both"/>
              <w:rPr>
                <w:sz w:val="20"/>
                <w:lang w:val="fr-CA"/>
              </w:rPr>
            </w:pPr>
          </w:p>
        </w:tc>
      </w:tr>
      <w:tr w:rsidR="007F2DB8" w:rsidRPr="00A96461" w:rsidTr="007F2DB8">
        <w:tc>
          <w:tcPr>
            <w:tcW w:w="2427" w:type="pct"/>
            <w:gridSpan w:val="2"/>
          </w:tcPr>
          <w:p w:rsidR="007F2DB8" w:rsidRPr="007F2DB8" w:rsidRDefault="007F2DB8" w:rsidP="007F2DB8">
            <w:pPr>
              <w:jc w:val="both"/>
              <w:rPr>
                <w:sz w:val="20"/>
                <w:lang w:val="fr-CA"/>
              </w:rPr>
            </w:pPr>
            <w:r w:rsidRPr="007F2DB8">
              <w:rPr>
                <w:sz w:val="20"/>
                <w:lang w:val="fr-CA"/>
              </w:rPr>
              <w:t>3 juillet 2015</w:t>
            </w:r>
          </w:p>
          <w:p w:rsidR="007F2DB8" w:rsidRPr="007F2DB8" w:rsidRDefault="007F2DB8" w:rsidP="007F2DB8">
            <w:pPr>
              <w:jc w:val="both"/>
              <w:rPr>
                <w:sz w:val="20"/>
                <w:lang w:val="fr-CA"/>
              </w:rPr>
            </w:pPr>
            <w:r w:rsidRPr="007F2DB8">
              <w:rPr>
                <w:sz w:val="20"/>
                <w:lang w:val="fr-CA"/>
              </w:rPr>
              <w:t>Cour suprême du Canada</w:t>
            </w:r>
          </w:p>
          <w:p w:rsidR="007F2DB8" w:rsidRPr="007F2DB8" w:rsidRDefault="007F2DB8" w:rsidP="007F2DB8">
            <w:pPr>
              <w:jc w:val="both"/>
              <w:rPr>
                <w:sz w:val="20"/>
                <w:lang w:val="fr-CA"/>
              </w:rPr>
            </w:pPr>
          </w:p>
        </w:tc>
        <w:tc>
          <w:tcPr>
            <w:tcW w:w="243" w:type="pct"/>
          </w:tcPr>
          <w:p w:rsidR="007F2DB8" w:rsidRPr="007F2DB8" w:rsidRDefault="007F2DB8" w:rsidP="007F2DB8">
            <w:pPr>
              <w:jc w:val="both"/>
              <w:rPr>
                <w:sz w:val="20"/>
                <w:lang w:val="fr-CA"/>
              </w:rPr>
            </w:pPr>
          </w:p>
        </w:tc>
        <w:tc>
          <w:tcPr>
            <w:tcW w:w="2330" w:type="pct"/>
          </w:tcPr>
          <w:p w:rsidR="007F2DB8" w:rsidRPr="007F2DB8" w:rsidRDefault="007F2DB8" w:rsidP="007F2DB8">
            <w:pPr>
              <w:jc w:val="both"/>
              <w:rPr>
                <w:sz w:val="20"/>
                <w:lang w:val="fr-CA"/>
              </w:rPr>
            </w:pPr>
            <w:r w:rsidRPr="007F2DB8">
              <w:rPr>
                <w:sz w:val="20"/>
                <w:lang w:val="fr-CA"/>
              </w:rPr>
              <w:t>Dépôt de la requête en prorogation du délai de signification et de dépôt de la demande d’autorisation d’appel et de la demande d’autorisation d’appel</w:t>
            </w:r>
          </w:p>
        </w:tc>
      </w:tr>
    </w:tbl>
    <w:p w:rsidR="007F2DB8" w:rsidRDefault="007F2DB8" w:rsidP="007F2DB8">
      <w:pPr>
        <w:jc w:val="both"/>
        <w:rPr>
          <w:sz w:val="20"/>
          <w:lang w:val="fr-CA"/>
        </w:rPr>
      </w:pPr>
    </w:p>
    <w:p w:rsidR="007F2DB8" w:rsidRPr="007F2DB8" w:rsidRDefault="007F2DB8" w:rsidP="007F2DB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2DB8" w:rsidRPr="007F2DB8" w:rsidTr="007F2DB8">
        <w:tc>
          <w:tcPr>
            <w:tcW w:w="543" w:type="pct"/>
          </w:tcPr>
          <w:p w:rsidR="007F2DB8" w:rsidRPr="007F2DB8" w:rsidRDefault="007F2DB8" w:rsidP="007F2DB8">
            <w:pPr>
              <w:jc w:val="both"/>
              <w:rPr>
                <w:sz w:val="20"/>
              </w:rPr>
            </w:pPr>
            <w:r w:rsidRPr="007F2DB8">
              <w:rPr>
                <w:rStyle w:val="SCCFileNumberChar"/>
                <w:sz w:val="20"/>
                <w:szCs w:val="20"/>
              </w:rPr>
              <w:t>36560</w:t>
            </w:r>
          </w:p>
        </w:tc>
        <w:tc>
          <w:tcPr>
            <w:tcW w:w="4457" w:type="pct"/>
            <w:gridSpan w:val="3"/>
          </w:tcPr>
          <w:p w:rsidR="007F2DB8" w:rsidRPr="007F2DB8" w:rsidRDefault="007F2DB8" w:rsidP="007F2DB8">
            <w:pPr>
              <w:pStyle w:val="SCCLsocParty"/>
              <w:jc w:val="both"/>
              <w:rPr>
                <w:b/>
                <w:sz w:val="20"/>
                <w:szCs w:val="20"/>
                <w:lang w:val="en-US"/>
              </w:rPr>
            </w:pPr>
            <w:r w:rsidRPr="007F2DB8">
              <w:rPr>
                <w:b/>
                <w:sz w:val="20"/>
                <w:szCs w:val="20"/>
                <w:lang w:val="en-US"/>
              </w:rPr>
              <w:t>Wojciech Jerry Krzyz v. Her Majesty the Queen</w:t>
            </w:r>
          </w:p>
          <w:p w:rsidR="007F2DB8" w:rsidRPr="007F2DB8" w:rsidRDefault="007F2DB8" w:rsidP="007F2DB8">
            <w:pPr>
              <w:jc w:val="both"/>
              <w:rPr>
                <w:sz w:val="20"/>
              </w:rPr>
            </w:pPr>
            <w:r w:rsidRPr="007F2DB8">
              <w:rPr>
                <w:sz w:val="20"/>
              </w:rPr>
              <w:t>(FC) (Civil) (By Leave)</w:t>
            </w:r>
          </w:p>
        </w:tc>
      </w:tr>
      <w:tr w:rsidR="007F2DB8" w:rsidRPr="007F2DB8" w:rsidTr="007F2DB8">
        <w:tc>
          <w:tcPr>
            <w:tcW w:w="5000" w:type="pct"/>
            <w:gridSpan w:val="4"/>
          </w:tcPr>
          <w:p w:rsidR="007F2DB8" w:rsidRPr="007F2DB8" w:rsidRDefault="007F2DB8" w:rsidP="007F2DB8">
            <w:pPr>
              <w:jc w:val="both"/>
              <w:rPr>
                <w:sz w:val="20"/>
              </w:rPr>
            </w:pPr>
            <w:r w:rsidRPr="007F2DB8">
              <w:rPr>
                <w:sz w:val="20"/>
              </w:rPr>
              <w:t>Civil procedure – Time – Several applicants in separate actions seeking extensions of time to appeal Federal Court order in another case concerning validity of and interim exemption from new regulations pertaining to use of medical marijuana – Federal Court of Appeal dismissing motions – Whether members of class affected by a Federal Court ruling should have a right of appeal – Whether Federal Court of Appeal erred in dismissing appeal – Whether applicant should be granted interim exemption pending adjudication of application for leave to appeal.</w:t>
            </w:r>
          </w:p>
        </w:tc>
      </w:tr>
      <w:tr w:rsidR="007F2DB8" w:rsidRPr="007F2DB8" w:rsidTr="007F2DB8">
        <w:tc>
          <w:tcPr>
            <w:tcW w:w="5000" w:type="pct"/>
            <w:gridSpan w:val="4"/>
          </w:tcPr>
          <w:p w:rsidR="007F2DB8" w:rsidRPr="007F2DB8" w:rsidRDefault="007F2DB8" w:rsidP="007F2DB8">
            <w:pPr>
              <w:jc w:val="both"/>
              <w:rPr>
                <w:sz w:val="20"/>
              </w:rPr>
            </w:pPr>
          </w:p>
        </w:tc>
      </w:tr>
      <w:tr w:rsidR="007F2DB8" w:rsidRPr="007F2DB8" w:rsidTr="007F2DB8">
        <w:tc>
          <w:tcPr>
            <w:tcW w:w="5000" w:type="pct"/>
            <w:gridSpan w:val="4"/>
          </w:tcPr>
          <w:p w:rsidR="007F2DB8" w:rsidRPr="007F2DB8" w:rsidRDefault="007F2DB8" w:rsidP="007F2DB8">
            <w:pPr>
              <w:jc w:val="both"/>
              <w:rPr>
                <w:sz w:val="20"/>
              </w:rPr>
            </w:pPr>
            <w:r w:rsidRPr="007F2DB8">
              <w:rPr>
                <w:sz w:val="20"/>
              </w:rPr>
              <w:t>The applicant had been issued a permit that allowed him to grow and use marijuana for personal, medicinal purposes. The grower permit regime was replaced in April, 2014 and thereafter permit-holders were required to purchase marijuana from licenced commercial producers. Many of those permit-holders commenced actions in the Federal Court, challenging the new legislative provisions. All of the actions except one were stayed and it proceeded to trial. Some of those plaintiffs were also granted interlocutory injunctive relief, exempting them from the new regime.  The applicant brought a motion for an extension of time to appeal the December 30, 2014 Federal Court order in the related case.</w:t>
            </w: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t>March 21, 2014</w:t>
            </w:r>
          </w:p>
          <w:p w:rsidR="007F2DB8" w:rsidRPr="007F2DB8" w:rsidRDefault="007F2DB8" w:rsidP="007F2DB8">
            <w:pPr>
              <w:jc w:val="both"/>
              <w:rPr>
                <w:sz w:val="20"/>
              </w:rPr>
            </w:pPr>
            <w:r w:rsidRPr="007F2DB8">
              <w:rPr>
                <w:sz w:val="20"/>
              </w:rPr>
              <w:t>Federal Court</w:t>
            </w:r>
          </w:p>
          <w:p w:rsidR="007F2DB8" w:rsidRPr="007F2DB8" w:rsidRDefault="007F2DB8" w:rsidP="007F2DB8">
            <w:pPr>
              <w:jc w:val="both"/>
              <w:rPr>
                <w:sz w:val="20"/>
              </w:rPr>
            </w:pPr>
            <w:r w:rsidRPr="007F2DB8">
              <w:rPr>
                <w:sz w:val="20"/>
              </w:rPr>
              <w:t>(Manson J.)</w:t>
            </w:r>
          </w:p>
          <w:p w:rsidR="007F2DB8" w:rsidRPr="007F2DB8" w:rsidRDefault="00A96461" w:rsidP="007F2DB8">
            <w:pPr>
              <w:jc w:val="both"/>
              <w:rPr>
                <w:sz w:val="20"/>
              </w:rPr>
            </w:pPr>
            <w:hyperlink r:id="rId30" w:history="1">
              <w:r w:rsidR="007F2DB8" w:rsidRPr="007F2DB8">
                <w:rPr>
                  <w:rStyle w:val="Hyperlink"/>
                  <w:sz w:val="20"/>
                </w:rPr>
                <w:t>2014 FC 1260</w:t>
              </w:r>
            </w:hyperlink>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 xml:space="preserve">In </w:t>
            </w:r>
            <w:r w:rsidRPr="007F2DB8">
              <w:rPr>
                <w:i/>
                <w:sz w:val="20"/>
              </w:rPr>
              <w:t>Allard et al. v. Canada</w:t>
            </w:r>
            <w:r w:rsidRPr="007F2DB8">
              <w:rPr>
                <w:sz w:val="20"/>
              </w:rPr>
              <w:t xml:space="preserve">, 2014 FC 1260, plaintiffs’ motion for interlocutory injunction or interlocutory constitutional exemption from provisions of </w:t>
            </w:r>
            <w:r w:rsidRPr="007F2DB8">
              <w:rPr>
                <w:i/>
                <w:sz w:val="20"/>
              </w:rPr>
              <w:t>Marijuana for Medical Purposes Regulations</w:t>
            </w:r>
            <w:r w:rsidRPr="007F2DB8">
              <w:rPr>
                <w:sz w:val="20"/>
              </w:rPr>
              <w:t>, SOR/2013-119 granted in part</w:t>
            </w: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t>April 14, 2015</w:t>
            </w:r>
          </w:p>
          <w:p w:rsidR="007F2DB8" w:rsidRPr="007F2DB8" w:rsidRDefault="007F2DB8" w:rsidP="007F2DB8">
            <w:pPr>
              <w:jc w:val="both"/>
              <w:rPr>
                <w:sz w:val="20"/>
              </w:rPr>
            </w:pPr>
            <w:r w:rsidRPr="007F2DB8">
              <w:rPr>
                <w:sz w:val="20"/>
              </w:rPr>
              <w:t>Federal Court of Appeal</w:t>
            </w:r>
          </w:p>
          <w:p w:rsidR="007F2DB8" w:rsidRPr="007F2DB8" w:rsidRDefault="007F2DB8" w:rsidP="007F2DB8">
            <w:pPr>
              <w:jc w:val="both"/>
              <w:rPr>
                <w:sz w:val="20"/>
              </w:rPr>
            </w:pPr>
            <w:r w:rsidRPr="007F2DB8">
              <w:rPr>
                <w:sz w:val="20"/>
              </w:rPr>
              <w:t>(Dawson J.A.)</w:t>
            </w:r>
          </w:p>
          <w:p w:rsidR="007F2DB8" w:rsidRPr="007F2DB8" w:rsidRDefault="007F2DB8" w:rsidP="007F2DB8">
            <w:pPr>
              <w:jc w:val="both"/>
              <w:rPr>
                <w:sz w:val="20"/>
              </w:rPr>
            </w:pPr>
            <w:r w:rsidRPr="007F2DB8">
              <w:rPr>
                <w:sz w:val="20"/>
              </w:rPr>
              <w:t>Unreported</w:t>
            </w:r>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 xml:space="preserve">Applicant’s motion for extension of time in which to file notice of appeal in </w:t>
            </w:r>
            <w:r w:rsidRPr="007F2DB8">
              <w:rPr>
                <w:i/>
                <w:sz w:val="20"/>
              </w:rPr>
              <w:t>Allard</w:t>
            </w:r>
            <w:r w:rsidRPr="007F2DB8">
              <w:rPr>
                <w:sz w:val="20"/>
              </w:rPr>
              <w:t xml:space="preserve"> action and for interim order preserving permit rights dismissed</w:t>
            </w: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t>June 29, 2015</w:t>
            </w:r>
          </w:p>
          <w:p w:rsidR="007F2DB8" w:rsidRPr="007F2DB8" w:rsidRDefault="007F2DB8" w:rsidP="007F2DB8">
            <w:pPr>
              <w:jc w:val="both"/>
              <w:rPr>
                <w:sz w:val="20"/>
              </w:rPr>
            </w:pPr>
            <w:r w:rsidRPr="007F2DB8">
              <w:rPr>
                <w:sz w:val="20"/>
              </w:rPr>
              <w:t>Supreme Court of Canada</w:t>
            </w:r>
          </w:p>
          <w:p w:rsidR="007F2DB8" w:rsidRPr="007F2DB8" w:rsidRDefault="007F2DB8" w:rsidP="007F2DB8">
            <w:pPr>
              <w:jc w:val="both"/>
              <w:rPr>
                <w:sz w:val="20"/>
              </w:rPr>
            </w:pPr>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Motion for extension of time in which to serve and file application for leave to appeal  and application for leave to appeal filed</w:t>
            </w:r>
          </w:p>
        </w:tc>
      </w:tr>
    </w:tbl>
    <w:p w:rsidR="007F2DB8" w:rsidRDefault="007F2DB8" w:rsidP="007F2DB8">
      <w:pPr>
        <w:jc w:val="both"/>
        <w:rPr>
          <w:sz w:val="20"/>
        </w:rPr>
      </w:pPr>
    </w:p>
    <w:p w:rsidR="007F2DB8" w:rsidRPr="007F2DB8" w:rsidRDefault="007F2DB8" w:rsidP="007F2D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2DB8" w:rsidRPr="007F2DB8" w:rsidTr="007F2DB8">
        <w:tc>
          <w:tcPr>
            <w:tcW w:w="543" w:type="pct"/>
          </w:tcPr>
          <w:p w:rsidR="007F2DB8" w:rsidRPr="007F2DB8" w:rsidRDefault="007F2DB8" w:rsidP="007F2DB8">
            <w:pPr>
              <w:jc w:val="both"/>
              <w:rPr>
                <w:sz w:val="20"/>
                <w:lang w:val="fr-CA"/>
              </w:rPr>
            </w:pPr>
            <w:r w:rsidRPr="007F2DB8">
              <w:rPr>
                <w:rStyle w:val="SCCFileNumberChar"/>
                <w:sz w:val="20"/>
                <w:szCs w:val="20"/>
                <w:lang w:val="fr-CA"/>
              </w:rPr>
              <w:lastRenderedPageBreak/>
              <w:t>36560</w:t>
            </w:r>
          </w:p>
        </w:tc>
        <w:tc>
          <w:tcPr>
            <w:tcW w:w="4457" w:type="pct"/>
            <w:gridSpan w:val="3"/>
          </w:tcPr>
          <w:p w:rsidR="007F2DB8" w:rsidRPr="007F2DB8" w:rsidRDefault="007F2DB8" w:rsidP="007F2DB8">
            <w:pPr>
              <w:pStyle w:val="SCCLsocParty"/>
              <w:jc w:val="both"/>
              <w:rPr>
                <w:b/>
                <w:sz w:val="20"/>
                <w:szCs w:val="20"/>
              </w:rPr>
            </w:pPr>
            <w:r w:rsidRPr="007F2DB8">
              <w:rPr>
                <w:b/>
                <w:sz w:val="20"/>
                <w:szCs w:val="20"/>
              </w:rPr>
              <w:t>Wojciech Jerry Krzyz c. Sa Majesté la Reine</w:t>
            </w:r>
          </w:p>
          <w:p w:rsidR="007F2DB8" w:rsidRPr="007F2DB8" w:rsidRDefault="007F2DB8" w:rsidP="007F2DB8">
            <w:pPr>
              <w:jc w:val="both"/>
              <w:rPr>
                <w:sz w:val="20"/>
                <w:lang w:val="fr-CA"/>
              </w:rPr>
            </w:pPr>
            <w:r w:rsidRPr="007F2DB8">
              <w:rPr>
                <w:sz w:val="20"/>
                <w:lang w:val="fr-CA"/>
              </w:rPr>
              <w:t>(CF) (Civile) (Sur autorisation)</w:t>
            </w:r>
          </w:p>
        </w:tc>
      </w:tr>
      <w:tr w:rsidR="007F2DB8" w:rsidRPr="00A96461" w:rsidTr="007F2DB8">
        <w:tc>
          <w:tcPr>
            <w:tcW w:w="5000" w:type="pct"/>
            <w:gridSpan w:val="4"/>
          </w:tcPr>
          <w:p w:rsidR="007F2DB8" w:rsidRPr="007F2DB8" w:rsidRDefault="007F2DB8" w:rsidP="007F2DB8">
            <w:pPr>
              <w:jc w:val="both"/>
              <w:rPr>
                <w:sz w:val="20"/>
                <w:lang w:val="fr-CA"/>
              </w:rPr>
            </w:pPr>
            <w:r w:rsidRPr="007F2DB8">
              <w:rPr>
                <w:sz w:val="20"/>
                <w:lang w:val="fr-CA"/>
              </w:rPr>
              <w:t>Procédure civile – Délais – Plusieurs demandeurs, dans des actions distinctes, sollicitent des prorogations de délai pour interjeter appel d’une ordonnance de la Cour fédérale dans une autre affaire concernant la validité du nouveau règlement relatif à l’usage de la marihuana à des fins médicales et une exemption provisoire à l’égard de ce règlement – La Cour d’appel fédérale a rejeté les requêtes – Les membres du groupe touché par le jugement de la Cour fédérale devraient-ils avoir un droit d’appel? – La Cour d’appel fédérale a-t-elle eu tort de rejeter l’appel? – Y a-t-il lieu d’accorder au demandeur une exemption provisoire en attendant qu’il soit statué sur la demande d’autorisation d’appel?</w:t>
            </w:r>
          </w:p>
        </w:tc>
      </w:tr>
      <w:tr w:rsidR="007F2DB8" w:rsidRPr="00A96461" w:rsidTr="007F2DB8">
        <w:tc>
          <w:tcPr>
            <w:tcW w:w="5000" w:type="pct"/>
            <w:gridSpan w:val="4"/>
          </w:tcPr>
          <w:p w:rsidR="007F2DB8" w:rsidRPr="007F2DB8" w:rsidRDefault="007F2DB8" w:rsidP="007F2DB8">
            <w:pPr>
              <w:jc w:val="both"/>
              <w:rPr>
                <w:sz w:val="20"/>
                <w:lang w:val="fr-CA"/>
              </w:rPr>
            </w:pPr>
          </w:p>
        </w:tc>
      </w:tr>
      <w:tr w:rsidR="007F2DB8" w:rsidRPr="00A96461" w:rsidTr="007F2DB8">
        <w:tc>
          <w:tcPr>
            <w:tcW w:w="5000" w:type="pct"/>
            <w:gridSpan w:val="4"/>
          </w:tcPr>
          <w:p w:rsidR="007F2DB8" w:rsidRPr="007F2DB8" w:rsidRDefault="007F2DB8" w:rsidP="007F2DB8">
            <w:pPr>
              <w:jc w:val="both"/>
              <w:rPr>
                <w:sz w:val="20"/>
                <w:lang w:val="fr-CA"/>
              </w:rPr>
            </w:pPr>
            <w:r w:rsidRPr="007F2DB8">
              <w:rPr>
                <w:sz w:val="20"/>
                <w:lang w:val="fr-CA"/>
              </w:rPr>
              <w:t>Le demandeur s’était vu octroyer un permis qui lui permettait de produire et d’utiliser de la marihuana à des fins personnelles et médicales. En avril 2014, le régime de permis de production a été remplacé et dorénavant, les titulaires de permis devaient acheter de la marihuana de producteurs commerciaux autorisés. Plusieurs titulaires de ces permis ont intenté des actions en  Cour fédérale, contestant les nouvelles dispositions législatives. Toutes ces actions sauf une ont été suspendues et cette dernière est allée à procès. Certains demandeurs se sont vu accorder une injonction interlocutoire, les exemptant du nouveau régime. Le demandeur a présenté une requête en prorogation de délai pour interjeter appel de l’ordonnance prononcée le 30 décembre 2014 par la Cour fédérale dans l’affaire connexe.</w:t>
            </w:r>
          </w:p>
          <w:p w:rsidR="007F2DB8" w:rsidRPr="007F2DB8" w:rsidRDefault="007F2DB8" w:rsidP="007F2DB8">
            <w:pPr>
              <w:jc w:val="both"/>
              <w:rPr>
                <w:sz w:val="20"/>
                <w:lang w:val="fr-CA"/>
              </w:rPr>
            </w:pPr>
          </w:p>
        </w:tc>
      </w:tr>
      <w:tr w:rsidR="007F2DB8" w:rsidRPr="00A96461" w:rsidTr="007F2DB8">
        <w:tc>
          <w:tcPr>
            <w:tcW w:w="2427" w:type="pct"/>
            <w:gridSpan w:val="2"/>
          </w:tcPr>
          <w:p w:rsidR="007F2DB8" w:rsidRPr="007F2DB8" w:rsidRDefault="007F2DB8" w:rsidP="007F2DB8">
            <w:pPr>
              <w:jc w:val="both"/>
              <w:rPr>
                <w:sz w:val="20"/>
                <w:lang w:val="fr-CA"/>
              </w:rPr>
            </w:pPr>
            <w:r w:rsidRPr="007F2DB8">
              <w:rPr>
                <w:sz w:val="20"/>
                <w:lang w:val="fr-CA"/>
              </w:rPr>
              <w:t>21 mars 2014</w:t>
            </w:r>
          </w:p>
          <w:p w:rsidR="007F2DB8" w:rsidRPr="007F2DB8" w:rsidRDefault="007F2DB8" w:rsidP="007F2DB8">
            <w:pPr>
              <w:jc w:val="both"/>
              <w:rPr>
                <w:sz w:val="20"/>
                <w:lang w:val="fr-CA"/>
              </w:rPr>
            </w:pPr>
            <w:r w:rsidRPr="007F2DB8">
              <w:rPr>
                <w:sz w:val="20"/>
                <w:lang w:val="fr-CA"/>
              </w:rPr>
              <w:t>Cour fédérale</w:t>
            </w:r>
          </w:p>
          <w:p w:rsidR="007F2DB8" w:rsidRPr="007F2DB8" w:rsidRDefault="007F2DB8" w:rsidP="007F2DB8">
            <w:pPr>
              <w:jc w:val="both"/>
              <w:rPr>
                <w:sz w:val="20"/>
                <w:lang w:val="fr-CA"/>
              </w:rPr>
            </w:pPr>
            <w:r w:rsidRPr="007F2DB8">
              <w:rPr>
                <w:sz w:val="20"/>
                <w:lang w:val="fr-CA"/>
              </w:rPr>
              <w:t>(Juge Manson)</w:t>
            </w:r>
          </w:p>
          <w:p w:rsidR="007F2DB8" w:rsidRPr="007F2DB8" w:rsidRDefault="00A96461" w:rsidP="007F2DB8">
            <w:pPr>
              <w:jc w:val="both"/>
              <w:rPr>
                <w:sz w:val="20"/>
                <w:lang w:val="fr-CA"/>
              </w:rPr>
            </w:pPr>
            <w:hyperlink r:id="rId31" w:history="1">
              <w:r w:rsidR="007F2DB8" w:rsidRPr="007F2DB8">
                <w:rPr>
                  <w:rStyle w:val="Hyperlink"/>
                  <w:sz w:val="20"/>
                  <w:lang w:val="fr-CA"/>
                </w:rPr>
                <w:t>2014 FC 1260</w:t>
              </w:r>
            </w:hyperlink>
          </w:p>
        </w:tc>
        <w:tc>
          <w:tcPr>
            <w:tcW w:w="243" w:type="pct"/>
          </w:tcPr>
          <w:p w:rsidR="007F2DB8" w:rsidRPr="007F2DB8" w:rsidRDefault="007F2DB8" w:rsidP="007F2DB8">
            <w:pPr>
              <w:jc w:val="both"/>
              <w:rPr>
                <w:sz w:val="20"/>
                <w:lang w:val="fr-CA"/>
              </w:rPr>
            </w:pPr>
          </w:p>
        </w:tc>
        <w:tc>
          <w:tcPr>
            <w:tcW w:w="2330" w:type="pct"/>
          </w:tcPr>
          <w:p w:rsidR="007F2DB8" w:rsidRPr="007F2DB8" w:rsidRDefault="007F2DB8" w:rsidP="007F2DB8">
            <w:pPr>
              <w:jc w:val="both"/>
              <w:rPr>
                <w:sz w:val="20"/>
                <w:lang w:val="fr-CA"/>
              </w:rPr>
            </w:pPr>
            <w:r w:rsidRPr="007F2DB8">
              <w:rPr>
                <w:sz w:val="20"/>
                <w:lang w:val="fr-CA"/>
              </w:rPr>
              <w:t xml:space="preserve">Dans </w:t>
            </w:r>
            <w:r w:rsidRPr="007F2DB8">
              <w:rPr>
                <w:i/>
                <w:sz w:val="20"/>
                <w:lang w:val="fr-CA"/>
              </w:rPr>
              <w:t>Allard et al. c. Canada</w:t>
            </w:r>
            <w:r w:rsidRPr="007F2DB8">
              <w:rPr>
                <w:sz w:val="20"/>
                <w:lang w:val="fr-CA"/>
              </w:rPr>
              <w:t xml:space="preserve">, 2014 FC 1260, jugement accueillant en partie la requête des demandeurs en première instance en injonction interlocutoire ou en exemption constitutionnelle interlocutoire à l’égard des dispositions du </w:t>
            </w:r>
            <w:r w:rsidRPr="007F2DB8">
              <w:rPr>
                <w:i/>
                <w:sz w:val="20"/>
                <w:lang w:val="fr-CA"/>
              </w:rPr>
              <w:t>Règlement sur la marihuana à des fins médicales</w:t>
            </w:r>
            <w:r w:rsidRPr="007F2DB8">
              <w:rPr>
                <w:sz w:val="20"/>
                <w:lang w:val="fr-CA"/>
              </w:rPr>
              <w:t xml:space="preserve">, DORS/2013-119 </w:t>
            </w:r>
          </w:p>
          <w:p w:rsidR="007F2DB8" w:rsidRPr="007F2DB8" w:rsidRDefault="007F2DB8" w:rsidP="007F2DB8">
            <w:pPr>
              <w:jc w:val="both"/>
              <w:rPr>
                <w:sz w:val="20"/>
                <w:lang w:val="fr-CA"/>
              </w:rPr>
            </w:pPr>
          </w:p>
        </w:tc>
      </w:tr>
      <w:tr w:rsidR="007F2DB8" w:rsidRPr="00A96461" w:rsidTr="007F2DB8">
        <w:tc>
          <w:tcPr>
            <w:tcW w:w="2427" w:type="pct"/>
            <w:gridSpan w:val="2"/>
          </w:tcPr>
          <w:p w:rsidR="007F2DB8" w:rsidRPr="007F2DB8" w:rsidRDefault="007F2DB8" w:rsidP="007F2DB8">
            <w:pPr>
              <w:jc w:val="both"/>
              <w:rPr>
                <w:sz w:val="20"/>
                <w:lang w:val="fr-CA"/>
              </w:rPr>
            </w:pPr>
            <w:r w:rsidRPr="007F2DB8">
              <w:rPr>
                <w:sz w:val="20"/>
                <w:lang w:val="fr-CA"/>
              </w:rPr>
              <w:t>14 avril 2015</w:t>
            </w:r>
          </w:p>
          <w:p w:rsidR="007F2DB8" w:rsidRPr="007F2DB8" w:rsidRDefault="007F2DB8" w:rsidP="007F2DB8">
            <w:pPr>
              <w:jc w:val="both"/>
              <w:rPr>
                <w:sz w:val="20"/>
                <w:lang w:val="fr-CA"/>
              </w:rPr>
            </w:pPr>
            <w:r w:rsidRPr="007F2DB8">
              <w:rPr>
                <w:sz w:val="20"/>
                <w:lang w:val="fr-CA"/>
              </w:rPr>
              <w:t>Cour d’appel fédérale</w:t>
            </w:r>
          </w:p>
          <w:p w:rsidR="007F2DB8" w:rsidRPr="007F2DB8" w:rsidRDefault="007F2DB8" w:rsidP="007F2DB8">
            <w:pPr>
              <w:jc w:val="both"/>
              <w:rPr>
                <w:sz w:val="20"/>
                <w:lang w:val="fr-CA"/>
              </w:rPr>
            </w:pPr>
            <w:r w:rsidRPr="007F2DB8">
              <w:rPr>
                <w:sz w:val="20"/>
                <w:lang w:val="fr-CA"/>
              </w:rPr>
              <w:t>(Juge Dawson)</w:t>
            </w:r>
          </w:p>
          <w:p w:rsidR="007F2DB8" w:rsidRPr="007F2DB8" w:rsidRDefault="007F2DB8" w:rsidP="007F2DB8">
            <w:pPr>
              <w:jc w:val="both"/>
              <w:rPr>
                <w:sz w:val="20"/>
                <w:lang w:val="fr-CA"/>
              </w:rPr>
            </w:pPr>
            <w:r w:rsidRPr="007F2DB8">
              <w:rPr>
                <w:sz w:val="20"/>
                <w:lang w:val="fr-CA"/>
              </w:rPr>
              <w:t>Non publié</w:t>
            </w:r>
          </w:p>
        </w:tc>
        <w:tc>
          <w:tcPr>
            <w:tcW w:w="243" w:type="pct"/>
          </w:tcPr>
          <w:p w:rsidR="007F2DB8" w:rsidRPr="007F2DB8" w:rsidRDefault="007F2DB8" w:rsidP="007F2DB8">
            <w:pPr>
              <w:jc w:val="both"/>
              <w:rPr>
                <w:sz w:val="20"/>
                <w:lang w:val="fr-CA"/>
              </w:rPr>
            </w:pPr>
          </w:p>
        </w:tc>
        <w:tc>
          <w:tcPr>
            <w:tcW w:w="2330" w:type="pct"/>
          </w:tcPr>
          <w:p w:rsidR="007F2DB8" w:rsidRPr="007F2DB8" w:rsidRDefault="007F2DB8" w:rsidP="007F2DB8">
            <w:pPr>
              <w:jc w:val="both"/>
              <w:rPr>
                <w:sz w:val="20"/>
                <w:lang w:val="fr-CA"/>
              </w:rPr>
            </w:pPr>
            <w:r w:rsidRPr="007F2DB8">
              <w:rPr>
                <w:sz w:val="20"/>
                <w:lang w:val="fr-CA"/>
              </w:rPr>
              <w:t xml:space="preserve">Rejet de la requête du demandeur en prorogation du délai en vue de déposer un avis d’appel dans l’action </w:t>
            </w:r>
            <w:r w:rsidRPr="007F2DB8">
              <w:rPr>
                <w:i/>
                <w:sz w:val="20"/>
                <w:lang w:val="fr-CA"/>
              </w:rPr>
              <w:t>Allard</w:t>
            </w:r>
            <w:r w:rsidRPr="007F2DB8">
              <w:rPr>
                <w:sz w:val="20"/>
                <w:lang w:val="fr-CA"/>
              </w:rPr>
              <w:t xml:space="preserve"> et en vue d’obtenir une ordonnance provisoire maintenant les droits conférés par le permis</w:t>
            </w:r>
          </w:p>
          <w:p w:rsidR="007F2DB8" w:rsidRPr="007F2DB8" w:rsidRDefault="007F2DB8" w:rsidP="007F2DB8">
            <w:pPr>
              <w:jc w:val="both"/>
              <w:rPr>
                <w:sz w:val="20"/>
                <w:lang w:val="fr-CA"/>
              </w:rPr>
            </w:pPr>
          </w:p>
        </w:tc>
      </w:tr>
      <w:tr w:rsidR="007F2DB8" w:rsidRPr="00A96461" w:rsidTr="007F2DB8">
        <w:tc>
          <w:tcPr>
            <w:tcW w:w="2427" w:type="pct"/>
            <w:gridSpan w:val="2"/>
          </w:tcPr>
          <w:p w:rsidR="007F2DB8" w:rsidRPr="007F2DB8" w:rsidRDefault="007F2DB8" w:rsidP="007F2DB8">
            <w:pPr>
              <w:jc w:val="both"/>
              <w:rPr>
                <w:sz w:val="20"/>
                <w:lang w:val="fr-CA"/>
              </w:rPr>
            </w:pPr>
            <w:r w:rsidRPr="007F2DB8">
              <w:rPr>
                <w:sz w:val="20"/>
                <w:lang w:val="fr-CA"/>
              </w:rPr>
              <w:t>29 juin 2015</w:t>
            </w:r>
          </w:p>
          <w:p w:rsidR="007F2DB8" w:rsidRPr="007F2DB8" w:rsidRDefault="007F2DB8" w:rsidP="007F2DB8">
            <w:pPr>
              <w:jc w:val="both"/>
              <w:rPr>
                <w:sz w:val="20"/>
                <w:lang w:val="fr-CA"/>
              </w:rPr>
            </w:pPr>
            <w:r w:rsidRPr="007F2DB8">
              <w:rPr>
                <w:sz w:val="20"/>
                <w:lang w:val="fr-CA"/>
              </w:rPr>
              <w:t>Cour suprême du Canada</w:t>
            </w:r>
          </w:p>
          <w:p w:rsidR="007F2DB8" w:rsidRPr="007F2DB8" w:rsidRDefault="007F2DB8" w:rsidP="007F2DB8">
            <w:pPr>
              <w:jc w:val="both"/>
              <w:rPr>
                <w:sz w:val="20"/>
                <w:lang w:val="fr-CA"/>
              </w:rPr>
            </w:pPr>
          </w:p>
        </w:tc>
        <w:tc>
          <w:tcPr>
            <w:tcW w:w="243" w:type="pct"/>
          </w:tcPr>
          <w:p w:rsidR="007F2DB8" w:rsidRPr="007F2DB8" w:rsidRDefault="007F2DB8" w:rsidP="007F2DB8">
            <w:pPr>
              <w:jc w:val="both"/>
              <w:rPr>
                <w:sz w:val="20"/>
                <w:lang w:val="fr-CA"/>
              </w:rPr>
            </w:pPr>
          </w:p>
        </w:tc>
        <w:tc>
          <w:tcPr>
            <w:tcW w:w="2330" w:type="pct"/>
          </w:tcPr>
          <w:p w:rsidR="007F2DB8" w:rsidRPr="007F2DB8" w:rsidRDefault="007F2DB8" w:rsidP="007F2DB8">
            <w:pPr>
              <w:jc w:val="both"/>
              <w:rPr>
                <w:sz w:val="20"/>
                <w:lang w:val="fr-CA"/>
              </w:rPr>
            </w:pPr>
            <w:r w:rsidRPr="007F2DB8">
              <w:rPr>
                <w:sz w:val="20"/>
                <w:lang w:val="fr-CA"/>
              </w:rPr>
              <w:t>Dépôt de la requête en prorogation du délai de signification et de dépôt de la demande d’autorisation d’appel et de la demande d’autorisation d’appel</w:t>
            </w:r>
          </w:p>
        </w:tc>
      </w:tr>
    </w:tbl>
    <w:p w:rsidR="007F2DB8" w:rsidRDefault="007F2DB8" w:rsidP="007F2DB8">
      <w:pPr>
        <w:jc w:val="both"/>
        <w:rPr>
          <w:sz w:val="20"/>
          <w:lang w:val="fr-CA"/>
        </w:rPr>
      </w:pPr>
    </w:p>
    <w:p w:rsidR="007F2DB8" w:rsidRPr="007F2DB8" w:rsidRDefault="007F2DB8" w:rsidP="007F2DB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2DB8" w:rsidRPr="007F2DB8" w:rsidTr="007F2DB8">
        <w:tc>
          <w:tcPr>
            <w:tcW w:w="543" w:type="pct"/>
          </w:tcPr>
          <w:p w:rsidR="007F2DB8" w:rsidRPr="007F2DB8" w:rsidRDefault="007F2DB8" w:rsidP="007F2DB8">
            <w:pPr>
              <w:jc w:val="both"/>
              <w:rPr>
                <w:sz w:val="20"/>
              </w:rPr>
            </w:pPr>
            <w:r w:rsidRPr="007F2DB8">
              <w:rPr>
                <w:rStyle w:val="SCCFileNumberChar"/>
                <w:sz w:val="20"/>
                <w:szCs w:val="20"/>
              </w:rPr>
              <w:t>36561</w:t>
            </w:r>
          </w:p>
        </w:tc>
        <w:tc>
          <w:tcPr>
            <w:tcW w:w="4457" w:type="pct"/>
            <w:gridSpan w:val="3"/>
          </w:tcPr>
          <w:p w:rsidR="007F2DB8" w:rsidRPr="007F2DB8" w:rsidRDefault="007F2DB8" w:rsidP="007F2DB8">
            <w:pPr>
              <w:pStyle w:val="SCCLsocParty"/>
              <w:jc w:val="both"/>
              <w:rPr>
                <w:b/>
                <w:sz w:val="20"/>
                <w:szCs w:val="20"/>
                <w:lang w:val="en-US"/>
              </w:rPr>
            </w:pPr>
            <w:r w:rsidRPr="007F2DB8">
              <w:rPr>
                <w:b/>
                <w:sz w:val="20"/>
                <w:szCs w:val="20"/>
                <w:lang w:val="en-US"/>
              </w:rPr>
              <w:t>Urszula Krzyz v. Her Majesty the Queen</w:t>
            </w:r>
          </w:p>
          <w:p w:rsidR="007F2DB8" w:rsidRPr="007F2DB8" w:rsidRDefault="007F2DB8" w:rsidP="007F2DB8">
            <w:pPr>
              <w:jc w:val="both"/>
              <w:rPr>
                <w:sz w:val="20"/>
              </w:rPr>
            </w:pPr>
            <w:r w:rsidRPr="007F2DB8">
              <w:rPr>
                <w:sz w:val="20"/>
              </w:rPr>
              <w:t>(FC) (Civil) (By Leave)</w:t>
            </w:r>
          </w:p>
        </w:tc>
      </w:tr>
      <w:tr w:rsidR="007F2DB8" w:rsidRPr="007F2DB8" w:rsidTr="007F2DB8">
        <w:tc>
          <w:tcPr>
            <w:tcW w:w="5000" w:type="pct"/>
            <w:gridSpan w:val="4"/>
          </w:tcPr>
          <w:p w:rsidR="007F2DB8" w:rsidRPr="007F2DB8" w:rsidRDefault="007F2DB8" w:rsidP="007F2DB8">
            <w:pPr>
              <w:jc w:val="both"/>
              <w:rPr>
                <w:sz w:val="20"/>
              </w:rPr>
            </w:pPr>
            <w:r w:rsidRPr="007F2DB8">
              <w:rPr>
                <w:sz w:val="20"/>
              </w:rPr>
              <w:t>Civil procedure – Time – Several applicants in separate actions seeking extensions of time to appeal Federal Court order in another case concerning validity of and interim exemption from new regulations pertaining to use of medical marijuana – Federal Court of Appeal dismissing motions – Whether members of class affected by a Federal Court ruling should have a right of appeal – Whether Federal Court of Appeal erred in dismissing appeal – Whether applicant should be granted interim exemption pending adjudication of application for leave to appeal.</w:t>
            </w:r>
          </w:p>
        </w:tc>
      </w:tr>
      <w:tr w:rsidR="007F2DB8" w:rsidRPr="007F2DB8" w:rsidTr="007F2DB8">
        <w:tc>
          <w:tcPr>
            <w:tcW w:w="5000" w:type="pct"/>
            <w:gridSpan w:val="4"/>
          </w:tcPr>
          <w:p w:rsidR="007F2DB8" w:rsidRPr="007F2DB8" w:rsidRDefault="007F2DB8" w:rsidP="007F2DB8">
            <w:pPr>
              <w:jc w:val="both"/>
              <w:rPr>
                <w:sz w:val="20"/>
              </w:rPr>
            </w:pPr>
          </w:p>
        </w:tc>
      </w:tr>
      <w:tr w:rsidR="007F2DB8" w:rsidRPr="007F2DB8" w:rsidTr="007F2DB8">
        <w:tc>
          <w:tcPr>
            <w:tcW w:w="5000" w:type="pct"/>
            <w:gridSpan w:val="4"/>
          </w:tcPr>
          <w:p w:rsidR="007F2DB8" w:rsidRPr="007F2DB8" w:rsidRDefault="007F2DB8" w:rsidP="007F2DB8">
            <w:pPr>
              <w:jc w:val="both"/>
              <w:rPr>
                <w:sz w:val="20"/>
              </w:rPr>
            </w:pPr>
            <w:r w:rsidRPr="007F2DB8">
              <w:rPr>
                <w:sz w:val="20"/>
              </w:rPr>
              <w:t>The applicant had been issued a permit that allowed her to grow and use marijuana for personal, medicinal purposes. The grower permit regime was replaced in April, 2014 and thereafter permit-holders were required to purchase marijuana from licenced commercial producers. Many of those permit-holders commenced actions in the Federal Court, challenging the new legislative provisions. All of the actions except one were stayed and it proceeded to trial. Some of those plaintiffs were also granted interlocutory injunctive relief, exempting them from the new regime.               The applicant brought a motion for an extension of time to appeal the December 30, 2014 Federal Court order in the related case.</w:t>
            </w: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lastRenderedPageBreak/>
              <w:t>March 21, 2014</w:t>
            </w:r>
          </w:p>
          <w:p w:rsidR="007F2DB8" w:rsidRPr="007F2DB8" w:rsidRDefault="007F2DB8" w:rsidP="007F2DB8">
            <w:pPr>
              <w:jc w:val="both"/>
              <w:rPr>
                <w:sz w:val="20"/>
              </w:rPr>
            </w:pPr>
            <w:r w:rsidRPr="007F2DB8">
              <w:rPr>
                <w:sz w:val="20"/>
              </w:rPr>
              <w:t>Federal Court</w:t>
            </w:r>
          </w:p>
          <w:p w:rsidR="007F2DB8" w:rsidRPr="007F2DB8" w:rsidRDefault="007F2DB8" w:rsidP="007F2DB8">
            <w:pPr>
              <w:jc w:val="both"/>
              <w:rPr>
                <w:sz w:val="20"/>
              </w:rPr>
            </w:pPr>
            <w:r w:rsidRPr="007F2DB8">
              <w:rPr>
                <w:sz w:val="20"/>
              </w:rPr>
              <w:t>(Manson J.)</w:t>
            </w:r>
          </w:p>
          <w:p w:rsidR="007F2DB8" w:rsidRPr="007F2DB8" w:rsidRDefault="00A96461" w:rsidP="007F2DB8">
            <w:pPr>
              <w:jc w:val="both"/>
              <w:rPr>
                <w:sz w:val="20"/>
              </w:rPr>
            </w:pPr>
            <w:hyperlink r:id="rId32" w:history="1">
              <w:r w:rsidR="007F2DB8" w:rsidRPr="007F2DB8">
                <w:rPr>
                  <w:rStyle w:val="Hyperlink"/>
                  <w:sz w:val="20"/>
                </w:rPr>
                <w:t>2014 FC 1260</w:t>
              </w:r>
            </w:hyperlink>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 xml:space="preserve">In </w:t>
            </w:r>
            <w:r w:rsidRPr="007F2DB8">
              <w:rPr>
                <w:i/>
                <w:sz w:val="20"/>
              </w:rPr>
              <w:t>Allard et al. v. Canada</w:t>
            </w:r>
            <w:r w:rsidRPr="007F2DB8">
              <w:rPr>
                <w:sz w:val="20"/>
              </w:rPr>
              <w:t xml:space="preserve">, 2014 FC 1260, plaintiffs’ motion for interlocutory injunction or interlocutory constitutional exemption from provisions of </w:t>
            </w:r>
            <w:r w:rsidRPr="007F2DB8">
              <w:rPr>
                <w:i/>
                <w:sz w:val="20"/>
              </w:rPr>
              <w:t>Marijuana for Medical Purposes Regulations</w:t>
            </w:r>
            <w:r w:rsidRPr="007F2DB8">
              <w:rPr>
                <w:sz w:val="20"/>
              </w:rPr>
              <w:t>, SOR/2013-119 granted in part</w:t>
            </w: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t>April 14, 2015</w:t>
            </w:r>
          </w:p>
          <w:p w:rsidR="007F2DB8" w:rsidRPr="007F2DB8" w:rsidRDefault="007F2DB8" w:rsidP="007F2DB8">
            <w:pPr>
              <w:jc w:val="both"/>
              <w:rPr>
                <w:sz w:val="20"/>
              </w:rPr>
            </w:pPr>
            <w:r w:rsidRPr="007F2DB8">
              <w:rPr>
                <w:sz w:val="20"/>
              </w:rPr>
              <w:t>Federal Court of Appeal</w:t>
            </w:r>
          </w:p>
          <w:p w:rsidR="007F2DB8" w:rsidRPr="007F2DB8" w:rsidRDefault="007F2DB8" w:rsidP="007F2DB8">
            <w:pPr>
              <w:jc w:val="both"/>
              <w:rPr>
                <w:sz w:val="20"/>
              </w:rPr>
            </w:pPr>
            <w:r w:rsidRPr="007F2DB8">
              <w:rPr>
                <w:sz w:val="20"/>
              </w:rPr>
              <w:t>(Dawson J.A.)</w:t>
            </w:r>
          </w:p>
          <w:p w:rsidR="007F2DB8" w:rsidRPr="007F2DB8" w:rsidRDefault="007F2DB8" w:rsidP="007F2DB8">
            <w:pPr>
              <w:jc w:val="both"/>
              <w:rPr>
                <w:sz w:val="20"/>
              </w:rPr>
            </w:pPr>
            <w:r w:rsidRPr="007F2DB8">
              <w:rPr>
                <w:sz w:val="20"/>
              </w:rPr>
              <w:t>Unreported</w:t>
            </w:r>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 xml:space="preserve">Applicant’s motion for extension of time in which to file notice of appeal in </w:t>
            </w:r>
            <w:r w:rsidRPr="007F2DB8">
              <w:rPr>
                <w:i/>
                <w:sz w:val="20"/>
              </w:rPr>
              <w:t xml:space="preserve">Allard </w:t>
            </w:r>
            <w:r w:rsidRPr="007F2DB8">
              <w:rPr>
                <w:sz w:val="20"/>
              </w:rPr>
              <w:t>action and for interim order preserving permit rights dismissed</w:t>
            </w: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t>June 29, 2015</w:t>
            </w:r>
          </w:p>
          <w:p w:rsidR="007F2DB8" w:rsidRPr="007F2DB8" w:rsidRDefault="007F2DB8" w:rsidP="007F2DB8">
            <w:pPr>
              <w:jc w:val="both"/>
              <w:rPr>
                <w:sz w:val="20"/>
              </w:rPr>
            </w:pPr>
            <w:r w:rsidRPr="007F2DB8">
              <w:rPr>
                <w:sz w:val="20"/>
              </w:rPr>
              <w:t>Supreme Court of Canada</w:t>
            </w:r>
          </w:p>
          <w:p w:rsidR="007F2DB8" w:rsidRPr="007F2DB8" w:rsidRDefault="007F2DB8" w:rsidP="007F2DB8">
            <w:pPr>
              <w:jc w:val="both"/>
              <w:rPr>
                <w:sz w:val="20"/>
              </w:rPr>
            </w:pPr>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Motion for extension of time in which to serve and file application for leave to appeal  and application for leave to appeal filed</w:t>
            </w:r>
          </w:p>
          <w:p w:rsidR="007F2DB8" w:rsidRPr="007F2DB8" w:rsidRDefault="007F2DB8" w:rsidP="007F2DB8">
            <w:pPr>
              <w:jc w:val="both"/>
              <w:rPr>
                <w:sz w:val="20"/>
              </w:rPr>
            </w:pPr>
          </w:p>
        </w:tc>
      </w:tr>
    </w:tbl>
    <w:p w:rsidR="007F2DB8" w:rsidRPr="007F2DB8" w:rsidRDefault="007F2DB8" w:rsidP="007F2D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2DB8" w:rsidRPr="007F2DB8" w:rsidTr="007F2DB8">
        <w:tc>
          <w:tcPr>
            <w:tcW w:w="543" w:type="pct"/>
          </w:tcPr>
          <w:p w:rsidR="007F2DB8" w:rsidRPr="007F2DB8" w:rsidRDefault="007F2DB8" w:rsidP="007F2DB8">
            <w:pPr>
              <w:jc w:val="both"/>
              <w:rPr>
                <w:sz w:val="20"/>
                <w:lang w:val="fr-CA"/>
              </w:rPr>
            </w:pPr>
            <w:r w:rsidRPr="007F2DB8">
              <w:rPr>
                <w:rStyle w:val="SCCFileNumberChar"/>
                <w:sz w:val="20"/>
                <w:szCs w:val="20"/>
                <w:lang w:val="fr-CA"/>
              </w:rPr>
              <w:t>36561</w:t>
            </w:r>
          </w:p>
        </w:tc>
        <w:tc>
          <w:tcPr>
            <w:tcW w:w="4457" w:type="pct"/>
            <w:gridSpan w:val="3"/>
          </w:tcPr>
          <w:p w:rsidR="007F2DB8" w:rsidRPr="007F2DB8" w:rsidRDefault="007F2DB8" w:rsidP="007F2DB8">
            <w:pPr>
              <w:pStyle w:val="SCCLsocParty"/>
              <w:jc w:val="both"/>
              <w:rPr>
                <w:b/>
                <w:sz w:val="20"/>
                <w:szCs w:val="20"/>
              </w:rPr>
            </w:pPr>
            <w:r w:rsidRPr="007F2DB8">
              <w:rPr>
                <w:b/>
                <w:sz w:val="20"/>
                <w:szCs w:val="20"/>
              </w:rPr>
              <w:t>Urszula Krzyz c. Sa Majesté la Reine</w:t>
            </w:r>
          </w:p>
          <w:p w:rsidR="007F2DB8" w:rsidRPr="007F2DB8" w:rsidRDefault="007F2DB8" w:rsidP="007F2DB8">
            <w:pPr>
              <w:jc w:val="both"/>
              <w:rPr>
                <w:sz w:val="20"/>
                <w:lang w:val="fr-CA"/>
              </w:rPr>
            </w:pPr>
            <w:r w:rsidRPr="007F2DB8">
              <w:rPr>
                <w:sz w:val="20"/>
                <w:lang w:val="fr-CA"/>
              </w:rPr>
              <w:t>(CF) (Civile) (Sur autorisation)</w:t>
            </w:r>
          </w:p>
        </w:tc>
      </w:tr>
      <w:tr w:rsidR="007F2DB8" w:rsidRPr="00A96461" w:rsidTr="007F2DB8">
        <w:tc>
          <w:tcPr>
            <w:tcW w:w="5000" w:type="pct"/>
            <w:gridSpan w:val="4"/>
          </w:tcPr>
          <w:p w:rsidR="007F2DB8" w:rsidRPr="007F2DB8" w:rsidRDefault="007F2DB8" w:rsidP="007F2DB8">
            <w:pPr>
              <w:jc w:val="both"/>
              <w:rPr>
                <w:sz w:val="20"/>
                <w:lang w:val="fr-CA"/>
              </w:rPr>
            </w:pPr>
            <w:r w:rsidRPr="007F2DB8">
              <w:rPr>
                <w:sz w:val="20"/>
                <w:lang w:val="fr-CA"/>
              </w:rPr>
              <w:t>Procédure civile – Délais – Plusieurs demandeurs, dans des actions distinctes, sollicitent des prorogations de délai pour interjeter appel d’une ordonnance de la Cour fédérale dans une autre affaire concernant la validité du nouveau règlement relatif à l’usage de la marihuana à des fins médicales et une exemption provisoire à l’égard de ce règlement – La Cour d’appel fédérale a rejeté les requêtes – Les membres du groupe touché par le jugement de la Cour fédérale devraient-ils avoir un droit d’appel? – La Cour d’appel fédérale a-t-elle eu tort de rejeter l’appel? – Y a-t-il lieu d’accorder à la demanderesse une exemption provisoire en attendant qu’il soit statué sur la demande d’autorisation d’appel?</w:t>
            </w:r>
          </w:p>
        </w:tc>
      </w:tr>
      <w:tr w:rsidR="007F2DB8" w:rsidRPr="00A96461" w:rsidTr="007F2DB8">
        <w:tc>
          <w:tcPr>
            <w:tcW w:w="5000" w:type="pct"/>
            <w:gridSpan w:val="4"/>
          </w:tcPr>
          <w:p w:rsidR="007F2DB8" w:rsidRPr="007F2DB8" w:rsidRDefault="007F2DB8" w:rsidP="007F2DB8">
            <w:pPr>
              <w:jc w:val="both"/>
              <w:rPr>
                <w:sz w:val="20"/>
                <w:lang w:val="fr-CA"/>
              </w:rPr>
            </w:pPr>
          </w:p>
        </w:tc>
      </w:tr>
      <w:tr w:rsidR="007F2DB8" w:rsidRPr="00A96461" w:rsidTr="007F2DB8">
        <w:tc>
          <w:tcPr>
            <w:tcW w:w="5000" w:type="pct"/>
            <w:gridSpan w:val="4"/>
          </w:tcPr>
          <w:p w:rsidR="007F2DB8" w:rsidRPr="007F2DB8" w:rsidRDefault="007F2DB8" w:rsidP="007F2DB8">
            <w:pPr>
              <w:jc w:val="both"/>
              <w:rPr>
                <w:sz w:val="20"/>
                <w:lang w:val="fr-CA"/>
              </w:rPr>
            </w:pPr>
            <w:r w:rsidRPr="007F2DB8">
              <w:rPr>
                <w:sz w:val="20"/>
                <w:lang w:val="fr-CA"/>
              </w:rPr>
              <w:t>La demanderesse s’était vu octroyer un permis qui lui permettait de produire et d’utiliser de la marihuana à des fins personnelles et médicales. En avril 2014, le régime de permis de production a été remplacé et dorénavant, les titulaires de permis devaient acheter de la marihuana de producteurs commerciaux autorisés. Plusieurs titulaires de ces permis ont intenté des actions en  Cour fédérale, contestant les nouvelles dispositions législatives. Toutes ces actions sauf une ont été suspendues et cette dernière est allée à procès. Certains demandeurs se sont vu accorder une injonction interlocutoire, les exemptant du nouveau régime.  La demanderesse a présenté une requête en prorogation de délai pour interjeter appel de l’ordonnance prononcée le 30 décembre 2014 par la Cour fédérale dans l’affaire connexe.</w:t>
            </w:r>
          </w:p>
          <w:p w:rsidR="007F2DB8" w:rsidRPr="007F2DB8" w:rsidRDefault="007F2DB8" w:rsidP="007F2DB8">
            <w:pPr>
              <w:jc w:val="both"/>
              <w:rPr>
                <w:sz w:val="20"/>
                <w:lang w:val="fr-CA"/>
              </w:rPr>
            </w:pPr>
          </w:p>
        </w:tc>
      </w:tr>
      <w:tr w:rsidR="007F2DB8" w:rsidRPr="00A96461" w:rsidTr="007F2DB8">
        <w:tc>
          <w:tcPr>
            <w:tcW w:w="2427" w:type="pct"/>
            <w:gridSpan w:val="2"/>
          </w:tcPr>
          <w:p w:rsidR="007F2DB8" w:rsidRPr="007F2DB8" w:rsidRDefault="007F2DB8" w:rsidP="007F2DB8">
            <w:pPr>
              <w:jc w:val="both"/>
              <w:rPr>
                <w:sz w:val="20"/>
                <w:lang w:val="fr-CA"/>
              </w:rPr>
            </w:pPr>
            <w:r w:rsidRPr="007F2DB8">
              <w:rPr>
                <w:sz w:val="20"/>
                <w:lang w:val="fr-CA"/>
              </w:rPr>
              <w:t>21 mars 2014</w:t>
            </w:r>
          </w:p>
          <w:p w:rsidR="007F2DB8" w:rsidRPr="007F2DB8" w:rsidRDefault="007F2DB8" w:rsidP="007F2DB8">
            <w:pPr>
              <w:jc w:val="both"/>
              <w:rPr>
                <w:sz w:val="20"/>
                <w:lang w:val="fr-CA"/>
              </w:rPr>
            </w:pPr>
            <w:r w:rsidRPr="007F2DB8">
              <w:rPr>
                <w:sz w:val="20"/>
                <w:lang w:val="fr-CA"/>
              </w:rPr>
              <w:t>Cour fédérale</w:t>
            </w:r>
          </w:p>
          <w:p w:rsidR="007F2DB8" w:rsidRPr="007F2DB8" w:rsidRDefault="007F2DB8" w:rsidP="007F2DB8">
            <w:pPr>
              <w:jc w:val="both"/>
              <w:rPr>
                <w:sz w:val="20"/>
                <w:lang w:val="fr-CA"/>
              </w:rPr>
            </w:pPr>
            <w:r w:rsidRPr="007F2DB8">
              <w:rPr>
                <w:sz w:val="20"/>
                <w:lang w:val="fr-CA"/>
              </w:rPr>
              <w:t>(Juge Manson)</w:t>
            </w:r>
          </w:p>
          <w:p w:rsidR="007F2DB8" w:rsidRPr="007F2DB8" w:rsidRDefault="00A96461" w:rsidP="007F2DB8">
            <w:pPr>
              <w:jc w:val="both"/>
              <w:rPr>
                <w:sz w:val="20"/>
                <w:lang w:val="fr-CA"/>
              </w:rPr>
            </w:pPr>
            <w:hyperlink r:id="rId33" w:history="1">
              <w:r w:rsidR="007F2DB8" w:rsidRPr="007F2DB8">
                <w:rPr>
                  <w:rStyle w:val="Hyperlink"/>
                  <w:sz w:val="20"/>
                  <w:lang w:val="fr-CA"/>
                </w:rPr>
                <w:t>2014 FC 1260</w:t>
              </w:r>
            </w:hyperlink>
          </w:p>
        </w:tc>
        <w:tc>
          <w:tcPr>
            <w:tcW w:w="243" w:type="pct"/>
          </w:tcPr>
          <w:p w:rsidR="007F2DB8" w:rsidRPr="007F2DB8" w:rsidRDefault="007F2DB8" w:rsidP="007F2DB8">
            <w:pPr>
              <w:jc w:val="both"/>
              <w:rPr>
                <w:sz w:val="20"/>
                <w:lang w:val="fr-CA"/>
              </w:rPr>
            </w:pPr>
          </w:p>
        </w:tc>
        <w:tc>
          <w:tcPr>
            <w:tcW w:w="2330" w:type="pct"/>
          </w:tcPr>
          <w:p w:rsidR="007F2DB8" w:rsidRPr="007F2DB8" w:rsidRDefault="007F2DB8" w:rsidP="007F2DB8">
            <w:pPr>
              <w:jc w:val="both"/>
              <w:rPr>
                <w:sz w:val="20"/>
                <w:lang w:val="fr-CA"/>
              </w:rPr>
            </w:pPr>
            <w:r w:rsidRPr="007F2DB8">
              <w:rPr>
                <w:sz w:val="20"/>
                <w:lang w:val="fr-CA"/>
              </w:rPr>
              <w:t xml:space="preserve">Dans </w:t>
            </w:r>
            <w:r w:rsidRPr="007F2DB8">
              <w:rPr>
                <w:i/>
                <w:sz w:val="20"/>
                <w:lang w:val="fr-CA"/>
              </w:rPr>
              <w:t>Allard et al. c. Canada</w:t>
            </w:r>
            <w:r w:rsidRPr="007F2DB8">
              <w:rPr>
                <w:sz w:val="20"/>
                <w:lang w:val="fr-CA"/>
              </w:rPr>
              <w:t xml:space="preserve">, 2014 FC 1260, jugement accueillant en partie la requête des demandeurs en première instance en injonction interlocutoire ou en exemption constitutionnelle interlocutoire à l’égard des dispositions du </w:t>
            </w:r>
            <w:r w:rsidRPr="007F2DB8">
              <w:rPr>
                <w:i/>
                <w:sz w:val="20"/>
                <w:lang w:val="fr-CA"/>
              </w:rPr>
              <w:t>Règlement sur la marihuana à des fins médicales</w:t>
            </w:r>
            <w:r w:rsidRPr="007F2DB8">
              <w:rPr>
                <w:sz w:val="20"/>
                <w:lang w:val="fr-CA"/>
              </w:rPr>
              <w:t xml:space="preserve">, DORS/2013-119 </w:t>
            </w:r>
          </w:p>
          <w:p w:rsidR="007F2DB8" w:rsidRPr="007F2DB8" w:rsidRDefault="007F2DB8" w:rsidP="007F2DB8">
            <w:pPr>
              <w:jc w:val="both"/>
              <w:rPr>
                <w:sz w:val="20"/>
                <w:lang w:val="fr-CA"/>
              </w:rPr>
            </w:pPr>
          </w:p>
        </w:tc>
      </w:tr>
      <w:tr w:rsidR="007F2DB8" w:rsidRPr="00A96461" w:rsidTr="007F2DB8">
        <w:tc>
          <w:tcPr>
            <w:tcW w:w="2427" w:type="pct"/>
            <w:gridSpan w:val="2"/>
          </w:tcPr>
          <w:p w:rsidR="007F2DB8" w:rsidRPr="007F2DB8" w:rsidRDefault="007F2DB8" w:rsidP="007F2DB8">
            <w:pPr>
              <w:jc w:val="both"/>
              <w:rPr>
                <w:sz w:val="20"/>
                <w:lang w:val="fr-CA"/>
              </w:rPr>
            </w:pPr>
            <w:r w:rsidRPr="007F2DB8">
              <w:rPr>
                <w:sz w:val="20"/>
                <w:lang w:val="fr-CA"/>
              </w:rPr>
              <w:t>14 avril 2015</w:t>
            </w:r>
          </w:p>
          <w:p w:rsidR="007F2DB8" w:rsidRPr="007F2DB8" w:rsidRDefault="007F2DB8" w:rsidP="007F2DB8">
            <w:pPr>
              <w:jc w:val="both"/>
              <w:rPr>
                <w:sz w:val="20"/>
                <w:lang w:val="fr-CA"/>
              </w:rPr>
            </w:pPr>
            <w:r w:rsidRPr="007F2DB8">
              <w:rPr>
                <w:sz w:val="20"/>
                <w:lang w:val="fr-CA"/>
              </w:rPr>
              <w:t>Cour d’appel fédérale</w:t>
            </w:r>
          </w:p>
          <w:p w:rsidR="007F2DB8" w:rsidRPr="007F2DB8" w:rsidRDefault="007F2DB8" w:rsidP="007F2DB8">
            <w:pPr>
              <w:jc w:val="both"/>
              <w:rPr>
                <w:sz w:val="20"/>
                <w:lang w:val="fr-CA"/>
              </w:rPr>
            </w:pPr>
            <w:r w:rsidRPr="007F2DB8">
              <w:rPr>
                <w:sz w:val="20"/>
                <w:lang w:val="fr-CA"/>
              </w:rPr>
              <w:t>(Juge Dawson)</w:t>
            </w:r>
          </w:p>
          <w:p w:rsidR="007F2DB8" w:rsidRPr="007F2DB8" w:rsidRDefault="007F2DB8" w:rsidP="007F2DB8">
            <w:pPr>
              <w:jc w:val="both"/>
              <w:rPr>
                <w:sz w:val="20"/>
                <w:lang w:val="fr-CA"/>
              </w:rPr>
            </w:pPr>
            <w:r w:rsidRPr="007F2DB8">
              <w:rPr>
                <w:sz w:val="20"/>
                <w:lang w:val="fr-CA"/>
              </w:rPr>
              <w:t>Non publié</w:t>
            </w:r>
          </w:p>
        </w:tc>
        <w:tc>
          <w:tcPr>
            <w:tcW w:w="243" w:type="pct"/>
          </w:tcPr>
          <w:p w:rsidR="007F2DB8" w:rsidRPr="007F2DB8" w:rsidRDefault="007F2DB8" w:rsidP="007F2DB8">
            <w:pPr>
              <w:jc w:val="both"/>
              <w:rPr>
                <w:sz w:val="20"/>
                <w:lang w:val="fr-CA"/>
              </w:rPr>
            </w:pPr>
          </w:p>
        </w:tc>
        <w:tc>
          <w:tcPr>
            <w:tcW w:w="2330" w:type="pct"/>
          </w:tcPr>
          <w:p w:rsidR="007F2DB8" w:rsidRPr="007F2DB8" w:rsidRDefault="007F2DB8" w:rsidP="007F2DB8">
            <w:pPr>
              <w:jc w:val="both"/>
              <w:rPr>
                <w:sz w:val="20"/>
                <w:lang w:val="fr-CA"/>
              </w:rPr>
            </w:pPr>
            <w:r w:rsidRPr="007F2DB8">
              <w:rPr>
                <w:sz w:val="20"/>
                <w:lang w:val="fr-CA"/>
              </w:rPr>
              <w:t xml:space="preserve">Rejet de la requête de la demanderesse en prorogation du délai en vue de déposer un avis d’appel dans l’action </w:t>
            </w:r>
            <w:r w:rsidRPr="007F2DB8">
              <w:rPr>
                <w:i/>
                <w:sz w:val="20"/>
                <w:lang w:val="fr-CA"/>
              </w:rPr>
              <w:t>Allard</w:t>
            </w:r>
            <w:r w:rsidRPr="007F2DB8">
              <w:rPr>
                <w:sz w:val="20"/>
                <w:lang w:val="fr-CA"/>
              </w:rPr>
              <w:t xml:space="preserve"> et en vue d’obtenir une ordonnance provisoire maintenant les droits conférés par le permis</w:t>
            </w:r>
          </w:p>
          <w:p w:rsidR="007F2DB8" w:rsidRPr="007F2DB8" w:rsidRDefault="007F2DB8" w:rsidP="007F2DB8">
            <w:pPr>
              <w:jc w:val="both"/>
              <w:rPr>
                <w:sz w:val="20"/>
                <w:lang w:val="fr-CA"/>
              </w:rPr>
            </w:pPr>
          </w:p>
        </w:tc>
      </w:tr>
      <w:tr w:rsidR="007F2DB8" w:rsidRPr="00F9562A" w:rsidTr="007F2DB8">
        <w:tc>
          <w:tcPr>
            <w:tcW w:w="2427" w:type="pct"/>
            <w:gridSpan w:val="2"/>
          </w:tcPr>
          <w:p w:rsidR="007F2DB8" w:rsidRPr="007F2DB8" w:rsidRDefault="007F2DB8" w:rsidP="007F2DB8">
            <w:pPr>
              <w:jc w:val="both"/>
              <w:rPr>
                <w:sz w:val="20"/>
                <w:lang w:val="fr-CA"/>
              </w:rPr>
            </w:pPr>
            <w:r w:rsidRPr="007F2DB8">
              <w:rPr>
                <w:sz w:val="20"/>
                <w:lang w:val="fr-CA"/>
              </w:rPr>
              <w:t>29 juin 2015</w:t>
            </w:r>
          </w:p>
          <w:p w:rsidR="007F2DB8" w:rsidRPr="007F2DB8" w:rsidRDefault="007F2DB8" w:rsidP="007F2DB8">
            <w:pPr>
              <w:jc w:val="both"/>
              <w:rPr>
                <w:sz w:val="20"/>
                <w:lang w:val="fr-CA"/>
              </w:rPr>
            </w:pPr>
            <w:r w:rsidRPr="007F2DB8">
              <w:rPr>
                <w:sz w:val="20"/>
                <w:lang w:val="fr-CA"/>
              </w:rPr>
              <w:t>Cour suprême du Canada</w:t>
            </w:r>
          </w:p>
          <w:p w:rsidR="007F2DB8" w:rsidRPr="007F2DB8" w:rsidRDefault="007F2DB8" w:rsidP="007F2DB8">
            <w:pPr>
              <w:jc w:val="both"/>
              <w:rPr>
                <w:sz w:val="20"/>
                <w:lang w:val="fr-CA"/>
              </w:rPr>
            </w:pPr>
          </w:p>
        </w:tc>
        <w:tc>
          <w:tcPr>
            <w:tcW w:w="243" w:type="pct"/>
          </w:tcPr>
          <w:p w:rsidR="007F2DB8" w:rsidRPr="007F2DB8" w:rsidRDefault="007F2DB8" w:rsidP="007F2DB8">
            <w:pPr>
              <w:jc w:val="both"/>
              <w:rPr>
                <w:sz w:val="20"/>
                <w:lang w:val="fr-CA"/>
              </w:rPr>
            </w:pPr>
          </w:p>
        </w:tc>
        <w:tc>
          <w:tcPr>
            <w:tcW w:w="2330" w:type="pct"/>
          </w:tcPr>
          <w:p w:rsidR="007F2DB8" w:rsidRPr="007F2DB8" w:rsidRDefault="007F2DB8" w:rsidP="007F2DB8">
            <w:pPr>
              <w:jc w:val="both"/>
              <w:rPr>
                <w:sz w:val="20"/>
                <w:lang w:val="fr-CA"/>
              </w:rPr>
            </w:pPr>
            <w:r w:rsidRPr="007F2DB8">
              <w:rPr>
                <w:sz w:val="20"/>
                <w:lang w:val="fr-CA"/>
              </w:rPr>
              <w:t>Dépôt de la requête en prorogation du délai de signification et de dépôt de la demande d’autorisation d’appel et de la demande d’autorisation d’appel</w:t>
            </w:r>
          </w:p>
        </w:tc>
      </w:tr>
    </w:tbl>
    <w:p w:rsidR="007F2DB8" w:rsidRDefault="007F2DB8" w:rsidP="007F2DB8">
      <w:pPr>
        <w:jc w:val="both"/>
        <w:rPr>
          <w:sz w:val="20"/>
          <w:lang w:val="fr-CA"/>
        </w:rPr>
      </w:pPr>
    </w:p>
    <w:p w:rsidR="007F2DB8" w:rsidRPr="007F2DB8" w:rsidRDefault="007F2DB8" w:rsidP="007F2DB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91"/>
        <w:gridCol w:w="452"/>
        <w:gridCol w:w="4320"/>
      </w:tblGrid>
      <w:tr w:rsidR="007F2DB8" w:rsidRPr="007F2DB8" w:rsidTr="007F2DB8">
        <w:tc>
          <w:tcPr>
            <w:tcW w:w="543" w:type="pct"/>
          </w:tcPr>
          <w:p w:rsidR="007F2DB8" w:rsidRPr="007F2DB8" w:rsidRDefault="007F2DB8" w:rsidP="007F2DB8">
            <w:pPr>
              <w:jc w:val="both"/>
              <w:rPr>
                <w:sz w:val="20"/>
              </w:rPr>
            </w:pPr>
            <w:r w:rsidRPr="007F2DB8">
              <w:rPr>
                <w:rStyle w:val="SCCFileNumberChar"/>
                <w:sz w:val="20"/>
                <w:szCs w:val="20"/>
              </w:rPr>
              <w:t>36525</w:t>
            </w:r>
          </w:p>
        </w:tc>
        <w:tc>
          <w:tcPr>
            <w:tcW w:w="4457" w:type="pct"/>
            <w:gridSpan w:val="3"/>
          </w:tcPr>
          <w:p w:rsidR="007F2DB8" w:rsidRPr="007F2DB8" w:rsidRDefault="007F2DB8" w:rsidP="007F2DB8">
            <w:pPr>
              <w:pStyle w:val="SCCLsocParty"/>
              <w:jc w:val="both"/>
              <w:rPr>
                <w:b/>
                <w:sz w:val="20"/>
                <w:szCs w:val="20"/>
                <w:lang w:val="en-US"/>
              </w:rPr>
            </w:pPr>
            <w:r w:rsidRPr="007F2DB8">
              <w:rPr>
                <w:b/>
                <w:sz w:val="20"/>
                <w:szCs w:val="20"/>
                <w:lang w:val="en-US"/>
              </w:rPr>
              <w:t>Michael Joseph Wilson v. Her Majesty the Queen</w:t>
            </w:r>
          </w:p>
          <w:p w:rsidR="007F2DB8" w:rsidRPr="007F2DB8" w:rsidRDefault="007F2DB8" w:rsidP="007F2DB8">
            <w:pPr>
              <w:jc w:val="both"/>
              <w:rPr>
                <w:sz w:val="20"/>
              </w:rPr>
            </w:pPr>
            <w:r w:rsidRPr="007F2DB8">
              <w:rPr>
                <w:sz w:val="20"/>
              </w:rPr>
              <w:lastRenderedPageBreak/>
              <w:t>(B.C.) (Criminal) (By Leave)</w:t>
            </w:r>
          </w:p>
        </w:tc>
      </w:tr>
      <w:tr w:rsidR="007F2DB8" w:rsidRPr="007F2DB8" w:rsidTr="007F2DB8">
        <w:tc>
          <w:tcPr>
            <w:tcW w:w="5000" w:type="pct"/>
            <w:gridSpan w:val="4"/>
          </w:tcPr>
          <w:p w:rsidR="007F2DB8" w:rsidRPr="007F2DB8" w:rsidRDefault="007F2DB8" w:rsidP="007F2DB8">
            <w:pPr>
              <w:pStyle w:val="SCCBanSummary"/>
              <w:rPr>
                <w:sz w:val="20"/>
                <w:szCs w:val="20"/>
              </w:rPr>
            </w:pPr>
            <w:r w:rsidRPr="007F2DB8">
              <w:rPr>
                <w:sz w:val="20"/>
                <w:szCs w:val="20"/>
              </w:rPr>
              <w:lastRenderedPageBreak/>
              <w:t>(Publication ban in case)</w:t>
            </w:r>
          </w:p>
          <w:p w:rsidR="007F2DB8" w:rsidRPr="007F2DB8" w:rsidRDefault="007F2DB8" w:rsidP="007F2DB8">
            <w:pPr>
              <w:jc w:val="both"/>
              <w:rPr>
                <w:sz w:val="20"/>
              </w:rPr>
            </w:pPr>
          </w:p>
          <w:p w:rsidR="007F2DB8" w:rsidRPr="007F2DB8" w:rsidRDefault="007F2DB8" w:rsidP="007F2DB8">
            <w:pPr>
              <w:jc w:val="both"/>
              <w:rPr>
                <w:sz w:val="20"/>
              </w:rPr>
            </w:pPr>
            <w:r w:rsidRPr="007F2DB8">
              <w:rPr>
                <w:sz w:val="20"/>
              </w:rPr>
              <w:t>Appeal – Extension of time – Criminal Law – Evidence – Mr. Big Operation – Whether test for extension of time to appeal based on a change in law should be clarified in order to ensure that wrongful convictions are corrected – Whether there is inconsistent jurisprudence on the definition of confirmatory evidence in the Mr. Big context – What constitutes confirmatory evidence?</w:t>
            </w:r>
          </w:p>
        </w:tc>
      </w:tr>
      <w:tr w:rsidR="007F2DB8" w:rsidRPr="007F2DB8" w:rsidTr="007F2DB8">
        <w:tc>
          <w:tcPr>
            <w:tcW w:w="5000" w:type="pct"/>
            <w:gridSpan w:val="4"/>
          </w:tcPr>
          <w:p w:rsidR="007F2DB8" w:rsidRPr="007F2DB8" w:rsidRDefault="007F2DB8" w:rsidP="007F2DB8">
            <w:pPr>
              <w:jc w:val="both"/>
              <w:rPr>
                <w:sz w:val="20"/>
              </w:rPr>
            </w:pPr>
          </w:p>
        </w:tc>
      </w:tr>
      <w:tr w:rsidR="007F2DB8" w:rsidRPr="007F2DB8" w:rsidTr="007F2DB8">
        <w:tc>
          <w:tcPr>
            <w:tcW w:w="5000" w:type="pct"/>
            <w:gridSpan w:val="4"/>
          </w:tcPr>
          <w:p w:rsidR="007F2DB8" w:rsidRPr="007F2DB8" w:rsidRDefault="007F2DB8" w:rsidP="007F2DB8">
            <w:pPr>
              <w:jc w:val="both"/>
              <w:rPr>
                <w:sz w:val="20"/>
              </w:rPr>
            </w:pPr>
            <w:r w:rsidRPr="007F2DB8">
              <w:rPr>
                <w:sz w:val="20"/>
              </w:rPr>
              <w:t xml:space="preserve">Mr. Wilson was charged with two counts of first degree murder. The Crown’s case relied in part on incriminating statements made by Mr. Wilson during a Mr. Big operation. At trial, Mr. Wilson testified that the Mr. Big statements were lies and his uncle shot the victims without his assistance or encouragement. Mr. Wilson was convicted by Martinson J., in part based on the Mr. Big evidence. On July 31, 2014, the Court released judgment addressing Mr. Big statements in </w:t>
            </w:r>
            <w:r w:rsidRPr="007F2DB8">
              <w:rPr>
                <w:i/>
                <w:iCs/>
                <w:sz w:val="20"/>
              </w:rPr>
              <w:t>R. v. Hart</w:t>
            </w:r>
            <w:r w:rsidRPr="007F2DB8">
              <w:rPr>
                <w:sz w:val="20"/>
              </w:rPr>
              <w:t xml:space="preserve">, 2014 SCC 52. On December 3, 2014, Mr. Wilson sought leave to appeal his convictions, relying in part on the analysis in </w:t>
            </w:r>
            <w:r w:rsidRPr="007F2DB8">
              <w:rPr>
                <w:i/>
                <w:sz w:val="20"/>
              </w:rPr>
              <w:t xml:space="preserve">Hart </w:t>
            </w:r>
            <w:r w:rsidRPr="007F2DB8">
              <w:rPr>
                <w:sz w:val="20"/>
              </w:rPr>
              <w:t>to argue that</w:t>
            </w:r>
            <w:r w:rsidRPr="007F2DB8">
              <w:rPr>
                <w:i/>
                <w:sz w:val="20"/>
              </w:rPr>
              <w:t xml:space="preserve"> </w:t>
            </w:r>
            <w:r w:rsidRPr="007F2DB8">
              <w:rPr>
                <w:sz w:val="20"/>
              </w:rPr>
              <w:t>his Mr. Big statements should have been excluded from evidence. Saunders J.A. denied an extension of time to appeal.</w:t>
            </w:r>
          </w:p>
          <w:p w:rsidR="007F2DB8" w:rsidRPr="007F2DB8" w:rsidRDefault="007F2DB8" w:rsidP="007F2DB8">
            <w:pPr>
              <w:jc w:val="both"/>
              <w:rPr>
                <w:sz w:val="20"/>
              </w:rPr>
            </w:pPr>
          </w:p>
        </w:tc>
      </w:tr>
      <w:tr w:rsidR="007F2DB8" w:rsidRPr="007F2DB8" w:rsidTr="007F2DB8">
        <w:tc>
          <w:tcPr>
            <w:tcW w:w="2426" w:type="pct"/>
            <w:gridSpan w:val="2"/>
          </w:tcPr>
          <w:p w:rsidR="007F2DB8" w:rsidRPr="007F2DB8" w:rsidRDefault="007F2DB8" w:rsidP="007F2DB8">
            <w:pPr>
              <w:jc w:val="both"/>
              <w:rPr>
                <w:sz w:val="20"/>
              </w:rPr>
            </w:pPr>
            <w:r w:rsidRPr="007F2DB8">
              <w:rPr>
                <w:sz w:val="20"/>
              </w:rPr>
              <w:t>June 18, 2007</w:t>
            </w:r>
          </w:p>
          <w:p w:rsidR="007F2DB8" w:rsidRPr="007F2DB8" w:rsidRDefault="007F2DB8" w:rsidP="007F2DB8">
            <w:pPr>
              <w:jc w:val="both"/>
              <w:rPr>
                <w:sz w:val="20"/>
              </w:rPr>
            </w:pPr>
            <w:r w:rsidRPr="007F2DB8">
              <w:rPr>
                <w:sz w:val="20"/>
              </w:rPr>
              <w:t>Supreme Court of British Columbia</w:t>
            </w:r>
          </w:p>
          <w:p w:rsidR="007F2DB8" w:rsidRPr="007F2DB8" w:rsidRDefault="007F2DB8" w:rsidP="007F2DB8">
            <w:pPr>
              <w:jc w:val="both"/>
              <w:rPr>
                <w:sz w:val="20"/>
              </w:rPr>
            </w:pPr>
            <w:r w:rsidRPr="007F2DB8">
              <w:rPr>
                <w:sz w:val="20"/>
              </w:rPr>
              <w:t>(Martinson J.)</w:t>
            </w:r>
          </w:p>
          <w:p w:rsidR="007F2DB8" w:rsidRPr="007F2DB8" w:rsidRDefault="00A96461" w:rsidP="007F2DB8">
            <w:pPr>
              <w:jc w:val="both"/>
              <w:rPr>
                <w:sz w:val="20"/>
              </w:rPr>
            </w:pPr>
            <w:hyperlink r:id="rId34" w:history="1">
              <w:r w:rsidR="007F2DB8" w:rsidRPr="007F2DB8">
                <w:rPr>
                  <w:rStyle w:val="Hyperlink"/>
                  <w:sz w:val="20"/>
                </w:rPr>
                <w:t>2007 BCSC 1940</w:t>
              </w:r>
            </w:hyperlink>
          </w:p>
          <w:p w:rsidR="007F2DB8" w:rsidRPr="007F2DB8" w:rsidRDefault="007F2DB8" w:rsidP="007F2DB8">
            <w:pPr>
              <w:jc w:val="both"/>
              <w:rPr>
                <w:sz w:val="20"/>
              </w:rPr>
            </w:pPr>
          </w:p>
        </w:tc>
        <w:tc>
          <w:tcPr>
            <w:tcW w:w="244"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Convictions on two counts of first degree murder</w:t>
            </w:r>
          </w:p>
          <w:p w:rsidR="007F2DB8" w:rsidRPr="007F2DB8" w:rsidRDefault="007F2DB8" w:rsidP="007F2DB8">
            <w:pPr>
              <w:jc w:val="both"/>
              <w:rPr>
                <w:sz w:val="20"/>
              </w:rPr>
            </w:pPr>
          </w:p>
        </w:tc>
      </w:tr>
      <w:tr w:rsidR="007F2DB8" w:rsidRPr="007F2DB8" w:rsidTr="007F2DB8">
        <w:tc>
          <w:tcPr>
            <w:tcW w:w="2426" w:type="pct"/>
            <w:gridSpan w:val="2"/>
          </w:tcPr>
          <w:p w:rsidR="007F2DB8" w:rsidRPr="007F2DB8" w:rsidRDefault="007F2DB8" w:rsidP="007F2DB8">
            <w:pPr>
              <w:jc w:val="both"/>
              <w:rPr>
                <w:sz w:val="20"/>
              </w:rPr>
            </w:pPr>
            <w:r w:rsidRPr="007F2DB8">
              <w:rPr>
                <w:sz w:val="20"/>
              </w:rPr>
              <w:t>May 6, 2015</w:t>
            </w:r>
          </w:p>
          <w:p w:rsidR="007F2DB8" w:rsidRPr="007F2DB8" w:rsidRDefault="007F2DB8" w:rsidP="007F2DB8">
            <w:pPr>
              <w:jc w:val="both"/>
              <w:rPr>
                <w:sz w:val="20"/>
              </w:rPr>
            </w:pPr>
            <w:r w:rsidRPr="007F2DB8">
              <w:rPr>
                <w:sz w:val="20"/>
              </w:rPr>
              <w:t xml:space="preserve">Court of Appeal for British Columbia </w:t>
            </w:r>
          </w:p>
          <w:p w:rsidR="007F2DB8" w:rsidRPr="007F2DB8" w:rsidRDefault="007F2DB8" w:rsidP="007F2DB8">
            <w:pPr>
              <w:jc w:val="both"/>
              <w:rPr>
                <w:sz w:val="20"/>
              </w:rPr>
            </w:pPr>
            <w:r w:rsidRPr="007F2DB8">
              <w:rPr>
                <w:sz w:val="20"/>
              </w:rPr>
              <w:t>(Vancouver)</w:t>
            </w:r>
          </w:p>
          <w:p w:rsidR="007F2DB8" w:rsidRPr="007F2DB8" w:rsidRDefault="007F2DB8" w:rsidP="007F2DB8">
            <w:pPr>
              <w:jc w:val="both"/>
              <w:rPr>
                <w:sz w:val="20"/>
              </w:rPr>
            </w:pPr>
            <w:r w:rsidRPr="007F2DB8">
              <w:rPr>
                <w:sz w:val="20"/>
              </w:rPr>
              <w:t>(Saunders J.A.)</w:t>
            </w:r>
          </w:p>
          <w:p w:rsidR="007F2DB8" w:rsidRPr="007F2DB8" w:rsidRDefault="007F2DB8" w:rsidP="007F2DB8">
            <w:pPr>
              <w:jc w:val="both"/>
              <w:rPr>
                <w:sz w:val="20"/>
              </w:rPr>
            </w:pPr>
            <w:r w:rsidRPr="007F2DB8">
              <w:rPr>
                <w:sz w:val="20"/>
              </w:rPr>
              <w:t xml:space="preserve">CA42397; </w:t>
            </w:r>
            <w:hyperlink r:id="rId35" w:history="1">
              <w:r w:rsidRPr="007F2DB8">
                <w:rPr>
                  <w:rStyle w:val="Hyperlink"/>
                  <w:sz w:val="20"/>
                </w:rPr>
                <w:t>2015 BCCA 270</w:t>
              </w:r>
            </w:hyperlink>
          </w:p>
          <w:p w:rsidR="007F2DB8" w:rsidRPr="007F2DB8" w:rsidRDefault="007F2DB8" w:rsidP="007F2DB8">
            <w:pPr>
              <w:jc w:val="both"/>
              <w:rPr>
                <w:sz w:val="20"/>
              </w:rPr>
            </w:pPr>
          </w:p>
        </w:tc>
        <w:tc>
          <w:tcPr>
            <w:tcW w:w="244"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Application for extension of time to appeal dismissed</w:t>
            </w:r>
          </w:p>
          <w:p w:rsidR="007F2DB8" w:rsidRPr="007F2DB8" w:rsidRDefault="007F2DB8" w:rsidP="007F2DB8">
            <w:pPr>
              <w:jc w:val="both"/>
              <w:rPr>
                <w:sz w:val="20"/>
              </w:rPr>
            </w:pPr>
          </w:p>
        </w:tc>
      </w:tr>
      <w:tr w:rsidR="007F2DB8" w:rsidRPr="007F2DB8" w:rsidTr="007F2DB8">
        <w:tc>
          <w:tcPr>
            <w:tcW w:w="2426" w:type="pct"/>
            <w:gridSpan w:val="2"/>
          </w:tcPr>
          <w:p w:rsidR="007F2DB8" w:rsidRPr="007F2DB8" w:rsidRDefault="007F2DB8" w:rsidP="007F2DB8">
            <w:pPr>
              <w:jc w:val="both"/>
              <w:rPr>
                <w:sz w:val="20"/>
              </w:rPr>
            </w:pPr>
            <w:r w:rsidRPr="007F2DB8">
              <w:rPr>
                <w:sz w:val="20"/>
              </w:rPr>
              <w:t>July 23, 2015</w:t>
            </w:r>
          </w:p>
          <w:p w:rsidR="007F2DB8" w:rsidRPr="007F2DB8" w:rsidRDefault="007F2DB8" w:rsidP="007F2DB8">
            <w:pPr>
              <w:jc w:val="both"/>
              <w:rPr>
                <w:sz w:val="20"/>
              </w:rPr>
            </w:pPr>
            <w:r w:rsidRPr="007F2DB8">
              <w:rPr>
                <w:sz w:val="20"/>
              </w:rPr>
              <w:t>Supreme Court of Canada</w:t>
            </w:r>
          </w:p>
        </w:tc>
        <w:tc>
          <w:tcPr>
            <w:tcW w:w="244"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Application for leave to appeal filed</w:t>
            </w:r>
          </w:p>
          <w:p w:rsidR="007F2DB8" w:rsidRPr="007F2DB8" w:rsidRDefault="007F2DB8" w:rsidP="007F2DB8">
            <w:pPr>
              <w:jc w:val="both"/>
              <w:rPr>
                <w:sz w:val="20"/>
              </w:rPr>
            </w:pPr>
          </w:p>
        </w:tc>
      </w:tr>
    </w:tbl>
    <w:p w:rsidR="007F2DB8" w:rsidRDefault="007F2DB8" w:rsidP="007F2DB8">
      <w:pPr>
        <w:jc w:val="both"/>
        <w:rPr>
          <w:sz w:val="20"/>
        </w:rPr>
      </w:pPr>
    </w:p>
    <w:p w:rsidR="007F2DB8" w:rsidRPr="007F2DB8" w:rsidRDefault="007F2DB8" w:rsidP="007F2D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91"/>
        <w:gridCol w:w="452"/>
        <w:gridCol w:w="4320"/>
      </w:tblGrid>
      <w:tr w:rsidR="007F2DB8" w:rsidRPr="00F9562A" w:rsidTr="007F2DB8">
        <w:tc>
          <w:tcPr>
            <w:tcW w:w="543" w:type="pct"/>
          </w:tcPr>
          <w:p w:rsidR="007F2DB8" w:rsidRPr="007F2DB8" w:rsidRDefault="007F2DB8" w:rsidP="007F2DB8">
            <w:pPr>
              <w:jc w:val="both"/>
              <w:rPr>
                <w:sz w:val="20"/>
                <w:lang w:val="fr-CA"/>
              </w:rPr>
            </w:pPr>
            <w:r w:rsidRPr="007F2DB8">
              <w:rPr>
                <w:rStyle w:val="SCCFileNumberChar"/>
                <w:sz w:val="20"/>
                <w:szCs w:val="20"/>
                <w:lang w:val="fr-CA"/>
              </w:rPr>
              <w:t>36525</w:t>
            </w:r>
          </w:p>
        </w:tc>
        <w:tc>
          <w:tcPr>
            <w:tcW w:w="4457" w:type="pct"/>
            <w:gridSpan w:val="3"/>
          </w:tcPr>
          <w:p w:rsidR="007F2DB8" w:rsidRPr="007F2DB8" w:rsidRDefault="007F2DB8" w:rsidP="007F2DB8">
            <w:pPr>
              <w:pStyle w:val="SCCLsocParty"/>
              <w:jc w:val="both"/>
              <w:rPr>
                <w:b/>
                <w:sz w:val="20"/>
                <w:szCs w:val="20"/>
              </w:rPr>
            </w:pPr>
            <w:r w:rsidRPr="007F2DB8">
              <w:rPr>
                <w:b/>
                <w:sz w:val="20"/>
                <w:szCs w:val="20"/>
              </w:rPr>
              <w:t>Michael Joseph Wilson c. Sa Majesté la Reine</w:t>
            </w:r>
          </w:p>
          <w:p w:rsidR="007F2DB8" w:rsidRPr="007F2DB8" w:rsidRDefault="007F2DB8" w:rsidP="007F2DB8">
            <w:pPr>
              <w:jc w:val="both"/>
              <w:rPr>
                <w:sz w:val="20"/>
                <w:lang w:val="fr-CA"/>
              </w:rPr>
            </w:pPr>
            <w:r w:rsidRPr="007F2DB8">
              <w:rPr>
                <w:sz w:val="20"/>
                <w:lang w:val="fr-CA"/>
              </w:rPr>
              <w:t>(C.-B.) (Criminelle) (Sur autorisation)</w:t>
            </w:r>
          </w:p>
        </w:tc>
      </w:tr>
      <w:tr w:rsidR="007F2DB8" w:rsidRPr="00F9562A" w:rsidTr="007F2DB8">
        <w:tc>
          <w:tcPr>
            <w:tcW w:w="5000" w:type="pct"/>
            <w:gridSpan w:val="4"/>
          </w:tcPr>
          <w:p w:rsidR="007F2DB8" w:rsidRPr="007F2DB8" w:rsidRDefault="007F2DB8" w:rsidP="007F2DB8">
            <w:pPr>
              <w:pStyle w:val="SCCBanSummary"/>
              <w:rPr>
                <w:sz w:val="20"/>
                <w:szCs w:val="20"/>
                <w:lang w:val="fr-CA"/>
              </w:rPr>
            </w:pPr>
            <w:r w:rsidRPr="007F2DB8">
              <w:rPr>
                <w:sz w:val="20"/>
                <w:szCs w:val="20"/>
                <w:lang w:val="fr-CA"/>
              </w:rPr>
              <w:t>(Ordonnance de non-publication dans le dossier)</w:t>
            </w:r>
          </w:p>
          <w:p w:rsidR="007F2DB8" w:rsidRPr="007F2DB8" w:rsidRDefault="007F2DB8" w:rsidP="007F2DB8">
            <w:pPr>
              <w:jc w:val="both"/>
              <w:rPr>
                <w:sz w:val="20"/>
                <w:lang w:val="fr-CA"/>
              </w:rPr>
            </w:pPr>
          </w:p>
          <w:p w:rsidR="007F2DB8" w:rsidRPr="007F2DB8" w:rsidRDefault="007F2DB8" w:rsidP="007F2DB8">
            <w:pPr>
              <w:jc w:val="both"/>
              <w:rPr>
                <w:sz w:val="20"/>
                <w:lang w:val="fr-CA"/>
              </w:rPr>
            </w:pPr>
            <w:r w:rsidRPr="007F2DB8">
              <w:rPr>
                <w:sz w:val="20"/>
                <w:lang w:val="fr-CA"/>
              </w:rPr>
              <w:t>Appel – Prorogation de délai – Droit criminel – Preuve – Opération Monsieur Big – Y a-t-il lieu de clarifier le critère relatif à la prorogation du délai d’appel fondé sur un changement du droit afin d’assurer la correction de déclarations de culpabilité injustifiées? – La jurisprudence est-elle discordante en ce qui concerne la définition de la preuve de corroboration dans le contexte d’une opération Monsieur Big? – En quoi consiste une preuve de corroboration?</w:t>
            </w:r>
          </w:p>
        </w:tc>
      </w:tr>
      <w:tr w:rsidR="007F2DB8" w:rsidRPr="00F9562A" w:rsidTr="007F2DB8">
        <w:tc>
          <w:tcPr>
            <w:tcW w:w="5000" w:type="pct"/>
            <w:gridSpan w:val="4"/>
          </w:tcPr>
          <w:p w:rsidR="007F2DB8" w:rsidRPr="007F2DB8" w:rsidRDefault="007F2DB8" w:rsidP="007F2DB8">
            <w:pPr>
              <w:jc w:val="both"/>
              <w:rPr>
                <w:sz w:val="20"/>
                <w:lang w:val="fr-CA"/>
              </w:rPr>
            </w:pPr>
          </w:p>
        </w:tc>
      </w:tr>
      <w:tr w:rsidR="007F2DB8" w:rsidRPr="00F9562A" w:rsidTr="007F2DB8">
        <w:tc>
          <w:tcPr>
            <w:tcW w:w="5000" w:type="pct"/>
            <w:gridSpan w:val="4"/>
          </w:tcPr>
          <w:p w:rsidR="007F2DB8" w:rsidRPr="007F2DB8" w:rsidRDefault="007F2DB8" w:rsidP="007F2DB8">
            <w:pPr>
              <w:jc w:val="both"/>
              <w:rPr>
                <w:sz w:val="20"/>
                <w:lang w:val="fr-CA"/>
              </w:rPr>
            </w:pPr>
            <w:r w:rsidRPr="007F2DB8">
              <w:rPr>
                <w:sz w:val="20"/>
                <w:lang w:val="fr-CA"/>
              </w:rPr>
              <w:lastRenderedPageBreak/>
              <w:t xml:space="preserve">Monsieur Wilson a été déclaré coupable sous deux chefs de meurtre au premier degré. La preuve du ministère public s’appuyait en partie sur des déclarations incriminantes faites par M. Wilson pendant une opération Monsieur Big. Dans son témoignage au procès, M. Wilson a affirmé que les déclarations faites pendant l’opération Monsieur Big étaient des mensonges  et que son oncle avait abattu les victimes sans son aide ou son encouragement. La juge Martinson a déclaré M. Wilson coupable, s’appuyant en partie sur la preuve obtenue grâce à l’opération Monsieur Big. Le 31 juillet 2014, notre Cour a publié son arrêt portant sur les déclarations obtenues grâce à la technique Monsieur Big dans </w:t>
            </w:r>
            <w:r w:rsidRPr="007F2DB8">
              <w:rPr>
                <w:i/>
                <w:iCs/>
                <w:sz w:val="20"/>
                <w:lang w:val="fr-CA"/>
              </w:rPr>
              <w:t>R. c. Hart</w:t>
            </w:r>
            <w:r w:rsidRPr="007F2DB8">
              <w:rPr>
                <w:sz w:val="20"/>
                <w:lang w:val="fr-CA"/>
              </w:rPr>
              <w:t xml:space="preserve">, 2014 CSC 52. Le 3 décembre 2014, M. Wilson a demandé l’autorisation d’appel des déclarations de culpabilité prononcées contre lui, s’appuyant en partie sur l’analyse faite dans </w:t>
            </w:r>
            <w:r w:rsidRPr="007F2DB8">
              <w:rPr>
                <w:i/>
                <w:sz w:val="20"/>
                <w:lang w:val="fr-CA"/>
              </w:rPr>
              <w:t xml:space="preserve">Hart </w:t>
            </w:r>
            <w:r w:rsidRPr="007F2DB8">
              <w:rPr>
                <w:sz w:val="20"/>
                <w:lang w:val="fr-CA"/>
              </w:rPr>
              <w:t>pour plaider que les déclarations qu’il avait faites dans le cadre de l’opération Monsieur Big auraient dû être exclues de la preuve. La juge Saunders a refusé la prorogation du délai d’appel.</w:t>
            </w:r>
          </w:p>
          <w:p w:rsidR="007F2DB8" w:rsidRPr="007F2DB8" w:rsidRDefault="007F2DB8" w:rsidP="007F2DB8">
            <w:pPr>
              <w:jc w:val="both"/>
              <w:rPr>
                <w:sz w:val="20"/>
                <w:lang w:val="fr-CA"/>
              </w:rPr>
            </w:pPr>
          </w:p>
        </w:tc>
      </w:tr>
      <w:tr w:rsidR="007F2DB8" w:rsidRPr="00F9562A" w:rsidTr="007F2DB8">
        <w:tc>
          <w:tcPr>
            <w:tcW w:w="2426" w:type="pct"/>
            <w:gridSpan w:val="2"/>
          </w:tcPr>
          <w:p w:rsidR="007F2DB8" w:rsidRPr="007F2DB8" w:rsidRDefault="007F2DB8" w:rsidP="007F2DB8">
            <w:pPr>
              <w:jc w:val="both"/>
              <w:rPr>
                <w:sz w:val="20"/>
                <w:lang w:val="fr-CA"/>
              </w:rPr>
            </w:pPr>
            <w:r w:rsidRPr="007F2DB8">
              <w:rPr>
                <w:sz w:val="20"/>
                <w:lang w:val="fr-CA"/>
              </w:rPr>
              <w:t>18 juin 2007</w:t>
            </w:r>
          </w:p>
          <w:p w:rsidR="007F2DB8" w:rsidRPr="007F2DB8" w:rsidRDefault="007F2DB8" w:rsidP="007F2DB8">
            <w:pPr>
              <w:jc w:val="both"/>
              <w:rPr>
                <w:sz w:val="20"/>
                <w:lang w:val="fr-CA"/>
              </w:rPr>
            </w:pPr>
            <w:r w:rsidRPr="007F2DB8">
              <w:rPr>
                <w:sz w:val="20"/>
                <w:lang w:val="fr-CA"/>
              </w:rPr>
              <w:t>Cour suprême de la Colombie-Britannique</w:t>
            </w:r>
          </w:p>
          <w:p w:rsidR="007F2DB8" w:rsidRPr="007F2DB8" w:rsidRDefault="007F2DB8" w:rsidP="007F2DB8">
            <w:pPr>
              <w:jc w:val="both"/>
              <w:rPr>
                <w:sz w:val="20"/>
                <w:lang w:val="fr-CA"/>
              </w:rPr>
            </w:pPr>
            <w:r w:rsidRPr="007F2DB8">
              <w:rPr>
                <w:sz w:val="20"/>
                <w:lang w:val="fr-CA"/>
              </w:rPr>
              <w:t>(Juge Martinson)</w:t>
            </w:r>
          </w:p>
          <w:p w:rsidR="007F2DB8" w:rsidRPr="007F2DB8" w:rsidRDefault="00A96461" w:rsidP="007F2DB8">
            <w:pPr>
              <w:jc w:val="both"/>
              <w:rPr>
                <w:sz w:val="20"/>
                <w:lang w:val="fr-CA"/>
              </w:rPr>
            </w:pPr>
            <w:hyperlink r:id="rId36" w:history="1">
              <w:r w:rsidR="007F2DB8" w:rsidRPr="007F2DB8">
                <w:rPr>
                  <w:rStyle w:val="Hyperlink"/>
                  <w:sz w:val="20"/>
                  <w:lang w:val="fr-CA"/>
                </w:rPr>
                <w:t>2007 BCSC 1940</w:t>
              </w:r>
            </w:hyperlink>
          </w:p>
          <w:p w:rsidR="007F2DB8" w:rsidRPr="007F2DB8" w:rsidRDefault="007F2DB8" w:rsidP="007F2DB8">
            <w:pPr>
              <w:jc w:val="both"/>
              <w:rPr>
                <w:sz w:val="20"/>
                <w:lang w:val="fr-CA"/>
              </w:rPr>
            </w:pPr>
          </w:p>
        </w:tc>
        <w:tc>
          <w:tcPr>
            <w:tcW w:w="244" w:type="pct"/>
          </w:tcPr>
          <w:p w:rsidR="007F2DB8" w:rsidRPr="007F2DB8" w:rsidRDefault="007F2DB8" w:rsidP="007F2DB8">
            <w:pPr>
              <w:jc w:val="both"/>
              <w:rPr>
                <w:sz w:val="20"/>
                <w:lang w:val="fr-CA"/>
              </w:rPr>
            </w:pPr>
          </w:p>
        </w:tc>
        <w:tc>
          <w:tcPr>
            <w:tcW w:w="2330" w:type="pct"/>
          </w:tcPr>
          <w:p w:rsidR="007F2DB8" w:rsidRPr="007F2DB8" w:rsidRDefault="007F2DB8" w:rsidP="007F2DB8">
            <w:pPr>
              <w:jc w:val="both"/>
              <w:rPr>
                <w:sz w:val="20"/>
                <w:lang w:val="fr-CA"/>
              </w:rPr>
            </w:pPr>
            <w:r w:rsidRPr="007F2DB8">
              <w:rPr>
                <w:sz w:val="20"/>
                <w:lang w:val="fr-CA"/>
              </w:rPr>
              <w:t>Déclarations de culpabilité sous deux chefs de meurtre au premier degré</w:t>
            </w:r>
          </w:p>
          <w:p w:rsidR="007F2DB8" w:rsidRPr="007F2DB8" w:rsidRDefault="007F2DB8" w:rsidP="007F2DB8">
            <w:pPr>
              <w:jc w:val="both"/>
              <w:rPr>
                <w:sz w:val="20"/>
                <w:lang w:val="fr-CA"/>
              </w:rPr>
            </w:pPr>
          </w:p>
        </w:tc>
      </w:tr>
      <w:tr w:rsidR="007F2DB8" w:rsidRPr="00F9562A" w:rsidTr="007F2DB8">
        <w:tc>
          <w:tcPr>
            <w:tcW w:w="2426" w:type="pct"/>
            <w:gridSpan w:val="2"/>
          </w:tcPr>
          <w:p w:rsidR="007F2DB8" w:rsidRPr="007F2DB8" w:rsidRDefault="007F2DB8" w:rsidP="007F2DB8">
            <w:pPr>
              <w:jc w:val="both"/>
              <w:rPr>
                <w:sz w:val="20"/>
                <w:lang w:val="fr-CA"/>
              </w:rPr>
            </w:pPr>
            <w:r w:rsidRPr="007F2DB8">
              <w:rPr>
                <w:sz w:val="20"/>
                <w:lang w:val="fr-CA"/>
              </w:rPr>
              <w:t>6 mai 2015</w:t>
            </w:r>
          </w:p>
          <w:p w:rsidR="007F2DB8" w:rsidRPr="007F2DB8" w:rsidRDefault="007F2DB8" w:rsidP="007F2DB8">
            <w:pPr>
              <w:jc w:val="both"/>
              <w:rPr>
                <w:sz w:val="20"/>
                <w:lang w:val="fr-CA"/>
              </w:rPr>
            </w:pPr>
            <w:r w:rsidRPr="007F2DB8">
              <w:rPr>
                <w:sz w:val="20"/>
                <w:lang w:val="fr-CA"/>
              </w:rPr>
              <w:t>Cour d’appel de la Colombie-Britannique</w:t>
            </w:r>
          </w:p>
          <w:p w:rsidR="007F2DB8" w:rsidRPr="007F2DB8" w:rsidRDefault="007F2DB8" w:rsidP="007F2DB8">
            <w:pPr>
              <w:jc w:val="both"/>
              <w:rPr>
                <w:sz w:val="20"/>
                <w:lang w:val="fr-CA"/>
              </w:rPr>
            </w:pPr>
            <w:r w:rsidRPr="007F2DB8">
              <w:rPr>
                <w:sz w:val="20"/>
                <w:lang w:val="fr-CA"/>
              </w:rPr>
              <w:t>(Vancouver)</w:t>
            </w:r>
          </w:p>
          <w:p w:rsidR="007F2DB8" w:rsidRPr="007F2DB8" w:rsidRDefault="007F2DB8" w:rsidP="007F2DB8">
            <w:pPr>
              <w:jc w:val="both"/>
              <w:rPr>
                <w:sz w:val="20"/>
                <w:lang w:val="fr-CA"/>
              </w:rPr>
            </w:pPr>
            <w:r w:rsidRPr="007F2DB8">
              <w:rPr>
                <w:sz w:val="20"/>
                <w:lang w:val="fr-CA"/>
              </w:rPr>
              <w:t>(Juge Saunders)</w:t>
            </w:r>
          </w:p>
          <w:p w:rsidR="007F2DB8" w:rsidRPr="007F2DB8" w:rsidRDefault="007F2DB8" w:rsidP="007F2DB8">
            <w:pPr>
              <w:jc w:val="both"/>
              <w:rPr>
                <w:sz w:val="20"/>
                <w:lang w:val="fr-CA"/>
              </w:rPr>
            </w:pPr>
            <w:r w:rsidRPr="007F2DB8">
              <w:rPr>
                <w:sz w:val="20"/>
                <w:lang w:val="fr-CA"/>
              </w:rPr>
              <w:t xml:space="preserve">CA42397; </w:t>
            </w:r>
            <w:hyperlink r:id="rId37" w:history="1">
              <w:r w:rsidRPr="007F2DB8">
                <w:rPr>
                  <w:rStyle w:val="Hyperlink"/>
                  <w:sz w:val="20"/>
                  <w:lang w:val="fr-CA"/>
                </w:rPr>
                <w:t>2015 BCCA 270</w:t>
              </w:r>
            </w:hyperlink>
          </w:p>
          <w:p w:rsidR="007F2DB8" w:rsidRPr="007F2DB8" w:rsidRDefault="007F2DB8" w:rsidP="007F2DB8">
            <w:pPr>
              <w:jc w:val="both"/>
              <w:rPr>
                <w:sz w:val="20"/>
                <w:lang w:val="fr-CA"/>
              </w:rPr>
            </w:pPr>
          </w:p>
        </w:tc>
        <w:tc>
          <w:tcPr>
            <w:tcW w:w="244" w:type="pct"/>
          </w:tcPr>
          <w:p w:rsidR="007F2DB8" w:rsidRPr="007F2DB8" w:rsidRDefault="007F2DB8" w:rsidP="007F2DB8">
            <w:pPr>
              <w:jc w:val="both"/>
              <w:rPr>
                <w:sz w:val="20"/>
                <w:lang w:val="fr-CA"/>
              </w:rPr>
            </w:pPr>
          </w:p>
        </w:tc>
        <w:tc>
          <w:tcPr>
            <w:tcW w:w="2330" w:type="pct"/>
          </w:tcPr>
          <w:p w:rsidR="007F2DB8" w:rsidRPr="007F2DB8" w:rsidRDefault="007F2DB8" w:rsidP="007F2DB8">
            <w:pPr>
              <w:jc w:val="both"/>
              <w:rPr>
                <w:sz w:val="20"/>
                <w:lang w:val="fr-CA"/>
              </w:rPr>
            </w:pPr>
            <w:r w:rsidRPr="007F2DB8">
              <w:rPr>
                <w:sz w:val="20"/>
                <w:lang w:val="fr-CA"/>
              </w:rPr>
              <w:t>Rejet de la demande de prorogation du délai d’appel</w:t>
            </w:r>
          </w:p>
          <w:p w:rsidR="007F2DB8" w:rsidRPr="007F2DB8" w:rsidRDefault="007F2DB8" w:rsidP="007F2DB8">
            <w:pPr>
              <w:jc w:val="both"/>
              <w:rPr>
                <w:sz w:val="20"/>
                <w:lang w:val="fr-CA"/>
              </w:rPr>
            </w:pPr>
          </w:p>
        </w:tc>
      </w:tr>
      <w:tr w:rsidR="007F2DB8" w:rsidRPr="00F9562A" w:rsidTr="007F2DB8">
        <w:tc>
          <w:tcPr>
            <w:tcW w:w="2426" w:type="pct"/>
            <w:gridSpan w:val="2"/>
          </w:tcPr>
          <w:p w:rsidR="007F2DB8" w:rsidRPr="007F2DB8" w:rsidRDefault="007F2DB8" w:rsidP="007F2DB8">
            <w:pPr>
              <w:jc w:val="both"/>
              <w:rPr>
                <w:sz w:val="20"/>
                <w:lang w:val="fr-CA"/>
              </w:rPr>
            </w:pPr>
            <w:r w:rsidRPr="007F2DB8">
              <w:rPr>
                <w:sz w:val="20"/>
                <w:lang w:val="fr-CA"/>
              </w:rPr>
              <w:t>23 juillet 2015</w:t>
            </w:r>
          </w:p>
          <w:p w:rsidR="007F2DB8" w:rsidRPr="007F2DB8" w:rsidRDefault="007F2DB8" w:rsidP="007F2DB8">
            <w:pPr>
              <w:jc w:val="both"/>
              <w:rPr>
                <w:sz w:val="20"/>
                <w:lang w:val="fr-CA"/>
              </w:rPr>
            </w:pPr>
            <w:r w:rsidRPr="007F2DB8">
              <w:rPr>
                <w:sz w:val="20"/>
                <w:lang w:val="fr-CA"/>
              </w:rPr>
              <w:t>Cour suprême du Canada</w:t>
            </w:r>
          </w:p>
        </w:tc>
        <w:tc>
          <w:tcPr>
            <w:tcW w:w="244" w:type="pct"/>
          </w:tcPr>
          <w:p w:rsidR="007F2DB8" w:rsidRPr="007F2DB8" w:rsidRDefault="007F2DB8" w:rsidP="007F2DB8">
            <w:pPr>
              <w:jc w:val="both"/>
              <w:rPr>
                <w:sz w:val="20"/>
                <w:lang w:val="fr-CA"/>
              </w:rPr>
            </w:pPr>
          </w:p>
        </w:tc>
        <w:tc>
          <w:tcPr>
            <w:tcW w:w="2330" w:type="pct"/>
          </w:tcPr>
          <w:p w:rsidR="007F2DB8" w:rsidRPr="007F2DB8" w:rsidRDefault="007F2DB8" w:rsidP="007F2DB8">
            <w:pPr>
              <w:jc w:val="both"/>
              <w:rPr>
                <w:sz w:val="20"/>
                <w:lang w:val="fr-CA"/>
              </w:rPr>
            </w:pPr>
            <w:r w:rsidRPr="007F2DB8">
              <w:rPr>
                <w:sz w:val="20"/>
                <w:lang w:val="fr-CA"/>
              </w:rPr>
              <w:t>Dépôt de la demande d’autorisation d’appel</w:t>
            </w:r>
          </w:p>
          <w:p w:rsidR="007F2DB8" w:rsidRPr="007F2DB8" w:rsidRDefault="007F2DB8" w:rsidP="007F2DB8">
            <w:pPr>
              <w:jc w:val="both"/>
              <w:rPr>
                <w:sz w:val="20"/>
                <w:lang w:val="fr-CA"/>
              </w:rPr>
            </w:pPr>
          </w:p>
        </w:tc>
      </w:tr>
    </w:tbl>
    <w:p w:rsidR="007F2DB8" w:rsidRDefault="007F2DB8" w:rsidP="007F2DB8">
      <w:pPr>
        <w:jc w:val="both"/>
        <w:rPr>
          <w:sz w:val="20"/>
          <w:lang w:val="fr-CA"/>
        </w:rPr>
      </w:pPr>
    </w:p>
    <w:p w:rsidR="007F2DB8" w:rsidRPr="007F2DB8" w:rsidRDefault="007F2DB8" w:rsidP="007F2DB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2DB8" w:rsidRPr="007F2DB8" w:rsidTr="007F2DB8">
        <w:tc>
          <w:tcPr>
            <w:tcW w:w="543" w:type="pct"/>
          </w:tcPr>
          <w:p w:rsidR="007F2DB8" w:rsidRPr="007F2DB8" w:rsidRDefault="007F2DB8" w:rsidP="007F2DB8">
            <w:pPr>
              <w:jc w:val="both"/>
              <w:rPr>
                <w:sz w:val="20"/>
              </w:rPr>
            </w:pPr>
            <w:r w:rsidRPr="007F2DB8">
              <w:rPr>
                <w:rStyle w:val="SCCFileNumberChar"/>
                <w:sz w:val="20"/>
                <w:szCs w:val="20"/>
              </w:rPr>
              <w:t>36456</w:t>
            </w:r>
          </w:p>
        </w:tc>
        <w:tc>
          <w:tcPr>
            <w:tcW w:w="4457" w:type="pct"/>
            <w:gridSpan w:val="3"/>
          </w:tcPr>
          <w:p w:rsidR="007F2DB8" w:rsidRPr="007F2DB8" w:rsidRDefault="007F2DB8" w:rsidP="007F2DB8">
            <w:pPr>
              <w:pStyle w:val="SCCLsocParty"/>
              <w:jc w:val="both"/>
              <w:rPr>
                <w:b/>
                <w:sz w:val="20"/>
                <w:szCs w:val="20"/>
                <w:lang w:val="en-US"/>
              </w:rPr>
            </w:pPr>
            <w:r w:rsidRPr="007F2DB8">
              <w:rPr>
                <w:b/>
                <w:sz w:val="20"/>
                <w:szCs w:val="20"/>
                <w:lang w:val="en-US"/>
              </w:rPr>
              <w:t>Dianna Louise Parsons, Michael Herbert Cruickshanks, David Tull, Martin Henry Griffen, Anna Kardish, Elsie Kotyk, Executrix of the Estate of Harry Kotyk, deceased and Elsie Kotyk, personally v. Her Majesty the Queen in Right of Ontario and Attorney General of Canada</w:t>
            </w:r>
          </w:p>
          <w:p w:rsidR="007F2DB8" w:rsidRPr="007F2DB8" w:rsidRDefault="007F2DB8" w:rsidP="007F2DB8">
            <w:pPr>
              <w:pStyle w:val="SCCLsocParty"/>
              <w:jc w:val="both"/>
              <w:rPr>
                <w:sz w:val="20"/>
                <w:szCs w:val="20"/>
              </w:rPr>
            </w:pPr>
            <w:r w:rsidRPr="007F2DB8">
              <w:rPr>
                <w:sz w:val="20"/>
                <w:szCs w:val="20"/>
              </w:rPr>
              <w:t>(Ont.) (Civil) (By Leave)</w:t>
            </w:r>
          </w:p>
        </w:tc>
      </w:tr>
      <w:tr w:rsidR="007F2DB8" w:rsidRPr="007F2DB8" w:rsidTr="007F2DB8">
        <w:tc>
          <w:tcPr>
            <w:tcW w:w="5000" w:type="pct"/>
            <w:gridSpan w:val="4"/>
          </w:tcPr>
          <w:p w:rsidR="007F2DB8" w:rsidRPr="007F2DB8" w:rsidRDefault="007F2DB8" w:rsidP="007F2DB8">
            <w:pPr>
              <w:jc w:val="both"/>
              <w:rPr>
                <w:sz w:val="20"/>
              </w:rPr>
            </w:pPr>
            <w:r w:rsidRPr="007F2DB8">
              <w:rPr>
                <w:sz w:val="20"/>
              </w:rPr>
              <w:t>Courts – Jurisdiction – Provincial and territorial superior courts – Civil procedure – Class actions – National settlement agreement to class actions assigning supervisory role over settlement to superior court judges in Quebec, Ontario and British Columbia – Class counsel for representative plaintiffs in these three provinces applying for directions from their respective courts on whether applications under settlement agreement can be heard simultaneously by supervisory judges in a fourth province – Whether the inherent jurisdiction of the superior court to control and regulate its own process, within the limits permitted by statute and the Constitution, allows superior court judges to hold hearings outside their home provinces where the efficiency of the administration of justice so requires – If a discretion to sit out-of-province exists, whether it is limited to hearings that proceed on a paper record, or permits viva voce evidence – Whether the open court principle includes a geographic requirement, such that out of province hearings are impermissible in the absence of a video-link to the home province – Whether “inherent jurisdiction” is limited to, and conflated with, the narrow “core jurisdiction” of the s. 96 superior courts – Whether there are any other restrictions, beyond the requirement to have a video-conference link back to Ontario, which should apply to Ontario courts’ ability to hold out-of-province hearings.</w:t>
            </w:r>
          </w:p>
        </w:tc>
      </w:tr>
      <w:tr w:rsidR="007F2DB8" w:rsidRPr="007F2DB8" w:rsidTr="007F2DB8">
        <w:tc>
          <w:tcPr>
            <w:tcW w:w="5000" w:type="pct"/>
            <w:gridSpan w:val="4"/>
          </w:tcPr>
          <w:p w:rsidR="007F2DB8" w:rsidRPr="007F2DB8" w:rsidRDefault="007F2DB8" w:rsidP="007F2DB8">
            <w:pPr>
              <w:jc w:val="both"/>
              <w:rPr>
                <w:sz w:val="20"/>
              </w:rPr>
            </w:pPr>
          </w:p>
        </w:tc>
      </w:tr>
      <w:tr w:rsidR="007F2DB8" w:rsidRPr="007F2DB8" w:rsidTr="007F2DB8">
        <w:tc>
          <w:tcPr>
            <w:tcW w:w="5000" w:type="pct"/>
            <w:gridSpan w:val="4"/>
          </w:tcPr>
          <w:p w:rsidR="007F2DB8" w:rsidRPr="007F2DB8" w:rsidRDefault="007F2DB8" w:rsidP="007F2DB8">
            <w:pPr>
              <w:jc w:val="both"/>
              <w:rPr>
                <w:sz w:val="20"/>
              </w:rPr>
            </w:pPr>
            <w:r w:rsidRPr="007F2DB8">
              <w:rPr>
                <w:sz w:val="20"/>
              </w:rPr>
              <w:t xml:space="preserve">In the context of a national class action, the settlement agreement assigns a supervisory role to superior court judges in Ontario, British Columbia and Quebec. It also provides that although each of the three courts is to exercise an independent supervisory power over the settlement within its own jurisdiction, any order by a court only takes effect once there are materially identical orders of the other two courts. In 2012, contested motions were brought by class action counsel in each of the three provinces pursuant to the settlement agreement. Class counsel in each province proposed that the most efficient and effective procedure for adjudicating the motions would be for the three supervisory judges to sit together in one location. The Attorneys General of the three provinces objected to the judges of their provinces sitting outside the territorial boundaries of their provinces. Class action counsel therefore brought applications for directions in their respective province for a determination on the jurisdictional issue. </w:t>
            </w: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t>May 24, 2013</w:t>
            </w:r>
          </w:p>
          <w:p w:rsidR="007F2DB8" w:rsidRPr="007F2DB8" w:rsidRDefault="007F2DB8" w:rsidP="007F2DB8">
            <w:pPr>
              <w:jc w:val="both"/>
              <w:rPr>
                <w:sz w:val="20"/>
              </w:rPr>
            </w:pPr>
            <w:r w:rsidRPr="007F2DB8">
              <w:rPr>
                <w:sz w:val="20"/>
              </w:rPr>
              <w:t>Ontario Superior Court of Justice</w:t>
            </w:r>
          </w:p>
          <w:p w:rsidR="007F2DB8" w:rsidRPr="007F2DB8" w:rsidRDefault="007F2DB8" w:rsidP="007F2DB8">
            <w:pPr>
              <w:jc w:val="both"/>
              <w:rPr>
                <w:sz w:val="20"/>
              </w:rPr>
            </w:pPr>
            <w:r w:rsidRPr="007F2DB8">
              <w:rPr>
                <w:sz w:val="20"/>
              </w:rPr>
              <w:t>(Winkler C.J.)</w:t>
            </w:r>
          </w:p>
          <w:p w:rsidR="007F2DB8" w:rsidRPr="007F2DB8" w:rsidRDefault="00A96461" w:rsidP="007F2DB8">
            <w:pPr>
              <w:jc w:val="both"/>
              <w:rPr>
                <w:sz w:val="20"/>
              </w:rPr>
            </w:pPr>
            <w:hyperlink r:id="rId38" w:history="1">
              <w:r w:rsidR="007F2DB8" w:rsidRPr="007F2DB8">
                <w:rPr>
                  <w:rStyle w:val="Hyperlink"/>
                  <w:sz w:val="20"/>
                </w:rPr>
                <w:t>2013 ONSC 3053</w:t>
              </w:r>
            </w:hyperlink>
            <w:r w:rsidR="007F2DB8" w:rsidRPr="007F2DB8">
              <w:rPr>
                <w:sz w:val="20"/>
              </w:rPr>
              <w:t xml:space="preserve"> </w:t>
            </w:r>
          </w:p>
          <w:p w:rsidR="007F2DB8" w:rsidRPr="007F2DB8" w:rsidRDefault="007F2DB8" w:rsidP="007F2DB8">
            <w:pPr>
              <w:jc w:val="both"/>
              <w:rPr>
                <w:sz w:val="20"/>
              </w:rPr>
            </w:pPr>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Order on application for directions by class action counsel: a judge of the Ontario Superior Court of Justice has the discretion to sit with his or her counterparts in a location in or outside Ontario to hear applications under the 1986-1990 Hepatitis C Settlement Agreement without the necessity of a video-conference link to a courtroom in Ontario, and may conduct the hearing in a location in or outside Ontario alongside the other supervisory judges from British Columbia and Quebec</w:t>
            </w: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t>March 13, 2015</w:t>
            </w:r>
          </w:p>
          <w:p w:rsidR="007F2DB8" w:rsidRPr="007F2DB8" w:rsidRDefault="007F2DB8" w:rsidP="007F2DB8">
            <w:pPr>
              <w:jc w:val="both"/>
              <w:rPr>
                <w:sz w:val="20"/>
              </w:rPr>
            </w:pPr>
            <w:r w:rsidRPr="007F2DB8">
              <w:rPr>
                <w:sz w:val="20"/>
              </w:rPr>
              <w:t>Court of Appeal for Ontario</w:t>
            </w:r>
          </w:p>
          <w:p w:rsidR="007F2DB8" w:rsidRPr="007F2DB8" w:rsidRDefault="007F2DB8" w:rsidP="007F2DB8">
            <w:pPr>
              <w:jc w:val="both"/>
              <w:rPr>
                <w:sz w:val="20"/>
              </w:rPr>
            </w:pPr>
            <w:r w:rsidRPr="007F2DB8">
              <w:rPr>
                <w:sz w:val="20"/>
              </w:rPr>
              <w:t>(Juriansz, LaForme and Lauwers JJ.A.)</w:t>
            </w:r>
          </w:p>
          <w:p w:rsidR="007F2DB8" w:rsidRPr="007F2DB8" w:rsidRDefault="00A96461" w:rsidP="007F2DB8">
            <w:pPr>
              <w:jc w:val="both"/>
              <w:rPr>
                <w:sz w:val="20"/>
              </w:rPr>
            </w:pPr>
            <w:hyperlink r:id="rId39" w:history="1">
              <w:r w:rsidR="007F2DB8" w:rsidRPr="007F2DB8">
                <w:rPr>
                  <w:rStyle w:val="Hyperlink"/>
                  <w:sz w:val="20"/>
                </w:rPr>
                <w:t>2015 ONCA 158</w:t>
              </w:r>
            </w:hyperlink>
            <w:r w:rsidR="007F2DB8" w:rsidRPr="007F2DB8">
              <w:rPr>
                <w:sz w:val="20"/>
              </w:rPr>
              <w:t xml:space="preserve"> </w:t>
            </w:r>
          </w:p>
          <w:p w:rsidR="007F2DB8" w:rsidRPr="007F2DB8" w:rsidRDefault="007F2DB8" w:rsidP="007F2DB8">
            <w:pPr>
              <w:jc w:val="both"/>
              <w:rPr>
                <w:sz w:val="20"/>
              </w:rPr>
            </w:pPr>
          </w:p>
        </w:tc>
        <w:tc>
          <w:tcPr>
            <w:tcW w:w="243" w:type="pct"/>
          </w:tcPr>
          <w:p w:rsidR="007F2DB8" w:rsidRPr="007F2DB8" w:rsidRDefault="007F2DB8" w:rsidP="007F2DB8">
            <w:pPr>
              <w:jc w:val="both"/>
              <w:rPr>
                <w:sz w:val="20"/>
              </w:rPr>
            </w:pPr>
          </w:p>
        </w:tc>
        <w:tc>
          <w:tcPr>
            <w:tcW w:w="2330" w:type="pct"/>
          </w:tcPr>
          <w:p w:rsidR="007F2DB8" w:rsidRDefault="007F2DB8" w:rsidP="007F2DB8">
            <w:pPr>
              <w:jc w:val="both"/>
              <w:rPr>
                <w:sz w:val="20"/>
              </w:rPr>
            </w:pPr>
            <w:r w:rsidRPr="007F2DB8">
              <w:rPr>
                <w:sz w:val="20"/>
              </w:rPr>
              <w:t>Appeal allowed in part: Order of Winkler C.J. amended to state that when a hearing is conducted from outside Ontario, it must be conducted with the necessity of a video-conference link to a courtroom in Ontario</w:t>
            </w: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t>May 26, 2015</w:t>
            </w:r>
          </w:p>
          <w:p w:rsidR="007F2DB8" w:rsidRPr="007F2DB8" w:rsidRDefault="007F2DB8" w:rsidP="007F2DB8">
            <w:pPr>
              <w:jc w:val="both"/>
              <w:rPr>
                <w:sz w:val="20"/>
              </w:rPr>
            </w:pPr>
            <w:r w:rsidRPr="007F2DB8">
              <w:rPr>
                <w:sz w:val="20"/>
              </w:rPr>
              <w:t>Supreme Court of Canada</w:t>
            </w:r>
          </w:p>
          <w:p w:rsidR="007F2DB8" w:rsidRPr="007F2DB8" w:rsidRDefault="007F2DB8" w:rsidP="007F2DB8">
            <w:pPr>
              <w:jc w:val="both"/>
              <w:rPr>
                <w:sz w:val="20"/>
              </w:rPr>
            </w:pPr>
          </w:p>
          <w:p w:rsidR="007F2DB8" w:rsidRPr="007F2DB8" w:rsidRDefault="007F2DB8" w:rsidP="007F2DB8">
            <w:pPr>
              <w:jc w:val="both"/>
              <w:rPr>
                <w:sz w:val="20"/>
              </w:rPr>
            </w:pPr>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Application for extension of time to serve and file application for leave to appeal and application for leave to appeal filed</w:t>
            </w: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t>June 25, 2015</w:t>
            </w:r>
          </w:p>
          <w:p w:rsidR="007F2DB8" w:rsidRPr="007F2DB8" w:rsidRDefault="007F2DB8" w:rsidP="007F2DB8">
            <w:pPr>
              <w:jc w:val="both"/>
              <w:rPr>
                <w:sz w:val="20"/>
              </w:rPr>
            </w:pPr>
            <w:r w:rsidRPr="007F2DB8">
              <w:rPr>
                <w:sz w:val="20"/>
              </w:rPr>
              <w:t>Supreme Court of Canada</w:t>
            </w:r>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Application for leave to cross-appeal filed</w:t>
            </w:r>
          </w:p>
        </w:tc>
      </w:tr>
    </w:tbl>
    <w:p w:rsidR="007F2DB8" w:rsidRDefault="007F2DB8" w:rsidP="007F2DB8">
      <w:pPr>
        <w:jc w:val="both"/>
        <w:rPr>
          <w:sz w:val="20"/>
        </w:rPr>
      </w:pPr>
    </w:p>
    <w:p w:rsidR="007F2DB8" w:rsidRPr="007F2DB8" w:rsidRDefault="007F2DB8" w:rsidP="007F2D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2DB8" w:rsidRPr="007F2DB8" w:rsidTr="007F2DB8">
        <w:tc>
          <w:tcPr>
            <w:tcW w:w="543" w:type="pct"/>
          </w:tcPr>
          <w:p w:rsidR="007F2DB8" w:rsidRPr="007F2DB8" w:rsidRDefault="007F2DB8" w:rsidP="007F2DB8">
            <w:pPr>
              <w:jc w:val="both"/>
              <w:rPr>
                <w:sz w:val="20"/>
                <w:lang w:val="fr-CA"/>
              </w:rPr>
            </w:pPr>
            <w:r w:rsidRPr="007F2DB8">
              <w:rPr>
                <w:rStyle w:val="SCCFileNumberChar"/>
                <w:sz w:val="20"/>
                <w:szCs w:val="20"/>
                <w:lang w:val="fr-CA"/>
              </w:rPr>
              <w:t>36456</w:t>
            </w:r>
          </w:p>
        </w:tc>
        <w:tc>
          <w:tcPr>
            <w:tcW w:w="4457" w:type="pct"/>
            <w:gridSpan w:val="3"/>
          </w:tcPr>
          <w:p w:rsidR="007F2DB8" w:rsidRPr="007F2DB8" w:rsidRDefault="007F2DB8" w:rsidP="007F2DB8">
            <w:pPr>
              <w:pStyle w:val="SCCLsocParty"/>
              <w:jc w:val="both"/>
              <w:rPr>
                <w:b/>
                <w:sz w:val="20"/>
                <w:szCs w:val="20"/>
              </w:rPr>
            </w:pPr>
            <w:r w:rsidRPr="007F2DB8">
              <w:rPr>
                <w:b/>
                <w:sz w:val="20"/>
                <w:szCs w:val="20"/>
              </w:rPr>
              <w:t>Dianna Louise Parsons, Michael Herbert Cruickshanks, David Tull, Martin Henry Griffen, Anna Kardish, Elsie Kotyk, exécutrice de la succession de Harry Kotyk, décédé et Elsie Kotyk, personnellement c. Sa Majesté la Reine du chef de l’Ontario et procureur général du Canada</w:t>
            </w:r>
          </w:p>
          <w:p w:rsidR="007F2DB8" w:rsidRPr="007F2DB8" w:rsidRDefault="007F2DB8" w:rsidP="007F2DB8">
            <w:pPr>
              <w:pStyle w:val="SCCLsocParty"/>
              <w:jc w:val="both"/>
              <w:rPr>
                <w:sz w:val="20"/>
                <w:szCs w:val="20"/>
              </w:rPr>
            </w:pPr>
            <w:r w:rsidRPr="007F2DB8">
              <w:rPr>
                <w:sz w:val="20"/>
                <w:szCs w:val="20"/>
              </w:rPr>
              <w:t>(Ont.) (Civile) (Sur autorisation)</w:t>
            </w:r>
          </w:p>
        </w:tc>
      </w:tr>
      <w:tr w:rsidR="007F2DB8" w:rsidRPr="00F9562A" w:rsidTr="007F2DB8">
        <w:tc>
          <w:tcPr>
            <w:tcW w:w="5000" w:type="pct"/>
            <w:gridSpan w:val="4"/>
          </w:tcPr>
          <w:p w:rsidR="007F2DB8" w:rsidRPr="007F2DB8" w:rsidRDefault="007F2DB8" w:rsidP="007F2DB8">
            <w:pPr>
              <w:jc w:val="both"/>
              <w:rPr>
                <w:sz w:val="20"/>
                <w:lang w:val="fr-CA"/>
              </w:rPr>
            </w:pPr>
            <w:r w:rsidRPr="007F2DB8">
              <w:rPr>
                <w:sz w:val="20"/>
                <w:lang w:val="fr-CA"/>
              </w:rPr>
              <w:t xml:space="preserve">Tribunaux – Compétence – Cours supérieures provinciales et territoriales – Procédure civile – Recours collectifs – Une convention nationale de règlement de recours collectifs attribue aux juges des cours supérieures au Québec, en Ontario et en Colombie-Britannique un rôle de supervision du règlement – Dans chacune de ces trois provinces, les avocats du groupe, agissant pour les représentants des demandeurs, ont demandé aux cours respectives de leur donner des directives sur la question de savoir si des demandes faites en application de la convention de règlement pouvaient être entendues simultanément par des juges superviseurs dans une quatrième province – La compétence inhérente d’une cour supérieure de faire respecter et de réglementer sa propre procédure, dans les limites permises par la loi et la Constitution, permet-elle aux juges des cours supérieures de tenir des audiences à l’extérieur de leurs provinces d’origine, lorsque l’efficacité de l’administration de la justice l’exige? – Si la cour a le pouvoir discrétionnaire de siéger à l’extérieur de la province, ce pouvoir se limite-t-il aux audiences instruites à partir de documents sur papier, ou permet-il les témoignages de vive voix? – Le principe de la publicité des débats comprend-il une exigence d’ordre </w:t>
            </w:r>
            <w:r w:rsidRPr="007F2DB8">
              <w:rPr>
                <w:sz w:val="20"/>
                <w:lang w:val="fr-CA"/>
              </w:rPr>
              <w:lastRenderedPageBreak/>
              <w:t>géographique, selon laquelle les audiences tenues à l’extérieur de la province seraient inacceptables en l’absence d’une liaison vidéo avec la province d’origine? – La « compétence inhérente » se limite-t-elle à la « compétence fondamentale » étroite des cours supérieures visées à l’art. 96 et se confond-elle avec cette compétence fondamentale? – Existe-t-il d’autres restrictions, outre l’exigence d’une liaison par vidéoconférence avec l’Ontario, qui doivent s’appliquer à la possibilité qu’auraient les cours de l’Ontario de tenir des audiences à l’extérieur de la province?</w:t>
            </w:r>
          </w:p>
        </w:tc>
      </w:tr>
      <w:tr w:rsidR="007F2DB8" w:rsidRPr="00F9562A" w:rsidTr="007F2DB8">
        <w:tc>
          <w:tcPr>
            <w:tcW w:w="5000" w:type="pct"/>
            <w:gridSpan w:val="4"/>
          </w:tcPr>
          <w:p w:rsidR="007F2DB8" w:rsidRPr="007F2DB8" w:rsidRDefault="007F2DB8" w:rsidP="007F2DB8">
            <w:pPr>
              <w:jc w:val="both"/>
              <w:rPr>
                <w:sz w:val="20"/>
                <w:lang w:val="fr-CA"/>
              </w:rPr>
            </w:pPr>
          </w:p>
        </w:tc>
      </w:tr>
      <w:tr w:rsidR="007F2DB8" w:rsidRPr="00F9562A" w:rsidTr="007F2DB8">
        <w:tc>
          <w:tcPr>
            <w:tcW w:w="5000" w:type="pct"/>
            <w:gridSpan w:val="4"/>
          </w:tcPr>
          <w:p w:rsidR="007F2DB8" w:rsidRPr="007F2DB8" w:rsidRDefault="007F2DB8" w:rsidP="007F2DB8">
            <w:pPr>
              <w:jc w:val="both"/>
              <w:rPr>
                <w:sz w:val="20"/>
                <w:lang w:val="fr-CA"/>
              </w:rPr>
            </w:pPr>
            <w:r w:rsidRPr="007F2DB8">
              <w:rPr>
                <w:sz w:val="20"/>
                <w:lang w:val="fr-CA"/>
              </w:rPr>
              <w:t xml:space="preserve">Dans le cadre d’un recours collectif national, la convention de règlement attribue un rôle de supervision aux juges des cours supérieures en Ontario, en Colombie-Britannique et au Québec. Le règlement prévoit également que même si chacune des trois cours doit exercer un pouvoir de supervision indépendant à l’égard du règlement à l’intérieur de son propre ressort, l’ordonnance d’une cour ne prend effet que lorsque les deux autres cours ont rendu des ordonnances identiques quant au fond. En 2012, les avocats du groupe ont présenté des requêtes contestées dans chacune des trois provinces en application de la convention de règlement. Les avocats du groupe dans chacune des provinces ont proposé que la procédure la plus efficiente et efficace pour trancher les requêtes serait que les trois juges superviseurs siègent ensemble à un seul endroit. Les procureurs généraux des trois provinces se sont opposés à ce que des juges de leurs provinces siègent à l’extérieur des limites territoriales de leurs provinces. Les avocats du groupe ont donc présenté des demandes en vue d’obtenir des directives dans leurs provinces respectives pour qu’il soit statué sur la question de la compétence. </w:t>
            </w:r>
          </w:p>
          <w:p w:rsidR="007F2DB8" w:rsidRPr="007F2DB8" w:rsidRDefault="007F2DB8" w:rsidP="007F2DB8">
            <w:pPr>
              <w:jc w:val="both"/>
              <w:rPr>
                <w:sz w:val="20"/>
                <w:lang w:val="fr-CA"/>
              </w:rPr>
            </w:pPr>
          </w:p>
        </w:tc>
      </w:tr>
      <w:tr w:rsidR="007F2DB8" w:rsidRPr="00F9562A" w:rsidTr="007F2DB8">
        <w:tc>
          <w:tcPr>
            <w:tcW w:w="2427" w:type="pct"/>
            <w:gridSpan w:val="2"/>
          </w:tcPr>
          <w:p w:rsidR="007F2DB8" w:rsidRPr="007F2DB8" w:rsidRDefault="007F2DB8" w:rsidP="007F2DB8">
            <w:pPr>
              <w:jc w:val="both"/>
              <w:rPr>
                <w:sz w:val="20"/>
                <w:lang w:val="fr-CA"/>
              </w:rPr>
            </w:pPr>
            <w:r w:rsidRPr="007F2DB8">
              <w:rPr>
                <w:sz w:val="20"/>
                <w:lang w:val="fr-CA"/>
              </w:rPr>
              <w:t>24 mai 2013</w:t>
            </w:r>
          </w:p>
          <w:p w:rsidR="007F2DB8" w:rsidRPr="007F2DB8" w:rsidRDefault="007F2DB8" w:rsidP="007F2DB8">
            <w:pPr>
              <w:jc w:val="both"/>
              <w:rPr>
                <w:sz w:val="20"/>
                <w:lang w:val="fr-CA"/>
              </w:rPr>
            </w:pPr>
            <w:r w:rsidRPr="007F2DB8">
              <w:rPr>
                <w:sz w:val="20"/>
                <w:lang w:val="fr-CA"/>
              </w:rPr>
              <w:t>Cour supérieure de justice de l’Ontario</w:t>
            </w:r>
          </w:p>
          <w:p w:rsidR="007F2DB8" w:rsidRPr="007F2DB8" w:rsidRDefault="007F2DB8" w:rsidP="007F2DB8">
            <w:pPr>
              <w:jc w:val="both"/>
              <w:rPr>
                <w:sz w:val="20"/>
                <w:lang w:val="fr-CA"/>
              </w:rPr>
            </w:pPr>
            <w:r w:rsidRPr="007F2DB8">
              <w:rPr>
                <w:sz w:val="20"/>
                <w:lang w:val="fr-CA"/>
              </w:rPr>
              <w:t>(Juge en chef Winkler)</w:t>
            </w:r>
          </w:p>
          <w:p w:rsidR="007F2DB8" w:rsidRPr="007F2DB8" w:rsidRDefault="00A96461" w:rsidP="007F2DB8">
            <w:pPr>
              <w:jc w:val="both"/>
              <w:rPr>
                <w:sz w:val="20"/>
                <w:lang w:val="fr-CA"/>
              </w:rPr>
            </w:pPr>
            <w:hyperlink r:id="rId40" w:history="1">
              <w:r w:rsidR="007F2DB8" w:rsidRPr="007F2DB8">
                <w:rPr>
                  <w:rStyle w:val="Hyperlink"/>
                  <w:sz w:val="20"/>
                  <w:lang w:val="fr-CA"/>
                </w:rPr>
                <w:t>2013 ONSC 3053</w:t>
              </w:r>
            </w:hyperlink>
            <w:r w:rsidR="007F2DB8" w:rsidRPr="007F2DB8">
              <w:rPr>
                <w:sz w:val="20"/>
                <w:lang w:val="fr-CA"/>
              </w:rPr>
              <w:t xml:space="preserve"> </w:t>
            </w:r>
          </w:p>
          <w:p w:rsidR="007F2DB8" w:rsidRPr="007F2DB8" w:rsidRDefault="007F2DB8" w:rsidP="007F2DB8">
            <w:pPr>
              <w:jc w:val="both"/>
              <w:rPr>
                <w:sz w:val="20"/>
                <w:lang w:val="fr-CA"/>
              </w:rPr>
            </w:pPr>
          </w:p>
        </w:tc>
        <w:tc>
          <w:tcPr>
            <w:tcW w:w="243" w:type="pct"/>
          </w:tcPr>
          <w:p w:rsidR="007F2DB8" w:rsidRPr="007F2DB8" w:rsidRDefault="007F2DB8" w:rsidP="007F2DB8">
            <w:pPr>
              <w:jc w:val="both"/>
              <w:rPr>
                <w:sz w:val="20"/>
                <w:lang w:val="fr-CA"/>
              </w:rPr>
            </w:pPr>
          </w:p>
        </w:tc>
        <w:tc>
          <w:tcPr>
            <w:tcW w:w="2330" w:type="pct"/>
          </w:tcPr>
          <w:p w:rsidR="007F2DB8" w:rsidRPr="007F2DB8" w:rsidRDefault="007F2DB8" w:rsidP="007F2DB8">
            <w:pPr>
              <w:jc w:val="both"/>
              <w:rPr>
                <w:sz w:val="20"/>
                <w:lang w:val="fr-CA"/>
              </w:rPr>
            </w:pPr>
            <w:r w:rsidRPr="007F2DB8">
              <w:rPr>
                <w:sz w:val="20"/>
                <w:lang w:val="fr-CA"/>
              </w:rPr>
              <w:t xml:space="preserve">Ordonnance rendue à la suite d’une demande de directives présentée par les avocats des recours collectifs : un juge de la Cour supérieure de justice de l’Ontario a le pouvoir discrétionnaire de siéger avec ses homologues en Ontario ou à l’extérieur de cette province pour entendre des demandes en application de la Convention de règlement relatif à l’Hépatite C 1986-1990 sans la nécessité d’une liaison par vidéoconférence avec une salle d’audience en Ontario et le juge peut tenir l’audience en Ontario ou à l’extérieur de cette province avec d’autres juges superviseurs de la Colombie-Britannique et du Québec </w:t>
            </w:r>
          </w:p>
          <w:p w:rsidR="007F2DB8" w:rsidRPr="007F2DB8" w:rsidRDefault="007F2DB8" w:rsidP="007F2DB8">
            <w:pPr>
              <w:jc w:val="both"/>
              <w:rPr>
                <w:sz w:val="20"/>
                <w:lang w:val="fr-CA"/>
              </w:rPr>
            </w:pPr>
          </w:p>
        </w:tc>
      </w:tr>
      <w:tr w:rsidR="007F2DB8" w:rsidRPr="00F9562A" w:rsidTr="007F2DB8">
        <w:tc>
          <w:tcPr>
            <w:tcW w:w="2427" w:type="pct"/>
            <w:gridSpan w:val="2"/>
          </w:tcPr>
          <w:p w:rsidR="007F2DB8" w:rsidRPr="007F2DB8" w:rsidRDefault="007F2DB8" w:rsidP="007F2DB8">
            <w:pPr>
              <w:jc w:val="both"/>
              <w:rPr>
                <w:sz w:val="20"/>
                <w:lang w:val="fr-CA"/>
              </w:rPr>
            </w:pPr>
            <w:r w:rsidRPr="007F2DB8">
              <w:rPr>
                <w:sz w:val="20"/>
                <w:lang w:val="fr-CA"/>
              </w:rPr>
              <w:t>13 mars 2015</w:t>
            </w:r>
          </w:p>
          <w:p w:rsidR="007F2DB8" w:rsidRPr="007F2DB8" w:rsidRDefault="007F2DB8" w:rsidP="007F2DB8">
            <w:pPr>
              <w:jc w:val="both"/>
              <w:rPr>
                <w:sz w:val="20"/>
                <w:lang w:val="fr-CA"/>
              </w:rPr>
            </w:pPr>
            <w:r w:rsidRPr="007F2DB8">
              <w:rPr>
                <w:sz w:val="20"/>
                <w:lang w:val="fr-CA"/>
              </w:rPr>
              <w:t>Cour d’appel de l’Ontario</w:t>
            </w:r>
          </w:p>
          <w:p w:rsidR="007F2DB8" w:rsidRPr="007F2DB8" w:rsidRDefault="007F2DB8" w:rsidP="007F2DB8">
            <w:pPr>
              <w:jc w:val="both"/>
              <w:rPr>
                <w:sz w:val="20"/>
                <w:lang w:val="fr-CA"/>
              </w:rPr>
            </w:pPr>
            <w:r w:rsidRPr="007F2DB8">
              <w:rPr>
                <w:sz w:val="20"/>
                <w:lang w:val="fr-CA"/>
              </w:rPr>
              <w:t>(Juges Juriansz, LaForme et Lauwers)</w:t>
            </w:r>
          </w:p>
          <w:p w:rsidR="007F2DB8" w:rsidRPr="007F2DB8" w:rsidRDefault="00A96461" w:rsidP="007F2DB8">
            <w:pPr>
              <w:jc w:val="both"/>
              <w:rPr>
                <w:sz w:val="20"/>
                <w:lang w:val="fr-CA"/>
              </w:rPr>
            </w:pPr>
            <w:hyperlink r:id="rId41" w:history="1">
              <w:r w:rsidR="007F2DB8" w:rsidRPr="007F2DB8">
                <w:rPr>
                  <w:rStyle w:val="Hyperlink"/>
                  <w:sz w:val="20"/>
                  <w:lang w:val="fr-CA"/>
                </w:rPr>
                <w:t>2015 ONCA 158</w:t>
              </w:r>
            </w:hyperlink>
            <w:r w:rsidR="007F2DB8" w:rsidRPr="007F2DB8">
              <w:rPr>
                <w:sz w:val="20"/>
                <w:lang w:val="fr-CA"/>
              </w:rPr>
              <w:t xml:space="preserve"> </w:t>
            </w:r>
          </w:p>
          <w:p w:rsidR="007F2DB8" w:rsidRPr="007F2DB8" w:rsidRDefault="007F2DB8" w:rsidP="007F2DB8">
            <w:pPr>
              <w:jc w:val="both"/>
              <w:rPr>
                <w:sz w:val="20"/>
                <w:lang w:val="fr-CA"/>
              </w:rPr>
            </w:pPr>
          </w:p>
        </w:tc>
        <w:tc>
          <w:tcPr>
            <w:tcW w:w="243" w:type="pct"/>
          </w:tcPr>
          <w:p w:rsidR="007F2DB8" w:rsidRPr="007F2DB8" w:rsidRDefault="007F2DB8" w:rsidP="007F2DB8">
            <w:pPr>
              <w:jc w:val="both"/>
              <w:rPr>
                <w:sz w:val="20"/>
                <w:lang w:val="fr-CA"/>
              </w:rPr>
            </w:pPr>
          </w:p>
        </w:tc>
        <w:tc>
          <w:tcPr>
            <w:tcW w:w="2330" w:type="pct"/>
          </w:tcPr>
          <w:p w:rsidR="007F2DB8" w:rsidRPr="007F2DB8" w:rsidRDefault="007F2DB8" w:rsidP="007F2DB8">
            <w:pPr>
              <w:jc w:val="both"/>
              <w:rPr>
                <w:sz w:val="20"/>
                <w:lang w:val="fr-CA"/>
              </w:rPr>
            </w:pPr>
            <w:r w:rsidRPr="007F2DB8">
              <w:rPr>
                <w:sz w:val="20"/>
                <w:lang w:val="fr-CA"/>
              </w:rPr>
              <w:t xml:space="preserve">Arrêt accueillant l’appel en partie : modification de l’ordonnance du juge en chef Winkler pour qu’elle déclare que lorsqu’une audience est tenue à l’extérieur de l’Ontario, il doit y avoir une liaison par vidéoconférence à une salle d’audience en Ontario </w:t>
            </w:r>
          </w:p>
          <w:p w:rsidR="007F2DB8" w:rsidRPr="007F2DB8" w:rsidRDefault="007F2DB8" w:rsidP="007F2DB8">
            <w:pPr>
              <w:jc w:val="both"/>
              <w:rPr>
                <w:sz w:val="20"/>
                <w:lang w:val="fr-CA"/>
              </w:rPr>
            </w:pPr>
          </w:p>
        </w:tc>
      </w:tr>
      <w:tr w:rsidR="007F2DB8" w:rsidRPr="00F9562A" w:rsidTr="007F2DB8">
        <w:tc>
          <w:tcPr>
            <w:tcW w:w="2427" w:type="pct"/>
            <w:gridSpan w:val="2"/>
          </w:tcPr>
          <w:p w:rsidR="007F2DB8" w:rsidRPr="007F2DB8" w:rsidRDefault="007F2DB8" w:rsidP="007F2DB8">
            <w:pPr>
              <w:jc w:val="both"/>
              <w:rPr>
                <w:sz w:val="20"/>
                <w:lang w:val="fr-CA"/>
              </w:rPr>
            </w:pPr>
            <w:r w:rsidRPr="007F2DB8">
              <w:rPr>
                <w:sz w:val="20"/>
                <w:lang w:val="fr-CA"/>
              </w:rPr>
              <w:t>26 mai 2015</w:t>
            </w:r>
          </w:p>
          <w:p w:rsidR="007F2DB8" w:rsidRPr="007F2DB8" w:rsidRDefault="007F2DB8" w:rsidP="007F2DB8">
            <w:pPr>
              <w:jc w:val="both"/>
              <w:rPr>
                <w:sz w:val="20"/>
                <w:lang w:val="fr-CA"/>
              </w:rPr>
            </w:pPr>
            <w:r w:rsidRPr="007F2DB8">
              <w:rPr>
                <w:sz w:val="20"/>
                <w:lang w:val="fr-CA"/>
              </w:rPr>
              <w:t>Cour suprême du Canada</w:t>
            </w:r>
          </w:p>
          <w:p w:rsidR="007F2DB8" w:rsidRPr="007F2DB8" w:rsidRDefault="007F2DB8" w:rsidP="007F2DB8">
            <w:pPr>
              <w:jc w:val="both"/>
              <w:rPr>
                <w:sz w:val="20"/>
                <w:lang w:val="fr-CA"/>
              </w:rPr>
            </w:pPr>
          </w:p>
          <w:p w:rsidR="007F2DB8" w:rsidRPr="007F2DB8" w:rsidRDefault="007F2DB8" w:rsidP="007F2DB8">
            <w:pPr>
              <w:jc w:val="both"/>
              <w:rPr>
                <w:sz w:val="20"/>
                <w:lang w:val="fr-CA"/>
              </w:rPr>
            </w:pPr>
          </w:p>
        </w:tc>
        <w:tc>
          <w:tcPr>
            <w:tcW w:w="243" w:type="pct"/>
          </w:tcPr>
          <w:p w:rsidR="007F2DB8" w:rsidRPr="007F2DB8" w:rsidRDefault="007F2DB8" w:rsidP="007F2DB8">
            <w:pPr>
              <w:jc w:val="both"/>
              <w:rPr>
                <w:sz w:val="20"/>
                <w:lang w:val="fr-CA"/>
              </w:rPr>
            </w:pPr>
          </w:p>
        </w:tc>
        <w:tc>
          <w:tcPr>
            <w:tcW w:w="2330" w:type="pct"/>
          </w:tcPr>
          <w:p w:rsidR="007F2DB8" w:rsidRPr="007F2DB8" w:rsidRDefault="007F2DB8" w:rsidP="007F2DB8">
            <w:pPr>
              <w:jc w:val="both"/>
              <w:rPr>
                <w:sz w:val="20"/>
                <w:lang w:val="fr-CA"/>
              </w:rPr>
            </w:pPr>
            <w:r w:rsidRPr="007F2DB8">
              <w:rPr>
                <w:sz w:val="20"/>
                <w:lang w:val="fr-CA"/>
              </w:rPr>
              <w:t>Dépôt d’une demande de prorogation de délai de signification et de dépôt de la demande d’autorisation d’appel et de la demande d’autorisation d’appel</w:t>
            </w:r>
          </w:p>
          <w:p w:rsidR="007F2DB8" w:rsidRPr="007F2DB8" w:rsidRDefault="007F2DB8" w:rsidP="007F2DB8">
            <w:pPr>
              <w:jc w:val="both"/>
              <w:rPr>
                <w:sz w:val="20"/>
                <w:lang w:val="fr-CA"/>
              </w:rPr>
            </w:pPr>
          </w:p>
        </w:tc>
      </w:tr>
      <w:tr w:rsidR="007F2DB8" w:rsidRPr="00F9562A" w:rsidTr="007F2DB8">
        <w:tc>
          <w:tcPr>
            <w:tcW w:w="2427" w:type="pct"/>
            <w:gridSpan w:val="2"/>
          </w:tcPr>
          <w:p w:rsidR="007F2DB8" w:rsidRPr="007F2DB8" w:rsidRDefault="007F2DB8" w:rsidP="007F2DB8">
            <w:pPr>
              <w:jc w:val="both"/>
              <w:rPr>
                <w:sz w:val="20"/>
                <w:lang w:val="fr-CA"/>
              </w:rPr>
            </w:pPr>
            <w:r w:rsidRPr="007F2DB8">
              <w:rPr>
                <w:sz w:val="20"/>
                <w:lang w:val="fr-CA"/>
              </w:rPr>
              <w:t>25 juin 2015</w:t>
            </w:r>
          </w:p>
          <w:p w:rsidR="007F2DB8" w:rsidRPr="007F2DB8" w:rsidRDefault="007F2DB8" w:rsidP="007F2DB8">
            <w:pPr>
              <w:jc w:val="both"/>
              <w:rPr>
                <w:sz w:val="20"/>
                <w:lang w:val="fr-CA"/>
              </w:rPr>
            </w:pPr>
            <w:r w:rsidRPr="007F2DB8">
              <w:rPr>
                <w:sz w:val="20"/>
                <w:lang w:val="fr-CA"/>
              </w:rPr>
              <w:t>Cour suprême du Canada</w:t>
            </w:r>
          </w:p>
        </w:tc>
        <w:tc>
          <w:tcPr>
            <w:tcW w:w="243" w:type="pct"/>
          </w:tcPr>
          <w:p w:rsidR="007F2DB8" w:rsidRPr="007F2DB8" w:rsidRDefault="007F2DB8" w:rsidP="007F2DB8">
            <w:pPr>
              <w:jc w:val="both"/>
              <w:rPr>
                <w:sz w:val="20"/>
                <w:lang w:val="fr-CA"/>
              </w:rPr>
            </w:pPr>
          </w:p>
        </w:tc>
        <w:tc>
          <w:tcPr>
            <w:tcW w:w="2330" w:type="pct"/>
          </w:tcPr>
          <w:p w:rsidR="007F2DB8" w:rsidRPr="007F2DB8" w:rsidRDefault="007F2DB8" w:rsidP="007F2DB8">
            <w:pPr>
              <w:jc w:val="both"/>
              <w:rPr>
                <w:sz w:val="20"/>
                <w:lang w:val="fr-CA"/>
              </w:rPr>
            </w:pPr>
            <w:r w:rsidRPr="007F2DB8">
              <w:rPr>
                <w:sz w:val="20"/>
                <w:lang w:val="fr-CA"/>
              </w:rPr>
              <w:t>Dépôt de la demande d’autorisation d’appel incident</w:t>
            </w:r>
          </w:p>
        </w:tc>
      </w:tr>
    </w:tbl>
    <w:p w:rsidR="007F2DB8" w:rsidRDefault="007F2DB8" w:rsidP="007F2DB8">
      <w:pPr>
        <w:jc w:val="both"/>
        <w:rPr>
          <w:sz w:val="20"/>
          <w:lang w:val="fr-CA"/>
        </w:rPr>
      </w:pPr>
    </w:p>
    <w:p w:rsidR="007F2DB8" w:rsidRPr="007F2DB8" w:rsidRDefault="007F2DB8" w:rsidP="007F2DB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2DB8" w:rsidRPr="007F2DB8" w:rsidTr="007F2DB8">
        <w:tc>
          <w:tcPr>
            <w:tcW w:w="543" w:type="pct"/>
          </w:tcPr>
          <w:p w:rsidR="007F2DB8" w:rsidRPr="007F2DB8" w:rsidRDefault="007F2DB8" w:rsidP="007F2DB8">
            <w:pPr>
              <w:jc w:val="both"/>
              <w:rPr>
                <w:sz w:val="20"/>
              </w:rPr>
            </w:pPr>
            <w:r w:rsidRPr="007F2DB8">
              <w:rPr>
                <w:rStyle w:val="SCCFileNumberChar"/>
                <w:sz w:val="20"/>
                <w:szCs w:val="20"/>
              </w:rPr>
              <w:t>35843</w:t>
            </w:r>
          </w:p>
        </w:tc>
        <w:tc>
          <w:tcPr>
            <w:tcW w:w="4457" w:type="pct"/>
            <w:gridSpan w:val="3"/>
          </w:tcPr>
          <w:p w:rsidR="007F2DB8" w:rsidRPr="007F2DB8" w:rsidRDefault="007F2DB8" w:rsidP="007F2DB8">
            <w:pPr>
              <w:pStyle w:val="SCCLsocParty"/>
              <w:jc w:val="both"/>
              <w:rPr>
                <w:b/>
                <w:sz w:val="20"/>
                <w:szCs w:val="20"/>
                <w:lang w:val="en-US"/>
              </w:rPr>
            </w:pPr>
            <w:r w:rsidRPr="007F2DB8">
              <w:rPr>
                <w:b/>
                <w:sz w:val="20"/>
                <w:szCs w:val="20"/>
                <w:lang w:val="en-US"/>
              </w:rPr>
              <w:t>Anita Endean, as representative plaintiff v. Her Majesty the Queen in Right of the Province of British Columbia and Attorney General of Canada</w:t>
            </w:r>
          </w:p>
          <w:p w:rsidR="007F2DB8" w:rsidRPr="007F2DB8" w:rsidRDefault="007F2DB8" w:rsidP="007F2DB8">
            <w:pPr>
              <w:jc w:val="both"/>
              <w:rPr>
                <w:sz w:val="20"/>
              </w:rPr>
            </w:pPr>
            <w:r w:rsidRPr="007F2DB8">
              <w:rPr>
                <w:sz w:val="20"/>
              </w:rPr>
              <w:t>(B.C.) (Civil) (By Leave)</w:t>
            </w:r>
          </w:p>
        </w:tc>
      </w:tr>
      <w:tr w:rsidR="007F2DB8" w:rsidRPr="007F2DB8" w:rsidTr="007F2DB8">
        <w:tc>
          <w:tcPr>
            <w:tcW w:w="5000" w:type="pct"/>
            <w:gridSpan w:val="4"/>
          </w:tcPr>
          <w:p w:rsidR="007F2DB8" w:rsidRPr="007F2DB8" w:rsidRDefault="007F2DB8" w:rsidP="007F2DB8">
            <w:pPr>
              <w:jc w:val="both"/>
              <w:rPr>
                <w:sz w:val="20"/>
              </w:rPr>
            </w:pPr>
            <w:r w:rsidRPr="007F2DB8">
              <w:rPr>
                <w:sz w:val="20"/>
              </w:rPr>
              <w:t xml:space="preserve">Courts – Jurisdiction – Provincial and territorial superior courts – Civil procedure – Class actions – National settlement agreement to class actions assigning supervisory role over settlement to superior court judges in Quebec, </w:t>
            </w:r>
            <w:r w:rsidRPr="007F2DB8">
              <w:rPr>
                <w:sz w:val="20"/>
              </w:rPr>
              <w:lastRenderedPageBreak/>
              <w:t>Ontario and British Columbia – Class counsel for representative plaintiffs in these three provinces applying for directions from their respective courts on whether applications under settlement agreement can be heard simultaneously by supervisory judges in a fourth province – Whether a superior court judge of one province has jurisdiction to sit in another Canadian province to hear matters over which that judge has subject matter and personal jurisdiction – Whether, if the jurisdiction exists, it is properly exercised to hold a joint hearing outside the province with other superior court justices who have concurrent and/or overlapping jurisdiction over the administration of a settlement agreement of class actions which covers the entirety of the Canadian federation.</w:t>
            </w:r>
          </w:p>
        </w:tc>
      </w:tr>
      <w:tr w:rsidR="007F2DB8" w:rsidRPr="007F2DB8" w:rsidTr="007F2DB8">
        <w:tc>
          <w:tcPr>
            <w:tcW w:w="5000" w:type="pct"/>
            <w:gridSpan w:val="4"/>
          </w:tcPr>
          <w:p w:rsidR="007F2DB8" w:rsidRPr="007F2DB8" w:rsidRDefault="007F2DB8" w:rsidP="007F2DB8">
            <w:pPr>
              <w:jc w:val="both"/>
              <w:rPr>
                <w:sz w:val="20"/>
              </w:rPr>
            </w:pPr>
          </w:p>
        </w:tc>
      </w:tr>
      <w:tr w:rsidR="007F2DB8" w:rsidRPr="007F2DB8" w:rsidTr="007F2DB8">
        <w:tc>
          <w:tcPr>
            <w:tcW w:w="5000" w:type="pct"/>
            <w:gridSpan w:val="4"/>
          </w:tcPr>
          <w:p w:rsidR="007F2DB8" w:rsidRPr="007F2DB8" w:rsidRDefault="007F2DB8" w:rsidP="007F2DB8">
            <w:pPr>
              <w:jc w:val="both"/>
              <w:rPr>
                <w:sz w:val="20"/>
              </w:rPr>
            </w:pPr>
            <w:r w:rsidRPr="007F2DB8">
              <w:rPr>
                <w:sz w:val="20"/>
              </w:rPr>
              <w:t xml:space="preserve">In the context of a national class action, the settlement agreement assigns a supervisory role to superior court judges in Ontario, British Columbia and Quebec. It also provides that although each of the three courts is to exercise an independent supervisory power over the settlement within its own jurisdiction, any order by a court only takes effect once there are materially identical orders of the other two courts. In 2012, contested motions were brought by class action counsel in each of the three provinces pursuant to the settlement agreement. Class counsel in each province proposed that the most efficient and effective procedure for adjudicating the motions would be for the three supervisory judges to sit together in one location. The Attorneys General of the three provinces objected to the judges of their provinces sitting outside the territorial boundaries of their provinces. Class action counsel therefore brought applications for directions in their respective province for a determination on the jurisdictional issue. </w:t>
            </w: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t>June 19, 2013</w:t>
            </w:r>
          </w:p>
          <w:p w:rsidR="007F2DB8" w:rsidRPr="007F2DB8" w:rsidRDefault="007F2DB8" w:rsidP="007F2DB8">
            <w:pPr>
              <w:jc w:val="both"/>
              <w:rPr>
                <w:sz w:val="20"/>
              </w:rPr>
            </w:pPr>
            <w:r w:rsidRPr="007F2DB8">
              <w:rPr>
                <w:sz w:val="20"/>
              </w:rPr>
              <w:t>Supreme Court of British Columbia</w:t>
            </w:r>
          </w:p>
          <w:p w:rsidR="007F2DB8" w:rsidRPr="007F2DB8" w:rsidRDefault="007F2DB8" w:rsidP="007F2DB8">
            <w:pPr>
              <w:jc w:val="both"/>
              <w:rPr>
                <w:sz w:val="20"/>
              </w:rPr>
            </w:pPr>
            <w:r w:rsidRPr="007F2DB8">
              <w:rPr>
                <w:sz w:val="20"/>
              </w:rPr>
              <w:t>(Bauman C.J.)</w:t>
            </w:r>
          </w:p>
          <w:p w:rsidR="007F2DB8" w:rsidRPr="007F2DB8" w:rsidRDefault="00A96461" w:rsidP="007F2DB8">
            <w:pPr>
              <w:jc w:val="both"/>
              <w:rPr>
                <w:sz w:val="20"/>
              </w:rPr>
            </w:pPr>
            <w:hyperlink r:id="rId42" w:history="1">
              <w:r w:rsidR="007F2DB8" w:rsidRPr="007F2DB8">
                <w:rPr>
                  <w:rStyle w:val="Hyperlink"/>
                  <w:sz w:val="20"/>
                </w:rPr>
                <w:t>2013 BCSC 1074</w:t>
              </w:r>
            </w:hyperlink>
          </w:p>
          <w:p w:rsidR="007F2DB8" w:rsidRPr="007F2DB8" w:rsidRDefault="007F2DB8" w:rsidP="007F2DB8">
            <w:pPr>
              <w:jc w:val="both"/>
              <w:rPr>
                <w:sz w:val="20"/>
              </w:rPr>
            </w:pPr>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Order on application for directions by class counsel for applicant: a judge of the British Columbia Supreme Court has the discretion to sit with his or her counterparts in another province to hear applications under the 1986-1990 Hepatitis C Settlement Agreement and it is appropriate to hear such an application in a location outside British Columbia alongside the other supervisory judges from Ontario and Quebec</w:t>
            </w: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t>February 17, 2014</w:t>
            </w:r>
          </w:p>
          <w:p w:rsidR="007F2DB8" w:rsidRPr="007F2DB8" w:rsidRDefault="007F2DB8" w:rsidP="007F2DB8">
            <w:pPr>
              <w:jc w:val="both"/>
              <w:rPr>
                <w:sz w:val="20"/>
              </w:rPr>
            </w:pPr>
            <w:r w:rsidRPr="007F2DB8">
              <w:rPr>
                <w:sz w:val="20"/>
              </w:rPr>
              <w:t xml:space="preserve">Court of Appeal for British Columbia </w:t>
            </w:r>
          </w:p>
          <w:p w:rsidR="007F2DB8" w:rsidRPr="007F2DB8" w:rsidRDefault="007F2DB8" w:rsidP="007F2DB8">
            <w:pPr>
              <w:jc w:val="both"/>
              <w:rPr>
                <w:sz w:val="20"/>
              </w:rPr>
            </w:pPr>
            <w:r w:rsidRPr="007F2DB8">
              <w:rPr>
                <w:sz w:val="20"/>
              </w:rPr>
              <w:t>(Vancouver)</w:t>
            </w:r>
          </w:p>
          <w:p w:rsidR="007F2DB8" w:rsidRPr="007F2DB8" w:rsidRDefault="007F2DB8" w:rsidP="007F2DB8">
            <w:pPr>
              <w:jc w:val="both"/>
              <w:rPr>
                <w:sz w:val="20"/>
              </w:rPr>
            </w:pPr>
            <w:r w:rsidRPr="007F2DB8">
              <w:rPr>
                <w:sz w:val="20"/>
              </w:rPr>
              <w:t>(Saunders, Tysoe and Goepel JJ.A.)</w:t>
            </w:r>
          </w:p>
          <w:p w:rsidR="007F2DB8" w:rsidRPr="007F2DB8" w:rsidRDefault="00A96461" w:rsidP="007F2DB8">
            <w:pPr>
              <w:jc w:val="both"/>
              <w:rPr>
                <w:rStyle w:val="Hyperlink"/>
                <w:sz w:val="20"/>
              </w:rPr>
            </w:pPr>
            <w:hyperlink r:id="rId43" w:history="1">
              <w:r w:rsidR="007F2DB8" w:rsidRPr="007F2DB8">
                <w:rPr>
                  <w:rStyle w:val="Hyperlink"/>
                  <w:sz w:val="20"/>
                </w:rPr>
                <w:t>2014 BCCA 61</w:t>
              </w:r>
            </w:hyperlink>
          </w:p>
          <w:p w:rsidR="007F2DB8" w:rsidRPr="007F2DB8" w:rsidRDefault="007F2DB8" w:rsidP="007F2DB8">
            <w:pPr>
              <w:jc w:val="both"/>
              <w:rPr>
                <w:sz w:val="20"/>
              </w:rPr>
            </w:pPr>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Appeal allowed: British Columbia judges cannot conduct hearings that take place outside the province</w:t>
            </w: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t>April 22, 2014</w:t>
            </w:r>
          </w:p>
          <w:p w:rsidR="007F2DB8" w:rsidRPr="007F2DB8" w:rsidRDefault="007F2DB8" w:rsidP="007F2DB8">
            <w:pPr>
              <w:jc w:val="both"/>
              <w:rPr>
                <w:sz w:val="20"/>
              </w:rPr>
            </w:pPr>
            <w:r w:rsidRPr="007F2DB8">
              <w:rPr>
                <w:sz w:val="20"/>
              </w:rPr>
              <w:t>Supreme Court of Canada</w:t>
            </w:r>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Application for leave to appeal filed; Motion for extension of time to serve and file memorandum of argument and book of authorities filed</w:t>
            </w: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t>April 30, 2014</w:t>
            </w:r>
          </w:p>
          <w:p w:rsidR="007F2DB8" w:rsidRPr="007F2DB8" w:rsidRDefault="007F2DB8" w:rsidP="007F2DB8">
            <w:pPr>
              <w:jc w:val="both"/>
              <w:rPr>
                <w:sz w:val="20"/>
              </w:rPr>
            </w:pPr>
            <w:r w:rsidRPr="007F2DB8">
              <w:rPr>
                <w:sz w:val="20"/>
              </w:rPr>
              <w:t>Supreme Court of Canada</w:t>
            </w:r>
          </w:p>
          <w:p w:rsidR="007F2DB8" w:rsidRPr="007F2DB8" w:rsidRDefault="007F2DB8" w:rsidP="007F2DB8">
            <w:pPr>
              <w:jc w:val="both"/>
              <w:rPr>
                <w:sz w:val="20"/>
              </w:rPr>
            </w:pPr>
            <w:r w:rsidRPr="007F2DB8">
              <w:rPr>
                <w:sz w:val="20"/>
              </w:rPr>
              <w:t xml:space="preserve">(LeBel J.) </w:t>
            </w:r>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 xml:space="preserve">Motion for extension of time allowed: applicant must file memorandum of argument and book of authorities within 60 days after the Ontario Court of Appeal issues reasons for judgment in </w:t>
            </w:r>
            <w:r w:rsidRPr="007F2DB8">
              <w:rPr>
                <w:i/>
                <w:sz w:val="20"/>
              </w:rPr>
              <w:t>Parsons et al. v. Her Majesty the Queen in Right of Ontario et al.</w:t>
            </w:r>
            <w:r w:rsidRPr="007F2DB8">
              <w:rPr>
                <w:sz w:val="20"/>
              </w:rPr>
              <w:t xml:space="preserve"> (Docket No. C57131)</w:t>
            </w: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t>May 11, 2015</w:t>
            </w:r>
          </w:p>
          <w:p w:rsidR="007F2DB8" w:rsidRPr="007F2DB8" w:rsidRDefault="007F2DB8" w:rsidP="007F2DB8">
            <w:pPr>
              <w:jc w:val="both"/>
              <w:rPr>
                <w:sz w:val="20"/>
              </w:rPr>
            </w:pPr>
            <w:r w:rsidRPr="007F2DB8">
              <w:rPr>
                <w:sz w:val="20"/>
              </w:rPr>
              <w:t>Supreme Court of Canada</w:t>
            </w:r>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Applicant’s memorandum of argument and book of authorities filed</w:t>
            </w:r>
          </w:p>
        </w:tc>
      </w:tr>
    </w:tbl>
    <w:p w:rsidR="007F2DB8" w:rsidRPr="008C43B3" w:rsidRDefault="007F2DB8" w:rsidP="008C43B3">
      <w:pPr>
        <w:jc w:val="both"/>
        <w:rPr>
          <w:sz w:val="20"/>
        </w:rPr>
      </w:pPr>
    </w:p>
    <w:p w:rsidR="008C43B3" w:rsidRPr="008C43B3" w:rsidRDefault="008C43B3" w:rsidP="008C43B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C43B3" w:rsidRPr="00F9562A" w:rsidTr="00E95A6A">
        <w:tc>
          <w:tcPr>
            <w:tcW w:w="543" w:type="pct"/>
          </w:tcPr>
          <w:p w:rsidR="008C43B3" w:rsidRPr="008C43B3" w:rsidRDefault="008C43B3" w:rsidP="008C43B3">
            <w:pPr>
              <w:jc w:val="both"/>
              <w:rPr>
                <w:sz w:val="20"/>
                <w:lang w:val="fr-CA"/>
              </w:rPr>
            </w:pPr>
            <w:r w:rsidRPr="008C43B3">
              <w:rPr>
                <w:rStyle w:val="SCCFileNumberChar"/>
                <w:sz w:val="20"/>
                <w:szCs w:val="20"/>
                <w:lang w:val="fr-CA"/>
              </w:rPr>
              <w:lastRenderedPageBreak/>
              <w:t>35843</w:t>
            </w:r>
          </w:p>
        </w:tc>
        <w:tc>
          <w:tcPr>
            <w:tcW w:w="4457" w:type="pct"/>
            <w:gridSpan w:val="3"/>
          </w:tcPr>
          <w:p w:rsidR="008C43B3" w:rsidRPr="008C43B3" w:rsidRDefault="008C43B3" w:rsidP="008C43B3">
            <w:pPr>
              <w:pStyle w:val="SCCLsocParty"/>
              <w:jc w:val="both"/>
              <w:rPr>
                <w:b/>
                <w:sz w:val="20"/>
                <w:szCs w:val="20"/>
              </w:rPr>
            </w:pPr>
            <w:r w:rsidRPr="008C43B3">
              <w:rPr>
                <w:b/>
                <w:sz w:val="20"/>
                <w:szCs w:val="20"/>
              </w:rPr>
              <w:t>Anita Endean, en sa qualité de représentante des demandeurs c. Sa Majesté la Reine du chef de la Colombie-Britannique et procureur général du Canada</w:t>
            </w:r>
          </w:p>
          <w:p w:rsidR="008C43B3" w:rsidRPr="008C43B3" w:rsidRDefault="008C43B3" w:rsidP="008C43B3">
            <w:pPr>
              <w:jc w:val="both"/>
              <w:rPr>
                <w:sz w:val="20"/>
                <w:lang w:val="fr-CA"/>
              </w:rPr>
            </w:pPr>
            <w:r w:rsidRPr="008C43B3">
              <w:rPr>
                <w:sz w:val="20"/>
                <w:lang w:val="fr-CA"/>
              </w:rPr>
              <w:t>(C.-B.) (Civile) (Sur autorisation)</w:t>
            </w:r>
          </w:p>
        </w:tc>
      </w:tr>
      <w:tr w:rsidR="008C43B3" w:rsidRPr="00F9562A" w:rsidTr="00E95A6A">
        <w:tc>
          <w:tcPr>
            <w:tcW w:w="5000" w:type="pct"/>
            <w:gridSpan w:val="4"/>
          </w:tcPr>
          <w:p w:rsidR="008C43B3" w:rsidRPr="008C43B3" w:rsidRDefault="008C43B3" w:rsidP="008C43B3">
            <w:pPr>
              <w:jc w:val="both"/>
              <w:rPr>
                <w:sz w:val="20"/>
                <w:lang w:val="fr-CA"/>
              </w:rPr>
            </w:pPr>
            <w:r w:rsidRPr="008C43B3">
              <w:rPr>
                <w:sz w:val="20"/>
                <w:lang w:val="fr-CA"/>
              </w:rPr>
              <w:t xml:space="preserve">Tribunaux – Compétence – Cours supérieures provinciales et territoriales – Procédure civile – Recours collectifs – Une convention nationale de règlement de recours collectifs attribue aux juges des cours supérieures au Québec, en Ontario et en Colombie-Britannique un rôle de supervision du règlement – Dans chacune de ces trois provinces, les avocats du groupe, agissant pour les représentants des demandeurs, ont demandé aux cours respectives de leur donner des directives sur la question de savoir si des demandes faites en application de la convention de règlement pouvaient être entendues simultanément par des juges superviseurs dans une quatrième province – Un juge de la cour supérieure d’une province a-t-il compétence pour siéger dans une autre province canadienne et entendre des affaires à l’égard desquelles il a compétence </w:t>
            </w:r>
            <w:r w:rsidRPr="008C43B3">
              <w:rPr>
                <w:i/>
                <w:sz w:val="20"/>
                <w:lang w:val="fr-CA"/>
              </w:rPr>
              <w:t>rationae materiae</w:t>
            </w:r>
            <w:r w:rsidRPr="008C43B3">
              <w:rPr>
                <w:sz w:val="20"/>
                <w:lang w:val="fr-CA"/>
              </w:rPr>
              <w:t xml:space="preserve"> et compétence personnelle? – Si la compétence existe, est-elle exercée à bon droit pour la tenue d’une audience conjointe à l’extérieur de la province avec d’autres juges de cours supérieures dont les compétences sont concurrentes ou se chevauchent à l’égard de l’administration d’une convention de règlement de recours collectifs qui couvre l’ensemble de la fédération canadienne?</w:t>
            </w:r>
          </w:p>
        </w:tc>
      </w:tr>
      <w:tr w:rsidR="008C43B3" w:rsidRPr="00F9562A" w:rsidTr="00E95A6A">
        <w:tc>
          <w:tcPr>
            <w:tcW w:w="5000" w:type="pct"/>
            <w:gridSpan w:val="4"/>
          </w:tcPr>
          <w:p w:rsidR="008C43B3" w:rsidRPr="008C43B3" w:rsidRDefault="008C43B3" w:rsidP="008C43B3">
            <w:pPr>
              <w:jc w:val="both"/>
              <w:rPr>
                <w:sz w:val="20"/>
                <w:lang w:val="fr-CA"/>
              </w:rPr>
            </w:pPr>
          </w:p>
        </w:tc>
      </w:tr>
      <w:tr w:rsidR="008C43B3" w:rsidRPr="00F9562A" w:rsidTr="00E95A6A">
        <w:tc>
          <w:tcPr>
            <w:tcW w:w="5000" w:type="pct"/>
            <w:gridSpan w:val="4"/>
          </w:tcPr>
          <w:p w:rsidR="008C43B3" w:rsidRPr="008C43B3" w:rsidRDefault="008C43B3" w:rsidP="008C43B3">
            <w:pPr>
              <w:jc w:val="both"/>
              <w:rPr>
                <w:sz w:val="20"/>
                <w:lang w:val="fr-CA"/>
              </w:rPr>
            </w:pPr>
            <w:r w:rsidRPr="008C43B3">
              <w:rPr>
                <w:sz w:val="20"/>
                <w:lang w:val="fr-CA"/>
              </w:rPr>
              <w:t xml:space="preserve">Dans le cadre d’un recours collectif national, la convention de règlement attribue un rôle de supervision aux juges des cours supérieures en Ontario, en Colombie-Britannique et au Québec. Le règlement prévoit également que même si chacune des trois cours doit exercer un pouvoir de supervision indépendant à l’égard du règlement à l’intérieur de son propre ressort, l’ordonnance d’une cour ne prend effet que lorsque les deux autres cours ont rendu des ordonnances identiques quant au fond. En 2012, les avocats du groupe ont présenté des requêtes contestées dans chacune des trois provinces en application de la convention de règlement. Les avocats du groupe dans chacune des provinces ont proposé que la procédure la plus efficiente et efficace pour trancher les requêtes serait que les trois juges superviseurs siègent ensemble à un seul endroit. Les procureurs généraux des trois provinces se sont opposés à ce que des juges de leurs provinces siègent à l’extérieur des limites territoriales de leurs provinces. Les avocats du groupe ont donc présenté des demandes en vue d’obtenir des directives dans leurs provinces respectives pour qu’il soit statué sur la question de la compétence. </w:t>
            </w:r>
          </w:p>
          <w:p w:rsidR="008C43B3" w:rsidRPr="008C43B3" w:rsidRDefault="008C43B3" w:rsidP="008C43B3">
            <w:pPr>
              <w:jc w:val="both"/>
              <w:rPr>
                <w:sz w:val="20"/>
                <w:lang w:val="fr-CA"/>
              </w:rPr>
            </w:pPr>
          </w:p>
        </w:tc>
      </w:tr>
      <w:tr w:rsidR="008C43B3" w:rsidRPr="00F9562A" w:rsidTr="00E95A6A">
        <w:tc>
          <w:tcPr>
            <w:tcW w:w="2427" w:type="pct"/>
            <w:gridSpan w:val="2"/>
          </w:tcPr>
          <w:p w:rsidR="008C43B3" w:rsidRPr="008C43B3" w:rsidRDefault="008C43B3" w:rsidP="008C43B3">
            <w:pPr>
              <w:jc w:val="both"/>
              <w:rPr>
                <w:sz w:val="20"/>
                <w:lang w:val="fr-CA"/>
              </w:rPr>
            </w:pPr>
            <w:r w:rsidRPr="008C43B3">
              <w:rPr>
                <w:sz w:val="20"/>
                <w:lang w:val="fr-CA"/>
              </w:rPr>
              <w:t>19 juin 2013</w:t>
            </w:r>
          </w:p>
          <w:p w:rsidR="008C43B3" w:rsidRPr="008C43B3" w:rsidRDefault="008C43B3" w:rsidP="008C43B3">
            <w:pPr>
              <w:jc w:val="both"/>
              <w:rPr>
                <w:sz w:val="20"/>
                <w:lang w:val="fr-CA"/>
              </w:rPr>
            </w:pPr>
            <w:r w:rsidRPr="008C43B3">
              <w:rPr>
                <w:sz w:val="20"/>
                <w:lang w:val="fr-CA"/>
              </w:rPr>
              <w:t>Cour suprême de la Colombie-Britannique</w:t>
            </w:r>
          </w:p>
          <w:p w:rsidR="008C43B3" w:rsidRPr="008C43B3" w:rsidRDefault="008C43B3" w:rsidP="008C43B3">
            <w:pPr>
              <w:jc w:val="both"/>
              <w:rPr>
                <w:sz w:val="20"/>
                <w:lang w:val="fr-CA"/>
              </w:rPr>
            </w:pPr>
            <w:r w:rsidRPr="008C43B3">
              <w:rPr>
                <w:sz w:val="20"/>
                <w:lang w:val="fr-CA"/>
              </w:rPr>
              <w:t>(Juge en chef Bauman)</w:t>
            </w:r>
          </w:p>
          <w:p w:rsidR="008C43B3" w:rsidRPr="008C43B3" w:rsidRDefault="00A96461" w:rsidP="008C43B3">
            <w:pPr>
              <w:jc w:val="both"/>
              <w:rPr>
                <w:sz w:val="20"/>
                <w:lang w:val="fr-CA"/>
              </w:rPr>
            </w:pPr>
            <w:hyperlink r:id="rId44" w:history="1">
              <w:r w:rsidR="008C43B3" w:rsidRPr="008C43B3">
                <w:rPr>
                  <w:rStyle w:val="Hyperlink"/>
                  <w:sz w:val="20"/>
                  <w:lang w:val="fr-CA"/>
                </w:rPr>
                <w:t>2013 BCSC 1074</w:t>
              </w:r>
            </w:hyperlink>
          </w:p>
          <w:p w:rsidR="008C43B3" w:rsidRPr="008C43B3" w:rsidRDefault="008C43B3" w:rsidP="008C43B3">
            <w:pPr>
              <w:jc w:val="both"/>
              <w:rPr>
                <w:sz w:val="20"/>
                <w:lang w:val="fr-CA"/>
              </w:rPr>
            </w:pPr>
          </w:p>
        </w:tc>
        <w:tc>
          <w:tcPr>
            <w:tcW w:w="243" w:type="pct"/>
          </w:tcPr>
          <w:p w:rsidR="008C43B3" w:rsidRPr="008C43B3" w:rsidRDefault="008C43B3" w:rsidP="008C43B3">
            <w:pPr>
              <w:jc w:val="both"/>
              <w:rPr>
                <w:sz w:val="20"/>
                <w:lang w:val="fr-CA"/>
              </w:rPr>
            </w:pPr>
          </w:p>
        </w:tc>
        <w:tc>
          <w:tcPr>
            <w:tcW w:w="2330" w:type="pct"/>
          </w:tcPr>
          <w:p w:rsidR="008C43B3" w:rsidRPr="008C43B3" w:rsidRDefault="008C43B3" w:rsidP="008C43B3">
            <w:pPr>
              <w:jc w:val="both"/>
              <w:rPr>
                <w:sz w:val="20"/>
                <w:lang w:val="fr-CA"/>
              </w:rPr>
            </w:pPr>
            <w:r w:rsidRPr="008C43B3">
              <w:rPr>
                <w:sz w:val="20"/>
                <w:lang w:val="fr-CA"/>
              </w:rPr>
              <w:t>Ordonnance rendue à la suite d’une demande de directives présentée par les avocats des recours collectifs représentant la demanderesse : un juge de la Cour suprême de la Colombie-Britannique a le pouvoir discrétionnaire de siéger avec ses homologues dans une autre province pour entendre des demandes en application de la Convention de règlement relatif à l’Hépatite C 1986-1990 et il est approprié d’entendre une telle demande à l’extérieur de la Colombie-Britannique avec d’autres juges superviseurs de l’Ontario et du Québec</w:t>
            </w:r>
          </w:p>
          <w:p w:rsidR="008C43B3" w:rsidRPr="008C43B3" w:rsidRDefault="008C43B3" w:rsidP="008C43B3">
            <w:pPr>
              <w:jc w:val="both"/>
              <w:rPr>
                <w:sz w:val="20"/>
                <w:lang w:val="fr-CA"/>
              </w:rPr>
            </w:pPr>
          </w:p>
        </w:tc>
      </w:tr>
      <w:tr w:rsidR="008C43B3" w:rsidRPr="00F9562A" w:rsidTr="00E95A6A">
        <w:tc>
          <w:tcPr>
            <w:tcW w:w="2427" w:type="pct"/>
            <w:gridSpan w:val="2"/>
          </w:tcPr>
          <w:p w:rsidR="008C43B3" w:rsidRPr="008C43B3" w:rsidRDefault="008C43B3" w:rsidP="008C43B3">
            <w:pPr>
              <w:jc w:val="both"/>
              <w:rPr>
                <w:sz w:val="20"/>
                <w:lang w:val="fr-CA"/>
              </w:rPr>
            </w:pPr>
            <w:r w:rsidRPr="008C43B3">
              <w:rPr>
                <w:sz w:val="20"/>
                <w:lang w:val="fr-CA"/>
              </w:rPr>
              <w:t>17 février 2014</w:t>
            </w:r>
          </w:p>
          <w:p w:rsidR="008C43B3" w:rsidRPr="008C43B3" w:rsidRDefault="008C43B3" w:rsidP="008C43B3">
            <w:pPr>
              <w:jc w:val="both"/>
              <w:rPr>
                <w:sz w:val="20"/>
                <w:lang w:val="fr-CA"/>
              </w:rPr>
            </w:pPr>
            <w:r w:rsidRPr="008C43B3">
              <w:rPr>
                <w:sz w:val="20"/>
                <w:lang w:val="fr-CA"/>
              </w:rPr>
              <w:t>Cour d’appel de la Colombie-Britannique</w:t>
            </w:r>
          </w:p>
          <w:p w:rsidR="008C43B3" w:rsidRPr="008C43B3" w:rsidRDefault="008C43B3" w:rsidP="008C43B3">
            <w:pPr>
              <w:jc w:val="both"/>
              <w:rPr>
                <w:sz w:val="20"/>
                <w:lang w:val="fr-CA"/>
              </w:rPr>
            </w:pPr>
            <w:r w:rsidRPr="008C43B3">
              <w:rPr>
                <w:sz w:val="20"/>
                <w:lang w:val="fr-CA"/>
              </w:rPr>
              <w:t>(Vancouver)</w:t>
            </w:r>
          </w:p>
          <w:p w:rsidR="008C43B3" w:rsidRPr="008C43B3" w:rsidRDefault="008C43B3" w:rsidP="008C43B3">
            <w:pPr>
              <w:jc w:val="both"/>
              <w:rPr>
                <w:sz w:val="20"/>
                <w:lang w:val="fr-CA"/>
              </w:rPr>
            </w:pPr>
            <w:r w:rsidRPr="008C43B3">
              <w:rPr>
                <w:sz w:val="20"/>
                <w:lang w:val="fr-CA"/>
              </w:rPr>
              <w:t>(Juges Saunders, Tysoe et Goepel)</w:t>
            </w:r>
          </w:p>
          <w:p w:rsidR="008C43B3" w:rsidRPr="008C43B3" w:rsidRDefault="00A96461" w:rsidP="008C43B3">
            <w:pPr>
              <w:jc w:val="both"/>
              <w:rPr>
                <w:rStyle w:val="Hyperlink"/>
                <w:sz w:val="20"/>
                <w:lang w:val="fr-CA"/>
              </w:rPr>
            </w:pPr>
            <w:hyperlink r:id="rId45" w:history="1">
              <w:r w:rsidR="008C43B3" w:rsidRPr="008C43B3">
                <w:rPr>
                  <w:rStyle w:val="Hyperlink"/>
                  <w:sz w:val="20"/>
                  <w:lang w:val="fr-CA"/>
                </w:rPr>
                <w:t>2014 BCCA 61</w:t>
              </w:r>
            </w:hyperlink>
          </w:p>
          <w:p w:rsidR="008C43B3" w:rsidRPr="008C43B3" w:rsidRDefault="008C43B3" w:rsidP="008C43B3">
            <w:pPr>
              <w:jc w:val="both"/>
              <w:rPr>
                <w:sz w:val="20"/>
                <w:lang w:val="fr-CA"/>
              </w:rPr>
            </w:pPr>
          </w:p>
        </w:tc>
        <w:tc>
          <w:tcPr>
            <w:tcW w:w="243" w:type="pct"/>
          </w:tcPr>
          <w:p w:rsidR="008C43B3" w:rsidRPr="008C43B3" w:rsidRDefault="008C43B3" w:rsidP="008C43B3">
            <w:pPr>
              <w:jc w:val="both"/>
              <w:rPr>
                <w:sz w:val="20"/>
                <w:lang w:val="fr-CA"/>
              </w:rPr>
            </w:pPr>
          </w:p>
        </w:tc>
        <w:tc>
          <w:tcPr>
            <w:tcW w:w="2330" w:type="pct"/>
          </w:tcPr>
          <w:p w:rsidR="008C43B3" w:rsidRPr="008C43B3" w:rsidRDefault="008C43B3" w:rsidP="008C43B3">
            <w:pPr>
              <w:jc w:val="both"/>
              <w:rPr>
                <w:sz w:val="20"/>
                <w:lang w:val="fr-CA"/>
              </w:rPr>
            </w:pPr>
            <w:r w:rsidRPr="008C43B3">
              <w:rPr>
                <w:sz w:val="20"/>
                <w:lang w:val="fr-CA"/>
              </w:rPr>
              <w:t>Arrêt accueillant l’appel : les juges de la Colombie-Britannique ne peuvent tenir des audiences à  l’extérieur de la province</w:t>
            </w:r>
          </w:p>
          <w:p w:rsidR="008C43B3" w:rsidRPr="008C43B3" w:rsidRDefault="008C43B3" w:rsidP="008C43B3">
            <w:pPr>
              <w:jc w:val="both"/>
              <w:rPr>
                <w:sz w:val="20"/>
                <w:lang w:val="fr-CA"/>
              </w:rPr>
            </w:pPr>
          </w:p>
        </w:tc>
      </w:tr>
      <w:tr w:rsidR="008C43B3" w:rsidRPr="00F9562A" w:rsidTr="00E95A6A">
        <w:tc>
          <w:tcPr>
            <w:tcW w:w="2427" w:type="pct"/>
            <w:gridSpan w:val="2"/>
          </w:tcPr>
          <w:p w:rsidR="008C43B3" w:rsidRPr="008C43B3" w:rsidRDefault="008C43B3" w:rsidP="008C43B3">
            <w:pPr>
              <w:jc w:val="both"/>
              <w:rPr>
                <w:sz w:val="20"/>
                <w:lang w:val="fr-CA"/>
              </w:rPr>
            </w:pPr>
            <w:r w:rsidRPr="008C43B3">
              <w:rPr>
                <w:sz w:val="20"/>
                <w:lang w:val="fr-CA"/>
              </w:rPr>
              <w:t>22 avril 2014</w:t>
            </w:r>
          </w:p>
          <w:p w:rsidR="008C43B3" w:rsidRPr="008C43B3" w:rsidRDefault="008C43B3" w:rsidP="008C43B3">
            <w:pPr>
              <w:jc w:val="both"/>
              <w:rPr>
                <w:sz w:val="20"/>
                <w:lang w:val="fr-CA"/>
              </w:rPr>
            </w:pPr>
            <w:r w:rsidRPr="008C43B3">
              <w:rPr>
                <w:sz w:val="20"/>
                <w:lang w:val="fr-CA"/>
              </w:rPr>
              <w:t>Cour suprême du Canada</w:t>
            </w:r>
          </w:p>
        </w:tc>
        <w:tc>
          <w:tcPr>
            <w:tcW w:w="243" w:type="pct"/>
          </w:tcPr>
          <w:p w:rsidR="008C43B3" w:rsidRPr="008C43B3" w:rsidRDefault="008C43B3" w:rsidP="008C43B3">
            <w:pPr>
              <w:jc w:val="both"/>
              <w:rPr>
                <w:sz w:val="20"/>
                <w:lang w:val="fr-CA"/>
              </w:rPr>
            </w:pPr>
          </w:p>
        </w:tc>
        <w:tc>
          <w:tcPr>
            <w:tcW w:w="2330" w:type="pct"/>
          </w:tcPr>
          <w:p w:rsidR="008C43B3" w:rsidRPr="008C43B3" w:rsidRDefault="008C43B3" w:rsidP="008C43B3">
            <w:pPr>
              <w:jc w:val="both"/>
              <w:rPr>
                <w:sz w:val="20"/>
                <w:lang w:val="fr-CA"/>
              </w:rPr>
            </w:pPr>
            <w:r w:rsidRPr="008C43B3">
              <w:rPr>
                <w:sz w:val="20"/>
                <w:lang w:val="fr-CA"/>
              </w:rPr>
              <w:t>Dépôt de la demande d’autorisation d’appel; dépôt de la requête en prorogation du délai de signification et de dépôt du mémoire et du recueil de sources</w:t>
            </w:r>
          </w:p>
          <w:p w:rsidR="008C43B3" w:rsidRPr="008C43B3" w:rsidRDefault="008C43B3" w:rsidP="008C43B3">
            <w:pPr>
              <w:jc w:val="both"/>
              <w:rPr>
                <w:sz w:val="20"/>
                <w:lang w:val="fr-CA"/>
              </w:rPr>
            </w:pPr>
          </w:p>
        </w:tc>
      </w:tr>
      <w:tr w:rsidR="008C43B3" w:rsidRPr="008C43B3" w:rsidTr="00E95A6A">
        <w:tc>
          <w:tcPr>
            <w:tcW w:w="2427" w:type="pct"/>
            <w:gridSpan w:val="2"/>
          </w:tcPr>
          <w:p w:rsidR="008C43B3" w:rsidRPr="008C43B3" w:rsidRDefault="008C43B3" w:rsidP="008C43B3">
            <w:pPr>
              <w:jc w:val="both"/>
              <w:rPr>
                <w:sz w:val="20"/>
                <w:lang w:val="fr-CA"/>
              </w:rPr>
            </w:pPr>
            <w:r w:rsidRPr="008C43B3">
              <w:rPr>
                <w:sz w:val="20"/>
                <w:lang w:val="fr-CA"/>
              </w:rPr>
              <w:lastRenderedPageBreak/>
              <w:t>30 avril 2014</w:t>
            </w:r>
          </w:p>
          <w:p w:rsidR="008C43B3" w:rsidRPr="008C43B3" w:rsidRDefault="008C43B3" w:rsidP="008C43B3">
            <w:pPr>
              <w:jc w:val="both"/>
              <w:rPr>
                <w:sz w:val="20"/>
                <w:lang w:val="fr-CA"/>
              </w:rPr>
            </w:pPr>
            <w:r w:rsidRPr="008C43B3">
              <w:rPr>
                <w:sz w:val="20"/>
                <w:lang w:val="fr-CA"/>
              </w:rPr>
              <w:t>Cour suprême du Canada</w:t>
            </w:r>
          </w:p>
          <w:p w:rsidR="008C43B3" w:rsidRPr="008C43B3" w:rsidRDefault="008C43B3" w:rsidP="008C43B3">
            <w:pPr>
              <w:jc w:val="both"/>
              <w:rPr>
                <w:sz w:val="20"/>
                <w:lang w:val="fr-CA"/>
              </w:rPr>
            </w:pPr>
            <w:r w:rsidRPr="008C43B3">
              <w:rPr>
                <w:sz w:val="20"/>
                <w:lang w:val="fr-CA"/>
              </w:rPr>
              <w:t xml:space="preserve">(Juge LeBel) </w:t>
            </w:r>
          </w:p>
        </w:tc>
        <w:tc>
          <w:tcPr>
            <w:tcW w:w="243" w:type="pct"/>
          </w:tcPr>
          <w:p w:rsidR="008C43B3" w:rsidRPr="008C43B3" w:rsidRDefault="008C43B3" w:rsidP="008C43B3">
            <w:pPr>
              <w:jc w:val="both"/>
              <w:rPr>
                <w:sz w:val="20"/>
                <w:lang w:val="fr-CA"/>
              </w:rPr>
            </w:pPr>
          </w:p>
        </w:tc>
        <w:tc>
          <w:tcPr>
            <w:tcW w:w="2330" w:type="pct"/>
          </w:tcPr>
          <w:p w:rsidR="008C43B3" w:rsidRPr="008C43B3" w:rsidRDefault="008C43B3" w:rsidP="008C43B3">
            <w:pPr>
              <w:jc w:val="both"/>
              <w:rPr>
                <w:sz w:val="20"/>
                <w:lang w:val="fr-CA"/>
              </w:rPr>
            </w:pPr>
            <w:r w:rsidRPr="008C43B3">
              <w:rPr>
                <w:sz w:val="20"/>
                <w:lang w:val="fr-CA"/>
              </w:rPr>
              <w:t xml:space="preserve">Décision accueillant la requête en prorogation de délai : la demanderesse doit déposer un mémoire et un recueil de sources dans les soixante jours qui suivent la publication des motifs du jugement de la Cour d’appel de l’Ontario dans l’affaire </w:t>
            </w:r>
            <w:r w:rsidRPr="008C43B3">
              <w:rPr>
                <w:i/>
                <w:sz w:val="20"/>
                <w:lang w:val="fr-CA"/>
              </w:rPr>
              <w:t>Parsons et al. v. Her Majesty the Queen in Right of Ontario et al.</w:t>
            </w:r>
            <w:r w:rsidRPr="008C43B3">
              <w:rPr>
                <w:sz w:val="20"/>
                <w:lang w:val="fr-CA"/>
              </w:rPr>
              <w:t xml:space="preserve"> (n</w:t>
            </w:r>
            <w:r w:rsidRPr="008C43B3">
              <w:rPr>
                <w:sz w:val="20"/>
                <w:vertAlign w:val="superscript"/>
                <w:lang w:val="fr-CA"/>
              </w:rPr>
              <w:t>o</w:t>
            </w:r>
            <w:r w:rsidRPr="008C43B3">
              <w:rPr>
                <w:sz w:val="20"/>
                <w:lang w:val="fr-CA"/>
              </w:rPr>
              <w:t xml:space="preserve"> du greffe C57131)</w:t>
            </w:r>
          </w:p>
          <w:p w:rsidR="008C43B3" w:rsidRPr="008C43B3" w:rsidRDefault="008C43B3" w:rsidP="008C43B3">
            <w:pPr>
              <w:jc w:val="both"/>
              <w:rPr>
                <w:sz w:val="20"/>
                <w:lang w:val="fr-CA"/>
              </w:rPr>
            </w:pPr>
          </w:p>
        </w:tc>
      </w:tr>
      <w:tr w:rsidR="008C43B3" w:rsidRPr="00F9562A" w:rsidTr="00E95A6A">
        <w:tc>
          <w:tcPr>
            <w:tcW w:w="2427" w:type="pct"/>
            <w:gridSpan w:val="2"/>
          </w:tcPr>
          <w:p w:rsidR="008C43B3" w:rsidRPr="008C43B3" w:rsidRDefault="008C43B3" w:rsidP="008C43B3">
            <w:pPr>
              <w:jc w:val="both"/>
              <w:rPr>
                <w:sz w:val="20"/>
                <w:lang w:val="fr-CA"/>
              </w:rPr>
            </w:pPr>
            <w:r w:rsidRPr="008C43B3">
              <w:rPr>
                <w:sz w:val="20"/>
                <w:lang w:val="fr-CA"/>
              </w:rPr>
              <w:t>11 mai 2015</w:t>
            </w:r>
          </w:p>
          <w:p w:rsidR="008C43B3" w:rsidRPr="008C43B3" w:rsidRDefault="008C43B3" w:rsidP="008C43B3">
            <w:pPr>
              <w:jc w:val="both"/>
              <w:rPr>
                <w:sz w:val="20"/>
                <w:lang w:val="fr-CA"/>
              </w:rPr>
            </w:pPr>
            <w:r w:rsidRPr="008C43B3">
              <w:rPr>
                <w:sz w:val="20"/>
                <w:lang w:val="fr-CA"/>
              </w:rPr>
              <w:t>Cour suprême du Canada</w:t>
            </w:r>
          </w:p>
        </w:tc>
        <w:tc>
          <w:tcPr>
            <w:tcW w:w="243" w:type="pct"/>
          </w:tcPr>
          <w:p w:rsidR="008C43B3" w:rsidRPr="008C43B3" w:rsidRDefault="008C43B3" w:rsidP="008C43B3">
            <w:pPr>
              <w:jc w:val="both"/>
              <w:rPr>
                <w:sz w:val="20"/>
                <w:lang w:val="fr-CA"/>
              </w:rPr>
            </w:pPr>
          </w:p>
        </w:tc>
        <w:tc>
          <w:tcPr>
            <w:tcW w:w="2330" w:type="pct"/>
          </w:tcPr>
          <w:p w:rsidR="008C43B3" w:rsidRPr="008C43B3" w:rsidRDefault="008C43B3" w:rsidP="008C43B3">
            <w:pPr>
              <w:jc w:val="both"/>
              <w:rPr>
                <w:sz w:val="20"/>
                <w:lang w:val="fr-CA"/>
              </w:rPr>
            </w:pPr>
            <w:r w:rsidRPr="008C43B3">
              <w:rPr>
                <w:sz w:val="20"/>
                <w:lang w:val="fr-CA"/>
              </w:rPr>
              <w:t>Dépôt du mémoire et du recueil de sources de la demanderesse</w:t>
            </w:r>
          </w:p>
        </w:tc>
      </w:tr>
    </w:tbl>
    <w:p w:rsidR="008C43B3" w:rsidRPr="008C43B3" w:rsidRDefault="008C43B3" w:rsidP="008C43B3">
      <w:pPr>
        <w:jc w:val="both"/>
        <w:rPr>
          <w:sz w:val="20"/>
          <w:lang w:val="fr-CA"/>
        </w:rPr>
      </w:pPr>
    </w:p>
    <w:p w:rsidR="008C43B3" w:rsidRPr="008C43B3" w:rsidRDefault="008C43B3" w:rsidP="007F2DB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2DB8" w:rsidRPr="007F2DB8" w:rsidTr="007F2DB8">
        <w:tc>
          <w:tcPr>
            <w:tcW w:w="543" w:type="pct"/>
          </w:tcPr>
          <w:p w:rsidR="007F2DB8" w:rsidRPr="007F2DB8" w:rsidRDefault="007F2DB8" w:rsidP="007F2DB8">
            <w:pPr>
              <w:jc w:val="both"/>
              <w:rPr>
                <w:sz w:val="20"/>
              </w:rPr>
            </w:pPr>
            <w:r w:rsidRPr="007F2DB8">
              <w:rPr>
                <w:rStyle w:val="SCCFileNumberChar"/>
                <w:sz w:val="20"/>
                <w:szCs w:val="20"/>
              </w:rPr>
              <w:t>36517</w:t>
            </w:r>
          </w:p>
        </w:tc>
        <w:tc>
          <w:tcPr>
            <w:tcW w:w="4457" w:type="pct"/>
            <w:gridSpan w:val="3"/>
          </w:tcPr>
          <w:p w:rsidR="007F2DB8" w:rsidRPr="007F2DB8" w:rsidRDefault="007F2DB8" w:rsidP="007F2DB8">
            <w:pPr>
              <w:pStyle w:val="SCCLsocParty"/>
              <w:jc w:val="both"/>
              <w:rPr>
                <w:b/>
                <w:sz w:val="20"/>
                <w:szCs w:val="20"/>
                <w:lang w:val="en-US"/>
              </w:rPr>
            </w:pPr>
            <w:r w:rsidRPr="007F2DB8">
              <w:rPr>
                <w:b/>
                <w:sz w:val="20"/>
                <w:szCs w:val="20"/>
                <w:lang w:val="en-US"/>
              </w:rPr>
              <w:t>Michele Fiorilli v. Her Majesty the Queen</w:t>
            </w:r>
          </w:p>
          <w:p w:rsidR="007F2DB8" w:rsidRPr="007F2DB8" w:rsidRDefault="007F2DB8" w:rsidP="007F2DB8">
            <w:pPr>
              <w:jc w:val="both"/>
              <w:rPr>
                <w:sz w:val="20"/>
              </w:rPr>
            </w:pPr>
            <w:r w:rsidRPr="007F2DB8">
              <w:rPr>
                <w:sz w:val="20"/>
              </w:rPr>
              <w:t>(Ont.) (Criminal) (By Leave)</w:t>
            </w:r>
          </w:p>
        </w:tc>
      </w:tr>
      <w:tr w:rsidR="007F2DB8" w:rsidRPr="007F2DB8" w:rsidTr="007F2DB8">
        <w:tc>
          <w:tcPr>
            <w:tcW w:w="5000" w:type="pct"/>
            <w:gridSpan w:val="4"/>
          </w:tcPr>
          <w:p w:rsidR="007F2DB8" w:rsidRPr="007F2DB8" w:rsidRDefault="007F2DB8" w:rsidP="007F2DB8">
            <w:pPr>
              <w:jc w:val="both"/>
              <w:rPr>
                <w:sz w:val="20"/>
              </w:rPr>
            </w:pPr>
            <w:r w:rsidRPr="007F2DB8">
              <w:rPr>
                <w:sz w:val="20"/>
              </w:rPr>
              <w:t xml:space="preserve">Criminal law – Sentencing – Did the sentencing judge err by holding that a penitentiary sentence would be appropriate – Did the sentencing judge take the impact of the delay into account – Did the sentencing judge err in rejecting a conditional sentence – Whether the sentence imposed is manifestly excessive. </w:t>
            </w:r>
          </w:p>
        </w:tc>
      </w:tr>
      <w:tr w:rsidR="007F2DB8" w:rsidRPr="007F2DB8" w:rsidTr="007F2DB8">
        <w:tc>
          <w:tcPr>
            <w:tcW w:w="5000" w:type="pct"/>
            <w:gridSpan w:val="4"/>
          </w:tcPr>
          <w:p w:rsidR="007F2DB8" w:rsidRPr="007F2DB8" w:rsidRDefault="007F2DB8" w:rsidP="007F2DB8">
            <w:pPr>
              <w:jc w:val="both"/>
              <w:rPr>
                <w:sz w:val="20"/>
              </w:rPr>
            </w:pPr>
          </w:p>
        </w:tc>
      </w:tr>
      <w:tr w:rsidR="007F2DB8" w:rsidRPr="007F2DB8" w:rsidTr="007F2DB8">
        <w:tc>
          <w:tcPr>
            <w:tcW w:w="5000" w:type="pct"/>
            <w:gridSpan w:val="4"/>
          </w:tcPr>
          <w:p w:rsidR="007F2DB8" w:rsidRPr="007F2DB8" w:rsidRDefault="007F2DB8" w:rsidP="007F2DB8">
            <w:pPr>
              <w:jc w:val="both"/>
              <w:rPr>
                <w:sz w:val="20"/>
              </w:rPr>
            </w:pPr>
            <w:r w:rsidRPr="007F2DB8">
              <w:rPr>
                <w:sz w:val="20"/>
              </w:rPr>
              <w:t>The applicant was convicted of two counts of fraud over $5,000 for two residential real estate mortgage frauds. The applicant was sentenced to one year imprisonment; a restitution order of $213,084.61 and a fine of $110,000.00, in lieu of forfeiture, with six years to pay. The applicant appealed the sentence. The Court of Appeal granted leave to appeal sentence and dismissed the sentence appeal.</w:t>
            </w: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t>February 20, 2014</w:t>
            </w:r>
          </w:p>
          <w:p w:rsidR="007F2DB8" w:rsidRPr="007F2DB8" w:rsidRDefault="007F2DB8" w:rsidP="007F2DB8">
            <w:pPr>
              <w:jc w:val="both"/>
              <w:rPr>
                <w:sz w:val="20"/>
              </w:rPr>
            </w:pPr>
            <w:r w:rsidRPr="007F2DB8">
              <w:rPr>
                <w:sz w:val="20"/>
              </w:rPr>
              <w:t>Ontario Superior Court of Justice</w:t>
            </w:r>
          </w:p>
          <w:p w:rsidR="007F2DB8" w:rsidRPr="007F2DB8" w:rsidRDefault="007F2DB8" w:rsidP="007F2DB8">
            <w:pPr>
              <w:jc w:val="both"/>
              <w:rPr>
                <w:sz w:val="20"/>
                <w:lang w:val="fr-CA"/>
              </w:rPr>
            </w:pPr>
            <w:r w:rsidRPr="007F2DB8">
              <w:rPr>
                <w:sz w:val="20"/>
                <w:lang w:val="fr-CA"/>
              </w:rPr>
              <w:t>(Trotter J.)</w:t>
            </w:r>
          </w:p>
          <w:p w:rsidR="007F2DB8" w:rsidRPr="007F2DB8" w:rsidRDefault="007F2DB8" w:rsidP="007F2DB8">
            <w:pPr>
              <w:jc w:val="both"/>
              <w:rPr>
                <w:sz w:val="20"/>
                <w:lang w:val="fr-CA"/>
              </w:rPr>
            </w:pPr>
            <w:r w:rsidRPr="007F2DB8">
              <w:rPr>
                <w:sz w:val="20"/>
                <w:lang w:val="fr-CA"/>
              </w:rPr>
              <w:t>2014 ONSC 1117</w:t>
            </w:r>
          </w:p>
          <w:p w:rsidR="007F2DB8" w:rsidRPr="007F2DB8" w:rsidRDefault="00A96461" w:rsidP="007F2DB8">
            <w:pPr>
              <w:jc w:val="both"/>
              <w:rPr>
                <w:rStyle w:val="documentstaticurl"/>
                <w:sz w:val="20"/>
                <w:lang w:val="fr-CA"/>
              </w:rPr>
            </w:pPr>
            <w:hyperlink r:id="rId46" w:history="1">
              <w:r w:rsidR="007F2DB8" w:rsidRPr="007F2DB8">
                <w:rPr>
                  <w:rStyle w:val="Hyperlink"/>
                  <w:sz w:val="20"/>
                  <w:lang w:val="fr-CA"/>
                </w:rPr>
                <w:t>http://canlii.ca/t/g3gp7</w:t>
              </w:r>
            </w:hyperlink>
          </w:p>
          <w:p w:rsidR="007F2DB8" w:rsidRPr="007F2DB8" w:rsidRDefault="007F2DB8" w:rsidP="007F2DB8">
            <w:pPr>
              <w:jc w:val="both"/>
              <w:rPr>
                <w:sz w:val="20"/>
                <w:lang w:val="fr-CA"/>
              </w:rPr>
            </w:pPr>
          </w:p>
        </w:tc>
        <w:tc>
          <w:tcPr>
            <w:tcW w:w="243" w:type="pct"/>
          </w:tcPr>
          <w:p w:rsidR="007F2DB8" w:rsidRPr="007F2DB8" w:rsidRDefault="007F2DB8" w:rsidP="007F2DB8">
            <w:pPr>
              <w:jc w:val="both"/>
              <w:rPr>
                <w:sz w:val="20"/>
                <w:lang w:val="fr-CA"/>
              </w:rPr>
            </w:pPr>
          </w:p>
        </w:tc>
        <w:tc>
          <w:tcPr>
            <w:tcW w:w="2330" w:type="pct"/>
          </w:tcPr>
          <w:p w:rsidR="007F2DB8" w:rsidRPr="007F2DB8" w:rsidRDefault="007F2DB8" w:rsidP="007F2DB8">
            <w:pPr>
              <w:jc w:val="both"/>
              <w:rPr>
                <w:sz w:val="20"/>
              </w:rPr>
            </w:pPr>
            <w:r w:rsidRPr="007F2DB8">
              <w:rPr>
                <w:sz w:val="20"/>
              </w:rPr>
              <w:t>Sentence imposed: one year imprisonment; a restitution order of $213,084.61 and a fine of $110,000.00, in lieu of forfeiture, with six years to pay</w:t>
            </w: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t>April 28, 2015</w:t>
            </w:r>
          </w:p>
          <w:p w:rsidR="007F2DB8" w:rsidRPr="007F2DB8" w:rsidRDefault="007F2DB8" w:rsidP="007F2DB8">
            <w:pPr>
              <w:jc w:val="both"/>
              <w:rPr>
                <w:sz w:val="20"/>
              </w:rPr>
            </w:pPr>
            <w:r w:rsidRPr="007F2DB8">
              <w:rPr>
                <w:sz w:val="20"/>
              </w:rPr>
              <w:t>Court of Appeal for Ontario</w:t>
            </w:r>
          </w:p>
          <w:p w:rsidR="007F2DB8" w:rsidRPr="007F2DB8" w:rsidRDefault="007F2DB8" w:rsidP="007F2DB8">
            <w:pPr>
              <w:jc w:val="both"/>
              <w:rPr>
                <w:sz w:val="20"/>
                <w:lang w:val="de-DE"/>
              </w:rPr>
            </w:pPr>
            <w:r w:rsidRPr="007F2DB8">
              <w:rPr>
                <w:sz w:val="20"/>
                <w:lang w:val="de-DE"/>
              </w:rPr>
              <w:t>(Feldman, Pardu, Brown JJ.A.)</w:t>
            </w:r>
          </w:p>
          <w:p w:rsidR="007F2DB8" w:rsidRPr="007F2DB8" w:rsidRDefault="007F2DB8" w:rsidP="007F2DB8">
            <w:pPr>
              <w:jc w:val="both"/>
              <w:rPr>
                <w:sz w:val="20"/>
              </w:rPr>
            </w:pPr>
            <w:r w:rsidRPr="007F2DB8">
              <w:rPr>
                <w:sz w:val="20"/>
              </w:rPr>
              <w:t xml:space="preserve">2015 ONCA 328; C58390 </w:t>
            </w:r>
          </w:p>
          <w:p w:rsidR="007F2DB8" w:rsidRPr="007F2DB8" w:rsidRDefault="00A96461" w:rsidP="007F2DB8">
            <w:pPr>
              <w:jc w:val="both"/>
              <w:rPr>
                <w:rStyle w:val="documentstaticurl"/>
                <w:sz w:val="20"/>
              </w:rPr>
            </w:pPr>
            <w:hyperlink r:id="rId47" w:history="1">
              <w:r w:rsidR="007F2DB8" w:rsidRPr="007F2DB8">
                <w:rPr>
                  <w:rStyle w:val="Hyperlink"/>
                  <w:sz w:val="20"/>
                </w:rPr>
                <w:t>http://canlii.ca/t/ghjh3</w:t>
              </w:r>
            </w:hyperlink>
          </w:p>
          <w:p w:rsidR="007F2DB8" w:rsidRPr="007F2DB8" w:rsidRDefault="007F2DB8" w:rsidP="007F2DB8">
            <w:pPr>
              <w:jc w:val="both"/>
              <w:rPr>
                <w:sz w:val="20"/>
              </w:rPr>
            </w:pPr>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Leave to appeal sentence granted; sentence appeal dismissed</w:t>
            </w: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t>June 29, 2015</w:t>
            </w:r>
          </w:p>
          <w:p w:rsidR="007F2DB8" w:rsidRPr="007F2DB8" w:rsidRDefault="007F2DB8" w:rsidP="007F2DB8">
            <w:pPr>
              <w:jc w:val="both"/>
              <w:rPr>
                <w:sz w:val="20"/>
              </w:rPr>
            </w:pPr>
            <w:r w:rsidRPr="007F2DB8">
              <w:rPr>
                <w:sz w:val="20"/>
              </w:rPr>
              <w:t>Supreme Court of Canada</w:t>
            </w:r>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Application for leave to appeal filed</w:t>
            </w:r>
          </w:p>
          <w:p w:rsidR="007F2DB8" w:rsidRPr="007F2DB8" w:rsidRDefault="007F2DB8" w:rsidP="007F2DB8">
            <w:pPr>
              <w:jc w:val="both"/>
              <w:rPr>
                <w:sz w:val="20"/>
              </w:rPr>
            </w:pPr>
          </w:p>
        </w:tc>
      </w:tr>
    </w:tbl>
    <w:p w:rsidR="007F2DB8" w:rsidRDefault="007F2DB8" w:rsidP="007F2DB8">
      <w:pPr>
        <w:jc w:val="both"/>
        <w:rPr>
          <w:sz w:val="20"/>
        </w:rPr>
      </w:pPr>
    </w:p>
    <w:p w:rsidR="007F2DB8" w:rsidRPr="007F2DB8" w:rsidRDefault="007F2DB8" w:rsidP="007F2D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2DB8" w:rsidRPr="007F2DB8" w:rsidTr="007F2DB8">
        <w:tc>
          <w:tcPr>
            <w:tcW w:w="543" w:type="pct"/>
          </w:tcPr>
          <w:p w:rsidR="007F2DB8" w:rsidRPr="007F2DB8" w:rsidRDefault="007F2DB8" w:rsidP="007F2DB8">
            <w:pPr>
              <w:contextualSpacing/>
              <w:jc w:val="both"/>
              <w:rPr>
                <w:sz w:val="20"/>
                <w:lang w:val="fr-CA"/>
              </w:rPr>
            </w:pPr>
            <w:r w:rsidRPr="007F2DB8">
              <w:rPr>
                <w:rStyle w:val="SCCFileNumberChar"/>
                <w:sz w:val="20"/>
                <w:szCs w:val="20"/>
                <w:lang w:val="fr-CA"/>
              </w:rPr>
              <w:t>36517</w:t>
            </w:r>
          </w:p>
        </w:tc>
        <w:tc>
          <w:tcPr>
            <w:tcW w:w="4457" w:type="pct"/>
            <w:gridSpan w:val="3"/>
          </w:tcPr>
          <w:p w:rsidR="007F2DB8" w:rsidRPr="007F2DB8" w:rsidRDefault="007F2DB8" w:rsidP="007F2DB8">
            <w:pPr>
              <w:pStyle w:val="SCCLsocParty"/>
              <w:contextualSpacing/>
              <w:jc w:val="both"/>
              <w:rPr>
                <w:b/>
                <w:sz w:val="20"/>
                <w:szCs w:val="20"/>
              </w:rPr>
            </w:pPr>
            <w:r w:rsidRPr="007F2DB8">
              <w:rPr>
                <w:b/>
                <w:sz w:val="20"/>
                <w:szCs w:val="20"/>
              </w:rPr>
              <w:t>Michele Fiorilli c. Sa Majesté la Reine</w:t>
            </w:r>
          </w:p>
          <w:p w:rsidR="007F2DB8" w:rsidRPr="007F2DB8" w:rsidRDefault="007F2DB8" w:rsidP="007F2DB8">
            <w:pPr>
              <w:contextualSpacing/>
              <w:jc w:val="both"/>
              <w:rPr>
                <w:sz w:val="20"/>
                <w:lang w:val="fr-CA"/>
              </w:rPr>
            </w:pPr>
            <w:r w:rsidRPr="007F2DB8">
              <w:rPr>
                <w:sz w:val="20"/>
                <w:lang w:val="fr-CA"/>
              </w:rPr>
              <w:t>(Ont.) (Criminelle) (Sur autorisation)</w:t>
            </w:r>
          </w:p>
        </w:tc>
      </w:tr>
      <w:tr w:rsidR="007F2DB8" w:rsidRPr="00F9562A" w:rsidTr="007F2DB8">
        <w:tc>
          <w:tcPr>
            <w:tcW w:w="5000" w:type="pct"/>
            <w:gridSpan w:val="4"/>
          </w:tcPr>
          <w:p w:rsidR="007F2DB8" w:rsidRPr="007F2DB8" w:rsidRDefault="007F2DB8" w:rsidP="007F2DB8">
            <w:pPr>
              <w:contextualSpacing/>
              <w:jc w:val="both"/>
              <w:rPr>
                <w:sz w:val="20"/>
                <w:lang w:val="fr-CA"/>
              </w:rPr>
            </w:pPr>
            <w:r w:rsidRPr="007F2DB8">
              <w:rPr>
                <w:sz w:val="20"/>
                <w:lang w:val="fr-CA"/>
              </w:rPr>
              <w:t xml:space="preserve">Droit criminel – Détermination de la peine – Le juge qui a prononcé la peine a-t-il eu tort de statuer qu’une peine de pénitencier était appropriée? – Le juge qui a prononcé la peine a-t-il pris en compte les répercussions du retard? – Le juge qui a prononcé la peine a-t-il eu tort de rejeter une peine avec sursis? – La peine imposée est-elle manifestement excessive? </w:t>
            </w:r>
          </w:p>
        </w:tc>
      </w:tr>
      <w:tr w:rsidR="007F2DB8" w:rsidRPr="00F9562A" w:rsidTr="007F2DB8">
        <w:tc>
          <w:tcPr>
            <w:tcW w:w="5000" w:type="pct"/>
            <w:gridSpan w:val="4"/>
          </w:tcPr>
          <w:p w:rsidR="007F2DB8" w:rsidRPr="007F2DB8" w:rsidRDefault="007F2DB8" w:rsidP="007F2DB8">
            <w:pPr>
              <w:contextualSpacing/>
              <w:jc w:val="both"/>
              <w:rPr>
                <w:sz w:val="20"/>
                <w:lang w:val="fr-CA"/>
              </w:rPr>
            </w:pPr>
          </w:p>
        </w:tc>
      </w:tr>
      <w:tr w:rsidR="007F2DB8" w:rsidRPr="00F9562A" w:rsidTr="007F2DB8">
        <w:tc>
          <w:tcPr>
            <w:tcW w:w="5000" w:type="pct"/>
            <w:gridSpan w:val="4"/>
          </w:tcPr>
          <w:p w:rsidR="007F2DB8" w:rsidRPr="007F2DB8" w:rsidRDefault="007F2DB8" w:rsidP="007F2DB8">
            <w:pPr>
              <w:contextualSpacing/>
              <w:jc w:val="both"/>
              <w:rPr>
                <w:sz w:val="20"/>
                <w:lang w:val="fr-CA"/>
              </w:rPr>
            </w:pPr>
            <w:r w:rsidRPr="007F2DB8">
              <w:rPr>
                <w:sz w:val="20"/>
                <w:lang w:val="fr-CA"/>
              </w:rPr>
              <w:t xml:space="preserve">Le demandeur a été déclaré coupable de deux chefs d’accusation de fraude de plus de 5 000 $ relativement à deux fraudes en lien avec des prêts hypothécaires dans le cadre d’opérations immobilières résidentielles. Le demandeur a été condamné à une peine d’emprisonnement d’un an, à une ordonnance de restitution de 213 084,61 $ et à une </w:t>
            </w:r>
            <w:r w:rsidRPr="007F2DB8">
              <w:rPr>
                <w:sz w:val="20"/>
                <w:lang w:val="fr-CA"/>
              </w:rPr>
              <w:lastRenderedPageBreak/>
              <w:t>amende de 110 000 $, en remplacement de la confiscation, payable dans un délai de six ans. Le demandeur a interjeté appel de la peine. La Cour d’appel a accordé l’autorisation d’appel de la peine et a rejeté l’appel de la peine.</w:t>
            </w:r>
          </w:p>
          <w:p w:rsidR="007F2DB8" w:rsidRPr="007F2DB8" w:rsidRDefault="007F2DB8" w:rsidP="007F2DB8">
            <w:pPr>
              <w:contextualSpacing/>
              <w:jc w:val="both"/>
              <w:rPr>
                <w:sz w:val="20"/>
                <w:lang w:val="fr-CA"/>
              </w:rPr>
            </w:pPr>
          </w:p>
        </w:tc>
      </w:tr>
      <w:tr w:rsidR="007F2DB8" w:rsidRPr="00F9562A" w:rsidTr="007F2DB8">
        <w:tc>
          <w:tcPr>
            <w:tcW w:w="2427" w:type="pct"/>
            <w:gridSpan w:val="2"/>
          </w:tcPr>
          <w:p w:rsidR="007F2DB8" w:rsidRPr="007F2DB8" w:rsidRDefault="007F2DB8" w:rsidP="007F2DB8">
            <w:pPr>
              <w:contextualSpacing/>
              <w:jc w:val="both"/>
              <w:rPr>
                <w:sz w:val="20"/>
                <w:lang w:val="fr-CA"/>
              </w:rPr>
            </w:pPr>
            <w:r w:rsidRPr="007F2DB8">
              <w:rPr>
                <w:sz w:val="20"/>
                <w:lang w:val="fr-CA"/>
              </w:rPr>
              <w:lastRenderedPageBreak/>
              <w:t>20 février 2014</w:t>
            </w:r>
          </w:p>
          <w:p w:rsidR="007F2DB8" w:rsidRPr="007F2DB8" w:rsidRDefault="007F2DB8" w:rsidP="007F2DB8">
            <w:pPr>
              <w:contextualSpacing/>
              <w:jc w:val="both"/>
              <w:rPr>
                <w:sz w:val="20"/>
                <w:lang w:val="fr-CA"/>
              </w:rPr>
            </w:pPr>
            <w:r w:rsidRPr="007F2DB8">
              <w:rPr>
                <w:sz w:val="20"/>
                <w:lang w:val="fr-CA"/>
              </w:rPr>
              <w:t>Cour supérieure de justice de l’Ontario</w:t>
            </w:r>
          </w:p>
          <w:p w:rsidR="007F2DB8" w:rsidRPr="007F2DB8" w:rsidRDefault="007F2DB8" w:rsidP="007F2DB8">
            <w:pPr>
              <w:contextualSpacing/>
              <w:jc w:val="both"/>
              <w:rPr>
                <w:sz w:val="20"/>
                <w:lang w:val="fr-CA"/>
              </w:rPr>
            </w:pPr>
            <w:r w:rsidRPr="007F2DB8">
              <w:rPr>
                <w:sz w:val="20"/>
                <w:lang w:val="fr-CA"/>
              </w:rPr>
              <w:t>(Juge Trotter)</w:t>
            </w:r>
          </w:p>
          <w:p w:rsidR="007F2DB8" w:rsidRPr="007F2DB8" w:rsidRDefault="007F2DB8" w:rsidP="007F2DB8">
            <w:pPr>
              <w:contextualSpacing/>
              <w:jc w:val="both"/>
              <w:rPr>
                <w:sz w:val="20"/>
                <w:lang w:val="fr-CA"/>
              </w:rPr>
            </w:pPr>
            <w:r w:rsidRPr="007F2DB8">
              <w:rPr>
                <w:sz w:val="20"/>
                <w:lang w:val="fr-CA"/>
              </w:rPr>
              <w:t>2014 ONSC 1117</w:t>
            </w:r>
          </w:p>
          <w:p w:rsidR="007F2DB8" w:rsidRPr="007F2DB8" w:rsidRDefault="00A96461" w:rsidP="007F2DB8">
            <w:pPr>
              <w:contextualSpacing/>
              <w:jc w:val="both"/>
              <w:rPr>
                <w:rStyle w:val="documentstaticurl"/>
                <w:sz w:val="20"/>
                <w:lang w:val="fr-CA"/>
              </w:rPr>
            </w:pPr>
            <w:hyperlink r:id="rId48" w:history="1">
              <w:r w:rsidR="007F2DB8" w:rsidRPr="007F2DB8">
                <w:rPr>
                  <w:rStyle w:val="Hyperlink"/>
                  <w:sz w:val="20"/>
                  <w:lang w:val="fr-CA"/>
                </w:rPr>
                <w:t>http://canlii.ca/t/g3gp7</w:t>
              </w:r>
            </w:hyperlink>
          </w:p>
          <w:p w:rsidR="007F2DB8" w:rsidRPr="007F2DB8" w:rsidRDefault="007F2DB8" w:rsidP="007F2DB8">
            <w:pPr>
              <w:contextualSpacing/>
              <w:jc w:val="both"/>
              <w:rPr>
                <w:sz w:val="20"/>
                <w:lang w:val="fr-CA"/>
              </w:rPr>
            </w:pPr>
          </w:p>
        </w:tc>
        <w:tc>
          <w:tcPr>
            <w:tcW w:w="243" w:type="pct"/>
          </w:tcPr>
          <w:p w:rsidR="007F2DB8" w:rsidRPr="007F2DB8" w:rsidRDefault="007F2DB8" w:rsidP="007F2DB8">
            <w:pPr>
              <w:contextualSpacing/>
              <w:jc w:val="both"/>
              <w:rPr>
                <w:sz w:val="20"/>
                <w:lang w:val="fr-CA"/>
              </w:rPr>
            </w:pPr>
          </w:p>
        </w:tc>
        <w:tc>
          <w:tcPr>
            <w:tcW w:w="2330" w:type="pct"/>
          </w:tcPr>
          <w:p w:rsidR="007F2DB8" w:rsidRPr="007F2DB8" w:rsidRDefault="007F2DB8" w:rsidP="007F2DB8">
            <w:pPr>
              <w:contextualSpacing/>
              <w:jc w:val="both"/>
              <w:rPr>
                <w:sz w:val="20"/>
                <w:lang w:val="fr-CA"/>
              </w:rPr>
            </w:pPr>
            <w:r w:rsidRPr="007F2DB8">
              <w:rPr>
                <w:sz w:val="20"/>
                <w:lang w:val="fr-CA"/>
              </w:rPr>
              <w:t>Peine : un an d’emprisonnement; ordonnance de restitution de 213 084 61 $ et amende de 110 000 $, en remplacement de la confiscation, payable dans un délai de six ans</w:t>
            </w:r>
          </w:p>
          <w:p w:rsidR="007F2DB8" w:rsidRPr="007F2DB8" w:rsidRDefault="007F2DB8" w:rsidP="007F2DB8">
            <w:pPr>
              <w:contextualSpacing/>
              <w:jc w:val="both"/>
              <w:rPr>
                <w:sz w:val="20"/>
                <w:lang w:val="fr-CA"/>
              </w:rPr>
            </w:pPr>
          </w:p>
          <w:p w:rsidR="007F2DB8" w:rsidRPr="007F2DB8" w:rsidRDefault="007F2DB8" w:rsidP="007F2DB8">
            <w:pPr>
              <w:contextualSpacing/>
              <w:jc w:val="both"/>
              <w:rPr>
                <w:sz w:val="20"/>
                <w:lang w:val="fr-CA"/>
              </w:rPr>
            </w:pPr>
          </w:p>
        </w:tc>
      </w:tr>
      <w:tr w:rsidR="007F2DB8" w:rsidRPr="00F9562A" w:rsidTr="007F2DB8">
        <w:tc>
          <w:tcPr>
            <w:tcW w:w="2427" w:type="pct"/>
            <w:gridSpan w:val="2"/>
          </w:tcPr>
          <w:p w:rsidR="007F2DB8" w:rsidRPr="007F2DB8" w:rsidRDefault="007F2DB8" w:rsidP="007F2DB8">
            <w:pPr>
              <w:contextualSpacing/>
              <w:jc w:val="both"/>
              <w:rPr>
                <w:sz w:val="20"/>
                <w:lang w:val="fr-CA"/>
              </w:rPr>
            </w:pPr>
            <w:r w:rsidRPr="007F2DB8">
              <w:rPr>
                <w:sz w:val="20"/>
                <w:lang w:val="fr-CA"/>
              </w:rPr>
              <w:t>28 avril 2015</w:t>
            </w:r>
          </w:p>
          <w:p w:rsidR="007F2DB8" w:rsidRPr="007F2DB8" w:rsidRDefault="007F2DB8" w:rsidP="007F2DB8">
            <w:pPr>
              <w:contextualSpacing/>
              <w:jc w:val="both"/>
              <w:rPr>
                <w:sz w:val="20"/>
                <w:lang w:val="fr-CA"/>
              </w:rPr>
            </w:pPr>
            <w:r w:rsidRPr="007F2DB8">
              <w:rPr>
                <w:sz w:val="20"/>
                <w:lang w:val="fr-CA"/>
              </w:rPr>
              <w:t>Cour d’appel de l’Ontario</w:t>
            </w:r>
          </w:p>
          <w:p w:rsidR="007F2DB8" w:rsidRPr="007F2DB8" w:rsidRDefault="007F2DB8" w:rsidP="007F2DB8">
            <w:pPr>
              <w:contextualSpacing/>
              <w:jc w:val="both"/>
              <w:rPr>
                <w:sz w:val="20"/>
                <w:lang w:val="fr-CA"/>
              </w:rPr>
            </w:pPr>
            <w:r w:rsidRPr="007F2DB8">
              <w:rPr>
                <w:sz w:val="20"/>
                <w:lang w:val="fr-CA"/>
              </w:rPr>
              <w:t>(Juges Feldman, Pardu et Brown)</w:t>
            </w:r>
          </w:p>
          <w:p w:rsidR="007F2DB8" w:rsidRPr="007F2DB8" w:rsidRDefault="007F2DB8" w:rsidP="007F2DB8">
            <w:pPr>
              <w:contextualSpacing/>
              <w:jc w:val="both"/>
              <w:rPr>
                <w:sz w:val="20"/>
              </w:rPr>
            </w:pPr>
            <w:r w:rsidRPr="007F2DB8">
              <w:rPr>
                <w:sz w:val="20"/>
              </w:rPr>
              <w:t xml:space="preserve">2015 ONCA 328; C58390 </w:t>
            </w:r>
          </w:p>
          <w:p w:rsidR="007F2DB8" w:rsidRPr="007F2DB8" w:rsidRDefault="00A96461" w:rsidP="007F2DB8">
            <w:pPr>
              <w:contextualSpacing/>
              <w:jc w:val="both"/>
              <w:rPr>
                <w:rStyle w:val="documentstaticurl"/>
                <w:sz w:val="20"/>
              </w:rPr>
            </w:pPr>
            <w:hyperlink r:id="rId49" w:history="1">
              <w:r w:rsidR="007F2DB8" w:rsidRPr="007F2DB8">
                <w:rPr>
                  <w:rStyle w:val="Hyperlink"/>
                  <w:sz w:val="20"/>
                </w:rPr>
                <w:t>http://canlii.ca/t/ghjh3</w:t>
              </w:r>
            </w:hyperlink>
          </w:p>
          <w:p w:rsidR="007F2DB8" w:rsidRPr="007F2DB8" w:rsidRDefault="007F2DB8" w:rsidP="007F2DB8">
            <w:pPr>
              <w:contextualSpacing/>
              <w:jc w:val="both"/>
              <w:rPr>
                <w:sz w:val="20"/>
              </w:rPr>
            </w:pPr>
          </w:p>
        </w:tc>
        <w:tc>
          <w:tcPr>
            <w:tcW w:w="243" w:type="pct"/>
          </w:tcPr>
          <w:p w:rsidR="007F2DB8" w:rsidRPr="007F2DB8" w:rsidRDefault="007F2DB8" w:rsidP="007F2DB8">
            <w:pPr>
              <w:contextualSpacing/>
              <w:jc w:val="both"/>
              <w:rPr>
                <w:sz w:val="20"/>
              </w:rPr>
            </w:pPr>
          </w:p>
        </w:tc>
        <w:tc>
          <w:tcPr>
            <w:tcW w:w="2330" w:type="pct"/>
          </w:tcPr>
          <w:p w:rsidR="007F2DB8" w:rsidRPr="007F2DB8" w:rsidRDefault="007F2DB8" w:rsidP="007F2DB8">
            <w:pPr>
              <w:contextualSpacing/>
              <w:jc w:val="both"/>
              <w:rPr>
                <w:sz w:val="20"/>
                <w:lang w:val="fr-CA"/>
              </w:rPr>
            </w:pPr>
            <w:r w:rsidRPr="007F2DB8">
              <w:rPr>
                <w:sz w:val="20"/>
                <w:lang w:val="fr-CA"/>
              </w:rPr>
              <w:t>Autorisation d’appel de la peine; rejet de l’appel de la peine</w:t>
            </w:r>
          </w:p>
          <w:p w:rsidR="007F2DB8" w:rsidRPr="007F2DB8" w:rsidRDefault="007F2DB8" w:rsidP="007F2DB8">
            <w:pPr>
              <w:contextualSpacing/>
              <w:jc w:val="both"/>
              <w:rPr>
                <w:sz w:val="20"/>
                <w:lang w:val="fr-CA"/>
              </w:rPr>
            </w:pPr>
          </w:p>
          <w:p w:rsidR="007F2DB8" w:rsidRPr="007F2DB8" w:rsidRDefault="007F2DB8" w:rsidP="007F2DB8">
            <w:pPr>
              <w:contextualSpacing/>
              <w:jc w:val="both"/>
              <w:rPr>
                <w:sz w:val="20"/>
                <w:lang w:val="fr-CA"/>
              </w:rPr>
            </w:pPr>
          </w:p>
        </w:tc>
      </w:tr>
      <w:tr w:rsidR="007F2DB8" w:rsidRPr="00F9562A" w:rsidTr="007F2DB8">
        <w:tc>
          <w:tcPr>
            <w:tcW w:w="2427" w:type="pct"/>
            <w:gridSpan w:val="2"/>
          </w:tcPr>
          <w:p w:rsidR="007F2DB8" w:rsidRPr="007F2DB8" w:rsidRDefault="007F2DB8" w:rsidP="007F2DB8">
            <w:pPr>
              <w:contextualSpacing/>
              <w:jc w:val="both"/>
              <w:rPr>
                <w:sz w:val="20"/>
                <w:lang w:val="fr-CA"/>
              </w:rPr>
            </w:pPr>
            <w:r w:rsidRPr="007F2DB8">
              <w:rPr>
                <w:sz w:val="20"/>
                <w:lang w:val="fr-CA"/>
              </w:rPr>
              <w:t>29 juin 2015</w:t>
            </w:r>
          </w:p>
          <w:p w:rsidR="007F2DB8" w:rsidRPr="007F2DB8" w:rsidRDefault="007F2DB8" w:rsidP="007F2DB8">
            <w:pPr>
              <w:contextualSpacing/>
              <w:jc w:val="both"/>
              <w:rPr>
                <w:sz w:val="20"/>
                <w:lang w:val="fr-CA"/>
              </w:rPr>
            </w:pPr>
            <w:r w:rsidRPr="007F2DB8">
              <w:rPr>
                <w:sz w:val="20"/>
                <w:lang w:val="fr-CA"/>
              </w:rPr>
              <w:t>Cour suprême du Canada</w:t>
            </w:r>
          </w:p>
        </w:tc>
        <w:tc>
          <w:tcPr>
            <w:tcW w:w="243" w:type="pct"/>
          </w:tcPr>
          <w:p w:rsidR="007F2DB8" w:rsidRPr="007F2DB8" w:rsidRDefault="007F2DB8" w:rsidP="007F2DB8">
            <w:pPr>
              <w:contextualSpacing/>
              <w:jc w:val="both"/>
              <w:rPr>
                <w:sz w:val="20"/>
                <w:lang w:val="fr-CA"/>
              </w:rPr>
            </w:pPr>
          </w:p>
        </w:tc>
        <w:tc>
          <w:tcPr>
            <w:tcW w:w="2330" w:type="pct"/>
          </w:tcPr>
          <w:p w:rsidR="007F2DB8" w:rsidRPr="007F2DB8" w:rsidRDefault="007F2DB8" w:rsidP="007F2DB8">
            <w:pPr>
              <w:contextualSpacing/>
              <w:jc w:val="both"/>
              <w:rPr>
                <w:sz w:val="20"/>
                <w:lang w:val="fr-CA"/>
              </w:rPr>
            </w:pPr>
            <w:r w:rsidRPr="007F2DB8">
              <w:rPr>
                <w:sz w:val="20"/>
                <w:lang w:val="fr-CA"/>
              </w:rPr>
              <w:t>Dépôt de la demande d’autorisation d’appel</w:t>
            </w:r>
          </w:p>
          <w:p w:rsidR="007F2DB8" w:rsidRPr="007F2DB8" w:rsidRDefault="007F2DB8" w:rsidP="007F2DB8">
            <w:pPr>
              <w:contextualSpacing/>
              <w:jc w:val="both"/>
              <w:rPr>
                <w:sz w:val="20"/>
                <w:lang w:val="fr-CA"/>
              </w:rPr>
            </w:pPr>
          </w:p>
        </w:tc>
      </w:tr>
    </w:tbl>
    <w:p w:rsidR="007F2DB8" w:rsidRDefault="007F2DB8" w:rsidP="007F2DB8">
      <w:pPr>
        <w:contextualSpacing/>
        <w:jc w:val="both"/>
        <w:rPr>
          <w:sz w:val="20"/>
          <w:lang w:val="fr-CA"/>
        </w:rPr>
      </w:pPr>
    </w:p>
    <w:p w:rsidR="007F2DB8" w:rsidRPr="007F2DB8" w:rsidRDefault="007F2DB8" w:rsidP="007F2DB8">
      <w:pPr>
        <w:contextualSpacing/>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04"/>
        <w:gridCol w:w="451"/>
        <w:gridCol w:w="4409"/>
      </w:tblGrid>
      <w:tr w:rsidR="007F2DB8" w:rsidRPr="007F2DB8" w:rsidTr="007F2DB8">
        <w:tc>
          <w:tcPr>
            <w:tcW w:w="543" w:type="pct"/>
          </w:tcPr>
          <w:p w:rsidR="007F2DB8" w:rsidRPr="007F2DB8" w:rsidRDefault="007F2DB8" w:rsidP="007F2DB8">
            <w:pPr>
              <w:jc w:val="both"/>
              <w:rPr>
                <w:sz w:val="20"/>
              </w:rPr>
            </w:pPr>
            <w:r w:rsidRPr="007F2DB8">
              <w:rPr>
                <w:rStyle w:val="SCCFileNumberChar"/>
                <w:sz w:val="20"/>
                <w:szCs w:val="20"/>
              </w:rPr>
              <w:t>36492</w:t>
            </w:r>
          </w:p>
        </w:tc>
        <w:tc>
          <w:tcPr>
            <w:tcW w:w="4457" w:type="pct"/>
            <w:gridSpan w:val="3"/>
          </w:tcPr>
          <w:p w:rsidR="007F2DB8" w:rsidRPr="007F2DB8" w:rsidRDefault="007F2DB8" w:rsidP="007F2DB8">
            <w:pPr>
              <w:pStyle w:val="SCCLsocParty"/>
              <w:jc w:val="both"/>
              <w:rPr>
                <w:b/>
                <w:sz w:val="20"/>
                <w:szCs w:val="20"/>
                <w:lang w:val="en-US"/>
              </w:rPr>
            </w:pPr>
            <w:r w:rsidRPr="007F2DB8">
              <w:rPr>
                <w:b/>
                <w:sz w:val="20"/>
                <w:szCs w:val="20"/>
                <w:lang w:val="en-US"/>
              </w:rPr>
              <w:t>AXA General Insurance v. Ian Tucker</w:t>
            </w:r>
          </w:p>
          <w:p w:rsidR="007F2DB8" w:rsidRPr="007F2DB8" w:rsidRDefault="007F2DB8" w:rsidP="007F2DB8">
            <w:pPr>
              <w:jc w:val="both"/>
              <w:rPr>
                <w:sz w:val="20"/>
              </w:rPr>
            </w:pPr>
            <w:r w:rsidRPr="007F2DB8">
              <w:rPr>
                <w:sz w:val="20"/>
              </w:rPr>
              <w:t>(N.L.) (Civil) (By Leave)</w:t>
            </w:r>
          </w:p>
        </w:tc>
      </w:tr>
      <w:tr w:rsidR="007F2DB8" w:rsidRPr="007F2DB8" w:rsidTr="007F2DB8">
        <w:tc>
          <w:tcPr>
            <w:tcW w:w="5000" w:type="pct"/>
            <w:gridSpan w:val="4"/>
          </w:tcPr>
          <w:p w:rsidR="007F2DB8" w:rsidRPr="007F2DB8" w:rsidRDefault="007F2DB8" w:rsidP="007F2DB8">
            <w:pPr>
              <w:jc w:val="both"/>
              <w:rPr>
                <w:sz w:val="20"/>
              </w:rPr>
            </w:pPr>
            <w:r w:rsidRPr="007F2DB8">
              <w:rPr>
                <w:sz w:val="20"/>
              </w:rPr>
              <w:t>Insurance law – Automobile insurance policies – Limitation of actions against insurer – Mandatory Section D endorsement providing indemnification for damages arising from unidentified drivers – When does the limitation period start running for a cause of action against the insurer – What is the nature of the cause of action against the Section D insurer – When does this cause of action arise, and therefore trigger the start of the limitation period.</w:t>
            </w:r>
          </w:p>
          <w:p w:rsidR="007F2DB8" w:rsidRPr="007F2DB8" w:rsidRDefault="007F2DB8" w:rsidP="007F2DB8">
            <w:pPr>
              <w:jc w:val="both"/>
              <w:rPr>
                <w:sz w:val="20"/>
              </w:rPr>
            </w:pPr>
          </w:p>
        </w:tc>
      </w:tr>
      <w:tr w:rsidR="007F2DB8" w:rsidRPr="007F2DB8" w:rsidTr="007F2DB8">
        <w:tc>
          <w:tcPr>
            <w:tcW w:w="5000" w:type="pct"/>
            <w:gridSpan w:val="4"/>
          </w:tcPr>
          <w:p w:rsidR="007F2DB8" w:rsidRPr="007F2DB8" w:rsidRDefault="007F2DB8" w:rsidP="007F2DB8">
            <w:pPr>
              <w:jc w:val="both"/>
              <w:rPr>
                <w:sz w:val="20"/>
              </w:rPr>
            </w:pPr>
            <w:r w:rsidRPr="007F2DB8">
              <w:rPr>
                <w:sz w:val="20"/>
              </w:rPr>
              <w:t>Ian Tucker sustained injuries when he was struck by a vehicle while a pedestrian, on October 13, 2007. The vehicle did not stop, and its owner or driver have never been identified. Mr. Tucker held a standard automobile insurance contract with AXA General Insurance (“AXA”). The contract contained the mandatory Section D endorsement, which provides coverage for all sums an insured is legally entitled to recover as damages resulting from an accident involving an owner or driver of an unidentified automobile. On October 13, 2009, Mr. Tucker filed a negligence action against Unknown Person. This suit has never been served. On November 18, 2010, Mr. Tucker presented a demand to AXA claiming recovery of damages for his injuries. On November 18, 2011, Mr. Tucker filed an action against AXA, alleging that AXA was in breach of Section D and seeking recovery of his claim for damages. AXA subsequently applied to the court for dismissal of the latter contract action on the basis that it was commenced after the limitation period expired, while Mr. Tucker applied to add AXA as a defendant in the tort action.</w:t>
            </w:r>
          </w:p>
          <w:p w:rsidR="007F2DB8" w:rsidRPr="007F2DB8" w:rsidRDefault="007F2DB8" w:rsidP="007F2DB8">
            <w:pPr>
              <w:jc w:val="both"/>
              <w:rPr>
                <w:sz w:val="20"/>
              </w:rPr>
            </w:pPr>
          </w:p>
          <w:p w:rsidR="007F2DB8" w:rsidRDefault="007F2DB8" w:rsidP="007F2DB8">
            <w:pPr>
              <w:jc w:val="both"/>
              <w:rPr>
                <w:sz w:val="20"/>
              </w:rPr>
            </w:pPr>
            <w:r w:rsidRPr="007F2DB8">
              <w:rPr>
                <w:sz w:val="20"/>
              </w:rPr>
              <w:t>The Supreme Court of Newfoundland and Labrador, Trial Division, dismissed Mr. Tucker's contract action against AXA on the basis that it was filed after the applicable limitation period had expired. That court also dismissed Mr. Tucker’s application to add AXA as a defendant in the tort action. The majority of the Court of Appeal allowed Mr. Tucker’s appeal in the contract action and reinstated that action against AXA (Rowe J.A. dissenting).</w:t>
            </w:r>
          </w:p>
          <w:p w:rsidR="007F2DB8" w:rsidRPr="007F2DB8" w:rsidRDefault="007F2DB8" w:rsidP="007F2DB8">
            <w:pPr>
              <w:jc w:val="both"/>
              <w:rPr>
                <w:sz w:val="20"/>
              </w:rPr>
            </w:pPr>
          </w:p>
        </w:tc>
      </w:tr>
      <w:tr w:rsidR="007F2DB8" w:rsidRPr="007F2DB8" w:rsidTr="007F2DB8">
        <w:trPr>
          <w:trHeight w:val="244"/>
        </w:trPr>
        <w:tc>
          <w:tcPr>
            <w:tcW w:w="2379" w:type="pct"/>
            <w:gridSpan w:val="2"/>
          </w:tcPr>
          <w:p w:rsidR="007F2DB8" w:rsidRPr="007F2DB8" w:rsidRDefault="007F2DB8" w:rsidP="007F2DB8">
            <w:pPr>
              <w:jc w:val="both"/>
              <w:rPr>
                <w:sz w:val="20"/>
              </w:rPr>
            </w:pPr>
            <w:r w:rsidRPr="007F2DB8">
              <w:rPr>
                <w:sz w:val="20"/>
              </w:rPr>
              <w:t>September 25, 2012</w:t>
            </w:r>
          </w:p>
          <w:p w:rsidR="007F2DB8" w:rsidRPr="007F2DB8" w:rsidRDefault="007F2DB8" w:rsidP="007F2DB8">
            <w:pPr>
              <w:jc w:val="both"/>
              <w:rPr>
                <w:sz w:val="20"/>
              </w:rPr>
            </w:pPr>
            <w:r w:rsidRPr="007F2DB8">
              <w:rPr>
                <w:sz w:val="20"/>
              </w:rPr>
              <w:t>Supreme Court of Newfoundland &amp; Labrador, Trial Division</w:t>
            </w:r>
          </w:p>
          <w:p w:rsidR="007F2DB8" w:rsidRPr="007F2DB8" w:rsidRDefault="007F2DB8" w:rsidP="007F2DB8">
            <w:pPr>
              <w:jc w:val="both"/>
              <w:rPr>
                <w:sz w:val="20"/>
              </w:rPr>
            </w:pPr>
            <w:r w:rsidRPr="007F2DB8">
              <w:rPr>
                <w:sz w:val="20"/>
              </w:rPr>
              <w:t>(Orsborn C.J.T.D.)</w:t>
            </w:r>
          </w:p>
          <w:p w:rsidR="007F2DB8" w:rsidRPr="007F2DB8" w:rsidRDefault="00A96461" w:rsidP="007F2DB8">
            <w:pPr>
              <w:jc w:val="both"/>
              <w:rPr>
                <w:rStyle w:val="Hyperlink"/>
                <w:sz w:val="20"/>
              </w:rPr>
            </w:pPr>
            <w:hyperlink r:id="rId50" w:history="1">
              <w:r w:rsidR="007F2DB8" w:rsidRPr="007F2DB8">
                <w:rPr>
                  <w:rStyle w:val="Hyperlink"/>
                  <w:sz w:val="20"/>
                </w:rPr>
                <w:t>2012 NLTD(G) 132</w:t>
              </w:r>
            </w:hyperlink>
            <w:r w:rsidR="007F2DB8" w:rsidRPr="007F2DB8">
              <w:rPr>
                <w:sz w:val="20"/>
              </w:rPr>
              <w:t xml:space="preserve"> </w:t>
            </w:r>
            <w:r w:rsidR="007F2DB8" w:rsidRPr="007F2DB8">
              <w:rPr>
                <w:sz w:val="20"/>
              </w:rPr>
              <w:lastRenderedPageBreak/>
              <w:t xml:space="preserve">and </w:t>
            </w:r>
            <w:hyperlink r:id="rId51" w:history="1">
              <w:r w:rsidR="007F2DB8" w:rsidRPr="007F2DB8">
                <w:rPr>
                  <w:rStyle w:val="Hyperlink"/>
                  <w:sz w:val="20"/>
                </w:rPr>
                <w:t>2012 NLTD(G) 133</w:t>
              </w:r>
            </w:hyperlink>
          </w:p>
          <w:p w:rsidR="007F2DB8" w:rsidRPr="007F2DB8" w:rsidRDefault="007F2DB8" w:rsidP="007F2DB8">
            <w:pPr>
              <w:jc w:val="both"/>
              <w:rPr>
                <w:sz w:val="20"/>
              </w:rPr>
            </w:pPr>
          </w:p>
        </w:tc>
        <w:tc>
          <w:tcPr>
            <w:tcW w:w="243" w:type="pct"/>
          </w:tcPr>
          <w:p w:rsidR="007F2DB8" w:rsidRPr="007F2DB8" w:rsidRDefault="007F2DB8" w:rsidP="007F2DB8">
            <w:pPr>
              <w:jc w:val="both"/>
              <w:rPr>
                <w:sz w:val="20"/>
              </w:rPr>
            </w:pPr>
          </w:p>
        </w:tc>
        <w:tc>
          <w:tcPr>
            <w:tcW w:w="2379" w:type="pct"/>
          </w:tcPr>
          <w:p w:rsidR="007F2DB8" w:rsidRPr="007F2DB8" w:rsidRDefault="007F2DB8" w:rsidP="007F2DB8">
            <w:pPr>
              <w:jc w:val="both"/>
              <w:rPr>
                <w:sz w:val="20"/>
              </w:rPr>
            </w:pPr>
            <w:r w:rsidRPr="007F2DB8">
              <w:rPr>
                <w:sz w:val="20"/>
              </w:rPr>
              <w:t>Respondent’s application to add applicant as a defendant to tort action, dismissed; Applicant’s application to dismiss respondent’s action for breach of insurance contract, allowed.</w:t>
            </w:r>
          </w:p>
        </w:tc>
      </w:tr>
      <w:tr w:rsidR="007F2DB8" w:rsidRPr="007F2DB8" w:rsidTr="007F2DB8">
        <w:trPr>
          <w:trHeight w:val="243"/>
        </w:trPr>
        <w:tc>
          <w:tcPr>
            <w:tcW w:w="2379" w:type="pct"/>
            <w:gridSpan w:val="2"/>
          </w:tcPr>
          <w:p w:rsidR="007F2DB8" w:rsidRPr="007F2DB8" w:rsidRDefault="007F2DB8" w:rsidP="007F2DB8">
            <w:pPr>
              <w:jc w:val="both"/>
              <w:rPr>
                <w:sz w:val="20"/>
              </w:rPr>
            </w:pPr>
            <w:r w:rsidRPr="007F2DB8">
              <w:rPr>
                <w:sz w:val="20"/>
              </w:rPr>
              <w:lastRenderedPageBreak/>
              <w:t>April 21, 2015</w:t>
            </w:r>
          </w:p>
          <w:p w:rsidR="007F2DB8" w:rsidRPr="007F2DB8" w:rsidRDefault="007F2DB8" w:rsidP="007F2DB8">
            <w:pPr>
              <w:jc w:val="both"/>
              <w:rPr>
                <w:sz w:val="20"/>
              </w:rPr>
            </w:pPr>
            <w:r w:rsidRPr="007F2DB8">
              <w:rPr>
                <w:sz w:val="20"/>
              </w:rPr>
              <w:t xml:space="preserve">Supreme Court of Newfoundland and </w:t>
            </w:r>
          </w:p>
          <w:p w:rsidR="007F2DB8" w:rsidRPr="007F2DB8" w:rsidRDefault="007F2DB8" w:rsidP="007F2DB8">
            <w:pPr>
              <w:jc w:val="both"/>
              <w:rPr>
                <w:sz w:val="20"/>
              </w:rPr>
            </w:pPr>
            <w:r w:rsidRPr="007F2DB8">
              <w:rPr>
                <w:sz w:val="20"/>
              </w:rPr>
              <w:t>Labrador - Court of Appeal</w:t>
            </w:r>
          </w:p>
          <w:p w:rsidR="007F2DB8" w:rsidRPr="007F2DB8" w:rsidRDefault="007F2DB8" w:rsidP="007F2DB8">
            <w:pPr>
              <w:jc w:val="both"/>
              <w:rPr>
                <w:sz w:val="20"/>
              </w:rPr>
            </w:pPr>
            <w:r w:rsidRPr="007F2DB8">
              <w:rPr>
                <w:sz w:val="20"/>
              </w:rPr>
              <w:t xml:space="preserve">(Green C.J.N.L. and Welsh, Rowe, </w:t>
            </w:r>
          </w:p>
          <w:p w:rsidR="007F2DB8" w:rsidRPr="007F2DB8" w:rsidRDefault="007F2DB8" w:rsidP="007F2DB8">
            <w:pPr>
              <w:jc w:val="both"/>
              <w:rPr>
                <w:sz w:val="20"/>
              </w:rPr>
            </w:pPr>
            <w:r w:rsidRPr="007F2DB8">
              <w:rPr>
                <w:sz w:val="20"/>
              </w:rPr>
              <w:t xml:space="preserve">Harrington and Hoegg JJ.A.) (Rowe J.A. </w:t>
            </w:r>
          </w:p>
          <w:p w:rsidR="007F2DB8" w:rsidRPr="007F2DB8" w:rsidRDefault="007F2DB8" w:rsidP="007F2DB8">
            <w:pPr>
              <w:jc w:val="both"/>
              <w:rPr>
                <w:sz w:val="20"/>
              </w:rPr>
            </w:pPr>
            <w:r w:rsidRPr="007F2DB8">
              <w:rPr>
                <w:sz w:val="20"/>
              </w:rPr>
              <w:t>dissenting)</w:t>
            </w:r>
          </w:p>
          <w:p w:rsidR="007F2DB8" w:rsidRPr="007F2DB8" w:rsidRDefault="00A96461" w:rsidP="007F2DB8">
            <w:pPr>
              <w:jc w:val="both"/>
              <w:rPr>
                <w:sz w:val="20"/>
              </w:rPr>
            </w:pPr>
            <w:hyperlink r:id="rId52" w:history="1">
              <w:r w:rsidR="007F2DB8" w:rsidRPr="007F2DB8">
                <w:rPr>
                  <w:rStyle w:val="Hyperlink"/>
                  <w:sz w:val="20"/>
                </w:rPr>
                <w:t>2015 NLCA 21</w:t>
              </w:r>
            </w:hyperlink>
          </w:p>
          <w:p w:rsidR="007F2DB8" w:rsidRPr="007F2DB8" w:rsidRDefault="007F2DB8" w:rsidP="007F2DB8">
            <w:pPr>
              <w:jc w:val="both"/>
              <w:rPr>
                <w:sz w:val="20"/>
              </w:rPr>
            </w:pPr>
          </w:p>
        </w:tc>
        <w:tc>
          <w:tcPr>
            <w:tcW w:w="243" w:type="pct"/>
          </w:tcPr>
          <w:p w:rsidR="007F2DB8" w:rsidRPr="007F2DB8" w:rsidRDefault="007F2DB8" w:rsidP="007F2DB8">
            <w:pPr>
              <w:jc w:val="both"/>
              <w:rPr>
                <w:sz w:val="20"/>
              </w:rPr>
            </w:pPr>
          </w:p>
        </w:tc>
        <w:tc>
          <w:tcPr>
            <w:tcW w:w="2379" w:type="pct"/>
          </w:tcPr>
          <w:p w:rsidR="007F2DB8" w:rsidRPr="007F2DB8" w:rsidRDefault="007F2DB8" w:rsidP="007F2DB8">
            <w:pPr>
              <w:jc w:val="both"/>
              <w:rPr>
                <w:sz w:val="20"/>
              </w:rPr>
            </w:pPr>
            <w:r w:rsidRPr="007F2DB8">
              <w:rPr>
                <w:sz w:val="20"/>
              </w:rPr>
              <w:t>Respondent’s appeal in contract action, allowed (Rowe J.A. dissenting); action for breach of insurance contract reinstated.</w:t>
            </w:r>
          </w:p>
          <w:p w:rsidR="007F2DB8" w:rsidRPr="007F2DB8" w:rsidRDefault="007F2DB8" w:rsidP="007F2DB8">
            <w:pPr>
              <w:jc w:val="both"/>
              <w:rPr>
                <w:sz w:val="20"/>
              </w:rPr>
            </w:pPr>
          </w:p>
        </w:tc>
      </w:tr>
      <w:tr w:rsidR="007F2DB8" w:rsidRPr="007F2DB8" w:rsidTr="007F2DB8">
        <w:trPr>
          <w:trHeight w:val="243"/>
        </w:trPr>
        <w:tc>
          <w:tcPr>
            <w:tcW w:w="2379" w:type="pct"/>
            <w:gridSpan w:val="2"/>
          </w:tcPr>
          <w:p w:rsidR="007F2DB8" w:rsidRPr="007F2DB8" w:rsidRDefault="007F2DB8" w:rsidP="007F2DB8">
            <w:pPr>
              <w:jc w:val="both"/>
              <w:rPr>
                <w:sz w:val="20"/>
              </w:rPr>
            </w:pPr>
            <w:r w:rsidRPr="007F2DB8">
              <w:rPr>
                <w:sz w:val="20"/>
              </w:rPr>
              <w:t>June 22, 2015</w:t>
            </w:r>
          </w:p>
          <w:p w:rsidR="007F2DB8" w:rsidRPr="007F2DB8" w:rsidRDefault="007F2DB8" w:rsidP="007F2DB8">
            <w:pPr>
              <w:jc w:val="both"/>
              <w:rPr>
                <w:sz w:val="20"/>
              </w:rPr>
            </w:pPr>
            <w:r w:rsidRPr="007F2DB8">
              <w:rPr>
                <w:sz w:val="20"/>
              </w:rPr>
              <w:t>Supreme Court of Canada</w:t>
            </w:r>
          </w:p>
          <w:p w:rsidR="007F2DB8" w:rsidRPr="007F2DB8" w:rsidRDefault="007F2DB8" w:rsidP="007F2DB8">
            <w:pPr>
              <w:jc w:val="both"/>
              <w:rPr>
                <w:sz w:val="20"/>
              </w:rPr>
            </w:pPr>
          </w:p>
        </w:tc>
        <w:tc>
          <w:tcPr>
            <w:tcW w:w="243" w:type="pct"/>
          </w:tcPr>
          <w:p w:rsidR="007F2DB8" w:rsidRPr="007F2DB8" w:rsidRDefault="007F2DB8" w:rsidP="007F2DB8">
            <w:pPr>
              <w:jc w:val="both"/>
              <w:rPr>
                <w:sz w:val="20"/>
              </w:rPr>
            </w:pPr>
          </w:p>
        </w:tc>
        <w:tc>
          <w:tcPr>
            <w:tcW w:w="2379" w:type="pct"/>
          </w:tcPr>
          <w:p w:rsidR="007F2DB8" w:rsidRPr="007F2DB8" w:rsidRDefault="007F2DB8" w:rsidP="007F2DB8">
            <w:pPr>
              <w:jc w:val="both"/>
              <w:rPr>
                <w:sz w:val="20"/>
              </w:rPr>
            </w:pPr>
            <w:r w:rsidRPr="007F2DB8">
              <w:rPr>
                <w:sz w:val="20"/>
              </w:rPr>
              <w:t>Application for leave to appeal, filed.</w:t>
            </w:r>
          </w:p>
          <w:p w:rsidR="007F2DB8" w:rsidRPr="007F2DB8" w:rsidRDefault="007F2DB8" w:rsidP="007F2DB8">
            <w:pPr>
              <w:jc w:val="both"/>
              <w:rPr>
                <w:sz w:val="20"/>
              </w:rPr>
            </w:pPr>
          </w:p>
        </w:tc>
      </w:tr>
    </w:tbl>
    <w:p w:rsidR="007F2DB8" w:rsidRPr="007F2DB8" w:rsidRDefault="007F2DB8" w:rsidP="007F2D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04"/>
        <w:gridCol w:w="451"/>
        <w:gridCol w:w="4409"/>
      </w:tblGrid>
      <w:tr w:rsidR="007F2DB8" w:rsidRPr="00F9562A" w:rsidTr="007F2DB8">
        <w:tc>
          <w:tcPr>
            <w:tcW w:w="543" w:type="pct"/>
          </w:tcPr>
          <w:p w:rsidR="007F2DB8" w:rsidRPr="007F2DB8" w:rsidRDefault="007F2DB8" w:rsidP="007F2DB8">
            <w:pPr>
              <w:pStyle w:val="NoSpacing"/>
              <w:jc w:val="both"/>
              <w:rPr>
                <w:sz w:val="20"/>
                <w:szCs w:val="20"/>
                <w:lang w:val="fr-CA"/>
              </w:rPr>
            </w:pPr>
            <w:r w:rsidRPr="007F2DB8">
              <w:rPr>
                <w:rStyle w:val="SCCFileNumberChar"/>
                <w:sz w:val="20"/>
                <w:szCs w:val="20"/>
                <w:lang w:val="fr-CA"/>
              </w:rPr>
              <w:t>36492</w:t>
            </w:r>
          </w:p>
        </w:tc>
        <w:tc>
          <w:tcPr>
            <w:tcW w:w="4457" w:type="pct"/>
            <w:gridSpan w:val="3"/>
          </w:tcPr>
          <w:p w:rsidR="007F2DB8" w:rsidRPr="007F2DB8" w:rsidRDefault="007F2DB8" w:rsidP="007F2DB8">
            <w:pPr>
              <w:pStyle w:val="SCCLsocParty"/>
              <w:jc w:val="both"/>
              <w:rPr>
                <w:b/>
                <w:sz w:val="20"/>
                <w:szCs w:val="20"/>
                <w:lang w:val="en-US"/>
              </w:rPr>
            </w:pPr>
            <w:r w:rsidRPr="007F2DB8">
              <w:rPr>
                <w:b/>
                <w:sz w:val="20"/>
                <w:szCs w:val="20"/>
                <w:lang w:val="en-US"/>
              </w:rPr>
              <w:t>AXA General Insurance c. Ian Tucker</w:t>
            </w:r>
          </w:p>
          <w:p w:rsidR="007F2DB8" w:rsidRPr="007F2DB8" w:rsidRDefault="007F2DB8" w:rsidP="007F2DB8">
            <w:pPr>
              <w:jc w:val="both"/>
              <w:rPr>
                <w:sz w:val="20"/>
                <w:lang w:val="fr-CA"/>
              </w:rPr>
            </w:pPr>
            <w:r w:rsidRPr="007F2DB8">
              <w:rPr>
                <w:sz w:val="20"/>
                <w:lang w:val="fr-CA"/>
              </w:rPr>
              <w:t>(T.-N.-L.) (Civile) (Sur autorisation)</w:t>
            </w:r>
          </w:p>
        </w:tc>
      </w:tr>
      <w:tr w:rsidR="007F2DB8" w:rsidRPr="00F9562A" w:rsidTr="007F2DB8">
        <w:tc>
          <w:tcPr>
            <w:tcW w:w="5000" w:type="pct"/>
            <w:gridSpan w:val="4"/>
          </w:tcPr>
          <w:p w:rsidR="007F2DB8" w:rsidRPr="007F2DB8" w:rsidRDefault="007F2DB8" w:rsidP="007F2DB8">
            <w:pPr>
              <w:jc w:val="both"/>
              <w:rPr>
                <w:sz w:val="20"/>
                <w:lang w:val="fr-CA"/>
              </w:rPr>
            </w:pPr>
            <w:r w:rsidRPr="007F2DB8">
              <w:rPr>
                <w:sz w:val="20"/>
                <w:lang w:val="fr-CA"/>
              </w:rPr>
              <w:t>Droit des assurances – Polices d’assurance automobile – Prescription des actions contre l’assureur – Avenant obligatoire au titre du chapitre D prévoyant l’indemnisation de dommages découlant de conducteurs non identifiés – Quand commence à courir le délai de prescription pour une cause d’action contre l’assureur? – Quelle est la nature de la cause d’action contre l’assureur au titre du chapitre D? – Quand cette cause d’action prend-elle naissance, marquant ainsi le point de départ du délai de prescription?</w:t>
            </w:r>
          </w:p>
          <w:p w:rsidR="007F2DB8" w:rsidRPr="007F2DB8" w:rsidRDefault="007F2DB8" w:rsidP="007F2DB8">
            <w:pPr>
              <w:jc w:val="both"/>
              <w:rPr>
                <w:sz w:val="20"/>
                <w:lang w:val="fr-CA"/>
              </w:rPr>
            </w:pPr>
          </w:p>
        </w:tc>
      </w:tr>
      <w:tr w:rsidR="007F2DB8" w:rsidRPr="00F9562A" w:rsidTr="007F2DB8">
        <w:tc>
          <w:tcPr>
            <w:tcW w:w="5000" w:type="pct"/>
            <w:gridSpan w:val="4"/>
          </w:tcPr>
          <w:p w:rsidR="007F2DB8" w:rsidRPr="007F2DB8" w:rsidRDefault="007F2DB8" w:rsidP="007F2DB8">
            <w:pPr>
              <w:jc w:val="both"/>
              <w:rPr>
                <w:sz w:val="20"/>
                <w:lang w:val="fr-CA"/>
              </w:rPr>
            </w:pPr>
            <w:r w:rsidRPr="007F2DB8">
              <w:rPr>
                <w:sz w:val="20"/>
                <w:lang w:val="fr-CA"/>
              </w:rPr>
              <w:t>Le 13 octobre 2007, Ian Tucker a subi des blessures lorsqu’il a été heurté par un véhicule alors qu’il circulait à pied. Le véhicule ne s’est pas arrêté et son propriétaire ou conducteur n’a jamais été identifié. Monsieur Tucker détenait un contrat type d’assurance automobile établi par AXA General Insurance (« AXA »). Le contrat renfermait l’avenant obligatoire au titre du chapitre D qui prévoit une assurance pour toutes les sommes qu’un assuré est légalement en droit de recouvrer en dommages-intérêts à la suite d’un accident impliquant le propriétaire ou le conducteur d’une automobile non identifiée. Le 13 octobre 2009, M. Tucker a déposé une action en négligence contre une personne inconnue. Cette poursuite n’a jamais été signifiée. Le 18 novembre 2010, M. Tucker a présenté une mise en demeure à AXA, réclamant le recouvrement de dommages-intérêts pour ses blessures. Le 18 novembre 2011, M. Tucker a déposé une action contre AXA, alléguant qu’AXA avait enfreint le chapitre D et sollicitant le recouvrement du montant qu’il avait demandé en dommages-intérêts. AXA a subséquemment demandé au tribunal de rejeter la dernière action fondée sur le contrat, plaidant qu’elle avait été introduite après l’expiration du délai de prescription, tandis que M. Tucker a demandé qu’AXA soit ajoutée comme défenderesse dans l’action en responsabilité délictuelle.</w:t>
            </w:r>
          </w:p>
          <w:p w:rsidR="007F2DB8" w:rsidRPr="007F2DB8" w:rsidRDefault="007F2DB8" w:rsidP="007F2DB8">
            <w:pPr>
              <w:jc w:val="both"/>
              <w:rPr>
                <w:sz w:val="20"/>
                <w:lang w:val="fr-CA"/>
              </w:rPr>
            </w:pPr>
          </w:p>
          <w:p w:rsidR="007F2DB8" w:rsidRDefault="007F2DB8" w:rsidP="007F2DB8">
            <w:pPr>
              <w:jc w:val="both"/>
              <w:rPr>
                <w:sz w:val="20"/>
                <w:lang w:val="fr-CA"/>
              </w:rPr>
            </w:pPr>
            <w:r w:rsidRPr="007F2DB8">
              <w:rPr>
                <w:sz w:val="20"/>
                <w:lang w:val="fr-CA"/>
              </w:rPr>
              <w:t>La Cour suprême de Terre-Neuve-et-Labrador, Section de première instance, a rejeté l’action de M. Tucker contre AXA fondée sur le contrat au motif qu’elle avait été déposée après l’expiration du délai de prescription applicable. Le tribunal a également rejeté la demande de M. Tucker qu’AXA soit ajoutée comme défenderesse dans l’action en responsabilité délictuelle. Les juges majoritaires de la Cour d’appel ont accueilli l’appel de M. Tucker dans l’action fondée sur le contrat et a rétabli cette action contre AXA (le juge Rowe dissident).</w:t>
            </w:r>
          </w:p>
          <w:p w:rsidR="0026164C" w:rsidRPr="007F2DB8" w:rsidRDefault="0026164C" w:rsidP="007F2DB8">
            <w:pPr>
              <w:jc w:val="both"/>
              <w:rPr>
                <w:sz w:val="20"/>
                <w:lang w:val="fr-CA"/>
              </w:rPr>
            </w:pPr>
          </w:p>
        </w:tc>
      </w:tr>
      <w:tr w:rsidR="0026164C" w:rsidRPr="00F9562A" w:rsidTr="0026164C">
        <w:trPr>
          <w:trHeight w:val="244"/>
        </w:trPr>
        <w:tc>
          <w:tcPr>
            <w:tcW w:w="2379" w:type="pct"/>
            <w:gridSpan w:val="2"/>
          </w:tcPr>
          <w:p w:rsidR="0026164C" w:rsidRPr="007F2DB8" w:rsidRDefault="0026164C" w:rsidP="0026164C">
            <w:pPr>
              <w:jc w:val="both"/>
              <w:rPr>
                <w:sz w:val="20"/>
                <w:lang w:val="fr-CA"/>
              </w:rPr>
            </w:pPr>
            <w:r w:rsidRPr="007F2DB8">
              <w:rPr>
                <w:sz w:val="20"/>
                <w:lang w:val="fr-CA"/>
              </w:rPr>
              <w:lastRenderedPageBreak/>
              <w:t>25 septembre 2012</w:t>
            </w:r>
          </w:p>
          <w:p w:rsidR="0026164C" w:rsidRPr="007F2DB8" w:rsidRDefault="0026164C" w:rsidP="0026164C">
            <w:pPr>
              <w:jc w:val="both"/>
              <w:rPr>
                <w:sz w:val="20"/>
                <w:lang w:val="fr-CA"/>
              </w:rPr>
            </w:pPr>
            <w:r w:rsidRPr="007F2DB8">
              <w:rPr>
                <w:sz w:val="20"/>
                <w:lang w:val="fr-CA"/>
              </w:rPr>
              <w:t>Cour suprême de Terre-Neuve-et-Labrador, Section de première instance</w:t>
            </w:r>
          </w:p>
          <w:p w:rsidR="0026164C" w:rsidRPr="007F2DB8" w:rsidRDefault="0026164C" w:rsidP="0026164C">
            <w:pPr>
              <w:jc w:val="both"/>
              <w:rPr>
                <w:sz w:val="20"/>
                <w:lang w:val="fr-CA"/>
              </w:rPr>
            </w:pPr>
            <w:r w:rsidRPr="007F2DB8">
              <w:rPr>
                <w:sz w:val="20"/>
                <w:lang w:val="fr-CA"/>
              </w:rPr>
              <w:t>(Juge en chef Orsborn)</w:t>
            </w:r>
          </w:p>
          <w:p w:rsidR="0026164C" w:rsidRPr="007F2DB8" w:rsidRDefault="00A96461" w:rsidP="0026164C">
            <w:pPr>
              <w:jc w:val="both"/>
              <w:rPr>
                <w:rStyle w:val="Hyperlink"/>
                <w:sz w:val="20"/>
                <w:lang w:val="fr-CA"/>
              </w:rPr>
            </w:pPr>
            <w:hyperlink r:id="rId53" w:history="1">
              <w:r w:rsidR="0026164C" w:rsidRPr="007F2DB8">
                <w:rPr>
                  <w:rStyle w:val="Hyperlink"/>
                  <w:sz w:val="20"/>
                  <w:lang w:val="fr-CA"/>
                </w:rPr>
                <w:t>2012 NLTD(G) 132</w:t>
              </w:r>
            </w:hyperlink>
            <w:r w:rsidR="0026164C" w:rsidRPr="007F2DB8">
              <w:rPr>
                <w:sz w:val="20"/>
                <w:lang w:val="fr-CA"/>
              </w:rPr>
              <w:t xml:space="preserve"> et </w:t>
            </w:r>
            <w:hyperlink r:id="rId54" w:history="1">
              <w:r w:rsidR="0026164C" w:rsidRPr="007F2DB8">
                <w:rPr>
                  <w:rStyle w:val="Hyperlink"/>
                  <w:sz w:val="20"/>
                  <w:lang w:val="fr-CA"/>
                </w:rPr>
                <w:t>2012 NLTD(G) 133</w:t>
              </w:r>
            </w:hyperlink>
          </w:p>
          <w:p w:rsidR="0026164C" w:rsidRPr="0026164C" w:rsidRDefault="0026164C" w:rsidP="003E1268">
            <w:pPr>
              <w:jc w:val="both"/>
              <w:rPr>
                <w:sz w:val="20"/>
                <w:lang w:val="fr-CA"/>
              </w:rPr>
            </w:pPr>
          </w:p>
        </w:tc>
        <w:tc>
          <w:tcPr>
            <w:tcW w:w="243" w:type="pct"/>
          </w:tcPr>
          <w:p w:rsidR="0026164C" w:rsidRPr="0026164C" w:rsidRDefault="0026164C" w:rsidP="003E1268">
            <w:pPr>
              <w:jc w:val="both"/>
              <w:rPr>
                <w:sz w:val="20"/>
                <w:lang w:val="fr-CA"/>
              </w:rPr>
            </w:pPr>
          </w:p>
        </w:tc>
        <w:tc>
          <w:tcPr>
            <w:tcW w:w="2378" w:type="pct"/>
          </w:tcPr>
          <w:p w:rsidR="0026164C" w:rsidRPr="0026164C" w:rsidRDefault="0026164C" w:rsidP="003E1268">
            <w:pPr>
              <w:jc w:val="both"/>
              <w:rPr>
                <w:sz w:val="20"/>
                <w:lang w:val="fr-CA"/>
              </w:rPr>
            </w:pPr>
            <w:r w:rsidRPr="007F2DB8">
              <w:rPr>
                <w:sz w:val="20"/>
                <w:lang w:val="fr-CA"/>
              </w:rPr>
              <w:t>Rejet de la demande de l’intimé pour que la demanderesse soit ajoutée comme défenderesse dans l’action en responsabilité civile; rejet de l’action de l’intimé pour violation du contrat d’assurance, sur demande de la demanderesse.</w:t>
            </w:r>
          </w:p>
        </w:tc>
      </w:tr>
      <w:tr w:rsidR="0026164C" w:rsidRPr="00F9562A" w:rsidTr="0026164C">
        <w:trPr>
          <w:trHeight w:val="243"/>
        </w:trPr>
        <w:tc>
          <w:tcPr>
            <w:tcW w:w="2379" w:type="pct"/>
            <w:gridSpan w:val="2"/>
          </w:tcPr>
          <w:p w:rsidR="0026164C" w:rsidRPr="007F2DB8" w:rsidRDefault="0026164C" w:rsidP="0026164C">
            <w:pPr>
              <w:jc w:val="both"/>
              <w:rPr>
                <w:sz w:val="20"/>
                <w:lang w:val="fr-CA"/>
              </w:rPr>
            </w:pPr>
            <w:r w:rsidRPr="007F2DB8">
              <w:rPr>
                <w:sz w:val="20"/>
                <w:lang w:val="fr-CA"/>
              </w:rPr>
              <w:t>21 avril 2015</w:t>
            </w:r>
          </w:p>
          <w:p w:rsidR="0026164C" w:rsidRPr="007F2DB8" w:rsidRDefault="0026164C" w:rsidP="0026164C">
            <w:pPr>
              <w:jc w:val="both"/>
              <w:rPr>
                <w:sz w:val="20"/>
                <w:lang w:val="fr-CA"/>
              </w:rPr>
            </w:pPr>
            <w:r w:rsidRPr="007F2DB8">
              <w:rPr>
                <w:sz w:val="20"/>
                <w:lang w:val="fr-CA"/>
              </w:rPr>
              <w:t>Cour suprême de Terre-Neuve-et-Labrador – Cour d’appel</w:t>
            </w:r>
          </w:p>
          <w:p w:rsidR="0026164C" w:rsidRPr="007F2DB8" w:rsidRDefault="0026164C" w:rsidP="0026164C">
            <w:pPr>
              <w:jc w:val="both"/>
              <w:rPr>
                <w:sz w:val="20"/>
                <w:lang w:val="fr-CA"/>
              </w:rPr>
            </w:pPr>
            <w:r w:rsidRPr="007F2DB8">
              <w:rPr>
                <w:sz w:val="20"/>
                <w:lang w:val="fr-CA"/>
              </w:rPr>
              <w:t xml:space="preserve">(Juge en chef Green, juges Welsh, Rowe, </w:t>
            </w:r>
          </w:p>
          <w:p w:rsidR="0026164C" w:rsidRPr="007F2DB8" w:rsidRDefault="0026164C" w:rsidP="0026164C">
            <w:pPr>
              <w:jc w:val="both"/>
              <w:rPr>
                <w:sz w:val="20"/>
                <w:lang w:val="fr-CA"/>
              </w:rPr>
            </w:pPr>
            <w:r w:rsidRPr="007F2DB8">
              <w:rPr>
                <w:sz w:val="20"/>
                <w:lang w:val="fr-CA"/>
              </w:rPr>
              <w:t>Harrington et Hoegg) (le juge Rowe, dissident)</w:t>
            </w:r>
          </w:p>
          <w:p w:rsidR="0026164C" w:rsidRPr="007F2DB8" w:rsidRDefault="00A96461" w:rsidP="0026164C">
            <w:pPr>
              <w:jc w:val="both"/>
              <w:rPr>
                <w:sz w:val="20"/>
                <w:lang w:val="fr-CA"/>
              </w:rPr>
            </w:pPr>
            <w:hyperlink r:id="rId55" w:history="1">
              <w:r w:rsidR="0026164C" w:rsidRPr="007F2DB8">
                <w:rPr>
                  <w:rStyle w:val="Hyperlink"/>
                  <w:sz w:val="20"/>
                  <w:lang w:val="fr-CA"/>
                </w:rPr>
                <w:t>2015 NLCA 21</w:t>
              </w:r>
            </w:hyperlink>
          </w:p>
          <w:p w:rsidR="0026164C" w:rsidRPr="007F2DB8" w:rsidRDefault="0026164C" w:rsidP="003E1268">
            <w:pPr>
              <w:jc w:val="both"/>
              <w:rPr>
                <w:sz w:val="20"/>
              </w:rPr>
            </w:pPr>
          </w:p>
        </w:tc>
        <w:tc>
          <w:tcPr>
            <w:tcW w:w="243" w:type="pct"/>
          </w:tcPr>
          <w:p w:rsidR="0026164C" w:rsidRPr="007F2DB8" w:rsidRDefault="0026164C" w:rsidP="003E1268">
            <w:pPr>
              <w:jc w:val="both"/>
              <w:rPr>
                <w:sz w:val="20"/>
              </w:rPr>
            </w:pPr>
          </w:p>
        </w:tc>
        <w:tc>
          <w:tcPr>
            <w:tcW w:w="2378" w:type="pct"/>
          </w:tcPr>
          <w:p w:rsidR="0026164C" w:rsidRPr="007F2DB8" w:rsidRDefault="0026164C" w:rsidP="0026164C">
            <w:pPr>
              <w:jc w:val="both"/>
              <w:rPr>
                <w:sz w:val="20"/>
                <w:lang w:val="fr-CA"/>
              </w:rPr>
            </w:pPr>
            <w:r w:rsidRPr="007F2DB8">
              <w:rPr>
                <w:sz w:val="20"/>
                <w:lang w:val="fr-CA"/>
              </w:rPr>
              <w:t>Arrêt accueillant l’appel de l’intimé dans l’action fondée sur le contrat (le juge Rowe, dissident); rétablissement de l’action en violation du contrat d’assurance.</w:t>
            </w:r>
          </w:p>
          <w:p w:rsidR="0026164C" w:rsidRPr="0026164C" w:rsidRDefault="0026164C" w:rsidP="003E1268">
            <w:pPr>
              <w:jc w:val="both"/>
              <w:rPr>
                <w:sz w:val="20"/>
                <w:lang w:val="fr-CA"/>
              </w:rPr>
            </w:pPr>
          </w:p>
        </w:tc>
      </w:tr>
      <w:tr w:rsidR="0026164C" w:rsidRPr="00F9562A" w:rsidTr="0026164C">
        <w:trPr>
          <w:trHeight w:val="243"/>
        </w:trPr>
        <w:tc>
          <w:tcPr>
            <w:tcW w:w="2379" w:type="pct"/>
            <w:gridSpan w:val="2"/>
          </w:tcPr>
          <w:p w:rsidR="0026164C" w:rsidRPr="007F2DB8" w:rsidRDefault="0026164C" w:rsidP="0026164C">
            <w:pPr>
              <w:jc w:val="both"/>
              <w:rPr>
                <w:sz w:val="20"/>
                <w:lang w:val="fr-CA"/>
              </w:rPr>
            </w:pPr>
            <w:r w:rsidRPr="007F2DB8">
              <w:rPr>
                <w:sz w:val="20"/>
                <w:lang w:val="fr-CA"/>
              </w:rPr>
              <w:t>22 juin 2015</w:t>
            </w:r>
          </w:p>
          <w:p w:rsidR="0026164C" w:rsidRPr="007F2DB8" w:rsidRDefault="0026164C" w:rsidP="0026164C">
            <w:pPr>
              <w:jc w:val="both"/>
              <w:rPr>
                <w:sz w:val="20"/>
                <w:lang w:val="fr-CA"/>
              </w:rPr>
            </w:pPr>
            <w:r w:rsidRPr="007F2DB8">
              <w:rPr>
                <w:sz w:val="20"/>
                <w:lang w:val="fr-CA"/>
              </w:rPr>
              <w:t>Cour suprême du Canada</w:t>
            </w:r>
          </w:p>
          <w:p w:rsidR="0026164C" w:rsidRPr="007F2DB8" w:rsidRDefault="0026164C" w:rsidP="003E1268">
            <w:pPr>
              <w:jc w:val="both"/>
              <w:rPr>
                <w:sz w:val="20"/>
              </w:rPr>
            </w:pPr>
          </w:p>
        </w:tc>
        <w:tc>
          <w:tcPr>
            <w:tcW w:w="243" w:type="pct"/>
          </w:tcPr>
          <w:p w:rsidR="0026164C" w:rsidRPr="007F2DB8" w:rsidRDefault="0026164C" w:rsidP="003E1268">
            <w:pPr>
              <w:jc w:val="both"/>
              <w:rPr>
                <w:sz w:val="20"/>
              </w:rPr>
            </w:pPr>
          </w:p>
        </w:tc>
        <w:tc>
          <w:tcPr>
            <w:tcW w:w="2378" w:type="pct"/>
          </w:tcPr>
          <w:p w:rsidR="0026164C" w:rsidRPr="007F2DB8" w:rsidRDefault="0026164C" w:rsidP="0026164C">
            <w:pPr>
              <w:jc w:val="both"/>
              <w:rPr>
                <w:sz w:val="20"/>
                <w:lang w:val="fr-CA"/>
              </w:rPr>
            </w:pPr>
            <w:r w:rsidRPr="007F2DB8">
              <w:rPr>
                <w:sz w:val="20"/>
                <w:lang w:val="fr-CA"/>
              </w:rPr>
              <w:t>Dépôt de la demande d’autorisation d’appel.</w:t>
            </w:r>
          </w:p>
          <w:p w:rsidR="0026164C" w:rsidRPr="0026164C" w:rsidRDefault="0026164C" w:rsidP="003E1268">
            <w:pPr>
              <w:jc w:val="both"/>
              <w:rPr>
                <w:sz w:val="20"/>
                <w:lang w:val="fr-CA"/>
              </w:rPr>
            </w:pPr>
          </w:p>
        </w:tc>
      </w:tr>
    </w:tbl>
    <w:p w:rsidR="007F2DB8" w:rsidRPr="007F2DB8" w:rsidRDefault="007F2DB8" w:rsidP="007F2DB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7F2DB8" w:rsidRPr="007F2DB8" w:rsidTr="005731FD">
        <w:tc>
          <w:tcPr>
            <w:tcW w:w="542" w:type="pct"/>
          </w:tcPr>
          <w:p w:rsidR="007F2DB8" w:rsidRPr="007F2DB8" w:rsidRDefault="007F2DB8" w:rsidP="007F2DB8">
            <w:pPr>
              <w:jc w:val="both"/>
              <w:rPr>
                <w:sz w:val="20"/>
                <w:lang w:val="en-CA"/>
              </w:rPr>
            </w:pPr>
            <w:r w:rsidRPr="007F2DB8">
              <w:rPr>
                <w:rStyle w:val="SCCFileNumberChar"/>
                <w:sz w:val="20"/>
                <w:szCs w:val="20"/>
              </w:rPr>
              <w:t>36553</w:t>
            </w:r>
          </w:p>
        </w:tc>
        <w:tc>
          <w:tcPr>
            <w:tcW w:w="4458" w:type="pct"/>
            <w:gridSpan w:val="3"/>
          </w:tcPr>
          <w:p w:rsidR="007F2DB8" w:rsidRPr="0026164C" w:rsidRDefault="007F2DB8" w:rsidP="007F2DB8">
            <w:pPr>
              <w:pStyle w:val="SCCLsocParty"/>
              <w:jc w:val="both"/>
              <w:rPr>
                <w:b/>
                <w:sz w:val="20"/>
                <w:szCs w:val="20"/>
              </w:rPr>
            </w:pPr>
            <w:r w:rsidRPr="0026164C">
              <w:rPr>
                <w:b/>
                <w:sz w:val="20"/>
                <w:szCs w:val="20"/>
              </w:rPr>
              <w:t>Dragoljub Milunovic v. Yves Bélanger, Bélanger Sauvé, G.P.</w:t>
            </w:r>
          </w:p>
          <w:p w:rsidR="007F2DB8" w:rsidRPr="007F2DB8" w:rsidRDefault="007F2DB8" w:rsidP="007F2DB8">
            <w:pPr>
              <w:jc w:val="both"/>
              <w:rPr>
                <w:sz w:val="20"/>
                <w:lang w:val="en-CA"/>
              </w:rPr>
            </w:pPr>
            <w:r w:rsidRPr="007F2DB8">
              <w:rPr>
                <w:sz w:val="20"/>
                <w:lang w:val="en-CA"/>
              </w:rPr>
              <w:t>(Que.) (Civil) (By Leave)</w:t>
            </w:r>
          </w:p>
        </w:tc>
      </w:tr>
      <w:tr w:rsidR="007F2DB8" w:rsidRPr="007F2DB8" w:rsidTr="005731FD">
        <w:tc>
          <w:tcPr>
            <w:tcW w:w="5000" w:type="pct"/>
            <w:gridSpan w:val="4"/>
          </w:tcPr>
          <w:p w:rsidR="007F2DB8" w:rsidRPr="007F2DB8" w:rsidRDefault="007F2DB8" w:rsidP="007F2DB8">
            <w:pPr>
              <w:jc w:val="both"/>
              <w:rPr>
                <w:sz w:val="20"/>
                <w:lang w:val="en-CA"/>
              </w:rPr>
            </w:pPr>
            <w:r w:rsidRPr="007F2DB8">
              <w:rPr>
                <w:sz w:val="20"/>
                <w:lang w:val="en-CA"/>
              </w:rPr>
              <w:t>Law of professions – Lawyer – Professional liability – Trust account – Whether applicant raising issue of public importance.</w:t>
            </w:r>
          </w:p>
        </w:tc>
      </w:tr>
      <w:tr w:rsidR="007F2DB8" w:rsidRPr="007F2DB8" w:rsidTr="005731FD">
        <w:trPr>
          <w:trHeight w:val="263"/>
        </w:trPr>
        <w:tc>
          <w:tcPr>
            <w:tcW w:w="5000" w:type="pct"/>
            <w:gridSpan w:val="4"/>
          </w:tcPr>
          <w:p w:rsidR="007F2DB8" w:rsidRPr="007F2DB8" w:rsidRDefault="007F2DB8" w:rsidP="007F2DB8">
            <w:pPr>
              <w:jc w:val="both"/>
              <w:rPr>
                <w:sz w:val="20"/>
                <w:lang w:val="en-CA"/>
              </w:rPr>
            </w:pPr>
          </w:p>
        </w:tc>
      </w:tr>
      <w:tr w:rsidR="007F2DB8" w:rsidRPr="007F2DB8" w:rsidTr="005731FD">
        <w:tc>
          <w:tcPr>
            <w:tcW w:w="5000" w:type="pct"/>
            <w:gridSpan w:val="4"/>
          </w:tcPr>
          <w:p w:rsidR="007F2DB8" w:rsidRPr="007F2DB8" w:rsidRDefault="007F2DB8" w:rsidP="007F2DB8">
            <w:pPr>
              <w:jc w:val="both"/>
              <w:rPr>
                <w:sz w:val="20"/>
                <w:lang w:val="en-CA"/>
              </w:rPr>
            </w:pPr>
            <w:r w:rsidRPr="007F2DB8">
              <w:rPr>
                <w:sz w:val="20"/>
                <w:lang w:val="en-CA"/>
              </w:rPr>
              <w:t xml:space="preserve">The applicant is challenging the decisions of the courts below finding that his lawyer did not commit any fault by withholding and appropriating part of the amounts held in trust that were owed to him as a result of the settlement of a case. </w:t>
            </w:r>
          </w:p>
          <w:p w:rsidR="007F2DB8" w:rsidRPr="007F2DB8" w:rsidRDefault="007F2DB8" w:rsidP="007F2DB8">
            <w:pPr>
              <w:jc w:val="both"/>
              <w:rPr>
                <w:sz w:val="20"/>
                <w:lang w:val="en-CA"/>
              </w:rPr>
            </w:pPr>
          </w:p>
        </w:tc>
      </w:tr>
      <w:tr w:rsidR="007F2DB8" w:rsidRPr="007F2DB8" w:rsidTr="005731FD">
        <w:tblPrEx>
          <w:tblCellMar>
            <w:bottom w:w="0" w:type="dxa"/>
          </w:tblCellMar>
        </w:tblPrEx>
        <w:tc>
          <w:tcPr>
            <w:tcW w:w="2390" w:type="pct"/>
            <w:gridSpan w:val="2"/>
          </w:tcPr>
          <w:p w:rsidR="007F2DB8" w:rsidRPr="007F2DB8" w:rsidRDefault="007F2DB8" w:rsidP="007F2DB8">
            <w:pPr>
              <w:jc w:val="both"/>
              <w:rPr>
                <w:sz w:val="20"/>
                <w:lang w:val="en-CA"/>
              </w:rPr>
            </w:pPr>
            <w:r w:rsidRPr="007F2DB8">
              <w:rPr>
                <w:sz w:val="20"/>
                <w:lang w:val="en-CA"/>
              </w:rPr>
              <w:t>January 23, 2015</w:t>
            </w:r>
          </w:p>
          <w:p w:rsidR="007F2DB8" w:rsidRPr="007F2DB8" w:rsidRDefault="007F2DB8" w:rsidP="007F2DB8">
            <w:pPr>
              <w:jc w:val="both"/>
              <w:rPr>
                <w:sz w:val="20"/>
                <w:lang w:val="en-CA"/>
              </w:rPr>
            </w:pPr>
            <w:r w:rsidRPr="007F2DB8">
              <w:rPr>
                <w:sz w:val="20"/>
                <w:lang w:val="en-CA"/>
              </w:rPr>
              <w:t>Quebec Superior Court</w:t>
            </w:r>
          </w:p>
          <w:p w:rsidR="007F2DB8" w:rsidRPr="007F2DB8" w:rsidRDefault="007F2DB8" w:rsidP="007F2DB8">
            <w:pPr>
              <w:jc w:val="both"/>
              <w:rPr>
                <w:sz w:val="20"/>
                <w:lang w:val="en-CA"/>
              </w:rPr>
            </w:pPr>
            <w:r w:rsidRPr="007F2DB8">
              <w:rPr>
                <w:sz w:val="20"/>
                <w:lang w:val="en-CA"/>
              </w:rPr>
              <w:t>(Hallée J.)</w:t>
            </w:r>
          </w:p>
          <w:p w:rsidR="007F2DB8" w:rsidRPr="007F2DB8" w:rsidRDefault="00A96461" w:rsidP="007F2DB8">
            <w:pPr>
              <w:jc w:val="both"/>
              <w:rPr>
                <w:sz w:val="20"/>
                <w:lang w:val="en-CA"/>
              </w:rPr>
            </w:pPr>
            <w:hyperlink r:id="rId56" w:history="1">
              <w:r w:rsidR="007F2DB8" w:rsidRPr="007F2DB8">
                <w:rPr>
                  <w:rStyle w:val="Hyperlink"/>
                  <w:sz w:val="20"/>
                  <w:lang w:val="en-CA"/>
                </w:rPr>
                <w:t>2015 QCCS 156</w:t>
              </w:r>
            </w:hyperlink>
          </w:p>
          <w:p w:rsidR="007F2DB8" w:rsidRPr="007F2DB8" w:rsidRDefault="007F2DB8" w:rsidP="007F2DB8">
            <w:pPr>
              <w:jc w:val="both"/>
              <w:rPr>
                <w:sz w:val="20"/>
                <w:lang w:val="en-CA"/>
              </w:rPr>
            </w:pPr>
          </w:p>
        </w:tc>
        <w:tc>
          <w:tcPr>
            <w:tcW w:w="270" w:type="pct"/>
          </w:tcPr>
          <w:p w:rsidR="007F2DB8" w:rsidRPr="007F2DB8" w:rsidRDefault="007F2DB8" w:rsidP="007F2DB8">
            <w:pPr>
              <w:jc w:val="both"/>
              <w:rPr>
                <w:sz w:val="20"/>
                <w:lang w:val="en-CA"/>
              </w:rPr>
            </w:pPr>
          </w:p>
        </w:tc>
        <w:tc>
          <w:tcPr>
            <w:tcW w:w="2340" w:type="pct"/>
          </w:tcPr>
          <w:p w:rsidR="007F2DB8" w:rsidRPr="007F2DB8" w:rsidRDefault="007F2DB8" w:rsidP="007F2DB8">
            <w:pPr>
              <w:jc w:val="both"/>
              <w:rPr>
                <w:sz w:val="20"/>
                <w:lang w:val="en-CA"/>
              </w:rPr>
            </w:pPr>
            <w:r w:rsidRPr="007F2DB8">
              <w:rPr>
                <w:sz w:val="20"/>
                <w:lang w:val="en-CA"/>
              </w:rPr>
              <w:t>Application dismissed</w:t>
            </w:r>
          </w:p>
          <w:p w:rsidR="007F2DB8" w:rsidRPr="007F2DB8" w:rsidRDefault="007F2DB8" w:rsidP="007F2DB8">
            <w:pPr>
              <w:jc w:val="both"/>
              <w:rPr>
                <w:sz w:val="20"/>
                <w:lang w:val="en-CA"/>
              </w:rPr>
            </w:pPr>
          </w:p>
        </w:tc>
      </w:tr>
      <w:tr w:rsidR="007F2DB8" w:rsidRPr="007F2DB8" w:rsidTr="005731FD">
        <w:tblPrEx>
          <w:tblCellMar>
            <w:bottom w:w="0" w:type="dxa"/>
          </w:tblCellMar>
        </w:tblPrEx>
        <w:tc>
          <w:tcPr>
            <w:tcW w:w="2390" w:type="pct"/>
            <w:gridSpan w:val="2"/>
          </w:tcPr>
          <w:p w:rsidR="007F2DB8" w:rsidRPr="007F2DB8" w:rsidRDefault="007F2DB8" w:rsidP="007F2DB8">
            <w:pPr>
              <w:jc w:val="both"/>
              <w:rPr>
                <w:sz w:val="20"/>
                <w:lang w:val="en-CA"/>
              </w:rPr>
            </w:pPr>
            <w:r w:rsidRPr="007F2DB8">
              <w:rPr>
                <w:sz w:val="20"/>
                <w:lang w:val="en-CA"/>
              </w:rPr>
              <w:t>May 14, 2015</w:t>
            </w:r>
          </w:p>
          <w:p w:rsidR="007F2DB8" w:rsidRPr="007F2DB8" w:rsidRDefault="007F2DB8" w:rsidP="007F2DB8">
            <w:pPr>
              <w:jc w:val="both"/>
              <w:rPr>
                <w:sz w:val="20"/>
                <w:lang w:val="en-CA"/>
              </w:rPr>
            </w:pPr>
            <w:r w:rsidRPr="007F2DB8">
              <w:rPr>
                <w:sz w:val="20"/>
                <w:lang w:val="en-CA"/>
              </w:rPr>
              <w:lastRenderedPageBreak/>
              <w:t>Quebec Court of Appeal (Montréal)</w:t>
            </w:r>
          </w:p>
          <w:p w:rsidR="007F2DB8" w:rsidRPr="007F2DB8" w:rsidRDefault="007F2DB8" w:rsidP="007F2DB8">
            <w:pPr>
              <w:jc w:val="both"/>
              <w:rPr>
                <w:sz w:val="20"/>
                <w:lang w:val="en-CA"/>
              </w:rPr>
            </w:pPr>
            <w:r w:rsidRPr="007F2DB8">
              <w:rPr>
                <w:sz w:val="20"/>
                <w:lang w:val="en-CA"/>
              </w:rPr>
              <w:t>(Doyon, Giroux and Bouchard JJ.A.)</w:t>
            </w:r>
          </w:p>
          <w:p w:rsidR="007F2DB8" w:rsidRPr="007F2DB8" w:rsidRDefault="00A96461" w:rsidP="007F2DB8">
            <w:pPr>
              <w:jc w:val="both"/>
              <w:rPr>
                <w:sz w:val="20"/>
                <w:lang w:val="en-CA"/>
              </w:rPr>
            </w:pPr>
            <w:hyperlink r:id="rId57" w:history="1">
              <w:r w:rsidR="007F2DB8" w:rsidRPr="007F2DB8">
                <w:rPr>
                  <w:rStyle w:val="Hyperlink"/>
                  <w:sz w:val="20"/>
                  <w:lang w:val="en-CA"/>
                </w:rPr>
                <w:t>2015 QCCA 282</w:t>
              </w:r>
            </w:hyperlink>
            <w:r w:rsidR="007F2DB8" w:rsidRPr="007F2DB8">
              <w:rPr>
                <w:sz w:val="20"/>
                <w:lang w:val="en-CA"/>
              </w:rPr>
              <w:t xml:space="preserve"> </w:t>
            </w:r>
          </w:p>
          <w:p w:rsidR="007F2DB8" w:rsidRPr="007F2DB8" w:rsidRDefault="007F2DB8" w:rsidP="007F2DB8">
            <w:pPr>
              <w:jc w:val="both"/>
              <w:rPr>
                <w:sz w:val="20"/>
                <w:lang w:val="en-CA"/>
              </w:rPr>
            </w:pPr>
          </w:p>
        </w:tc>
        <w:tc>
          <w:tcPr>
            <w:tcW w:w="270" w:type="pct"/>
          </w:tcPr>
          <w:p w:rsidR="007F2DB8" w:rsidRPr="007F2DB8" w:rsidRDefault="007F2DB8" w:rsidP="007F2DB8">
            <w:pPr>
              <w:jc w:val="both"/>
              <w:rPr>
                <w:sz w:val="20"/>
                <w:lang w:val="en-CA"/>
              </w:rPr>
            </w:pPr>
          </w:p>
        </w:tc>
        <w:tc>
          <w:tcPr>
            <w:tcW w:w="2340" w:type="pct"/>
          </w:tcPr>
          <w:p w:rsidR="007F2DB8" w:rsidRPr="007F2DB8" w:rsidRDefault="007F2DB8" w:rsidP="007F2DB8">
            <w:pPr>
              <w:jc w:val="both"/>
              <w:rPr>
                <w:sz w:val="20"/>
                <w:lang w:val="en-CA"/>
              </w:rPr>
            </w:pPr>
            <w:r w:rsidRPr="007F2DB8">
              <w:rPr>
                <w:sz w:val="20"/>
                <w:lang w:val="en-CA"/>
              </w:rPr>
              <w:t>Leave to appeal refused</w:t>
            </w:r>
          </w:p>
          <w:p w:rsidR="007F2DB8" w:rsidRPr="007F2DB8" w:rsidRDefault="007F2DB8" w:rsidP="007F2DB8">
            <w:pPr>
              <w:jc w:val="both"/>
              <w:rPr>
                <w:sz w:val="20"/>
                <w:lang w:val="en-CA"/>
              </w:rPr>
            </w:pPr>
          </w:p>
        </w:tc>
      </w:tr>
      <w:tr w:rsidR="007F2DB8" w:rsidRPr="007F2DB8" w:rsidTr="005731FD">
        <w:tblPrEx>
          <w:tblCellMar>
            <w:bottom w:w="0" w:type="dxa"/>
          </w:tblCellMar>
        </w:tblPrEx>
        <w:tc>
          <w:tcPr>
            <w:tcW w:w="2390" w:type="pct"/>
            <w:gridSpan w:val="2"/>
          </w:tcPr>
          <w:p w:rsidR="007F2DB8" w:rsidRPr="007F2DB8" w:rsidRDefault="007F2DB8" w:rsidP="007F2DB8">
            <w:pPr>
              <w:jc w:val="both"/>
              <w:rPr>
                <w:sz w:val="20"/>
                <w:lang w:val="en-CA"/>
              </w:rPr>
            </w:pPr>
            <w:r w:rsidRPr="007F2DB8">
              <w:rPr>
                <w:sz w:val="20"/>
                <w:lang w:val="en-CA"/>
              </w:rPr>
              <w:lastRenderedPageBreak/>
              <w:t>August 13, 2015</w:t>
            </w:r>
          </w:p>
          <w:p w:rsidR="007F2DB8" w:rsidRPr="007F2DB8" w:rsidRDefault="007F2DB8" w:rsidP="007F2DB8">
            <w:pPr>
              <w:jc w:val="both"/>
              <w:rPr>
                <w:sz w:val="20"/>
                <w:lang w:val="en-CA"/>
              </w:rPr>
            </w:pPr>
            <w:r w:rsidRPr="007F2DB8">
              <w:rPr>
                <w:sz w:val="20"/>
                <w:lang w:val="en-CA"/>
              </w:rPr>
              <w:t>Supreme Court of Canada</w:t>
            </w:r>
          </w:p>
          <w:p w:rsidR="007F2DB8" w:rsidRPr="007F2DB8" w:rsidRDefault="007F2DB8" w:rsidP="007F2DB8">
            <w:pPr>
              <w:jc w:val="both"/>
              <w:rPr>
                <w:sz w:val="20"/>
                <w:lang w:val="en-CA"/>
              </w:rPr>
            </w:pPr>
          </w:p>
        </w:tc>
        <w:tc>
          <w:tcPr>
            <w:tcW w:w="270" w:type="pct"/>
          </w:tcPr>
          <w:p w:rsidR="007F2DB8" w:rsidRPr="007F2DB8" w:rsidRDefault="007F2DB8" w:rsidP="007F2DB8">
            <w:pPr>
              <w:jc w:val="both"/>
              <w:rPr>
                <w:sz w:val="20"/>
                <w:lang w:val="en-CA"/>
              </w:rPr>
            </w:pPr>
          </w:p>
        </w:tc>
        <w:tc>
          <w:tcPr>
            <w:tcW w:w="2340" w:type="pct"/>
          </w:tcPr>
          <w:p w:rsidR="007F2DB8" w:rsidRPr="007F2DB8" w:rsidRDefault="007F2DB8" w:rsidP="007F2DB8">
            <w:pPr>
              <w:jc w:val="both"/>
              <w:rPr>
                <w:sz w:val="20"/>
                <w:lang w:val="en-CA"/>
              </w:rPr>
            </w:pPr>
            <w:r w:rsidRPr="007F2DB8">
              <w:rPr>
                <w:sz w:val="20"/>
                <w:lang w:val="en-CA"/>
              </w:rPr>
              <w:t>Application for leave to appeal filed</w:t>
            </w:r>
          </w:p>
          <w:p w:rsidR="007F2DB8" w:rsidRPr="007F2DB8" w:rsidRDefault="007F2DB8" w:rsidP="007F2DB8">
            <w:pPr>
              <w:jc w:val="both"/>
              <w:rPr>
                <w:sz w:val="20"/>
                <w:lang w:val="en-CA"/>
              </w:rPr>
            </w:pPr>
          </w:p>
        </w:tc>
      </w:tr>
    </w:tbl>
    <w:p w:rsidR="007F2DB8" w:rsidRPr="007F2DB8" w:rsidRDefault="007F2DB8" w:rsidP="007F2DB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7F2DB8" w:rsidRPr="007F2DB8" w:rsidTr="005731FD">
        <w:tc>
          <w:tcPr>
            <w:tcW w:w="542" w:type="pct"/>
          </w:tcPr>
          <w:p w:rsidR="007F2DB8" w:rsidRPr="007F2DB8" w:rsidRDefault="007F2DB8" w:rsidP="007F2DB8">
            <w:pPr>
              <w:jc w:val="both"/>
              <w:rPr>
                <w:sz w:val="20"/>
              </w:rPr>
            </w:pPr>
            <w:r w:rsidRPr="007F2DB8">
              <w:rPr>
                <w:rStyle w:val="SCCFileNumberChar"/>
                <w:sz w:val="20"/>
                <w:szCs w:val="20"/>
              </w:rPr>
              <w:t>36553</w:t>
            </w:r>
          </w:p>
        </w:tc>
        <w:tc>
          <w:tcPr>
            <w:tcW w:w="4458" w:type="pct"/>
            <w:gridSpan w:val="3"/>
          </w:tcPr>
          <w:p w:rsidR="007F2DB8" w:rsidRPr="0026164C" w:rsidRDefault="007F2DB8" w:rsidP="007F2DB8">
            <w:pPr>
              <w:pStyle w:val="SCCLsocParty"/>
              <w:jc w:val="both"/>
              <w:rPr>
                <w:b/>
                <w:sz w:val="20"/>
                <w:szCs w:val="20"/>
              </w:rPr>
            </w:pPr>
            <w:r w:rsidRPr="0026164C">
              <w:rPr>
                <w:b/>
                <w:sz w:val="20"/>
                <w:szCs w:val="20"/>
              </w:rPr>
              <w:t>Dragoljub Milunovic c. Yves Bélanger, Bélanger Sauvé, s.e.n.c.</w:t>
            </w:r>
          </w:p>
          <w:p w:rsidR="007F2DB8" w:rsidRPr="007F2DB8" w:rsidRDefault="007F2DB8" w:rsidP="007F2DB8">
            <w:pPr>
              <w:jc w:val="both"/>
              <w:rPr>
                <w:sz w:val="20"/>
              </w:rPr>
            </w:pPr>
            <w:r w:rsidRPr="007F2DB8">
              <w:rPr>
                <w:sz w:val="20"/>
              </w:rPr>
              <w:t>(Qc) (Civile) (Autorisation)</w:t>
            </w:r>
          </w:p>
        </w:tc>
      </w:tr>
      <w:tr w:rsidR="007F2DB8" w:rsidRPr="00F9562A" w:rsidTr="005731FD">
        <w:tc>
          <w:tcPr>
            <w:tcW w:w="5000" w:type="pct"/>
            <w:gridSpan w:val="4"/>
          </w:tcPr>
          <w:p w:rsidR="007F2DB8" w:rsidRPr="007F2DB8" w:rsidRDefault="007F2DB8" w:rsidP="007F2DB8">
            <w:pPr>
              <w:jc w:val="both"/>
              <w:rPr>
                <w:sz w:val="20"/>
                <w:lang w:val="fr-CA"/>
              </w:rPr>
            </w:pPr>
            <w:r w:rsidRPr="007F2DB8">
              <w:rPr>
                <w:sz w:val="20"/>
                <w:lang w:val="fr-CA"/>
              </w:rPr>
              <w:t>Droit des professions – Avocat – Responsabilité professionnelle – Compte en fidéicommis – Le demandeur soulève-t-il une question d’importance pour le public?</w:t>
            </w:r>
          </w:p>
        </w:tc>
      </w:tr>
      <w:tr w:rsidR="007F2DB8" w:rsidRPr="00F9562A" w:rsidTr="005731FD">
        <w:trPr>
          <w:trHeight w:val="263"/>
        </w:trPr>
        <w:tc>
          <w:tcPr>
            <w:tcW w:w="5000" w:type="pct"/>
            <w:gridSpan w:val="4"/>
          </w:tcPr>
          <w:p w:rsidR="007F2DB8" w:rsidRPr="007F2DB8" w:rsidRDefault="007F2DB8" w:rsidP="007F2DB8">
            <w:pPr>
              <w:jc w:val="both"/>
              <w:rPr>
                <w:sz w:val="20"/>
                <w:lang w:val="fr-CA"/>
              </w:rPr>
            </w:pPr>
          </w:p>
        </w:tc>
      </w:tr>
      <w:tr w:rsidR="007F2DB8" w:rsidRPr="00F9562A" w:rsidTr="005731FD">
        <w:tc>
          <w:tcPr>
            <w:tcW w:w="5000" w:type="pct"/>
            <w:gridSpan w:val="4"/>
          </w:tcPr>
          <w:p w:rsidR="007F2DB8" w:rsidRPr="007F2DB8" w:rsidRDefault="007F2DB8" w:rsidP="007F2DB8">
            <w:pPr>
              <w:jc w:val="both"/>
              <w:rPr>
                <w:sz w:val="20"/>
                <w:lang w:val="fr-CA"/>
              </w:rPr>
            </w:pPr>
            <w:r w:rsidRPr="007F2DB8">
              <w:rPr>
                <w:sz w:val="20"/>
                <w:lang w:val="fr-CA"/>
              </w:rPr>
              <w:t xml:space="preserve">Le demandeur conteste les décisions des tribunaux inférieurs voulant que l’avocat n’ait commis aucune faute en retenant et en s’appropriant une partie des sommes détenues en fidéicommis qui lui revenait à la suite du règlement d’un dossier. </w:t>
            </w:r>
          </w:p>
          <w:p w:rsidR="007F2DB8" w:rsidRPr="007F2DB8" w:rsidRDefault="007F2DB8" w:rsidP="007F2DB8">
            <w:pPr>
              <w:jc w:val="both"/>
              <w:rPr>
                <w:sz w:val="20"/>
                <w:lang w:val="fr-CA"/>
              </w:rPr>
            </w:pPr>
          </w:p>
        </w:tc>
      </w:tr>
      <w:tr w:rsidR="007F2DB8" w:rsidRPr="007F2DB8" w:rsidTr="005731FD">
        <w:tblPrEx>
          <w:tblCellMar>
            <w:bottom w:w="0" w:type="dxa"/>
          </w:tblCellMar>
        </w:tblPrEx>
        <w:tc>
          <w:tcPr>
            <w:tcW w:w="2390" w:type="pct"/>
            <w:gridSpan w:val="2"/>
          </w:tcPr>
          <w:p w:rsidR="007F2DB8" w:rsidRPr="007F2DB8" w:rsidRDefault="007F2DB8" w:rsidP="007F2DB8">
            <w:pPr>
              <w:jc w:val="both"/>
              <w:rPr>
                <w:sz w:val="20"/>
                <w:lang w:val="fr-CA"/>
              </w:rPr>
            </w:pPr>
            <w:r w:rsidRPr="007F2DB8">
              <w:rPr>
                <w:sz w:val="20"/>
                <w:lang w:val="fr-CA"/>
              </w:rPr>
              <w:t>Le 23 janvier 2015</w:t>
            </w:r>
          </w:p>
          <w:p w:rsidR="007F2DB8" w:rsidRPr="007F2DB8" w:rsidRDefault="007F2DB8" w:rsidP="007F2DB8">
            <w:pPr>
              <w:jc w:val="both"/>
              <w:rPr>
                <w:sz w:val="20"/>
                <w:lang w:val="fr-CA"/>
              </w:rPr>
            </w:pPr>
            <w:r w:rsidRPr="007F2DB8">
              <w:rPr>
                <w:sz w:val="20"/>
                <w:lang w:val="fr-CA"/>
              </w:rPr>
              <w:t>Cour supérieure du Québec</w:t>
            </w:r>
          </w:p>
          <w:p w:rsidR="007F2DB8" w:rsidRPr="007F2DB8" w:rsidRDefault="007F2DB8" w:rsidP="007F2DB8">
            <w:pPr>
              <w:jc w:val="both"/>
              <w:rPr>
                <w:sz w:val="20"/>
              </w:rPr>
            </w:pPr>
            <w:r w:rsidRPr="007F2DB8">
              <w:rPr>
                <w:sz w:val="20"/>
              </w:rPr>
              <w:t>(La juge Hallée)</w:t>
            </w:r>
          </w:p>
          <w:p w:rsidR="007F2DB8" w:rsidRPr="007F2DB8" w:rsidRDefault="00A96461" w:rsidP="007F2DB8">
            <w:pPr>
              <w:jc w:val="both"/>
              <w:rPr>
                <w:sz w:val="20"/>
              </w:rPr>
            </w:pPr>
            <w:hyperlink r:id="rId58" w:history="1">
              <w:r w:rsidR="007F2DB8" w:rsidRPr="007F2DB8">
                <w:rPr>
                  <w:rStyle w:val="Hyperlink"/>
                  <w:sz w:val="20"/>
                </w:rPr>
                <w:t>2015 QCCS 156</w:t>
              </w:r>
            </w:hyperlink>
          </w:p>
          <w:p w:rsidR="007F2DB8" w:rsidRPr="007F2DB8" w:rsidRDefault="007F2DB8" w:rsidP="007F2DB8">
            <w:pPr>
              <w:jc w:val="both"/>
              <w:rPr>
                <w:sz w:val="20"/>
              </w:rPr>
            </w:pPr>
          </w:p>
        </w:tc>
        <w:tc>
          <w:tcPr>
            <w:tcW w:w="270" w:type="pct"/>
          </w:tcPr>
          <w:p w:rsidR="007F2DB8" w:rsidRPr="007F2DB8" w:rsidRDefault="007F2DB8" w:rsidP="007F2DB8">
            <w:pPr>
              <w:jc w:val="both"/>
              <w:rPr>
                <w:sz w:val="20"/>
              </w:rPr>
            </w:pPr>
          </w:p>
        </w:tc>
        <w:tc>
          <w:tcPr>
            <w:tcW w:w="2340" w:type="pct"/>
          </w:tcPr>
          <w:p w:rsidR="007F2DB8" w:rsidRPr="007F2DB8" w:rsidRDefault="007F2DB8" w:rsidP="007F2DB8">
            <w:pPr>
              <w:jc w:val="both"/>
              <w:rPr>
                <w:sz w:val="20"/>
              </w:rPr>
            </w:pPr>
            <w:r w:rsidRPr="007F2DB8">
              <w:rPr>
                <w:sz w:val="20"/>
              </w:rPr>
              <w:t>Rejet de la demande</w:t>
            </w:r>
          </w:p>
          <w:p w:rsidR="007F2DB8" w:rsidRPr="007F2DB8" w:rsidRDefault="007F2DB8" w:rsidP="007F2DB8">
            <w:pPr>
              <w:jc w:val="both"/>
              <w:rPr>
                <w:sz w:val="20"/>
              </w:rPr>
            </w:pPr>
          </w:p>
        </w:tc>
      </w:tr>
      <w:tr w:rsidR="007F2DB8" w:rsidRPr="007F2DB8" w:rsidTr="005731FD">
        <w:tblPrEx>
          <w:tblCellMar>
            <w:bottom w:w="0" w:type="dxa"/>
          </w:tblCellMar>
        </w:tblPrEx>
        <w:tc>
          <w:tcPr>
            <w:tcW w:w="2390" w:type="pct"/>
            <w:gridSpan w:val="2"/>
          </w:tcPr>
          <w:p w:rsidR="007F2DB8" w:rsidRPr="007F2DB8" w:rsidRDefault="007F2DB8" w:rsidP="007F2DB8">
            <w:pPr>
              <w:jc w:val="both"/>
              <w:rPr>
                <w:sz w:val="20"/>
                <w:lang w:val="fr-CA"/>
              </w:rPr>
            </w:pPr>
            <w:r w:rsidRPr="007F2DB8">
              <w:rPr>
                <w:sz w:val="20"/>
                <w:lang w:val="fr-CA"/>
              </w:rPr>
              <w:t>Le 14 mai 2015</w:t>
            </w:r>
          </w:p>
          <w:p w:rsidR="007F2DB8" w:rsidRPr="007F2DB8" w:rsidRDefault="007F2DB8" w:rsidP="007F2DB8">
            <w:pPr>
              <w:jc w:val="both"/>
              <w:rPr>
                <w:sz w:val="20"/>
                <w:lang w:val="fr-CA"/>
              </w:rPr>
            </w:pPr>
            <w:r w:rsidRPr="007F2DB8">
              <w:rPr>
                <w:sz w:val="20"/>
                <w:lang w:val="fr-CA"/>
              </w:rPr>
              <w:t>Cour d’appel du Québec (Montréal)</w:t>
            </w:r>
          </w:p>
          <w:p w:rsidR="007F2DB8" w:rsidRPr="007F2DB8" w:rsidRDefault="007F2DB8" w:rsidP="007F2DB8">
            <w:pPr>
              <w:jc w:val="both"/>
              <w:rPr>
                <w:sz w:val="20"/>
                <w:lang w:val="fr-CA"/>
              </w:rPr>
            </w:pPr>
            <w:r w:rsidRPr="007F2DB8">
              <w:rPr>
                <w:sz w:val="20"/>
                <w:lang w:val="fr-CA"/>
              </w:rPr>
              <w:t>(Les juges Doyon, Giroux et Bouchard)</w:t>
            </w:r>
          </w:p>
          <w:p w:rsidR="007F2DB8" w:rsidRPr="007F2DB8" w:rsidRDefault="00A96461" w:rsidP="007F2DB8">
            <w:pPr>
              <w:jc w:val="both"/>
              <w:rPr>
                <w:sz w:val="20"/>
              </w:rPr>
            </w:pPr>
            <w:hyperlink r:id="rId59" w:history="1">
              <w:r w:rsidR="007F2DB8" w:rsidRPr="007F2DB8">
                <w:rPr>
                  <w:rStyle w:val="Hyperlink"/>
                  <w:sz w:val="20"/>
                </w:rPr>
                <w:t>2015 QCCA 282</w:t>
              </w:r>
            </w:hyperlink>
            <w:r w:rsidR="007F2DB8" w:rsidRPr="007F2DB8">
              <w:rPr>
                <w:sz w:val="20"/>
              </w:rPr>
              <w:t xml:space="preserve"> </w:t>
            </w:r>
          </w:p>
          <w:p w:rsidR="007F2DB8" w:rsidRPr="007F2DB8" w:rsidRDefault="007F2DB8" w:rsidP="007F2DB8">
            <w:pPr>
              <w:jc w:val="both"/>
              <w:rPr>
                <w:sz w:val="20"/>
              </w:rPr>
            </w:pPr>
          </w:p>
        </w:tc>
        <w:tc>
          <w:tcPr>
            <w:tcW w:w="270" w:type="pct"/>
          </w:tcPr>
          <w:p w:rsidR="007F2DB8" w:rsidRPr="007F2DB8" w:rsidRDefault="007F2DB8" w:rsidP="007F2DB8">
            <w:pPr>
              <w:jc w:val="both"/>
              <w:rPr>
                <w:sz w:val="20"/>
              </w:rPr>
            </w:pPr>
          </w:p>
        </w:tc>
        <w:tc>
          <w:tcPr>
            <w:tcW w:w="2340" w:type="pct"/>
          </w:tcPr>
          <w:p w:rsidR="007F2DB8" w:rsidRPr="007F2DB8" w:rsidRDefault="007F2DB8" w:rsidP="007F2DB8">
            <w:pPr>
              <w:jc w:val="both"/>
              <w:rPr>
                <w:sz w:val="20"/>
              </w:rPr>
            </w:pPr>
            <w:r w:rsidRPr="007F2DB8">
              <w:rPr>
                <w:sz w:val="20"/>
              </w:rPr>
              <w:t>Permission d’appeler rejetée</w:t>
            </w:r>
          </w:p>
          <w:p w:rsidR="007F2DB8" w:rsidRPr="007F2DB8" w:rsidRDefault="007F2DB8" w:rsidP="007F2DB8">
            <w:pPr>
              <w:jc w:val="both"/>
              <w:rPr>
                <w:sz w:val="20"/>
              </w:rPr>
            </w:pPr>
          </w:p>
        </w:tc>
      </w:tr>
      <w:tr w:rsidR="007F2DB8" w:rsidRPr="007F2DB8" w:rsidTr="005731FD">
        <w:tblPrEx>
          <w:tblCellMar>
            <w:bottom w:w="0" w:type="dxa"/>
          </w:tblCellMar>
        </w:tblPrEx>
        <w:tc>
          <w:tcPr>
            <w:tcW w:w="2390" w:type="pct"/>
            <w:gridSpan w:val="2"/>
          </w:tcPr>
          <w:p w:rsidR="007F2DB8" w:rsidRPr="007F2DB8" w:rsidRDefault="007F2DB8" w:rsidP="007F2DB8">
            <w:pPr>
              <w:jc w:val="both"/>
              <w:rPr>
                <w:sz w:val="20"/>
                <w:lang w:val="fr-CA"/>
              </w:rPr>
            </w:pPr>
            <w:r w:rsidRPr="007F2DB8">
              <w:rPr>
                <w:sz w:val="20"/>
                <w:lang w:val="fr-CA"/>
              </w:rPr>
              <w:t>Le 13 août 2015</w:t>
            </w:r>
          </w:p>
          <w:p w:rsidR="007F2DB8" w:rsidRPr="007F2DB8" w:rsidRDefault="007F2DB8" w:rsidP="007F2DB8">
            <w:pPr>
              <w:jc w:val="both"/>
              <w:rPr>
                <w:sz w:val="20"/>
                <w:lang w:val="fr-CA"/>
              </w:rPr>
            </w:pPr>
            <w:r w:rsidRPr="007F2DB8">
              <w:rPr>
                <w:sz w:val="20"/>
                <w:lang w:val="fr-CA"/>
              </w:rPr>
              <w:t>Cour suprême du Canada</w:t>
            </w:r>
          </w:p>
        </w:tc>
        <w:tc>
          <w:tcPr>
            <w:tcW w:w="270" w:type="pct"/>
          </w:tcPr>
          <w:p w:rsidR="007F2DB8" w:rsidRPr="007F2DB8" w:rsidRDefault="007F2DB8" w:rsidP="007F2DB8">
            <w:pPr>
              <w:jc w:val="both"/>
              <w:rPr>
                <w:sz w:val="20"/>
                <w:lang w:val="fr-CA"/>
              </w:rPr>
            </w:pPr>
          </w:p>
        </w:tc>
        <w:tc>
          <w:tcPr>
            <w:tcW w:w="2340" w:type="pct"/>
          </w:tcPr>
          <w:p w:rsidR="007F2DB8" w:rsidRPr="007F2DB8" w:rsidRDefault="007F2DB8" w:rsidP="007F2DB8">
            <w:pPr>
              <w:jc w:val="both"/>
              <w:rPr>
                <w:sz w:val="20"/>
              </w:rPr>
            </w:pPr>
            <w:r w:rsidRPr="007F2DB8">
              <w:rPr>
                <w:sz w:val="20"/>
              </w:rPr>
              <w:t>Demande d’autorisation d’appel déposée</w:t>
            </w:r>
          </w:p>
        </w:tc>
      </w:tr>
    </w:tbl>
    <w:p w:rsidR="007F2DB8" w:rsidRDefault="007F2DB8" w:rsidP="007F2DB8">
      <w:pPr>
        <w:jc w:val="both"/>
        <w:rPr>
          <w:sz w:val="20"/>
        </w:rPr>
      </w:pPr>
    </w:p>
    <w:p w:rsidR="0026164C" w:rsidRPr="007F2DB8" w:rsidRDefault="0026164C" w:rsidP="007F2D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2DB8" w:rsidRPr="007F2DB8" w:rsidTr="007F2DB8">
        <w:tc>
          <w:tcPr>
            <w:tcW w:w="543" w:type="pct"/>
          </w:tcPr>
          <w:p w:rsidR="007F2DB8" w:rsidRPr="007F2DB8" w:rsidRDefault="007F2DB8" w:rsidP="007F2DB8">
            <w:pPr>
              <w:jc w:val="both"/>
              <w:rPr>
                <w:sz w:val="20"/>
              </w:rPr>
            </w:pPr>
            <w:r w:rsidRPr="007F2DB8">
              <w:rPr>
                <w:rStyle w:val="SCCFileNumberChar"/>
                <w:sz w:val="20"/>
                <w:szCs w:val="20"/>
              </w:rPr>
              <w:t>36512</w:t>
            </w:r>
          </w:p>
        </w:tc>
        <w:tc>
          <w:tcPr>
            <w:tcW w:w="4457" w:type="pct"/>
            <w:gridSpan w:val="3"/>
          </w:tcPr>
          <w:p w:rsidR="007F2DB8" w:rsidRPr="0026164C" w:rsidRDefault="007F2DB8" w:rsidP="007F2DB8">
            <w:pPr>
              <w:pStyle w:val="SCCLsocParty"/>
              <w:jc w:val="both"/>
              <w:rPr>
                <w:b/>
                <w:sz w:val="20"/>
                <w:szCs w:val="20"/>
                <w:lang w:val="en-US"/>
              </w:rPr>
            </w:pPr>
            <w:r w:rsidRPr="0026164C">
              <w:rPr>
                <w:b/>
                <w:sz w:val="20"/>
                <w:szCs w:val="20"/>
                <w:lang w:val="en-US"/>
              </w:rPr>
              <w:t>Jason Steven Philip v. Her Majesty the Queen</w:t>
            </w:r>
          </w:p>
          <w:p w:rsidR="007F2DB8" w:rsidRPr="007F2DB8" w:rsidRDefault="007F2DB8" w:rsidP="007F2DB8">
            <w:pPr>
              <w:jc w:val="both"/>
              <w:rPr>
                <w:sz w:val="20"/>
              </w:rPr>
            </w:pPr>
            <w:r w:rsidRPr="007F2DB8">
              <w:rPr>
                <w:sz w:val="20"/>
              </w:rPr>
              <w:t>(Alta.) (Criminal) (By Leave)</w:t>
            </w:r>
          </w:p>
        </w:tc>
      </w:tr>
      <w:tr w:rsidR="007F2DB8" w:rsidRPr="007F2DB8" w:rsidTr="007F2DB8">
        <w:tc>
          <w:tcPr>
            <w:tcW w:w="5000" w:type="pct"/>
            <w:gridSpan w:val="4"/>
          </w:tcPr>
          <w:p w:rsidR="007F2DB8" w:rsidRPr="007F2DB8" w:rsidRDefault="007F2DB8" w:rsidP="007F2DB8">
            <w:pPr>
              <w:jc w:val="both"/>
              <w:rPr>
                <w:sz w:val="20"/>
              </w:rPr>
            </w:pPr>
            <w:r w:rsidRPr="007F2DB8">
              <w:rPr>
                <w:sz w:val="20"/>
              </w:rPr>
              <w:t xml:space="preserve">Criminal law — Second degree murder — Defence — Intoxication — After drinking all night, applicant stabbed aunt 30 times in head, neck and chest — Applicant hid body, cleaned kitchen and used false name to take taxi to bus station where he purchased one-way ticket out of town — Applicant admitted stabbing to mother, but alleged he blacked out — In considering defence of intoxication, trial judge found applicant was capable of forming intent to murder and that his impairment did not affect his ability to foresee consequences — Applicant convicted of second </w:t>
            </w:r>
            <w:r w:rsidRPr="007F2DB8">
              <w:rPr>
                <w:sz w:val="20"/>
              </w:rPr>
              <w:lastRenderedPageBreak/>
              <w:t>degree murder — Appeal against conviction dismissed — Whether judge erred in considering applicant’s capacity to form specific intent to murder?</w:t>
            </w:r>
          </w:p>
        </w:tc>
      </w:tr>
      <w:tr w:rsidR="007F2DB8" w:rsidRPr="007F2DB8" w:rsidTr="007F2DB8">
        <w:tc>
          <w:tcPr>
            <w:tcW w:w="5000" w:type="pct"/>
            <w:gridSpan w:val="4"/>
          </w:tcPr>
          <w:p w:rsidR="007F2DB8" w:rsidRPr="007F2DB8" w:rsidRDefault="007F2DB8" w:rsidP="007F2DB8">
            <w:pPr>
              <w:jc w:val="both"/>
              <w:rPr>
                <w:sz w:val="20"/>
              </w:rPr>
            </w:pPr>
          </w:p>
        </w:tc>
      </w:tr>
      <w:tr w:rsidR="007F2DB8" w:rsidRPr="007F2DB8" w:rsidTr="007F2DB8">
        <w:tc>
          <w:tcPr>
            <w:tcW w:w="5000" w:type="pct"/>
            <w:gridSpan w:val="4"/>
          </w:tcPr>
          <w:p w:rsidR="007F2DB8" w:rsidRPr="007F2DB8" w:rsidRDefault="007F2DB8" w:rsidP="007F2DB8">
            <w:pPr>
              <w:jc w:val="both"/>
              <w:rPr>
                <w:sz w:val="20"/>
              </w:rPr>
            </w:pPr>
            <w:r w:rsidRPr="007F2DB8">
              <w:rPr>
                <w:sz w:val="20"/>
              </w:rPr>
              <w:t>After drinking all night, the applicant, Mr. Philip, stabbed his aunt 30 times in the head, neck and chest. He then hid her body, cleaned the kitchen and used a false name to take a taxi to the bus station where he purchased a one-way ticket out of town. Later, Mr. Philip admitted to his mother stabbing the victim, but alleged he blacked out. In considering the defence of intoxication, the trial judge found that Mr. Philip was capable of forming an intent to murder and that his impairment did not affect his ability to foresee consequences. Mr. Philip was therefore convicted of second degree murder and his appeal against conviction was dismissed.</w:t>
            </w: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t>March 16, 2011</w:t>
            </w:r>
          </w:p>
          <w:p w:rsidR="007F2DB8" w:rsidRPr="007F2DB8" w:rsidRDefault="007F2DB8" w:rsidP="007F2DB8">
            <w:pPr>
              <w:jc w:val="both"/>
              <w:rPr>
                <w:sz w:val="20"/>
              </w:rPr>
            </w:pPr>
            <w:r w:rsidRPr="007F2DB8">
              <w:rPr>
                <w:sz w:val="20"/>
              </w:rPr>
              <w:t>Court of Queen’s Bench of Alberta</w:t>
            </w:r>
          </w:p>
          <w:p w:rsidR="007F2DB8" w:rsidRPr="007F2DB8" w:rsidRDefault="007F2DB8" w:rsidP="007F2DB8">
            <w:pPr>
              <w:jc w:val="both"/>
              <w:rPr>
                <w:sz w:val="20"/>
                <w:lang w:val="de-DE"/>
              </w:rPr>
            </w:pPr>
            <w:r w:rsidRPr="007F2DB8">
              <w:rPr>
                <w:sz w:val="20"/>
                <w:lang w:val="de-DE"/>
              </w:rPr>
              <w:t>(Nielsen J.)</w:t>
            </w:r>
          </w:p>
          <w:p w:rsidR="007F2DB8" w:rsidRPr="007F2DB8" w:rsidRDefault="007F2DB8" w:rsidP="007F2DB8">
            <w:pPr>
              <w:jc w:val="both"/>
              <w:rPr>
                <w:sz w:val="20"/>
                <w:lang w:val="de-DE"/>
              </w:rPr>
            </w:pPr>
            <w:r w:rsidRPr="007F2DB8">
              <w:rPr>
                <w:sz w:val="20"/>
                <w:lang w:val="de-DE"/>
              </w:rPr>
              <w:t>Docket: 040792350Q1</w:t>
            </w:r>
          </w:p>
          <w:p w:rsidR="007F2DB8" w:rsidRPr="007F2DB8" w:rsidRDefault="007F2DB8" w:rsidP="007F2DB8">
            <w:pPr>
              <w:jc w:val="both"/>
              <w:rPr>
                <w:sz w:val="20"/>
              </w:rPr>
            </w:pPr>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highlight w:val="yellow"/>
              </w:rPr>
            </w:pPr>
            <w:r w:rsidRPr="007F2DB8">
              <w:rPr>
                <w:sz w:val="20"/>
              </w:rPr>
              <w:t>Applicant convicted of second degree murder.</w:t>
            </w: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t>January 28, 2014</w:t>
            </w:r>
          </w:p>
          <w:p w:rsidR="007F2DB8" w:rsidRPr="007F2DB8" w:rsidRDefault="007F2DB8" w:rsidP="007F2DB8">
            <w:pPr>
              <w:jc w:val="both"/>
              <w:rPr>
                <w:sz w:val="20"/>
              </w:rPr>
            </w:pPr>
            <w:r w:rsidRPr="007F2DB8">
              <w:rPr>
                <w:sz w:val="20"/>
              </w:rPr>
              <w:t>Court of Appeal of Alberta (Edmonton)</w:t>
            </w:r>
          </w:p>
          <w:p w:rsidR="007F2DB8" w:rsidRPr="007F2DB8" w:rsidRDefault="007F2DB8" w:rsidP="007F2DB8">
            <w:pPr>
              <w:jc w:val="both"/>
              <w:rPr>
                <w:sz w:val="20"/>
              </w:rPr>
            </w:pPr>
            <w:r w:rsidRPr="007F2DB8">
              <w:rPr>
                <w:sz w:val="20"/>
              </w:rPr>
              <w:t>(Côté, O’Brien and O’Ferrall JJ.A.)</w:t>
            </w:r>
          </w:p>
          <w:p w:rsidR="007F2DB8" w:rsidRPr="007F2DB8" w:rsidRDefault="00A96461" w:rsidP="007F2DB8">
            <w:pPr>
              <w:jc w:val="both"/>
              <w:rPr>
                <w:sz w:val="20"/>
              </w:rPr>
            </w:pPr>
            <w:hyperlink r:id="rId60" w:history="1">
              <w:r w:rsidR="007F2DB8" w:rsidRPr="007F2DB8">
                <w:rPr>
                  <w:rStyle w:val="Hyperlink"/>
                  <w:sz w:val="20"/>
                </w:rPr>
                <w:t>2014 ABCA 39</w:t>
              </w:r>
            </w:hyperlink>
          </w:p>
          <w:p w:rsidR="007F2DB8" w:rsidRPr="007F2DB8" w:rsidRDefault="007F2DB8" w:rsidP="007F2DB8">
            <w:pPr>
              <w:jc w:val="both"/>
              <w:rPr>
                <w:sz w:val="20"/>
                <w:lang w:val="fr-CA"/>
              </w:rPr>
            </w:pPr>
          </w:p>
        </w:tc>
        <w:tc>
          <w:tcPr>
            <w:tcW w:w="243" w:type="pct"/>
          </w:tcPr>
          <w:p w:rsidR="007F2DB8" w:rsidRPr="007F2DB8" w:rsidRDefault="007F2DB8" w:rsidP="007F2DB8">
            <w:pPr>
              <w:jc w:val="both"/>
              <w:rPr>
                <w:sz w:val="20"/>
                <w:lang w:val="fr-CA"/>
              </w:rPr>
            </w:pPr>
          </w:p>
        </w:tc>
        <w:tc>
          <w:tcPr>
            <w:tcW w:w="2330" w:type="pct"/>
          </w:tcPr>
          <w:p w:rsidR="007F2DB8" w:rsidRPr="007F2DB8" w:rsidRDefault="007F2DB8" w:rsidP="007F2DB8">
            <w:pPr>
              <w:jc w:val="both"/>
              <w:rPr>
                <w:sz w:val="20"/>
              </w:rPr>
            </w:pPr>
            <w:r w:rsidRPr="007F2DB8">
              <w:rPr>
                <w:sz w:val="20"/>
              </w:rPr>
              <w:t>Appeal dismissed.</w:t>
            </w: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t>July 10, 2015</w:t>
            </w:r>
          </w:p>
          <w:p w:rsidR="007F2DB8" w:rsidRPr="007F2DB8" w:rsidRDefault="007F2DB8" w:rsidP="007F2DB8">
            <w:pPr>
              <w:jc w:val="both"/>
              <w:rPr>
                <w:sz w:val="20"/>
              </w:rPr>
            </w:pPr>
            <w:r w:rsidRPr="007F2DB8">
              <w:rPr>
                <w:sz w:val="20"/>
              </w:rPr>
              <w:t>Supreme Court of Canada</w:t>
            </w:r>
          </w:p>
          <w:p w:rsidR="007F2DB8" w:rsidRPr="007F2DB8" w:rsidRDefault="007F2DB8" w:rsidP="007F2DB8">
            <w:pPr>
              <w:jc w:val="both"/>
              <w:rPr>
                <w:sz w:val="20"/>
              </w:rPr>
            </w:pPr>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 xml:space="preserve">Motion for an extension of time to serve and file that application and Application for leave to appeal filed. </w:t>
            </w:r>
          </w:p>
        </w:tc>
      </w:tr>
    </w:tbl>
    <w:p w:rsidR="007F2DB8" w:rsidRPr="007F2DB8" w:rsidRDefault="007F2DB8" w:rsidP="007F2D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2DB8" w:rsidRPr="00D263A5" w:rsidTr="007F2DB8">
        <w:tc>
          <w:tcPr>
            <w:tcW w:w="543" w:type="pct"/>
          </w:tcPr>
          <w:p w:rsidR="007F2DB8" w:rsidRPr="00D263A5" w:rsidRDefault="007F2DB8" w:rsidP="007F2DB8">
            <w:pPr>
              <w:jc w:val="both"/>
              <w:rPr>
                <w:sz w:val="20"/>
                <w:lang w:val="fr-CA"/>
              </w:rPr>
            </w:pPr>
            <w:r w:rsidRPr="00D263A5">
              <w:rPr>
                <w:rStyle w:val="SCCFileNumberChar"/>
                <w:sz w:val="20"/>
                <w:szCs w:val="20"/>
                <w:lang w:val="fr-CA"/>
              </w:rPr>
              <w:t>36512</w:t>
            </w:r>
          </w:p>
        </w:tc>
        <w:tc>
          <w:tcPr>
            <w:tcW w:w="4457" w:type="pct"/>
            <w:gridSpan w:val="3"/>
          </w:tcPr>
          <w:p w:rsidR="00D263A5" w:rsidRPr="00D263A5" w:rsidRDefault="00D263A5" w:rsidP="007F2DB8">
            <w:pPr>
              <w:jc w:val="both"/>
              <w:rPr>
                <w:sz w:val="20"/>
                <w:lang w:val="fr-CA"/>
              </w:rPr>
            </w:pPr>
            <w:r w:rsidRPr="00D263A5">
              <w:rPr>
                <w:b/>
                <w:sz w:val="20"/>
                <w:lang w:val="fr-CA"/>
              </w:rPr>
              <w:t xml:space="preserve">Jason Steven Philip c. Sa Majesté la Reine </w:t>
            </w:r>
          </w:p>
          <w:p w:rsidR="007F2DB8" w:rsidRPr="00D263A5" w:rsidRDefault="007F2DB8" w:rsidP="007F2DB8">
            <w:pPr>
              <w:jc w:val="both"/>
              <w:rPr>
                <w:sz w:val="20"/>
                <w:lang w:val="fr-CA"/>
              </w:rPr>
            </w:pPr>
            <w:r w:rsidRPr="00D263A5">
              <w:rPr>
                <w:sz w:val="20"/>
                <w:lang w:val="fr-CA"/>
              </w:rPr>
              <w:t>(Alb.) (Criminelle) (Sur autorisation)</w:t>
            </w:r>
          </w:p>
        </w:tc>
      </w:tr>
      <w:tr w:rsidR="007F2DB8" w:rsidRPr="00F9562A" w:rsidTr="007F2DB8">
        <w:tc>
          <w:tcPr>
            <w:tcW w:w="5000" w:type="pct"/>
            <w:gridSpan w:val="4"/>
          </w:tcPr>
          <w:p w:rsidR="007F2DB8" w:rsidRPr="00D263A5" w:rsidRDefault="007F2DB8" w:rsidP="007F2DB8">
            <w:pPr>
              <w:jc w:val="both"/>
              <w:rPr>
                <w:sz w:val="20"/>
                <w:lang w:val="fr-CA"/>
              </w:rPr>
            </w:pPr>
            <w:r w:rsidRPr="00D263A5">
              <w:rPr>
                <w:sz w:val="20"/>
                <w:lang w:val="fr-CA"/>
              </w:rPr>
              <w:t>Droit criminel — Meurtre au deuxième degré — Moyens de défense — Intoxication — Après avoir bu toute la nuit, le demandeur a poignardé sa tante trente fois à la tête, au cou et à la poitrine — Le demandeur a caché le corps, nettoyé la cuisine et utilisé un faux nom pour prendre un taxi jusqu’à la gare d’autobus où il a acheté un aller simple vers une destination en dehors de la ville — Le demandeur a avoué l’agression à sa mère, mais il a allégué avoir perdu connaissance — Dans son appréciation de la défense d’intoxication, le juge du procès a conclu que le demandeur avait été capable de former l’intention de commettre le meurtre et que son intoxication n’avait pas eu d’incidence sur sa capacité de prévoir les conséquences — Le demandeur a été déclaré coupable de meurtre au deuxième degré — L’appel de la déclaration de culpabilité a été rejeté — Le juge a-t-il commis une erreur en appréciant la capacité du demandeur de former l’intention spécifique de commettre un meurtre?</w:t>
            </w:r>
          </w:p>
        </w:tc>
      </w:tr>
      <w:tr w:rsidR="007F2DB8" w:rsidRPr="00F9562A" w:rsidTr="007F2DB8">
        <w:tc>
          <w:tcPr>
            <w:tcW w:w="5000" w:type="pct"/>
            <w:gridSpan w:val="4"/>
          </w:tcPr>
          <w:p w:rsidR="007F2DB8" w:rsidRPr="007F2DB8" w:rsidRDefault="007F2DB8" w:rsidP="007F2DB8">
            <w:pPr>
              <w:jc w:val="both"/>
              <w:rPr>
                <w:sz w:val="20"/>
                <w:lang w:val="fr-CA"/>
              </w:rPr>
            </w:pPr>
          </w:p>
        </w:tc>
      </w:tr>
      <w:tr w:rsidR="007F2DB8" w:rsidRPr="00F9562A" w:rsidTr="007F2DB8">
        <w:tc>
          <w:tcPr>
            <w:tcW w:w="5000" w:type="pct"/>
            <w:gridSpan w:val="4"/>
          </w:tcPr>
          <w:p w:rsidR="007F2DB8" w:rsidRPr="007F2DB8" w:rsidRDefault="007F2DB8" w:rsidP="007F2DB8">
            <w:pPr>
              <w:jc w:val="both"/>
              <w:rPr>
                <w:sz w:val="20"/>
                <w:lang w:val="fr-CA"/>
              </w:rPr>
            </w:pPr>
            <w:r w:rsidRPr="007F2DB8">
              <w:rPr>
                <w:sz w:val="20"/>
                <w:lang w:val="fr-CA"/>
              </w:rPr>
              <w:t>Après avoir bu toute la nuit, le demandeur, M. Philip, a poignardé sa tante trente fois à la tête, au cou et à la poitrine. Il a ensuite a caché le corps, nettoyé la cuisine et utilisé un faux nom pour prendre un taxi jusqu’à la gare d’autobus où il a acheté un aller simple vers une destination en dehors de la ville. Plus tard, M. Philip a avoué à sa mère avoir poignardé la victime, mais il a allégué avoir perdu connaissance. Dans son appréciation de la défense d’intoxication, le juge du procès a conclu que M. Philip avait été capable de former l’intention de commettre le meurtre et que son intoxication n’avait pas eu d’incidence sur sa capacité de prévoir les conséquences. Monsieur Philip a donc été déclaré coupable de meurtre au deuxième degré et son appel de la déclaration de culpabilité a été rejeté.</w:t>
            </w:r>
          </w:p>
          <w:p w:rsidR="007F2DB8" w:rsidRPr="007F2DB8" w:rsidRDefault="007F2DB8" w:rsidP="007F2DB8">
            <w:pPr>
              <w:jc w:val="both"/>
              <w:rPr>
                <w:sz w:val="20"/>
                <w:lang w:val="fr-CA"/>
              </w:rPr>
            </w:pPr>
          </w:p>
        </w:tc>
      </w:tr>
      <w:tr w:rsidR="007F2DB8" w:rsidRPr="00F9562A" w:rsidTr="007F2DB8">
        <w:tc>
          <w:tcPr>
            <w:tcW w:w="2427" w:type="pct"/>
            <w:gridSpan w:val="2"/>
          </w:tcPr>
          <w:p w:rsidR="007F2DB8" w:rsidRPr="007F2DB8" w:rsidRDefault="007F2DB8" w:rsidP="007F2DB8">
            <w:pPr>
              <w:jc w:val="both"/>
              <w:rPr>
                <w:sz w:val="20"/>
                <w:lang w:val="fr-CA"/>
              </w:rPr>
            </w:pPr>
            <w:r w:rsidRPr="007F2DB8">
              <w:rPr>
                <w:sz w:val="20"/>
                <w:lang w:val="fr-CA"/>
              </w:rPr>
              <w:t>16 mars 2011</w:t>
            </w:r>
          </w:p>
          <w:p w:rsidR="007F2DB8" w:rsidRPr="007F2DB8" w:rsidRDefault="007F2DB8" w:rsidP="007F2DB8">
            <w:pPr>
              <w:jc w:val="both"/>
              <w:rPr>
                <w:sz w:val="20"/>
                <w:lang w:val="fr-CA"/>
              </w:rPr>
            </w:pPr>
            <w:r w:rsidRPr="007F2DB8">
              <w:rPr>
                <w:sz w:val="20"/>
                <w:lang w:val="fr-CA"/>
              </w:rPr>
              <w:t>Cour du Banc de la Reine de l’Alberta</w:t>
            </w:r>
          </w:p>
          <w:p w:rsidR="007F2DB8" w:rsidRPr="007F2DB8" w:rsidRDefault="007F2DB8" w:rsidP="007F2DB8">
            <w:pPr>
              <w:jc w:val="both"/>
              <w:rPr>
                <w:sz w:val="20"/>
                <w:lang w:val="fr-CA"/>
              </w:rPr>
            </w:pPr>
            <w:r w:rsidRPr="007F2DB8">
              <w:rPr>
                <w:sz w:val="20"/>
                <w:lang w:val="fr-CA"/>
              </w:rPr>
              <w:t>(Juge Nielsen)</w:t>
            </w:r>
          </w:p>
          <w:p w:rsidR="007F2DB8" w:rsidRPr="007F2DB8" w:rsidRDefault="007F2DB8" w:rsidP="007F2DB8">
            <w:pPr>
              <w:jc w:val="both"/>
              <w:rPr>
                <w:sz w:val="20"/>
                <w:lang w:val="fr-CA"/>
              </w:rPr>
            </w:pPr>
            <w:r w:rsidRPr="007F2DB8">
              <w:rPr>
                <w:sz w:val="20"/>
                <w:lang w:val="fr-CA"/>
              </w:rPr>
              <w:t>N</w:t>
            </w:r>
            <w:r w:rsidRPr="007F2DB8">
              <w:rPr>
                <w:sz w:val="20"/>
                <w:vertAlign w:val="superscript"/>
                <w:lang w:val="fr-CA"/>
              </w:rPr>
              <w:t>o</w:t>
            </w:r>
            <w:r w:rsidRPr="007F2DB8">
              <w:rPr>
                <w:sz w:val="20"/>
                <w:lang w:val="fr-CA"/>
              </w:rPr>
              <w:t xml:space="preserve"> du greffe : 040792350Q1</w:t>
            </w:r>
          </w:p>
          <w:p w:rsidR="007F2DB8" w:rsidRPr="007F2DB8" w:rsidRDefault="007F2DB8" w:rsidP="007F2DB8">
            <w:pPr>
              <w:jc w:val="both"/>
              <w:rPr>
                <w:sz w:val="20"/>
                <w:lang w:val="fr-CA"/>
              </w:rPr>
            </w:pPr>
          </w:p>
        </w:tc>
        <w:tc>
          <w:tcPr>
            <w:tcW w:w="243" w:type="pct"/>
          </w:tcPr>
          <w:p w:rsidR="007F2DB8" w:rsidRPr="007F2DB8" w:rsidRDefault="007F2DB8" w:rsidP="007F2DB8">
            <w:pPr>
              <w:jc w:val="both"/>
              <w:rPr>
                <w:sz w:val="20"/>
                <w:lang w:val="fr-CA"/>
              </w:rPr>
            </w:pPr>
          </w:p>
        </w:tc>
        <w:tc>
          <w:tcPr>
            <w:tcW w:w="2330" w:type="pct"/>
          </w:tcPr>
          <w:p w:rsidR="007F2DB8" w:rsidRPr="007F2DB8" w:rsidRDefault="007F2DB8" w:rsidP="007F2DB8">
            <w:pPr>
              <w:jc w:val="both"/>
              <w:rPr>
                <w:sz w:val="20"/>
                <w:highlight w:val="yellow"/>
                <w:lang w:val="fr-CA"/>
              </w:rPr>
            </w:pPr>
            <w:r w:rsidRPr="007F2DB8">
              <w:rPr>
                <w:sz w:val="20"/>
                <w:lang w:val="fr-CA"/>
              </w:rPr>
              <w:t>Déclaration de culpabilité de meurtre au deuxième degré.</w:t>
            </w:r>
          </w:p>
          <w:p w:rsidR="007F2DB8" w:rsidRPr="007F2DB8" w:rsidRDefault="007F2DB8" w:rsidP="007F2DB8">
            <w:pPr>
              <w:jc w:val="both"/>
              <w:rPr>
                <w:sz w:val="20"/>
                <w:lang w:val="fr-CA"/>
              </w:rPr>
            </w:pPr>
          </w:p>
        </w:tc>
      </w:tr>
      <w:tr w:rsidR="007F2DB8" w:rsidRPr="007F2DB8" w:rsidTr="007F2DB8">
        <w:tc>
          <w:tcPr>
            <w:tcW w:w="2427" w:type="pct"/>
            <w:gridSpan w:val="2"/>
          </w:tcPr>
          <w:p w:rsidR="007F2DB8" w:rsidRPr="007F2DB8" w:rsidRDefault="007F2DB8" w:rsidP="007F2DB8">
            <w:pPr>
              <w:jc w:val="both"/>
              <w:rPr>
                <w:sz w:val="20"/>
                <w:lang w:val="fr-CA"/>
              </w:rPr>
            </w:pPr>
            <w:r w:rsidRPr="007F2DB8">
              <w:rPr>
                <w:sz w:val="20"/>
                <w:lang w:val="fr-CA"/>
              </w:rPr>
              <w:lastRenderedPageBreak/>
              <w:t>28 janvier 2014</w:t>
            </w:r>
          </w:p>
          <w:p w:rsidR="007F2DB8" w:rsidRPr="007F2DB8" w:rsidRDefault="007F2DB8" w:rsidP="007F2DB8">
            <w:pPr>
              <w:jc w:val="both"/>
              <w:rPr>
                <w:sz w:val="20"/>
                <w:lang w:val="fr-CA"/>
              </w:rPr>
            </w:pPr>
            <w:r w:rsidRPr="007F2DB8">
              <w:rPr>
                <w:sz w:val="20"/>
                <w:lang w:val="fr-CA"/>
              </w:rPr>
              <w:t>Cour d’appel de l’Alberta (Edmonton)</w:t>
            </w:r>
          </w:p>
          <w:p w:rsidR="007F2DB8" w:rsidRPr="007F2DB8" w:rsidRDefault="007F2DB8" w:rsidP="007F2DB8">
            <w:pPr>
              <w:jc w:val="both"/>
              <w:rPr>
                <w:sz w:val="20"/>
                <w:lang w:val="fr-CA"/>
              </w:rPr>
            </w:pPr>
            <w:r w:rsidRPr="007F2DB8">
              <w:rPr>
                <w:sz w:val="20"/>
                <w:lang w:val="fr-CA"/>
              </w:rPr>
              <w:t>(Juges Côté, O’Brien et O’Ferrall)</w:t>
            </w:r>
          </w:p>
          <w:p w:rsidR="007F2DB8" w:rsidRPr="007F2DB8" w:rsidRDefault="00A96461" w:rsidP="007F2DB8">
            <w:pPr>
              <w:jc w:val="both"/>
              <w:rPr>
                <w:sz w:val="20"/>
                <w:lang w:val="fr-CA"/>
              </w:rPr>
            </w:pPr>
            <w:hyperlink r:id="rId61" w:history="1">
              <w:r w:rsidR="007F2DB8" w:rsidRPr="007F2DB8">
                <w:rPr>
                  <w:rStyle w:val="Hyperlink"/>
                  <w:sz w:val="20"/>
                  <w:lang w:val="fr-CA"/>
                </w:rPr>
                <w:t>2014 ABCA 39</w:t>
              </w:r>
            </w:hyperlink>
          </w:p>
          <w:p w:rsidR="007F2DB8" w:rsidRPr="007F2DB8" w:rsidRDefault="007F2DB8" w:rsidP="007F2DB8">
            <w:pPr>
              <w:jc w:val="both"/>
              <w:rPr>
                <w:sz w:val="20"/>
                <w:lang w:val="fr-CA"/>
              </w:rPr>
            </w:pPr>
          </w:p>
        </w:tc>
        <w:tc>
          <w:tcPr>
            <w:tcW w:w="243" w:type="pct"/>
          </w:tcPr>
          <w:p w:rsidR="007F2DB8" w:rsidRPr="007F2DB8" w:rsidRDefault="007F2DB8" w:rsidP="007F2DB8">
            <w:pPr>
              <w:jc w:val="both"/>
              <w:rPr>
                <w:sz w:val="20"/>
                <w:lang w:val="fr-CA"/>
              </w:rPr>
            </w:pPr>
          </w:p>
        </w:tc>
        <w:tc>
          <w:tcPr>
            <w:tcW w:w="2330" w:type="pct"/>
          </w:tcPr>
          <w:p w:rsidR="007F2DB8" w:rsidRPr="007F2DB8" w:rsidRDefault="007F2DB8" w:rsidP="007F2DB8">
            <w:pPr>
              <w:jc w:val="both"/>
              <w:rPr>
                <w:sz w:val="20"/>
                <w:lang w:val="fr-CA"/>
              </w:rPr>
            </w:pPr>
            <w:r w:rsidRPr="007F2DB8">
              <w:rPr>
                <w:sz w:val="20"/>
                <w:lang w:val="fr-CA"/>
              </w:rPr>
              <w:t>Rejet de l’appel.</w:t>
            </w:r>
          </w:p>
          <w:p w:rsidR="007F2DB8" w:rsidRPr="007F2DB8" w:rsidRDefault="007F2DB8" w:rsidP="007F2DB8">
            <w:pPr>
              <w:jc w:val="both"/>
              <w:rPr>
                <w:sz w:val="20"/>
                <w:lang w:val="fr-CA"/>
              </w:rPr>
            </w:pPr>
          </w:p>
        </w:tc>
      </w:tr>
      <w:tr w:rsidR="007F2DB8" w:rsidRPr="00F9562A" w:rsidTr="007F2DB8">
        <w:tc>
          <w:tcPr>
            <w:tcW w:w="2427" w:type="pct"/>
            <w:gridSpan w:val="2"/>
          </w:tcPr>
          <w:p w:rsidR="007F2DB8" w:rsidRPr="007F2DB8" w:rsidRDefault="007F2DB8" w:rsidP="007F2DB8">
            <w:pPr>
              <w:jc w:val="both"/>
              <w:rPr>
                <w:sz w:val="20"/>
                <w:lang w:val="fr-CA"/>
              </w:rPr>
            </w:pPr>
            <w:r w:rsidRPr="007F2DB8">
              <w:rPr>
                <w:sz w:val="20"/>
                <w:lang w:val="fr-CA"/>
              </w:rPr>
              <w:t>10 juillet 2015</w:t>
            </w:r>
          </w:p>
          <w:p w:rsidR="007F2DB8" w:rsidRPr="007F2DB8" w:rsidRDefault="007F2DB8" w:rsidP="007F2DB8">
            <w:pPr>
              <w:jc w:val="both"/>
              <w:rPr>
                <w:sz w:val="20"/>
                <w:lang w:val="fr-CA"/>
              </w:rPr>
            </w:pPr>
            <w:r w:rsidRPr="007F2DB8">
              <w:rPr>
                <w:sz w:val="20"/>
                <w:lang w:val="fr-CA"/>
              </w:rPr>
              <w:t>Cour suprême du Canada</w:t>
            </w:r>
          </w:p>
          <w:p w:rsidR="007F2DB8" w:rsidRPr="007F2DB8" w:rsidRDefault="007F2DB8" w:rsidP="007F2DB8">
            <w:pPr>
              <w:jc w:val="both"/>
              <w:rPr>
                <w:sz w:val="20"/>
                <w:lang w:val="fr-CA"/>
              </w:rPr>
            </w:pPr>
          </w:p>
        </w:tc>
        <w:tc>
          <w:tcPr>
            <w:tcW w:w="243" w:type="pct"/>
          </w:tcPr>
          <w:p w:rsidR="007F2DB8" w:rsidRPr="007F2DB8" w:rsidRDefault="007F2DB8" w:rsidP="007F2DB8">
            <w:pPr>
              <w:jc w:val="both"/>
              <w:rPr>
                <w:sz w:val="20"/>
                <w:lang w:val="fr-CA"/>
              </w:rPr>
            </w:pPr>
          </w:p>
        </w:tc>
        <w:tc>
          <w:tcPr>
            <w:tcW w:w="2330" w:type="pct"/>
          </w:tcPr>
          <w:p w:rsidR="007F2DB8" w:rsidRPr="007F2DB8" w:rsidRDefault="007F2DB8" w:rsidP="007F2DB8">
            <w:pPr>
              <w:jc w:val="both"/>
              <w:rPr>
                <w:sz w:val="20"/>
                <w:lang w:val="fr-CA"/>
              </w:rPr>
            </w:pPr>
            <w:r w:rsidRPr="007F2DB8">
              <w:rPr>
                <w:sz w:val="20"/>
                <w:lang w:val="fr-CA"/>
              </w:rPr>
              <w:t xml:space="preserve">Dépôt de la demande d’autorisation d’appel et de la requête en prorogation du délai de signification et de dépôt de cette demande. </w:t>
            </w:r>
          </w:p>
        </w:tc>
      </w:tr>
    </w:tbl>
    <w:p w:rsidR="007F2DB8" w:rsidRDefault="007F2DB8" w:rsidP="007F2DB8">
      <w:pPr>
        <w:jc w:val="both"/>
        <w:rPr>
          <w:sz w:val="20"/>
          <w:lang w:val="fr-CA"/>
        </w:rPr>
      </w:pPr>
    </w:p>
    <w:p w:rsidR="0026164C" w:rsidRPr="007F2DB8" w:rsidRDefault="0026164C" w:rsidP="007F2DB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2DB8" w:rsidRPr="007F2DB8" w:rsidTr="007F2DB8">
        <w:tc>
          <w:tcPr>
            <w:tcW w:w="543" w:type="pct"/>
          </w:tcPr>
          <w:p w:rsidR="007F2DB8" w:rsidRPr="007F2DB8" w:rsidRDefault="007F2DB8" w:rsidP="007F2DB8">
            <w:pPr>
              <w:jc w:val="both"/>
              <w:rPr>
                <w:sz w:val="20"/>
              </w:rPr>
            </w:pPr>
            <w:r w:rsidRPr="007F2DB8">
              <w:rPr>
                <w:rStyle w:val="SCCFileNumberChar"/>
                <w:sz w:val="20"/>
                <w:szCs w:val="20"/>
              </w:rPr>
              <w:t>36371</w:t>
            </w:r>
          </w:p>
        </w:tc>
        <w:tc>
          <w:tcPr>
            <w:tcW w:w="4457" w:type="pct"/>
            <w:gridSpan w:val="3"/>
          </w:tcPr>
          <w:p w:rsidR="007F2DB8" w:rsidRPr="0026164C" w:rsidRDefault="007F2DB8" w:rsidP="007F2DB8">
            <w:pPr>
              <w:pStyle w:val="SCCLsocParty"/>
              <w:jc w:val="both"/>
              <w:rPr>
                <w:b/>
                <w:sz w:val="20"/>
                <w:szCs w:val="20"/>
                <w:lang w:val="en-US"/>
              </w:rPr>
            </w:pPr>
            <w:r w:rsidRPr="0026164C">
              <w:rPr>
                <w:b/>
                <w:sz w:val="20"/>
                <w:szCs w:val="20"/>
                <w:lang w:val="en-US"/>
              </w:rPr>
              <w:t>Wael Maged Badawy v. Ghada Hamdy Nafie</w:t>
            </w:r>
          </w:p>
          <w:p w:rsidR="007F2DB8" w:rsidRPr="007F2DB8" w:rsidRDefault="007F2DB8" w:rsidP="007F2DB8">
            <w:pPr>
              <w:jc w:val="both"/>
              <w:rPr>
                <w:sz w:val="20"/>
              </w:rPr>
            </w:pPr>
            <w:r w:rsidRPr="007F2DB8">
              <w:rPr>
                <w:sz w:val="20"/>
              </w:rPr>
              <w:t>(Alta.) (Civil) (By Leave)</w:t>
            </w:r>
          </w:p>
        </w:tc>
      </w:tr>
      <w:tr w:rsidR="007F2DB8" w:rsidRPr="007F2DB8" w:rsidTr="007F2DB8">
        <w:tc>
          <w:tcPr>
            <w:tcW w:w="5000" w:type="pct"/>
            <w:gridSpan w:val="4"/>
          </w:tcPr>
          <w:p w:rsidR="007F2DB8" w:rsidRPr="007F2DB8" w:rsidRDefault="007F2DB8" w:rsidP="007F2DB8">
            <w:pPr>
              <w:jc w:val="both"/>
              <w:rPr>
                <w:sz w:val="20"/>
              </w:rPr>
            </w:pPr>
            <w:r w:rsidRPr="007F2DB8">
              <w:rPr>
                <w:i/>
                <w:sz w:val="20"/>
              </w:rPr>
              <w:t>Charter of Rights</w:t>
            </w:r>
            <w:r w:rsidRPr="007F2DB8">
              <w:rPr>
                <w:sz w:val="20"/>
              </w:rPr>
              <w:t xml:space="preserve"> – Rights to equality and fundamental justice – Family law – Divorce – Jurisdiction – Interim orders – Validity of several interim orders governing interim custody, access, child support, exclusive possession of matrimonial home in question on challenge to validity of divorce proceedings – </w:t>
            </w:r>
            <w:r w:rsidRPr="007F2DB8">
              <w:rPr>
                <w:i/>
                <w:sz w:val="20"/>
              </w:rPr>
              <w:t>Parens</w:t>
            </w:r>
            <w:r w:rsidRPr="007F2DB8">
              <w:rPr>
                <w:sz w:val="20"/>
              </w:rPr>
              <w:t xml:space="preserve"> </w:t>
            </w:r>
            <w:r w:rsidRPr="007F2DB8">
              <w:rPr>
                <w:i/>
                <w:sz w:val="20"/>
              </w:rPr>
              <w:t>patriae</w:t>
            </w:r>
            <w:r w:rsidRPr="007F2DB8">
              <w:rPr>
                <w:sz w:val="20"/>
              </w:rPr>
              <w:t xml:space="preserve"> jurisdiction invoked to preserve interim orders </w:t>
            </w:r>
            <w:r w:rsidRPr="007F2DB8">
              <w:rPr>
                <w:i/>
                <w:sz w:val="20"/>
              </w:rPr>
              <w:t>nunc pro tunc</w:t>
            </w:r>
            <w:r w:rsidRPr="007F2DB8">
              <w:rPr>
                <w:sz w:val="20"/>
              </w:rPr>
              <w:t xml:space="preserve"> – Whether order breaches principles of fundamental justice – Whether application of </w:t>
            </w:r>
            <w:r w:rsidRPr="007F2DB8">
              <w:rPr>
                <w:i/>
                <w:sz w:val="20"/>
              </w:rPr>
              <w:t>nunc pro tunc</w:t>
            </w:r>
            <w:r w:rsidRPr="007F2DB8">
              <w:rPr>
                <w:sz w:val="20"/>
              </w:rPr>
              <w:t xml:space="preserve"> and </w:t>
            </w:r>
            <w:r w:rsidRPr="007F2DB8">
              <w:rPr>
                <w:i/>
                <w:sz w:val="20"/>
              </w:rPr>
              <w:t>parens</w:t>
            </w:r>
            <w:r w:rsidRPr="007F2DB8">
              <w:rPr>
                <w:sz w:val="20"/>
              </w:rPr>
              <w:t xml:space="preserve"> </w:t>
            </w:r>
            <w:r w:rsidRPr="007F2DB8">
              <w:rPr>
                <w:i/>
                <w:sz w:val="20"/>
              </w:rPr>
              <w:t>patriae</w:t>
            </w:r>
            <w:r w:rsidRPr="007F2DB8">
              <w:rPr>
                <w:sz w:val="20"/>
              </w:rPr>
              <w:t xml:space="preserve"> doctrines was an abuse of process, delayed access to justice, breached ss. 7, 15 and 24(2) of the </w:t>
            </w:r>
            <w:r w:rsidRPr="007F2DB8">
              <w:rPr>
                <w:i/>
                <w:sz w:val="20"/>
              </w:rPr>
              <w:t>Charter</w:t>
            </w:r>
            <w:r w:rsidRPr="007F2DB8">
              <w:rPr>
                <w:sz w:val="20"/>
              </w:rPr>
              <w:t xml:space="preserve"> and caused prejudice to applicant – Whether principles of fundamental justice and rights and liberties breached – Whether dispute resolution process was constitutional.</w:t>
            </w:r>
          </w:p>
        </w:tc>
      </w:tr>
      <w:tr w:rsidR="007F2DB8" w:rsidRPr="007F2DB8" w:rsidTr="007F2DB8">
        <w:tc>
          <w:tcPr>
            <w:tcW w:w="5000" w:type="pct"/>
            <w:gridSpan w:val="4"/>
          </w:tcPr>
          <w:p w:rsidR="007F2DB8" w:rsidRPr="007F2DB8" w:rsidRDefault="007F2DB8" w:rsidP="007F2DB8">
            <w:pPr>
              <w:jc w:val="both"/>
              <w:rPr>
                <w:i/>
                <w:sz w:val="20"/>
              </w:rPr>
            </w:pPr>
          </w:p>
        </w:tc>
      </w:tr>
      <w:tr w:rsidR="007F2DB8" w:rsidRPr="007F2DB8" w:rsidTr="007F2DB8">
        <w:tc>
          <w:tcPr>
            <w:tcW w:w="5000" w:type="pct"/>
            <w:gridSpan w:val="4"/>
          </w:tcPr>
          <w:p w:rsidR="007F2DB8" w:rsidRPr="007F2DB8" w:rsidRDefault="007F2DB8" w:rsidP="007F2DB8">
            <w:pPr>
              <w:jc w:val="both"/>
              <w:rPr>
                <w:sz w:val="20"/>
              </w:rPr>
            </w:pPr>
            <w:r w:rsidRPr="007F2DB8">
              <w:rPr>
                <w:sz w:val="20"/>
              </w:rPr>
              <w:t>The parties were married in Egypt in 2000. Each had been resident in Alberta before the wedding. The parties have three children who all reside with their mother. She filed a Statement of Claim for Divorce and Division of Matrimonial Property in July 2012. Mr. Badawy filed a Counterclaim for Divorce and Division of Matrimonial Property, alleging that neither party had been ordinarily resident in Alberta in the year preceding the filing of Ms. Nafie’s action. Ms. Nafie obtained several interim orders in her proceedings including custody, child support and exclusive possession of the matrimonial home and vehicle. Mr. Badawy appealed the interim orders, challenging the validity of the underlying divorce action on the basis that Ms. Nafie had not satisfied the residency requirements at the time of filing her action. He also challenged the constitutionality of the Judicial Dispute Resolution process in which the parties had participated.</w:t>
            </w: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t>May 2, 2014</w:t>
            </w:r>
          </w:p>
          <w:p w:rsidR="007F2DB8" w:rsidRPr="007F2DB8" w:rsidRDefault="007F2DB8" w:rsidP="007F2DB8">
            <w:pPr>
              <w:jc w:val="both"/>
              <w:rPr>
                <w:sz w:val="20"/>
              </w:rPr>
            </w:pPr>
            <w:r w:rsidRPr="007F2DB8">
              <w:rPr>
                <w:sz w:val="20"/>
              </w:rPr>
              <w:t>Court of Queen’s Bench of Alberta</w:t>
            </w:r>
          </w:p>
          <w:p w:rsidR="007F2DB8" w:rsidRPr="007F2DB8" w:rsidRDefault="007F2DB8" w:rsidP="007F2DB8">
            <w:pPr>
              <w:jc w:val="both"/>
              <w:rPr>
                <w:sz w:val="20"/>
              </w:rPr>
            </w:pPr>
            <w:r w:rsidRPr="007F2DB8">
              <w:rPr>
                <w:sz w:val="20"/>
              </w:rPr>
              <w:t>(Hall J.)</w:t>
            </w:r>
          </w:p>
          <w:p w:rsidR="007F2DB8" w:rsidRPr="007F2DB8" w:rsidRDefault="007F2DB8" w:rsidP="007F2DB8">
            <w:pPr>
              <w:jc w:val="both"/>
              <w:rPr>
                <w:sz w:val="20"/>
              </w:rPr>
            </w:pPr>
            <w:r w:rsidRPr="007F2DB8">
              <w:rPr>
                <w:sz w:val="20"/>
              </w:rPr>
              <w:t>2014 ABQB 262</w:t>
            </w:r>
          </w:p>
          <w:p w:rsidR="007F2DB8" w:rsidRPr="007F2DB8" w:rsidRDefault="007F2DB8" w:rsidP="007F2DB8">
            <w:pPr>
              <w:jc w:val="both"/>
              <w:rPr>
                <w:sz w:val="20"/>
              </w:rPr>
            </w:pPr>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Order that marriage valid and that Alberta courts had jurisdiction over parties’ divorce proceedings</w:t>
            </w: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t>January 27, 2015</w:t>
            </w:r>
          </w:p>
          <w:p w:rsidR="007F2DB8" w:rsidRPr="007F2DB8" w:rsidRDefault="007F2DB8" w:rsidP="007F2DB8">
            <w:pPr>
              <w:jc w:val="both"/>
              <w:rPr>
                <w:sz w:val="20"/>
              </w:rPr>
            </w:pPr>
            <w:r w:rsidRPr="007F2DB8">
              <w:rPr>
                <w:sz w:val="20"/>
              </w:rPr>
              <w:t>Court of Appeal of Alberta (Calgary)</w:t>
            </w:r>
          </w:p>
          <w:p w:rsidR="007F2DB8" w:rsidRPr="007F2DB8" w:rsidRDefault="007F2DB8" w:rsidP="007F2DB8">
            <w:pPr>
              <w:jc w:val="both"/>
              <w:rPr>
                <w:sz w:val="20"/>
              </w:rPr>
            </w:pPr>
            <w:r w:rsidRPr="007F2DB8">
              <w:rPr>
                <w:sz w:val="20"/>
              </w:rPr>
              <w:t xml:space="preserve">(Rowbotham, O'Ferrall [dissenting in part] </w:t>
            </w:r>
          </w:p>
          <w:p w:rsidR="007F2DB8" w:rsidRPr="007F2DB8" w:rsidRDefault="007F2DB8" w:rsidP="007F2DB8">
            <w:pPr>
              <w:jc w:val="both"/>
              <w:rPr>
                <w:sz w:val="20"/>
              </w:rPr>
            </w:pPr>
            <w:r w:rsidRPr="007F2DB8">
              <w:rPr>
                <w:sz w:val="20"/>
              </w:rPr>
              <w:t>and Veldhuis JJ.A.)</w:t>
            </w:r>
          </w:p>
          <w:p w:rsidR="007F2DB8" w:rsidRPr="007F2DB8" w:rsidRDefault="007F2DB8" w:rsidP="007F2DB8">
            <w:pPr>
              <w:jc w:val="both"/>
              <w:rPr>
                <w:sz w:val="20"/>
              </w:rPr>
            </w:pPr>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i/>
                <w:sz w:val="20"/>
              </w:rPr>
            </w:pPr>
            <w:r w:rsidRPr="007F2DB8">
              <w:rPr>
                <w:sz w:val="20"/>
              </w:rPr>
              <w:t xml:space="preserve">Order that Alberta courts did not have jurisdiction over divorce proceedings but preserving certain interim orders </w:t>
            </w:r>
            <w:r w:rsidRPr="007F2DB8">
              <w:rPr>
                <w:i/>
                <w:sz w:val="20"/>
              </w:rPr>
              <w:t>nunc pro tunc</w:t>
            </w: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t>March 30, 2015</w:t>
            </w:r>
          </w:p>
          <w:p w:rsidR="007F2DB8" w:rsidRPr="007F2DB8" w:rsidRDefault="007F2DB8" w:rsidP="007F2DB8">
            <w:pPr>
              <w:jc w:val="both"/>
              <w:rPr>
                <w:sz w:val="20"/>
              </w:rPr>
            </w:pPr>
            <w:r w:rsidRPr="007F2DB8">
              <w:rPr>
                <w:sz w:val="20"/>
              </w:rPr>
              <w:t>Supreme Court of Canada</w:t>
            </w:r>
          </w:p>
          <w:p w:rsidR="007F2DB8" w:rsidRPr="007F2DB8" w:rsidRDefault="007F2DB8" w:rsidP="007F2DB8">
            <w:pPr>
              <w:jc w:val="both"/>
              <w:rPr>
                <w:sz w:val="20"/>
              </w:rPr>
            </w:pPr>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First application for leave to appeal filed</w:t>
            </w: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t>June 12, 2015</w:t>
            </w:r>
          </w:p>
          <w:p w:rsidR="007F2DB8" w:rsidRPr="007F2DB8" w:rsidRDefault="007F2DB8" w:rsidP="007F2DB8">
            <w:pPr>
              <w:jc w:val="both"/>
              <w:rPr>
                <w:sz w:val="20"/>
              </w:rPr>
            </w:pPr>
            <w:r w:rsidRPr="007F2DB8">
              <w:rPr>
                <w:sz w:val="20"/>
              </w:rPr>
              <w:t>Supreme Court of Canada</w:t>
            </w:r>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Second application for leave to appeal filed</w:t>
            </w:r>
          </w:p>
          <w:p w:rsidR="007F2DB8" w:rsidRPr="007F2DB8" w:rsidRDefault="007F2DB8" w:rsidP="007F2DB8">
            <w:pPr>
              <w:jc w:val="both"/>
              <w:rPr>
                <w:sz w:val="20"/>
              </w:rPr>
            </w:pPr>
          </w:p>
        </w:tc>
      </w:tr>
    </w:tbl>
    <w:p w:rsidR="007F2DB8" w:rsidRDefault="007F2DB8" w:rsidP="007F2DB8">
      <w:pPr>
        <w:jc w:val="both"/>
        <w:rPr>
          <w:sz w:val="20"/>
        </w:rPr>
      </w:pPr>
    </w:p>
    <w:p w:rsidR="0026164C" w:rsidRPr="007F2DB8" w:rsidRDefault="0026164C" w:rsidP="007F2D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2DB8" w:rsidRPr="007F2DB8" w:rsidTr="007F2DB8">
        <w:tc>
          <w:tcPr>
            <w:tcW w:w="543" w:type="pct"/>
          </w:tcPr>
          <w:p w:rsidR="007F2DB8" w:rsidRPr="007F2DB8" w:rsidRDefault="007F2DB8" w:rsidP="007F2DB8">
            <w:pPr>
              <w:pStyle w:val="Heading1"/>
              <w:spacing w:before="0"/>
              <w:rPr>
                <w:rFonts w:ascii="Times New Roman" w:hAnsi="Times New Roman" w:cs="Times New Roman"/>
                <w:color w:val="auto"/>
                <w:sz w:val="20"/>
                <w:szCs w:val="20"/>
                <w:lang w:val="fr-CA"/>
              </w:rPr>
            </w:pPr>
            <w:r w:rsidRPr="007F2DB8">
              <w:rPr>
                <w:rStyle w:val="SCCFileNumberChar"/>
                <w:rFonts w:cs="Times New Roman"/>
                <w:color w:val="auto"/>
                <w:sz w:val="20"/>
                <w:szCs w:val="20"/>
                <w:lang w:val="fr-CA"/>
              </w:rPr>
              <w:lastRenderedPageBreak/>
              <w:t>36371</w:t>
            </w:r>
          </w:p>
        </w:tc>
        <w:tc>
          <w:tcPr>
            <w:tcW w:w="4457" w:type="pct"/>
            <w:gridSpan w:val="3"/>
          </w:tcPr>
          <w:p w:rsidR="007F2DB8" w:rsidRPr="0026164C" w:rsidRDefault="007F2DB8" w:rsidP="007F2DB8">
            <w:pPr>
              <w:pStyle w:val="SCCLsocParty"/>
              <w:jc w:val="both"/>
              <w:rPr>
                <w:b/>
                <w:sz w:val="20"/>
                <w:szCs w:val="20"/>
                <w:lang w:val="en-US"/>
              </w:rPr>
            </w:pPr>
            <w:r w:rsidRPr="0026164C">
              <w:rPr>
                <w:b/>
                <w:sz w:val="20"/>
                <w:szCs w:val="20"/>
                <w:lang w:val="en-US"/>
              </w:rPr>
              <w:t>Wael Maged Badawy c. Ghada Hamdy Nafie</w:t>
            </w:r>
          </w:p>
          <w:p w:rsidR="007F2DB8" w:rsidRPr="007F2DB8" w:rsidRDefault="007F2DB8" w:rsidP="007F2DB8">
            <w:pPr>
              <w:jc w:val="both"/>
              <w:rPr>
                <w:sz w:val="20"/>
                <w:lang w:val="fr-CA"/>
              </w:rPr>
            </w:pPr>
            <w:r w:rsidRPr="007F2DB8">
              <w:rPr>
                <w:sz w:val="20"/>
                <w:lang w:val="fr-CA"/>
              </w:rPr>
              <w:t>(Alb.) (Civile) (Sur autorisation)</w:t>
            </w:r>
          </w:p>
        </w:tc>
      </w:tr>
      <w:tr w:rsidR="007F2DB8" w:rsidRPr="00F9562A" w:rsidTr="007F2DB8">
        <w:tc>
          <w:tcPr>
            <w:tcW w:w="5000" w:type="pct"/>
            <w:gridSpan w:val="4"/>
          </w:tcPr>
          <w:p w:rsidR="007F2DB8" w:rsidRPr="007F2DB8" w:rsidRDefault="007F2DB8" w:rsidP="007F2DB8">
            <w:pPr>
              <w:jc w:val="both"/>
              <w:rPr>
                <w:sz w:val="20"/>
                <w:lang w:val="fr-CA"/>
              </w:rPr>
            </w:pPr>
            <w:r w:rsidRPr="007F2DB8">
              <w:rPr>
                <w:i/>
                <w:sz w:val="20"/>
                <w:lang w:val="fr-CA"/>
              </w:rPr>
              <w:t>Charte des droits</w:t>
            </w:r>
            <w:r w:rsidRPr="007F2DB8">
              <w:rPr>
                <w:sz w:val="20"/>
                <w:lang w:val="fr-CA"/>
              </w:rPr>
              <w:t xml:space="preserve"> – Droits à l’égalité et à la justice fondamentale – Droit de la famille – Divorce – Compétence – Ordonnances provisoires – La validité de plusieurs ordonnances provisoires régissant la garde provisoire, l’accès, la pension alimentaire pour enfants et la possession exclusive du foyer matrimonial est mise en question dans une contestation de la validité de l’instance de divorce – La compétence </w:t>
            </w:r>
            <w:r w:rsidRPr="007F2DB8">
              <w:rPr>
                <w:i/>
                <w:sz w:val="20"/>
                <w:lang w:val="fr-CA"/>
              </w:rPr>
              <w:t>parens</w:t>
            </w:r>
            <w:r w:rsidRPr="007F2DB8">
              <w:rPr>
                <w:sz w:val="20"/>
                <w:lang w:val="fr-CA"/>
              </w:rPr>
              <w:t xml:space="preserve"> </w:t>
            </w:r>
            <w:r w:rsidRPr="007F2DB8">
              <w:rPr>
                <w:i/>
                <w:sz w:val="20"/>
                <w:lang w:val="fr-CA"/>
              </w:rPr>
              <w:t>patriae</w:t>
            </w:r>
            <w:r w:rsidRPr="007F2DB8">
              <w:rPr>
                <w:sz w:val="20"/>
                <w:lang w:val="fr-CA"/>
              </w:rPr>
              <w:t xml:space="preserve"> est invoquée pour maintenir les ordonnances provisoires </w:t>
            </w:r>
            <w:r w:rsidRPr="007F2DB8">
              <w:rPr>
                <w:i/>
                <w:sz w:val="20"/>
                <w:lang w:val="fr-CA"/>
              </w:rPr>
              <w:t>nunc pro tunc</w:t>
            </w:r>
            <w:r w:rsidRPr="007F2DB8">
              <w:rPr>
                <w:sz w:val="20"/>
                <w:lang w:val="fr-CA"/>
              </w:rPr>
              <w:t xml:space="preserve"> – L’ordonnance viole-t-elle les principes de justice fondamentale? – L’application des doctrines </w:t>
            </w:r>
            <w:r w:rsidRPr="007F2DB8">
              <w:rPr>
                <w:i/>
                <w:sz w:val="20"/>
                <w:lang w:val="fr-CA"/>
              </w:rPr>
              <w:t>nunc pro tunc</w:t>
            </w:r>
            <w:r w:rsidRPr="007F2DB8">
              <w:rPr>
                <w:sz w:val="20"/>
                <w:lang w:val="fr-CA"/>
              </w:rPr>
              <w:t xml:space="preserve"> et </w:t>
            </w:r>
            <w:r w:rsidRPr="007F2DB8">
              <w:rPr>
                <w:i/>
                <w:sz w:val="20"/>
                <w:lang w:val="fr-CA"/>
              </w:rPr>
              <w:t>parens</w:t>
            </w:r>
            <w:r w:rsidRPr="007F2DB8">
              <w:rPr>
                <w:sz w:val="20"/>
                <w:lang w:val="fr-CA"/>
              </w:rPr>
              <w:t xml:space="preserve"> </w:t>
            </w:r>
            <w:r w:rsidRPr="007F2DB8">
              <w:rPr>
                <w:i/>
                <w:sz w:val="20"/>
                <w:lang w:val="fr-CA"/>
              </w:rPr>
              <w:t>patriae</w:t>
            </w:r>
            <w:r w:rsidRPr="007F2DB8">
              <w:rPr>
                <w:sz w:val="20"/>
                <w:lang w:val="fr-CA"/>
              </w:rPr>
              <w:t xml:space="preserve"> constituait-elle un abus de procédure, a-t-elle eu pour effet de retarder l’accès à la justice et de violer les art. 7, 15 et 24(2) de la </w:t>
            </w:r>
            <w:r w:rsidRPr="007F2DB8">
              <w:rPr>
                <w:i/>
                <w:sz w:val="20"/>
                <w:lang w:val="fr-CA"/>
              </w:rPr>
              <w:t>Charte</w:t>
            </w:r>
            <w:r w:rsidRPr="007F2DB8">
              <w:rPr>
                <w:sz w:val="20"/>
                <w:lang w:val="fr-CA"/>
              </w:rPr>
              <w:t xml:space="preserve"> et a-t-elle causé un préjudice au demandeur? – Y a-t-il eu violation des principes de justice fondamentale et des droits et libertés? – Le processus de règlement des différends était-il constitutionnel?</w:t>
            </w:r>
          </w:p>
        </w:tc>
      </w:tr>
      <w:tr w:rsidR="007F2DB8" w:rsidRPr="00F9562A" w:rsidTr="007F2DB8">
        <w:tc>
          <w:tcPr>
            <w:tcW w:w="5000" w:type="pct"/>
            <w:gridSpan w:val="4"/>
          </w:tcPr>
          <w:p w:rsidR="007F2DB8" w:rsidRPr="007F2DB8" w:rsidRDefault="007F2DB8" w:rsidP="007F2DB8">
            <w:pPr>
              <w:jc w:val="both"/>
              <w:rPr>
                <w:i/>
                <w:sz w:val="20"/>
                <w:lang w:val="fr-CA"/>
              </w:rPr>
            </w:pPr>
          </w:p>
        </w:tc>
      </w:tr>
      <w:tr w:rsidR="007F2DB8" w:rsidRPr="00F9562A" w:rsidTr="007F2DB8">
        <w:tc>
          <w:tcPr>
            <w:tcW w:w="5000" w:type="pct"/>
            <w:gridSpan w:val="4"/>
          </w:tcPr>
          <w:p w:rsidR="007F2DB8" w:rsidRPr="007F2DB8" w:rsidRDefault="007F2DB8" w:rsidP="007F2DB8">
            <w:pPr>
              <w:jc w:val="both"/>
              <w:rPr>
                <w:sz w:val="20"/>
                <w:lang w:val="fr-CA"/>
              </w:rPr>
            </w:pPr>
            <w:r w:rsidRPr="007F2DB8">
              <w:rPr>
                <w:sz w:val="20"/>
                <w:lang w:val="fr-CA"/>
              </w:rPr>
              <w:t>Les parties se sont mariées en Égypte en 2000. Chacune avait été résidente de l’Alberta avant le mariage. Les parties ont trois enfants qui résident tous avec leur mère. En juillet 2012, cette dernière a déposé une déclaration en divorce et en partage du patrimoine matrimonial. Monsieur Badawy a déposé une demande reconventionnelle en divorce et en partage du patrimoine matrimonial, alléguant que ni l’une ni l’autre des parties n’avait résidé habituellement en Alberta dans l’année qui a précédé le dépôt de l’action de Mme Nafie. Madame Nafie a obtenu plusieurs ordonnances provisoires dans sa procédure, lui accordant notamment la garde, une pension alimentaire pour enfants et la possession exclusive du foyer matrimonial et un véhicule. Monsieur Badawy a interjeté appel des ordonnances provisoires, contestant la validité de l’action en divorce sous-jacente, alléguant que Mme Nafie n’avait pas rempli les critères de résidence au moment du dépôt de son action. Il a également contesté la constitutionnalité du processus de règlement judiciaire des différends auquel les parties avaient participé.</w:t>
            </w:r>
          </w:p>
          <w:p w:rsidR="007F2DB8" w:rsidRPr="007F2DB8" w:rsidRDefault="007F2DB8" w:rsidP="007F2DB8">
            <w:pPr>
              <w:jc w:val="both"/>
              <w:rPr>
                <w:sz w:val="20"/>
                <w:lang w:val="fr-CA"/>
              </w:rPr>
            </w:pPr>
          </w:p>
        </w:tc>
      </w:tr>
      <w:tr w:rsidR="007F2DB8" w:rsidRPr="00F9562A" w:rsidTr="007F2DB8">
        <w:tc>
          <w:tcPr>
            <w:tcW w:w="2427" w:type="pct"/>
            <w:gridSpan w:val="2"/>
          </w:tcPr>
          <w:p w:rsidR="007F2DB8" w:rsidRPr="007F2DB8" w:rsidRDefault="007F2DB8" w:rsidP="007F2DB8">
            <w:pPr>
              <w:jc w:val="both"/>
              <w:rPr>
                <w:sz w:val="20"/>
                <w:lang w:val="fr-CA"/>
              </w:rPr>
            </w:pPr>
            <w:r w:rsidRPr="007F2DB8">
              <w:rPr>
                <w:sz w:val="20"/>
                <w:lang w:val="fr-CA"/>
              </w:rPr>
              <w:t>2 mai 2014</w:t>
            </w:r>
          </w:p>
          <w:p w:rsidR="007F2DB8" w:rsidRPr="007F2DB8" w:rsidRDefault="007F2DB8" w:rsidP="007F2DB8">
            <w:pPr>
              <w:jc w:val="both"/>
              <w:rPr>
                <w:sz w:val="20"/>
                <w:lang w:val="fr-CA"/>
              </w:rPr>
            </w:pPr>
            <w:r w:rsidRPr="007F2DB8">
              <w:rPr>
                <w:sz w:val="20"/>
                <w:lang w:val="fr-CA"/>
              </w:rPr>
              <w:t>Cour du Banc de la Reine de l’Alberta</w:t>
            </w:r>
          </w:p>
          <w:p w:rsidR="007F2DB8" w:rsidRPr="007F2DB8" w:rsidRDefault="007F2DB8" w:rsidP="007F2DB8">
            <w:pPr>
              <w:jc w:val="both"/>
              <w:rPr>
                <w:sz w:val="20"/>
                <w:lang w:val="fr-CA"/>
              </w:rPr>
            </w:pPr>
            <w:r w:rsidRPr="007F2DB8">
              <w:rPr>
                <w:sz w:val="20"/>
                <w:lang w:val="fr-CA"/>
              </w:rPr>
              <w:t>(Juge Hall)</w:t>
            </w:r>
          </w:p>
          <w:p w:rsidR="007F2DB8" w:rsidRPr="007F2DB8" w:rsidRDefault="007F2DB8" w:rsidP="007F2DB8">
            <w:pPr>
              <w:jc w:val="both"/>
              <w:rPr>
                <w:sz w:val="20"/>
                <w:lang w:val="fr-CA"/>
              </w:rPr>
            </w:pPr>
            <w:r w:rsidRPr="007F2DB8">
              <w:rPr>
                <w:sz w:val="20"/>
                <w:lang w:val="fr-CA"/>
              </w:rPr>
              <w:t>2014 ABQB 262</w:t>
            </w:r>
          </w:p>
          <w:p w:rsidR="007F2DB8" w:rsidRPr="007F2DB8" w:rsidRDefault="007F2DB8" w:rsidP="007F2DB8">
            <w:pPr>
              <w:jc w:val="both"/>
              <w:rPr>
                <w:sz w:val="20"/>
                <w:lang w:val="fr-CA"/>
              </w:rPr>
            </w:pPr>
          </w:p>
        </w:tc>
        <w:tc>
          <w:tcPr>
            <w:tcW w:w="243" w:type="pct"/>
          </w:tcPr>
          <w:p w:rsidR="007F2DB8" w:rsidRPr="007F2DB8" w:rsidRDefault="007F2DB8" w:rsidP="007F2DB8">
            <w:pPr>
              <w:jc w:val="both"/>
              <w:rPr>
                <w:sz w:val="20"/>
                <w:lang w:val="fr-CA"/>
              </w:rPr>
            </w:pPr>
          </w:p>
        </w:tc>
        <w:tc>
          <w:tcPr>
            <w:tcW w:w="2330" w:type="pct"/>
          </w:tcPr>
          <w:p w:rsidR="007F2DB8" w:rsidRPr="007F2DB8" w:rsidRDefault="007F2DB8" w:rsidP="007F2DB8">
            <w:pPr>
              <w:jc w:val="both"/>
              <w:rPr>
                <w:sz w:val="20"/>
                <w:lang w:val="fr-CA"/>
              </w:rPr>
            </w:pPr>
            <w:r w:rsidRPr="007F2DB8">
              <w:rPr>
                <w:sz w:val="20"/>
                <w:lang w:val="fr-CA"/>
              </w:rPr>
              <w:t>Ordonnance portant que le mariage était valide et que les tribunaux de l’Alberta avaient compétence à l’égard de l’instance de divorce des parties</w:t>
            </w:r>
          </w:p>
          <w:p w:rsidR="007F2DB8" w:rsidRPr="007F2DB8" w:rsidRDefault="007F2DB8" w:rsidP="007F2DB8">
            <w:pPr>
              <w:jc w:val="both"/>
              <w:rPr>
                <w:sz w:val="20"/>
                <w:lang w:val="fr-CA"/>
              </w:rPr>
            </w:pPr>
          </w:p>
        </w:tc>
      </w:tr>
      <w:tr w:rsidR="007F2DB8" w:rsidRPr="00F9562A" w:rsidTr="007F2DB8">
        <w:tc>
          <w:tcPr>
            <w:tcW w:w="2427" w:type="pct"/>
            <w:gridSpan w:val="2"/>
          </w:tcPr>
          <w:p w:rsidR="007F2DB8" w:rsidRPr="007F2DB8" w:rsidRDefault="007F2DB8" w:rsidP="007F2DB8">
            <w:pPr>
              <w:jc w:val="both"/>
              <w:rPr>
                <w:sz w:val="20"/>
                <w:lang w:val="fr-CA"/>
              </w:rPr>
            </w:pPr>
            <w:r w:rsidRPr="007F2DB8">
              <w:rPr>
                <w:sz w:val="20"/>
                <w:lang w:val="fr-CA"/>
              </w:rPr>
              <w:t>27 janvier 2015</w:t>
            </w:r>
          </w:p>
          <w:p w:rsidR="007F2DB8" w:rsidRPr="007F2DB8" w:rsidRDefault="007F2DB8" w:rsidP="007F2DB8">
            <w:pPr>
              <w:jc w:val="both"/>
              <w:rPr>
                <w:sz w:val="20"/>
                <w:lang w:val="fr-CA"/>
              </w:rPr>
            </w:pPr>
            <w:r w:rsidRPr="007F2DB8">
              <w:rPr>
                <w:sz w:val="20"/>
                <w:lang w:val="fr-CA"/>
              </w:rPr>
              <w:t>Cour d’appel de l’Alberta (Calgary)</w:t>
            </w:r>
          </w:p>
          <w:p w:rsidR="007F2DB8" w:rsidRPr="007F2DB8" w:rsidRDefault="007F2DB8" w:rsidP="007F2DB8">
            <w:pPr>
              <w:jc w:val="both"/>
              <w:rPr>
                <w:sz w:val="20"/>
                <w:lang w:val="fr-CA"/>
              </w:rPr>
            </w:pPr>
            <w:r w:rsidRPr="007F2DB8">
              <w:rPr>
                <w:sz w:val="20"/>
                <w:lang w:val="fr-CA"/>
              </w:rPr>
              <w:t>(Juges Rowbotham, O'Ferrall [dissident en partie] et Veldhuis)</w:t>
            </w:r>
          </w:p>
          <w:p w:rsidR="007F2DB8" w:rsidRPr="007F2DB8" w:rsidRDefault="007F2DB8" w:rsidP="007F2DB8">
            <w:pPr>
              <w:jc w:val="both"/>
              <w:rPr>
                <w:sz w:val="20"/>
                <w:lang w:val="fr-CA"/>
              </w:rPr>
            </w:pPr>
          </w:p>
        </w:tc>
        <w:tc>
          <w:tcPr>
            <w:tcW w:w="243" w:type="pct"/>
          </w:tcPr>
          <w:p w:rsidR="007F2DB8" w:rsidRPr="007F2DB8" w:rsidRDefault="007F2DB8" w:rsidP="007F2DB8">
            <w:pPr>
              <w:jc w:val="both"/>
              <w:rPr>
                <w:sz w:val="20"/>
                <w:lang w:val="fr-CA"/>
              </w:rPr>
            </w:pPr>
          </w:p>
        </w:tc>
        <w:tc>
          <w:tcPr>
            <w:tcW w:w="2330" w:type="pct"/>
          </w:tcPr>
          <w:p w:rsidR="007F2DB8" w:rsidRPr="007F2DB8" w:rsidRDefault="007F2DB8" w:rsidP="007F2DB8">
            <w:pPr>
              <w:jc w:val="both"/>
              <w:rPr>
                <w:i/>
                <w:sz w:val="20"/>
                <w:lang w:val="fr-CA"/>
              </w:rPr>
            </w:pPr>
            <w:r w:rsidRPr="007F2DB8">
              <w:rPr>
                <w:sz w:val="20"/>
                <w:lang w:val="fr-CA"/>
              </w:rPr>
              <w:t xml:space="preserve">Ordonnance portant que les tribunaux de l’Alberta n’avaient pas compétence à l’égard de l’instance de divorce, mais maintenant certaines ordonnances provisoires </w:t>
            </w:r>
            <w:r w:rsidRPr="007F2DB8">
              <w:rPr>
                <w:i/>
                <w:sz w:val="20"/>
                <w:lang w:val="fr-CA"/>
              </w:rPr>
              <w:t>nunc pro tunc</w:t>
            </w:r>
          </w:p>
          <w:p w:rsidR="007F2DB8" w:rsidRPr="007F2DB8" w:rsidRDefault="007F2DB8" w:rsidP="007F2DB8">
            <w:pPr>
              <w:jc w:val="both"/>
              <w:rPr>
                <w:sz w:val="20"/>
                <w:lang w:val="fr-CA"/>
              </w:rPr>
            </w:pPr>
          </w:p>
        </w:tc>
      </w:tr>
      <w:tr w:rsidR="007F2DB8" w:rsidRPr="00F9562A" w:rsidTr="007F2DB8">
        <w:tc>
          <w:tcPr>
            <w:tcW w:w="2427" w:type="pct"/>
            <w:gridSpan w:val="2"/>
          </w:tcPr>
          <w:p w:rsidR="007F2DB8" w:rsidRPr="007F2DB8" w:rsidRDefault="007F2DB8" w:rsidP="007F2DB8">
            <w:pPr>
              <w:jc w:val="both"/>
              <w:rPr>
                <w:sz w:val="20"/>
                <w:lang w:val="fr-CA"/>
              </w:rPr>
            </w:pPr>
            <w:r w:rsidRPr="007F2DB8">
              <w:rPr>
                <w:sz w:val="20"/>
                <w:lang w:val="fr-CA"/>
              </w:rPr>
              <w:t>30 mars 2015</w:t>
            </w:r>
          </w:p>
          <w:p w:rsidR="007F2DB8" w:rsidRPr="007F2DB8" w:rsidRDefault="007F2DB8" w:rsidP="007F2DB8">
            <w:pPr>
              <w:jc w:val="both"/>
              <w:rPr>
                <w:sz w:val="20"/>
                <w:lang w:val="fr-CA"/>
              </w:rPr>
            </w:pPr>
            <w:r w:rsidRPr="007F2DB8">
              <w:rPr>
                <w:sz w:val="20"/>
                <w:lang w:val="fr-CA"/>
              </w:rPr>
              <w:t>Cour suprême du Canada</w:t>
            </w:r>
          </w:p>
          <w:p w:rsidR="007F2DB8" w:rsidRPr="007F2DB8" w:rsidRDefault="007F2DB8" w:rsidP="007F2DB8">
            <w:pPr>
              <w:jc w:val="both"/>
              <w:rPr>
                <w:sz w:val="20"/>
                <w:lang w:val="fr-CA"/>
              </w:rPr>
            </w:pPr>
          </w:p>
        </w:tc>
        <w:tc>
          <w:tcPr>
            <w:tcW w:w="243" w:type="pct"/>
          </w:tcPr>
          <w:p w:rsidR="007F2DB8" w:rsidRPr="007F2DB8" w:rsidRDefault="007F2DB8" w:rsidP="007F2DB8">
            <w:pPr>
              <w:jc w:val="both"/>
              <w:rPr>
                <w:sz w:val="20"/>
                <w:lang w:val="fr-CA"/>
              </w:rPr>
            </w:pPr>
          </w:p>
        </w:tc>
        <w:tc>
          <w:tcPr>
            <w:tcW w:w="2330" w:type="pct"/>
          </w:tcPr>
          <w:p w:rsidR="007F2DB8" w:rsidRPr="007F2DB8" w:rsidRDefault="007F2DB8" w:rsidP="007F2DB8">
            <w:pPr>
              <w:jc w:val="both"/>
              <w:rPr>
                <w:sz w:val="20"/>
                <w:lang w:val="fr-CA"/>
              </w:rPr>
            </w:pPr>
            <w:r w:rsidRPr="007F2DB8">
              <w:rPr>
                <w:sz w:val="20"/>
                <w:lang w:val="fr-CA"/>
              </w:rPr>
              <w:t>Dépôt de la première demande d’autorisation d’appel</w:t>
            </w:r>
          </w:p>
          <w:p w:rsidR="007F2DB8" w:rsidRPr="007F2DB8" w:rsidRDefault="007F2DB8" w:rsidP="007F2DB8">
            <w:pPr>
              <w:jc w:val="both"/>
              <w:rPr>
                <w:sz w:val="20"/>
                <w:lang w:val="fr-CA"/>
              </w:rPr>
            </w:pPr>
          </w:p>
        </w:tc>
      </w:tr>
      <w:tr w:rsidR="007F2DB8" w:rsidRPr="00F9562A" w:rsidTr="007F2DB8">
        <w:tc>
          <w:tcPr>
            <w:tcW w:w="2427" w:type="pct"/>
            <w:gridSpan w:val="2"/>
          </w:tcPr>
          <w:p w:rsidR="007F2DB8" w:rsidRPr="007F2DB8" w:rsidRDefault="007F2DB8" w:rsidP="007F2DB8">
            <w:pPr>
              <w:jc w:val="both"/>
              <w:rPr>
                <w:sz w:val="20"/>
                <w:lang w:val="fr-CA"/>
              </w:rPr>
            </w:pPr>
            <w:r w:rsidRPr="007F2DB8">
              <w:rPr>
                <w:sz w:val="20"/>
                <w:lang w:val="fr-CA"/>
              </w:rPr>
              <w:t>12 juin 2015</w:t>
            </w:r>
          </w:p>
          <w:p w:rsidR="007F2DB8" w:rsidRPr="007F2DB8" w:rsidRDefault="007F2DB8" w:rsidP="007F2DB8">
            <w:pPr>
              <w:jc w:val="both"/>
              <w:rPr>
                <w:sz w:val="20"/>
                <w:lang w:val="fr-CA"/>
              </w:rPr>
            </w:pPr>
            <w:r w:rsidRPr="007F2DB8">
              <w:rPr>
                <w:sz w:val="20"/>
                <w:lang w:val="fr-CA"/>
              </w:rPr>
              <w:t>Cour suprême du Canada</w:t>
            </w:r>
          </w:p>
        </w:tc>
        <w:tc>
          <w:tcPr>
            <w:tcW w:w="243" w:type="pct"/>
          </w:tcPr>
          <w:p w:rsidR="007F2DB8" w:rsidRPr="007F2DB8" w:rsidRDefault="007F2DB8" w:rsidP="007F2DB8">
            <w:pPr>
              <w:jc w:val="both"/>
              <w:rPr>
                <w:sz w:val="20"/>
                <w:lang w:val="fr-CA"/>
              </w:rPr>
            </w:pPr>
          </w:p>
        </w:tc>
        <w:tc>
          <w:tcPr>
            <w:tcW w:w="2330" w:type="pct"/>
          </w:tcPr>
          <w:p w:rsidR="007F2DB8" w:rsidRPr="007F2DB8" w:rsidRDefault="007F2DB8" w:rsidP="007F2DB8">
            <w:pPr>
              <w:jc w:val="both"/>
              <w:rPr>
                <w:sz w:val="20"/>
                <w:lang w:val="fr-CA"/>
              </w:rPr>
            </w:pPr>
            <w:r w:rsidRPr="007F2DB8">
              <w:rPr>
                <w:sz w:val="20"/>
                <w:lang w:val="fr-CA"/>
              </w:rPr>
              <w:t>Dépôt de la deuxième demande d’autorisation d’appel</w:t>
            </w:r>
          </w:p>
          <w:p w:rsidR="007F2DB8" w:rsidRPr="007F2DB8" w:rsidRDefault="007F2DB8" w:rsidP="007F2DB8">
            <w:pPr>
              <w:jc w:val="both"/>
              <w:rPr>
                <w:sz w:val="20"/>
                <w:lang w:val="fr-CA"/>
              </w:rPr>
            </w:pPr>
          </w:p>
        </w:tc>
      </w:tr>
    </w:tbl>
    <w:p w:rsidR="007F2DB8" w:rsidRDefault="007F2DB8" w:rsidP="007F2DB8">
      <w:pPr>
        <w:jc w:val="both"/>
        <w:rPr>
          <w:sz w:val="20"/>
          <w:lang w:val="fr-CA"/>
        </w:rPr>
      </w:pPr>
    </w:p>
    <w:p w:rsidR="0026164C" w:rsidRPr="007F2DB8" w:rsidRDefault="0026164C" w:rsidP="007F2DB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2DB8" w:rsidRPr="007F2DB8" w:rsidTr="007F2DB8">
        <w:tc>
          <w:tcPr>
            <w:tcW w:w="543" w:type="pct"/>
          </w:tcPr>
          <w:p w:rsidR="007F2DB8" w:rsidRPr="007F2DB8" w:rsidRDefault="007F2DB8" w:rsidP="007F2DB8">
            <w:pPr>
              <w:jc w:val="both"/>
              <w:rPr>
                <w:sz w:val="20"/>
              </w:rPr>
            </w:pPr>
            <w:r w:rsidRPr="007F2DB8">
              <w:rPr>
                <w:rStyle w:val="SCCFileNumberChar"/>
                <w:sz w:val="20"/>
                <w:szCs w:val="20"/>
              </w:rPr>
              <w:t>36510</w:t>
            </w:r>
          </w:p>
        </w:tc>
        <w:tc>
          <w:tcPr>
            <w:tcW w:w="4457" w:type="pct"/>
            <w:gridSpan w:val="3"/>
          </w:tcPr>
          <w:p w:rsidR="007F2DB8" w:rsidRPr="0026164C" w:rsidRDefault="007F2DB8" w:rsidP="007F2DB8">
            <w:pPr>
              <w:pStyle w:val="SCCLsocParty"/>
              <w:jc w:val="both"/>
              <w:rPr>
                <w:b/>
                <w:sz w:val="20"/>
                <w:szCs w:val="20"/>
                <w:lang w:val="en-US"/>
              </w:rPr>
            </w:pPr>
            <w:r w:rsidRPr="0026164C">
              <w:rPr>
                <w:b/>
                <w:sz w:val="20"/>
                <w:szCs w:val="20"/>
                <w:lang w:val="en-US"/>
              </w:rPr>
              <w:t>Robbie Richard Erasmo v. Attorney General of Canada</w:t>
            </w:r>
          </w:p>
          <w:p w:rsidR="007F2DB8" w:rsidRPr="007F2DB8" w:rsidRDefault="007F2DB8" w:rsidP="007F2DB8">
            <w:pPr>
              <w:jc w:val="both"/>
              <w:rPr>
                <w:sz w:val="20"/>
              </w:rPr>
            </w:pPr>
            <w:r w:rsidRPr="007F2DB8">
              <w:rPr>
                <w:sz w:val="20"/>
              </w:rPr>
              <w:t>(FC) (Criminal) (By Leave)</w:t>
            </w:r>
          </w:p>
        </w:tc>
      </w:tr>
      <w:tr w:rsidR="007F2DB8" w:rsidRPr="007F2DB8" w:rsidTr="007F2DB8">
        <w:tc>
          <w:tcPr>
            <w:tcW w:w="5000" w:type="pct"/>
            <w:gridSpan w:val="4"/>
          </w:tcPr>
          <w:p w:rsidR="007F2DB8" w:rsidRPr="007F2DB8" w:rsidRDefault="007F2DB8" w:rsidP="007F2DB8">
            <w:pPr>
              <w:jc w:val="both"/>
              <w:rPr>
                <w:sz w:val="20"/>
              </w:rPr>
            </w:pPr>
            <w:r w:rsidRPr="007F2DB8">
              <w:rPr>
                <w:i/>
                <w:sz w:val="20"/>
              </w:rPr>
              <w:t>Charter of Rights and Freedoms</w:t>
            </w:r>
            <w:r w:rsidRPr="007F2DB8">
              <w:rPr>
                <w:sz w:val="20"/>
              </w:rPr>
              <w:t xml:space="preserve"> – Right to liberty – </w:t>
            </w:r>
            <w:r w:rsidRPr="007F2DB8">
              <w:rPr>
                <w:sz w:val="20"/>
                <w:lang w:val="en"/>
              </w:rPr>
              <w:t xml:space="preserve">Merger provisions under s. 743.5(1) of the </w:t>
            </w:r>
            <w:r w:rsidRPr="007F2DB8">
              <w:rPr>
                <w:i/>
                <w:sz w:val="20"/>
                <w:lang w:val="en"/>
              </w:rPr>
              <w:t>Criminal Code</w:t>
            </w:r>
            <w:r w:rsidRPr="007F2DB8">
              <w:rPr>
                <w:sz w:val="20"/>
                <w:lang w:val="en"/>
              </w:rPr>
              <w:t xml:space="preserve"> and s. 139(1) of the </w:t>
            </w:r>
            <w:r w:rsidRPr="007F2DB8">
              <w:rPr>
                <w:i/>
                <w:sz w:val="20"/>
                <w:lang w:val="en"/>
              </w:rPr>
              <w:t>Corrections and Conditional Release Act</w:t>
            </w:r>
            <w:r w:rsidRPr="007F2DB8">
              <w:rPr>
                <w:sz w:val="20"/>
                <w:lang w:val="en"/>
              </w:rPr>
              <w:t>,</w:t>
            </w:r>
            <w:r w:rsidRPr="007F2DB8">
              <w:rPr>
                <w:i/>
                <w:sz w:val="20"/>
                <w:lang w:val="en"/>
              </w:rPr>
              <w:t xml:space="preserve"> </w:t>
            </w:r>
            <w:r w:rsidRPr="007F2DB8">
              <w:rPr>
                <w:sz w:val="20"/>
                <w:lang w:val="en"/>
              </w:rPr>
              <w:t xml:space="preserve">SC 1992, C 20 </w:t>
            </w:r>
            <w:r w:rsidRPr="007F2DB8">
              <w:rPr>
                <w:sz w:val="20"/>
              </w:rPr>
              <w:t xml:space="preserve">– Whether the Federal Court of Appeal erred in its analysis of the merger provisions – Whether the deprivation of liberty offends the principles of fundamental justice – Whether the appeal should have been dismissed with costs against the applicant – Ss. 1 and 7 of the </w:t>
            </w:r>
            <w:r w:rsidRPr="007F2DB8">
              <w:rPr>
                <w:i/>
                <w:sz w:val="20"/>
              </w:rPr>
              <w:t>Charter</w:t>
            </w:r>
            <w:r w:rsidRPr="007F2DB8">
              <w:rPr>
                <w:sz w:val="20"/>
              </w:rPr>
              <w:t>.</w:t>
            </w:r>
          </w:p>
        </w:tc>
      </w:tr>
      <w:tr w:rsidR="007F2DB8" w:rsidRPr="007F2DB8" w:rsidTr="007F2DB8">
        <w:tc>
          <w:tcPr>
            <w:tcW w:w="5000" w:type="pct"/>
            <w:gridSpan w:val="4"/>
          </w:tcPr>
          <w:p w:rsidR="007F2DB8" w:rsidRPr="007F2DB8" w:rsidRDefault="007F2DB8" w:rsidP="007F2DB8">
            <w:pPr>
              <w:jc w:val="both"/>
              <w:rPr>
                <w:sz w:val="20"/>
              </w:rPr>
            </w:pPr>
          </w:p>
        </w:tc>
      </w:tr>
      <w:tr w:rsidR="007F2DB8" w:rsidRPr="007F2DB8" w:rsidTr="0026164C">
        <w:trPr>
          <w:trHeight w:val="720"/>
        </w:trPr>
        <w:tc>
          <w:tcPr>
            <w:tcW w:w="5000" w:type="pct"/>
            <w:gridSpan w:val="4"/>
          </w:tcPr>
          <w:p w:rsidR="007F2DB8" w:rsidRPr="007F2DB8" w:rsidRDefault="007F2DB8" w:rsidP="0026164C">
            <w:pPr>
              <w:pStyle w:val="NormalWeb"/>
              <w:spacing w:before="0" w:beforeAutospacing="0" w:after="0" w:afterAutospacing="0"/>
              <w:jc w:val="both"/>
              <w:rPr>
                <w:sz w:val="20"/>
                <w:szCs w:val="20"/>
              </w:rPr>
            </w:pPr>
            <w:r w:rsidRPr="007F2DB8">
              <w:rPr>
                <w:sz w:val="20"/>
                <w:szCs w:val="20"/>
                <w:lang w:val="en"/>
              </w:rPr>
              <w:t>T</w:t>
            </w:r>
            <w:r w:rsidRPr="007F2DB8">
              <w:rPr>
                <w:sz w:val="20"/>
                <w:szCs w:val="20"/>
              </w:rPr>
              <w:t xml:space="preserve">he applicant brought an application for judicial review submitting that the merger provisions </w:t>
            </w:r>
            <w:r w:rsidRPr="007F2DB8">
              <w:rPr>
                <w:sz w:val="20"/>
                <w:szCs w:val="20"/>
                <w:lang w:val="en"/>
              </w:rPr>
              <w:t xml:space="preserve">under s. 743.5(1) of the </w:t>
            </w:r>
            <w:r w:rsidRPr="007F2DB8">
              <w:rPr>
                <w:i/>
                <w:sz w:val="20"/>
                <w:szCs w:val="20"/>
                <w:lang w:val="en"/>
              </w:rPr>
              <w:t>Criminal Code</w:t>
            </w:r>
            <w:r w:rsidRPr="007F2DB8">
              <w:rPr>
                <w:sz w:val="20"/>
                <w:szCs w:val="20"/>
                <w:lang w:val="en"/>
              </w:rPr>
              <w:t xml:space="preserve"> and s. 139(1) of the </w:t>
            </w:r>
            <w:r w:rsidRPr="007F2DB8">
              <w:rPr>
                <w:i/>
                <w:sz w:val="20"/>
                <w:szCs w:val="20"/>
                <w:lang w:val="en"/>
              </w:rPr>
              <w:t>Corrections and Conditional Release Act</w:t>
            </w:r>
            <w:r w:rsidRPr="007F2DB8">
              <w:rPr>
                <w:sz w:val="20"/>
                <w:szCs w:val="20"/>
                <w:lang w:val="en"/>
              </w:rPr>
              <w:t xml:space="preserve"> </w:t>
            </w:r>
            <w:r w:rsidRPr="007F2DB8">
              <w:rPr>
                <w:sz w:val="20"/>
                <w:szCs w:val="20"/>
              </w:rPr>
              <w:t xml:space="preserve">offend his </w:t>
            </w:r>
            <w:r w:rsidRPr="007F2DB8">
              <w:rPr>
                <w:i/>
                <w:sz w:val="20"/>
                <w:szCs w:val="20"/>
              </w:rPr>
              <w:t>Charter</w:t>
            </w:r>
            <w:r w:rsidRPr="007F2DB8">
              <w:rPr>
                <w:sz w:val="20"/>
                <w:szCs w:val="20"/>
              </w:rPr>
              <w:t xml:space="preserve"> rights and cannot </w:t>
            </w:r>
            <w:r w:rsidRPr="007F2DB8">
              <w:rPr>
                <w:sz w:val="20"/>
                <w:szCs w:val="20"/>
              </w:rPr>
              <w:lastRenderedPageBreak/>
              <w:t xml:space="preserve">be saved pursuant to s. 1 of the </w:t>
            </w:r>
            <w:r w:rsidRPr="007F2DB8">
              <w:rPr>
                <w:i/>
                <w:sz w:val="20"/>
                <w:szCs w:val="20"/>
              </w:rPr>
              <w:t>Charter</w:t>
            </w:r>
            <w:r w:rsidRPr="007F2DB8">
              <w:rPr>
                <w:sz w:val="20"/>
                <w:szCs w:val="20"/>
              </w:rPr>
              <w:t>. The Federal Court judge dismissed the applicant’s application for judicial review. The Federal Court of Appeal dismissed the appeal with costs.</w:t>
            </w:r>
          </w:p>
          <w:p w:rsidR="007F2DB8" w:rsidRPr="007F2DB8" w:rsidRDefault="007F2DB8" w:rsidP="0026164C">
            <w:pPr>
              <w:pStyle w:val="NormalWeb"/>
              <w:spacing w:before="0" w:beforeAutospacing="0" w:after="0" w:afterAutospacing="0"/>
              <w:jc w:val="both"/>
              <w:rPr>
                <w:sz w:val="20"/>
                <w:szCs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lastRenderedPageBreak/>
              <w:t>November 19, 2014</w:t>
            </w:r>
          </w:p>
          <w:p w:rsidR="007F2DB8" w:rsidRPr="007F2DB8" w:rsidRDefault="007F2DB8" w:rsidP="007F2DB8">
            <w:pPr>
              <w:jc w:val="both"/>
              <w:rPr>
                <w:sz w:val="20"/>
              </w:rPr>
            </w:pPr>
            <w:r w:rsidRPr="007F2DB8">
              <w:rPr>
                <w:sz w:val="20"/>
              </w:rPr>
              <w:t>Federal Court</w:t>
            </w:r>
          </w:p>
          <w:p w:rsidR="007F2DB8" w:rsidRPr="007F2DB8" w:rsidRDefault="007F2DB8" w:rsidP="007F2DB8">
            <w:pPr>
              <w:jc w:val="both"/>
              <w:rPr>
                <w:sz w:val="20"/>
              </w:rPr>
            </w:pPr>
            <w:r w:rsidRPr="007F2DB8">
              <w:rPr>
                <w:sz w:val="20"/>
              </w:rPr>
              <w:t>(Manson J.)</w:t>
            </w:r>
          </w:p>
          <w:p w:rsidR="007F2DB8" w:rsidRPr="007F2DB8" w:rsidRDefault="007F2DB8" w:rsidP="007F2DB8">
            <w:pPr>
              <w:jc w:val="both"/>
              <w:rPr>
                <w:sz w:val="20"/>
              </w:rPr>
            </w:pPr>
            <w:r w:rsidRPr="007F2DB8">
              <w:rPr>
                <w:sz w:val="20"/>
              </w:rPr>
              <w:t>2014 FC 1096</w:t>
            </w:r>
          </w:p>
          <w:p w:rsidR="007F2DB8" w:rsidRPr="007F2DB8" w:rsidRDefault="00A96461" w:rsidP="007F2DB8">
            <w:pPr>
              <w:jc w:val="both"/>
              <w:rPr>
                <w:rStyle w:val="documentstaticurl"/>
                <w:sz w:val="20"/>
              </w:rPr>
            </w:pPr>
            <w:hyperlink r:id="rId62" w:history="1">
              <w:r w:rsidR="007F2DB8" w:rsidRPr="007F2DB8">
                <w:rPr>
                  <w:rStyle w:val="Hyperlink"/>
                  <w:sz w:val="20"/>
                </w:rPr>
                <w:t>http://canlii.ca/t/gfrqt</w:t>
              </w:r>
            </w:hyperlink>
          </w:p>
          <w:p w:rsidR="007F2DB8" w:rsidRPr="007F2DB8" w:rsidRDefault="007F2DB8" w:rsidP="007F2DB8">
            <w:pPr>
              <w:jc w:val="both"/>
              <w:rPr>
                <w:sz w:val="20"/>
              </w:rPr>
            </w:pPr>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Applicant’s application for judicial review dismissed</w:t>
            </w:r>
          </w:p>
          <w:p w:rsidR="007F2DB8" w:rsidRPr="007F2DB8" w:rsidRDefault="007F2DB8" w:rsidP="007F2DB8">
            <w:pPr>
              <w:jc w:val="both"/>
              <w:rPr>
                <w:sz w:val="20"/>
              </w:rPr>
            </w:pP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t>May 20, 2015</w:t>
            </w:r>
          </w:p>
          <w:p w:rsidR="007F2DB8" w:rsidRPr="007F2DB8" w:rsidRDefault="007F2DB8" w:rsidP="007F2DB8">
            <w:pPr>
              <w:jc w:val="both"/>
              <w:rPr>
                <w:sz w:val="20"/>
              </w:rPr>
            </w:pPr>
            <w:r w:rsidRPr="007F2DB8">
              <w:rPr>
                <w:sz w:val="20"/>
              </w:rPr>
              <w:t>Federal Court of Appeal</w:t>
            </w:r>
          </w:p>
          <w:p w:rsidR="007F2DB8" w:rsidRPr="007F2DB8" w:rsidRDefault="007F2DB8" w:rsidP="007F2DB8">
            <w:pPr>
              <w:jc w:val="both"/>
              <w:rPr>
                <w:sz w:val="20"/>
              </w:rPr>
            </w:pPr>
            <w:r w:rsidRPr="007F2DB8">
              <w:rPr>
                <w:sz w:val="20"/>
              </w:rPr>
              <w:t>(Stratas, Scott, Boivin JJ.A.)</w:t>
            </w:r>
          </w:p>
          <w:p w:rsidR="007F2DB8" w:rsidRPr="007F2DB8" w:rsidRDefault="007F2DB8" w:rsidP="007F2DB8">
            <w:pPr>
              <w:jc w:val="both"/>
              <w:rPr>
                <w:sz w:val="20"/>
              </w:rPr>
            </w:pPr>
            <w:r w:rsidRPr="007F2DB8">
              <w:rPr>
                <w:sz w:val="20"/>
              </w:rPr>
              <w:t>2015 FCA 129; A-518-14</w:t>
            </w:r>
          </w:p>
          <w:p w:rsidR="007F2DB8" w:rsidRPr="007F2DB8" w:rsidRDefault="00A96461" w:rsidP="007F2DB8">
            <w:pPr>
              <w:jc w:val="both"/>
              <w:rPr>
                <w:rStyle w:val="documentstaticurl"/>
                <w:sz w:val="20"/>
              </w:rPr>
            </w:pPr>
            <w:hyperlink r:id="rId63" w:history="1">
              <w:r w:rsidR="007F2DB8" w:rsidRPr="007F2DB8">
                <w:rPr>
                  <w:rStyle w:val="Hyperlink"/>
                  <w:sz w:val="20"/>
                </w:rPr>
                <w:t>http://canlii.ca/t/gj37h</w:t>
              </w:r>
            </w:hyperlink>
          </w:p>
          <w:p w:rsidR="007F2DB8" w:rsidRPr="007F2DB8" w:rsidRDefault="007F2DB8" w:rsidP="007F2DB8">
            <w:pPr>
              <w:jc w:val="both"/>
              <w:rPr>
                <w:sz w:val="20"/>
              </w:rPr>
            </w:pPr>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Applicant’s appeal dismissed with costs</w:t>
            </w:r>
          </w:p>
          <w:p w:rsidR="007F2DB8" w:rsidRPr="007F2DB8" w:rsidRDefault="007F2DB8" w:rsidP="007F2DB8">
            <w:pPr>
              <w:jc w:val="both"/>
              <w:rPr>
                <w:sz w:val="20"/>
              </w:rPr>
            </w:pPr>
          </w:p>
          <w:p w:rsidR="007F2DB8" w:rsidRPr="007F2DB8" w:rsidRDefault="007F2DB8" w:rsidP="007F2DB8">
            <w:pPr>
              <w:jc w:val="both"/>
              <w:rPr>
                <w:sz w:val="20"/>
              </w:rPr>
            </w:pPr>
          </w:p>
        </w:tc>
      </w:tr>
      <w:tr w:rsidR="007F2DB8" w:rsidRPr="007F2DB8" w:rsidTr="007F2DB8">
        <w:tc>
          <w:tcPr>
            <w:tcW w:w="2427" w:type="pct"/>
            <w:gridSpan w:val="2"/>
          </w:tcPr>
          <w:p w:rsidR="007F2DB8" w:rsidRPr="007F2DB8" w:rsidRDefault="007F2DB8" w:rsidP="007F2DB8">
            <w:pPr>
              <w:jc w:val="both"/>
              <w:rPr>
                <w:sz w:val="20"/>
              </w:rPr>
            </w:pPr>
            <w:r w:rsidRPr="007F2DB8">
              <w:rPr>
                <w:sz w:val="20"/>
              </w:rPr>
              <w:t>July 9, 2015</w:t>
            </w:r>
          </w:p>
          <w:p w:rsidR="007F2DB8" w:rsidRPr="007F2DB8" w:rsidRDefault="007F2DB8" w:rsidP="007F2DB8">
            <w:pPr>
              <w:jc w:val="both"/>
              <w:rPr>
                <w:sz w:val="20"/>
              </w:rPr>
            </w:pPr>
            <w:r w:rsidRPr="007F2DB8">
              <w:rPr>
                <w:sz w:val="20"/>
              </w:rPr>
              <w:t>Supreme Court of Canada</w:t>
            </w:r>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Application for leave to appeal filed</w:t>
            </w:r>
          </w:p>
          <w:p w:rsidR="007F2DB8" w:rsidRPr="007F2DB8" w:rsidRDefault="007F2DB8" w:rsidP="007F2DB8">
            <w:pPr>
              <w:jc w:val="both"/>
              <w:rPr>
                <w:sz w:val="20"/>
              </w:rPr>
            </w:pPr>
          </w:p>
        </w:tc>
      </w:tr>
    </w:tbl>
    <w:p w:rsidR="007F2DB8" w:rsidRDefault="007F2DB8" w:rsidP="007F2DB8">
      <w:pPr>
        <w:jc w:val="both"/>
        <w:rPr>
          <w:sz w:val="20"/>
        </w:rPr>
      </w:pPr>
    </w:p>
    <w:p w:rsidR="0026164C" w:rsidRPr="007F2DB8" w:rsidRDefault="0026164C" w:rsidP="007F2D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2DB8" w:rsidRPr="007F2DB8" w:rsidTr="007F2DB8">
        <w:tc>
          <w:tcPr>
            <w:tcW w:w="543" w:type="pct"/>
          </w:tcPr>
          <w:p w:rsidR="007F2DB8" w:rsidRPr="007F2DB8" w:rsidRDefault="007F2DB8" w:rsidP="007F2DB8">
            <w:pPr>
              <w:jc w:val="both"/>
              <w:rPr>
                <w:sz w:val="20"/>
              </w:rPr>
            </w:pPr>
            <w:r w:rsidRPr="007F2DB8">
              <w:rPr>
                <w:rStyle w:val="SCCFileNumberChar"/>
                <w:sz w:val="20"/>
                <w:szCs w:val="20"/>
              </w:rPr>
              <w:t>36510</w:t>
            </w:r>
          </w:p>
        </w:tc>
        <w:tc>
          <w:tcPr>
            <w:tcW w:w="4457" w:type="pct"/>
            <w:gridSpan w:val="3"/>
          </w:tcPr>
          <w:p w:rsidR="007F2DB8" w:rsidRPr="0026164C" w:rsidRDefault="007F2DB8" w:rsidP="007F2DB8">
            <w:pPr>
              <w:pStyle w:val="SCCLsocParty"/>
              <w:jc w:val="both"/>
              <w:rPr>
                <w:b/>
                <w:sz w:val="20"/>
                <w:szCs w:val="20"/>
              </w:rPr>
            </w:pPr>
            <w:r w:rsidRPr="0026164C">
              <w:rPr>
                <w:b/>
                <w:sz w:val="20"/>
                <w:szCs w:val="20"/>
              </w:rPr>
              <w:t>Robbie Richard Erasmo c. Procureur général du Canada</w:t>
            </w:r>
          </w:p>
          <w:p w:rsidR="007F2DB8" w:rsidRPr="007F2DB8" w:rsidRDefault="007F2DB8" w:rsidP="007F2DB8">
            <w:pPr>
              <w:jc w:val="both"/>
              <w:rPr>
                <w:sz w:val="20"/>
              </w:rPr>
            </w:pPr>
            <w:r w:rsidRPr="007F2DB8">
              <w:rPr>
                <w:sz w:val="20"/>
              </w:rPr>
              <w:t>(CF) (Criminelle) (Sur autorisation)</w:t>
            </w:r>
          </w:p>
        </w:tc>
      </w:tr>
      <w:tr w:rsidR="007F2DB8" w:rsidRPr="00F9562A" w:rsidTr="007F2DB8">
        <w:tc>
          <w:tcPr>
            <w:tcW w:w="5000" w:type="pct"/>
            <w:gridSpan w:val="4"/>
          </w:tcPr>
          <w:p w:rsidR="007F2DB8" w:rsidRPr="007F2DB8" w:rsidRDefault="007F2DB8" w:rsidP="007F2DB8">
            <w:pPr>
              <w:jc w:val="both"/>
              <w:rPr>
                <w:sz w:val="20"/>
                <w:lang w:val="fr-CA"/>
              </w:rPr>
            </w:pPr>
            <w:r w:rsidRPr="007F2DB8">
              <w:rPr>
                <w:i/>
                <w:sz w:val="20"/>
                <w:lang w:val="fr-CA"/>
              </w:rPr>
              <w:t>Charte des droits et libertés</w:t>
            </w:r>
            <w:r w:rsidRPr="007F2DB8">
              <w:rPr>
                <w:sz w:val="20"/>
                <w:lang w:val="fr-CA"/>
              </w:rPr>
              <w:t xml:space="preserve"> – Droit à la liberté – Dispositions du par. 743.5(1) du </w:t>
            </w:r>
            <w:r w:rsidRPr="007F2DB8">
              <w:rPr>
                <w:i/>
                <w:sz w:val="20"/>
                <w:lang w:val="fr-CA"/>
              </w:rPr>
              <w:t>Code criminel</w:t>
            </w:r>
            <w:r w:rsidRPr="007F2DB8">
              <w:rPr>
                <w:sz w:val="20"/>
                <w:lang w:val="fr-CA"/>
              </w:rPr>
              <w:t xml:space="preserve"> et du par. 139(1) de la </w:t>
            </w:r>
            <w:r w:rsidRPr="007F2DB8">
              <w:rPr>
                <w:i/>
                <w:sz w:val="20"/>
                <w:lang w:val="fr-CA"/>
              </w:rPr>
              <w:t>Loi sur le système correctionnel et la mise en liberté sous condition</w:t>
            </w:r>
            <w:r w:rsidRPr="007F2DB8">
              <w:rPr>
                <w:sz w:val="20"/>
                <w:lang w:val="fr-CA"/>
              </w:rPr>
              <w:t xml:space="preserve">, L.C. 1992, c. 20, sur la fusion des peines – La Cour d’appel fédérale a-t-elle commis une erreur dans son analyse des dispositions sur la fusion des peines? – La privation de liberté enfreint-elle les principes de justice fondamentale? – Convenait-il de rejeter l’appel avec dépens contre le demandeur? – Articles premier et 7 de la </w:t>
            </w:r>
            <w:r w:rsidRPr="007F2DB8">
              <w:rPr>
                <w:i/>
                <w:sz w:val="20"/>
                <w:lang w:val="fr-CA"/>
              </w:rPr>
              <w:t>Charte</w:t>
            </w:r>
            <w:r w:rsidRPr="007F2DB8">
              <w:rPr>
                <w:sz w:val="20"/>
                <w:lang w:val="fr-CA"/>
              </w:rPr>
              <w:t>.</w:t>
            </w:r>
          </w:p>
        </w:tc>
      </w:tr>
      <w:tr w:rsidR="007F2DB8" w:rsidRPr="00F9562A" w:rsidTr="007F2DB8">
        <w:tc>
          <w:tcPr>
            <w:tcW w:w="5000" w:type="pct"/>
            <w:gridSpan w:val="4"/>
          </w:tcPr>
          <w:p w:rsidR="007F2DB8" w:rsidRPr="007F2DB8" w:rsidRDefault="007F2DB8" w:rsidP="007F2DB8">
            <w:pPr>
              <w:jc w:val="both"/>
              <w:rPr>
                <w:sz w:val="20"/>
                <w:lang w:val="fr-CA"/>
              </w:rPr>
            </w:pPr>
          </w:p>
        </w:tc>
      </w:tr>
      <w:tr w:rsidR="007F2DB8" w:rsidRPr="007F2DB8" w:rsidTr="007F2DB8">
        <w:tc>
          <w:tcPr>
            <w:tcW w:w="5000" w:type="pct"/>
            <w:gridSpan w:val="4"/>
          </w:tcPr>
          <w:p w:rsidR="007F2DB8" w:rsidRPr="007F2DB8" w:rsidRDefault="007F2DB8" w:rsidP="0026164C">
            <w:pPr>
              <w:pStyle w:val="NormalWeb"/>
              <w:spacing w:before="0" w:beforeAutospacing="0" w:after="0" w:afterAutospacing="0"/>
              <w:jc w:val="both"/>
              <w:rPr>
                <w:sz w:val="20"/>
                <w:szCs w:val="20"/>
              </w:rPr>
            </w:pPr>
            <w:r w:rsidRPr="007F2DB8">
              <w:rPr>
                <w:sz w:val="20"/>
                <w:szCs w:val="20"/>
                <w:lang w:val="fr-CA"/>
              </w:rPr>
              <w:t xml:space="preserve">Le demandeur a présenté une demande de contrôle judiciaire dans laquelle il soutient que les dispositions du par. 743.5(1) du </w:t>
            </w:r>
            <w:r w:rsidRPr="007F2DB8">
              <w:rPr>
                <w:i/>
                <w:sz w:val="20"/>
                <w:szCs w:val="20"/>
                <w:lang w:val="fr-CA"/>
              </w:rPr>
              <w:t>Code criminel</w:t>
            </w:r>
            <w:r w:rsidRPr="007F2DB8">
              <w:rPr>
                <w:sz w:val="20"/>
                <w:szCs w:val="20"/>
                <w:lang w:val="fr-CA"/>
              </w:rPr>
              <w:t xml:space="preserve"> et du par. 139(1) de la </w:t>
            </w:r>
            <w:r w:rsidRPr="007F2DB8">
              <w:rPr>
                <w:i/>
                <w:sz w:val="20"/>
                <w:szCs w:val="20"/>
                <w:lang w:val="fr-CA"/>
              </w:rPr>
              <w:t xml:space="preserve">Loi sur le système correctionnel et la mise en liberté sous condition </w:t>
            </w:r>
            <w:r w:rsidRPr="007F2DB8">
              <w:rPr>
                <w:sz w:val="20"/>
                <w:szCs w:val="20"/>
                <w:lang w:val="fr-CA"/>
              </w:rPr>
              <w:t xml:space="preserve">relatives à la fusion des peines portent atteinte aux droits que lui garantit la </w:t>
            </w:r>
            <w:r w:rsidRPr="007F2DB8">
              <w:rPr>
                <w:i/>
                <w:sz w:val="20"/>
                <w:szCs w:val="20"/>
                <w:lang w:val="fr-CA"/>
              </w:rPr>
              <w:t>Charte</w:t>
            </w:r>
            <w:r w:rsidRPr="007F2DB8">
              <w:rPr>
                <w:sz w:val="20"/>
                <w:szCs w:val="20"/>
                <w:lang w:val="fr-CA"/>
              </w:rPr>
              <w:t xml:space="preserve"> et ne peuvent être sauvegardées en vertu de l’article premier de la </w:t>
            </w:r>
            <w:r w:rsidRPr="007F2DB8">
              <w:rPr>
                <w:i/>
                <w:sz w:val="20"/>
                <w:szCs w:val="20"/>
                <w:lang w:val="fr-CA"/>
              </w:rPr>
              <w:t>Charte</w:t>
            </w:r>
            <w:r w:rsidRPr="007F2DB8">
              <w:rPr>
                <w:sz w:val="20"/>
                <w:szCs w:val="20"/>
                <w:lang w:val="fr-CA"/>
              </w:rPr>
              <w:t>. Le juge de la Cour fédérale a rejeté la demande de contrôle judiciaire du demandeur. La Cour d’appel fédérale a rejeté l’appel avec dépens</w:t>
            </w:r>
            <w:r w:rsidRPr="007F2DB8">
              <w:rPr>
                <w:sz w:val="20"/>
                <w:szCs w:val="20"/>
              </w:rPr>
              <w:t>.</w:t>
            </w:r>
          </w:p>
          <w:p w:rsidR="007F2DB8" w:rsidRPr="007F2DB8" w:rsidRDefault="007F2DB8" w:rsidP="0026164C">
            <w:pPr>
              <w:pStyle w:val="NormalWeb"/>
              <w:spacing w:before="0" w:beforeAutospacing="0" w:after="0" w:afterAutospacing="0"/>
              <w:jc w:val="both"/>
              <w:rPr>
                <w:sz w:val="20"/>
                <w:szCs w:val="20"/>
              </w:rPr>
            </w:pPr>
          </w:p>
        </w:tc>
      </w:tr>
      <w:tr w:rsidR="007F2DB8" w:rsidRPr="00F9562A" w:rsidTr="007F2DB8">
        <w:tc>
          <w:tcPr>
            <w:tcW w:w="2427" w:type="pct"/>
            <w:gridSpan w:val="2"/>
          </w:tcPr>
          <w:p w:rsidR="007F2DB8" w:rsidRPr="007F2DB8" w:rsidRDefault="007F2DB8" w:rsidP="007F2DB8">
            <w:pPr>
              <w:jc w:val="both"/>
              <w:rPr>
                <w:sz w:val="20"/>
                <w:lang w:val="fr-CA"/>
              </w:rPr>
            </w:pPr>
            <w:r w:rsidRPr="007F2DB8">
              <w:rPr>
                <w:sz w:val="20"/>
                <w:lang w:val="fr-CA"/>
              </w:rPr>
              <w:t>19 novembre 2014</w:t>
            </w:r>
          </w:p>
          <w:p w:rsidR="007F2DB8" w:rsidRPr="007F2DB8" w:rsidRDefault="007F2DB8" w:rsidP="007F2DB8">
            <w:pPr>
              <w:jc w:val="both"/>
              <w:rPr>
                <w:sz w:val="20"/>
                <w:lang w:val="fr-CA"/>
              </w:rPr>
            </w:pPr>
            <w:r w:rsidRPr="007F2DB8">
              <w:rPr>
                <w:sz w:val="20"/>
                <w:lang w:val="fr-CA"/>
              </w:rPr>
              <w:t>Cour fédérale</w:t>
            </w:r>
          </w:p>
          <w:p w:rsidR="007F2DB8" w:rsidRPr="007F2DB8" w:rsidRDefault="007F2DB8" w:rsidP="007F2DB8">
            <w:pPr>
              <w:jc w:val="both"/>
              <w:rPr>
                <w:sz w:val="20"/>
                <w:lang w:val="fr-CA"/>
              </w:rPr>
            </w:pPr>
            <w:r w:rsidRPr="007F2DB8">
              <w:rPr>
                <w:sz w:val="20"/>
                <w:lang w:val="fr-CA"/>
              </w:rPr>
              <w:t>(Juge Manson)</w:t>
            </w:r>
          </w:p>
          <w:p w:rsidR="007F2DB8" w:rsidRPr="007F2DB8" w:rsidRDefault="007F2DB8" w:rsidP="007F2DB8">
            <w:pPr>
              <w:jc w:val="both"/>
              <w:rPr>
                <w:sz w:val="20"/>
              </w:rPr>
            </w:pPr>
            <w:r w:rsidRPr="007F2DB8">
              <w:rPr>
                <w:sz w:val="20"/>
              </w:rPr>
              <w:t>2014 CF 1096</w:t>
            </w:r>
          </w:p>
          <w:p w:rsidR="007F2DB8" w:rsidRPr="007F2DB8" w:rsidRDefault="00A96461" w:rsidP="007F2DB8">
            <w:pPr>
              <w:jc w:val="both"/>
              <w:rPr>
                <w:rStyle w:val="documentstaticurl"/>
                <w:sz w:val="20"/>
              </w:rPr>
            </w:pPr>
            <w:hyperlink r:id="rId64" w:history="1">
              <w:r w:rsidR="007F2DB8" w:rsidRPr="007F2DB8">
                <w:rPr>
                  <w:rStyle w:val="Hyperlink"/>
                  <w:sz w:val="20"/>
                </w:rPr>
                <w:t>http://canlii.ca/t/gfrqt</w:t>
              </w:r>
            </w:hyperlink>
          </w:p>
          <w:p w:rsidR="007F2DB8" w:rsidRPr="007F2DB8" w:rsidRDefault="007F2DB8" w:rsidP="007F2DB8">
            <w:pPr>
              <w:jc w:val="both"/>
              <w:rPr>
                <w:sz w:val="20"/>
              </w:rPr>
            </w:pPr>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lang w:val="fr-CA"/>
              </w:rPr>
            </w:pPr>
            <w:r w:rsidRPr="007F2DB8">
              <w:rPr>
                <w:sz w:val="20"/>
                <w:lang w:val="fr-CA"/>
              </w:rPr>
              <w:t>Rejet de la demande de contrôle judiciaire du demandeur</w:t>
            </w:r>
          </w:p>
          <w:p w:rsidR="007F2DB8" w:rsidRPr="007F2DB8" w:rsidRDefault="007F2DB8" w:rsidP="007F2DB8">
            <w:pPr>
              <w:jc w:val="both"/>
              <w:rPr>
                <w:sz w:val="20"/>
                <w:lang w:val="fr-CA"/>
              </w:rPr>
            </w:pPr>
          </w:p>
          <w:p w:rsidR="007F2DB8" w:rsidRPr="007F2DB8" w:rsidRDefault="007F2DB8" w:rsidP="007F2DB8">
            <w:pPr>
              <w:jc w:val="both"/>
              <w:rPr>
                <w:sz w:val="20"/>
                <w:lang w:val="fr-CA"/>
              </w:rPr>
            </w:pPr>
          </w:p>
        </w:tc>
      </w:tr>
      <w:tr w:rsidR="007F2DB8" w:rsidRPr="00F9562A" w:rsidTr="007F2DB8">
        <w:tc>
          <w:tcPr>
            <w:tcW w:w="2427" w:type="pct"/>
            <w:gridSpan w:val="2"/>
          </w:tcPr>
          <w:p w:rsidR="007F2DB8" w:rsidRPr="007F2DB8" w:rsidRDefault="007F2DB8" w:rsidP="007F2DB8">
            <w:pPr>
              <w:jc w:val="both"/>
              <w:rPr>
                <w:sz w:val="20"/>
                <w:lang w:val="fr-CA"/>
              </w:rPr>
            </w:pPr>
            <w:r w:rsidRPr="007F2DB8">
              <w:rPr>
                <w:sz w:val="20"/>
                <w:lang w:val="fr-CA"/>
              </w:rPr>
              <w:t>20 mai 2015</w:t>
            </w:r>
          </w:p>
          <w:p w:rsidR="007F2DB8" w:rsidRPr="007F2DB8" w:rsidRDefault="007F2DB8" w:rsidP="007F2DB8">
            <w:pPr>
              <w:jc w:val="both"/>
              <w:rPr>
                <w:sz w:val="20"/>
                <w:lang w:val="fr-CA"/>
              </w:rPr>
            </w:pPr>
            <w:r w:rsidRPr="007F2DB8">
              <w:rPr>
                <w:sz w:val="20"/>
                <w:lang w:val="fr-CA"/>
              </w:rPr>
              <w:t>Cour d’appel fédérale</w:t>
            </w:r>
          </w:p>
          <w:p w:rsidR="007F2DB8" w:rsidRPr="007F2DB8" w:rsidRDefault="007F2DB8" w:rsidP="007F2DB8">
            <w:pPr>
              <w:jc w:val="both"/>
              <w:rPr>
                <w:sz w:val="20"/>
                <w:lang w:val="fr-CA"/>
              </w:rPr>
            </w:pPr>
            <w:r w:rsidRPr="007F2DB8">
              <w:rPr>
                <w:sz w:val="20"/>
                <w:lang w:val="fr-CA"/>
              </w:rPr>
              <w:t>(Juges Stratas, Scott et Boivin)</w:t>
            </w:r>
          </w:p>
          <w:p w:rsidR="007F2DB8" w:rsidRPr="007F2DB8" w:rsidRDefault="007F2DB8" w:rsidP="007F2DB8">
            <w:pPr>
              <w:jc w:val="both"/>
              <w:rPr>
                <w:sz w:val="20"/>
              </w:rPr>
            </w:pPr>
            <w:r w:rsidRPr="007F2DB8">
              <w:rPr>
                <w:sz w:val="20"/>
              </w:rPr>
              <w:t>2015 CAF 129; A-518-14</w:t>
            </w:r>
          </w:p>
          <w:p w:rsidR="007F2DB8" w:rsidRPr="007F2DB8" w:rsidRDefault="00A96461" w:rsidP="007F2DB8">
            <w:pPr>
              <w:jc w:val="both"/>
              <w:rPr>
                <w:rStyle w:val="documentstaticurl"/>
                <w:sz w:val="20"/>
              </w:rPr>
            </w:pPr>
            <w:hyperlink r:id="rId65" w:history="1">
              <w:r w:rsidR="007F2DB8" w:rsidRPr="007F2DB8">
                <w:rPr>
                  <w:rStyle w:val="Hyperlink"/>
                  <w:sz w:val="20"/>
                </w:rPr>
                <w:t>http://canlii.ca/t/gj37h</w:t>
              </w:r>
            </w:hyperlink>
          </w:p>
          <w:p w:rsidR="007F2DB8" w:rsidRPr="007F2DB8" w:rsidRDefault="007F2DB8" w:rsidP="007F2DB8">
            <w:pPr>
              <w:jc w:val="both"/>
              <w:rPr>
                <w:sz w:val="20"/>
              </w:rPr>
            </w:pPr>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lang w:val="fr-CA"/>
              </w:rPr>
            </w:pPr>
            <w:r w:rsidRPr="007F2DB8">
              <w:rPr>
                <w:sz w:val="20"/>
                <w:lang w:val="fr-CA"/>
              </w:rPr>
              <w:t xml:space="preserve">Appel du demandeur rejeté avec dépens </w:t>
            </w:r>
          </w:p>
          <w:p w:rsidR="007F2DB8" w:rsidRPr="007F2DB8" w:rsidRDefault="007F2DB8" w:rsidP="007F2DB8">
            <w:pPr>
              <w:jc w:val="both"/>
              <w:rPr>
                <w:sz w:val="20"/>
                <w:lang w:val="fr-CA"/>
              </w:rPr>
            </w:pPr>
          </w:p>
          <w:p w:rsidR="007F2DB8" w:rsidRPr="007F2DB8" w:rsidRDefault="007F2DB8" w:rsidP="007F2DB8">
            <w:pPr>
              <w:jc w:val="both"/>
              <w:rPr>
                <w:sz w:val="20"/>
                <w:lang w:val="fr-CA"/>
              </w:rPr>
            </w:pPr>
          </w:p>
        </w:tc>
      </w:tr>
      <w:tr w:rsidR="007F2DB8" w:rsidRPr="00F9562A" w:rsidTr="007F2DB8">
        <w:tc>
          <w:tcPr>
            <w:tcW w:w="2427" w:type="pct"/>
            <w:gridSpan w:val="2"/>
          </w:tcPr>
          <w:p w:rsidR="007F2DB8" w:rsidRPr="007F2DB8" w:rsidRDefault="007F2DB8" w:rsidP="007F2DB8">
            <w:pPr>
              <w:jc w:val="both"/>
              <w:rPr>
                <w:sz w:val="20"/>
                <w:lang w:val="fr-CA"/>
              </w:rPr>
            </w:pPr>
            <w:r w:rsidRPr="007F2DB8">
              <w:rPr>
                <w:sz w:val="20"/>
                <w:lang w:val="fr-CA"/>
              </w:rPr>
              <w:t>9 juillet 2015</w:t>
            </w:r>
          </w:p>
          <w:p w:rsidR="007F2DB8" w:rsidRPr="007F2DB8" w:rsidRDefault="007F2DB8" w:rsidP="007F2DB8">
            <w:pPr>
              <w:jc w:val="both"/>
              <w:rPr>
                <w:sz w:val="20"/>
                <w:lang w:val="fr-CA"/>
              </w:rPr>
            </w:pPr>
            <w:r w:rsidRPr="007F2DB8">
              <w:rPr>
                <w:sz w:val="20"/>
                <w:lang w:val="fr-CA"/>
              </w:rPr>
              <w:t>Cour suprême du Canada</w:t>
            </w:r>
          </w:p>
        </w:tc>
        <w:tc>
          <w:tcPr>
            <w:tcW w:w="243" w:type="pct"/>
          </w:tcPr>
          <w:p w:rsidR="007F2DB8" w:rsidRPr="007F2DB8" w:rsidRDefault="007F2DB8" w:rsidP="007F2DB8">
            <w:pPr>
              <w:jc w:val="both"/>
              <w:rPr>
                <w:sz w:val="20"/>
                <w:lang w:val="fr-CA"/>
              </w:rPr>
            </w:pPr>
          </w:p>
        </w:tc>
        <w:tc>
          <w:tcPr>
            <w:tcW w:w="2330" w:type="pct"/>
          </w:tcPr>
          <w:p w:rsidR="007F2DB8" w:rsidRPr="007F2DB8" w:rsidRDefault="007F2DB8" w:rsidP="007F2DB8">
            <w:pPr>
              <w:jc w:val="both"/>
              <w:rPr>
                <w:sz w:val="20"/>
                <w:lang w:val="fr-CA"/>
              </w:rPr>
            </w:pPr>
            <w:r w:rsidRPr="007F2DB8">
              <w:rPr>
                <w:sz w:val="20"/>
                <w:lang w:val="fr-CA"/>
              </w:rPr>
              <w:t xml:space="preserve">Dépôt de la demande d’autorisation d’appel </w:t>
            </w:r>
          </w:p>
          <w:p w:rsidR="007F2DB8" w:rsidRPr="007F2DB8" w:rsidRDefault="007F2DB8" w:rsidP="007F2DB8">
            <w:pPr>
              <w:jc w:val="both"/>
              <w:rPr>
                <w:sz w:val="20"/>
                <w:lang w:val="fr-CA"/>
              </w:rPr>
            </w:pPr>
          </w:p>
        </w:tc>
      </w:tr>
    </w:tbl>
    <w:p w:rsidR="007F2DB8" w:rsidRDefault="007F2DB8" w:rsidP="007F2DB8">
      <w:pPr>
        <w:jc w:val="both"/>
        <w:rPr>
          <w:sz w:val="20"/>
          <w:lang w:val="fr-CA"/>
        </w:rPr>
      </w:pPr>
    </w:p>
    <w:p w:rsidR="0026164C" w:rsidRPr="007F2DB8" w:rsidRDefault="0026164C" w:rsidP="007F2DB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2DB8" w:rsidRPr="007F2DB8" w:rsidTr="007F2DB8">
        <w:tc>
          <w:tcPr>
            <w:tcW w:w="543" w:type="pct"/>
          </w:tcPr>
          <w:p w:rsidR="007F2DB8" w:rsidRPr="007F2DB8" w:rsidRDefault="007F2DB8" w:rsidP="007F2DB8">
            <w:pPr>
              <w:jc w:val="both"/>
              <w:rPr>
                <w:sz w:val="20"/>
                <w:lang w:val="en-CA"/>
              </w:rPr>
            </w:pPr>
            <w:r w:rsidRPr="007F2DB8">
              <w:rPr>
                <w:rStyle w:val="SCCFileNumberChar"/>
                <w:sz w:val="20"/>
                <w:szCs w:val="20"/>
              </w:rPr>
              <w:t>36534</w:t>
            </w:r>
          </w:p>
        </w:tc>
        <w:tc>
          <w:tcPr>
            <w:tcW w:w="4457" w:type="pct"/>
            <w:gridSpan w:val="3"/>
          </w:tcPr>
          <w:p w:rsidR="007F2DB8" w:rsidRPr="0026164C" w:rsidRDefault="007F2DB8" w:rsidP="007F2DB8">
            <w:pPr>
              <w:pStyle w:val="SCCLsocParty"/>
              <w:jc w:val="both"/>
              <w:rPr>
                <w:b/>
                <w:sz w:val="20"/>
                <w:szCs w:val="20"/>
                <w:lang w:val="en-CA"/>
              </w:rPr>
            </w:pPr>
            <w:r w:rsidRPr="0026164C">
              <w:rPr>
                <w:b/>
                <w:sz w:val="20"/>
                <w:szCs w:val="20"/>
                <w:lang w:val="en-CA"/>
              </w:rPr>
              <w:t>Oda Kagimbi v. Attorney General of Canada</w:t>
            </w:r>
          </w:p>
          <w:p w:rsidR="007F2DB8" w:rsidRPr="007F2DB8" w:rsidRDefault="007F2DB8" w:rsidP="007F2DB8">
            <w:pPr>
              <w:jc w:val="both"/>
              <w:rPr>
                <w:sz w:val="20"/>
                <w:lang w:val="en-CA"/>
              </w:rPr>
            </w:pPr>
            <w:r w:rsidRPr="007F2DB8">
              <w:rPr>
                <w:sz w:val="20"/>
                <w:lang w:val="en-CA"/>
              </w:rPr>
              <w:lastRenderedPageBreak/>
              <w:t>(FC) (Civil) (By Leave)</w:t>
            </w:r>
          </w:p>
        </w:tc>
      </w:tr>
      <w:tr w:rsidR="007F2DB8" w:rsidRPr="007F2DB8" w:rsidTr="007F2DB8">
        <w:tc>
          <w:tcPr>
            <w:tcW w:w="5000" w:type="pct"/>
            <w:gridSpan w:val="4"/>
          </w:tcPr>
          <w:p w:rsidR="007F2DB8" w:rsidRPr="007F2DB8" w:rsidRDefault="007F2DB8" w:rsidP="007F2DB8">
            <w:pPr>
              <w:jc w:val="both"/>
              <w:rPr>
                <w:sz w:val="20"/>
                <w:lang w:val="en-CA"/>
              </w:rPr>
            </w:pPr>
            <w:r w:rsidRPr="007F2DB8">
              <w:rPr>
                <w:sz w:val="20"/>
                <w:lang w:val="en-CA"/>
              </w:rPr>
              <w:lastRenderedPageBreak/>
              <w:t>Labour relations – Grievances – Jurisdiction of adjudicator – Judicial review – Whether Court of Appeal erred in law in finding reasonable Federal Court’s decision that non</w:t>
            </w:r>
            <w:r w:rsidRPr="007F2DB8">
              <w:rPr>
                <w:sz w:val="20"/>
                <w:lang w:val="en-CA"/>
              </w:rPr>
              <w:noBreakHyphen/>
              <w:t>payment of compensation did not have effect of giving adjudicator jurisdiction to hear grievance on merits – If so, what is employee’s burden of proof – Whether Court of Appeal erred in choosing standard of review applicable to this question – Whether Court of Appeal erred in law in finding reasonable Federal Court’s decision that Treasury Board guidelines for rejection on probation not legally binding on respondent and not relevant in determining whether respondent acted in good faith when rejecting applicant – Whether Court of Appeal erred in law in finding that Federal Court had made reasonable decision concerning adjudicator’s interpretation of application of concept of [</w:t>
            </w:r>
            <w:r w:rsidRPr="007F2DB8">
              <w:rPr>
                <w:smallCaps/>
                <w:sz w:val="20"/>
                <w:lang w:val="en-CA"/>
              </w:rPr>
              <w:t>translation</w:t>
            </w:r>
            <w:r w:rsidRPr="007F2DB8">
              <w:rPr>
                <w:sz w:val="20"/>
                <w:lang w:val="en-CA"/>
              </w:rPr>
              <w:t xml:space="preserve">] “good faith, camouflage or sham” in context of rejection on probation – Whether rejected employee’s burden of proving concept of “good faith”, as determined and interpreted by Court of Appeal in this decision, has effect of making it virtually and practically impossible under federal law for employees rejected on probation to exercise their rights – </w:t>
            </w:r>
            <w:hyperlink r:id="rId66" w:history="1">
              <w:r w:rsidRPr="007F2DB8">
                <w:rPr>
                  <w:rStyle w:val="citationcar"/>
                  <w:i/>
                  <w:iCs/>
                  <w:sz w:val="20"/>
                  <w:lang w:val="en-CA"/>
                </w:rPr>
                <w:t>Public Service Labour Relations Act</w:t>
              </w:r>
              <w:r w:rsidRPr="007F2DB8">
                <w:rPr>
                  <w:rStyle w:val="citationcar"/>
                  <w:sz w:val="20"/>
                  <w:lang w:val="en-CA"/>
                </w:rPr>
                <w:t>, S.C. 2003, c. 22</w:t>
              </w:r>
            </w:hyperlink>
            <w:r w:rsidRPr="007F2DB8">
              <w:rPr>
                <w:sz w:val="20"/>
                <w:lang w:val="en-CA"/>
              </w:rPr>
              <w:t xml:space="preserve">, s. 2 – </w:t>
            </w:r>
            <w:hyperlink r:id="rId67" w:history="1">
              <w:r w:rsidRPr="007F2DB8">
                <w:rPr>
                  <w:bCs/>
                  <w:i/>
                  <w:iCs/>
                  <w:sz w:val="20"/>
                  <w:lang w:val="en-CA" w:eastAsia="fr-CA"/>
                </w:rPr>
                <w:t>Public Service Employment Act</w:t>
              </w:r>
              <w:r w:rsidRPr="007F2DB8">
                <w:rPr>
                  <w:bCs/>
                  <w:sz w:val="20"/>
                  <w:lang w:val="en-CA" w:eastAsia="fr-CA"/>
                </w:rPr>
                <w:t>, S.C. 2003, c. 22, ss. 12, 13</w:t>
              </w:r>
            </w:hyperlink>
            <w:r w:rsidRPr="007F2DB8">
              <w:rPr>
                <w:bCs/>
                <w:sz w:val="20"/>
                <w:lang w:val="en-CA" w:eastAsia="fr-CA"/>
              </w:rPr>
              <w:t>.</w:t>
            </w:r>
          </w:p>
        </w:tc>
      </w:tr>
      <w:tr w:rsidR="007F2DB8" w:rsidRPr="007F2DB8" w:rsidTr="007F2DB8">
        <w:tc>
          <w:tcPr>
            <w:tcW w:w="5000" w:type="pct"/>
            <w:gridSpan w:val="4"/>
          </w:tcPr>
          <w:p w:rsidR="007F2DB8" w:rsidRPr="007F2DB8" w:rsidRDefault="007F2DB8" w:rsidP="007F2DB8">
            <w:pPr>
              <w:jc w:val="both"/>
              <w:rPr>
                <w:sz w:val="20"/>
                <w:lang w:val="en-CA"/>
              </w:rPr>
            </w:pPr>
          </w:p>
        </w:tc>
      </w:tr>
      <w:tr w:rsidR="007F2DB8" w:rsidRPr="007F2DB8" w:rsidTr="007F2DB8">
        <w:tc>
          <w:tcPr>
            <w:tcW w:w="5000" w:type="pct"/>
            <w:gridSpan w:val="4"/>
          </w:tcPr>
          <w:p w:rsidR="007F2DB8" w:rsidRPr="007F2DB8" w:rsidRDefault="007F2DB8" w:rsidP="007F2DB8">
            <w:pPr>
              <w:jc w:val="both"/>
              <w:rPr>
                <w:sz w:val="20"/>
                <w:lang w:val="en-CA"/>
              </w:rPr>
            </w:pPr>
            <w:r w:rsidRPr="007F2DB8">
              <w:rPr>
                <w:sz w:val="20"/>
                <w:lang w:val="en-CA"/>
              </w:rPr>
              <w:t>On December 19, 2006, the applicant was hired as a correctional officer for an indeterminate period. The employment was subject to a 12-month probationary period. During that period, the employer decided to reject the applicant because of her unsatisfactory performance. The applicant filed a grievance against her rejection, asking for reinstatement in her position and reimbursement of the salary and benefits owed to her as well as damages incurred. The Public Service Labour Relations Board adjudicator found that the applicant had been on probation when she was rejected and that her employer had established unequivocally that it believed she was incapable of performing the duties of a correctional officer. The adjudicator also found that the rejection on probation had not been a sham to camouflage another reason for dismissal. The adjudicator stated that his role was limited to making those determinations and that he therefore had no jurisdiction to hear the grievance on the merits.</w:t>
            </w:r>
          </w:p>
          <w:p w:rsidR="007F2DB8" w:rsidRPr="007F2DB8" w:rsidRDefault="007F2DB8" w:rsidP="007F2DB8">
            <w:pPr>
              <w:jc w:val="both"/>
              <w:rPr>
                <w:sz w:val="20"/>
                <w:lang w:val="en-CA"/>
              </w:rPr>
            </w:pPr>
          </w:p>
        </w:tc>
      </w:tr>
      <w:tr w:rsidR="007F2DB8" w:rsidRPr="007F2DB8" w:rsidTr="007F2DB8">
        <w:tc>
          <w:tcPr>
            <w:tcW w:w="2427" w:type="pct"/>
            <w:gridSpan w:val="2"/>
          </w:tcPr>
          <w:p w:rsidR="007F2DB8" w:rsidRPr="007F2DB8" w:rsidRDefault="007F2DB8" w:rsidP="007F2DB8">
            <w:pPr>
              <w:jc w:val="both"/>
              <w:rPr>
                <w:sz w:val="20"/>
                <w:lang w:val="en-CA"/>
              </w:rPr>
            </w:pPr>
            <w:r w:rsidRPr="007F2DB8">
              <w:rPr>
                <w:sz w:val="20"/>
                <w:lang w:val="en-CA"/>
              </w:rPr>
              <w:t>April 30, 2014</w:t>
            </w:r>
          </w:p>
          <w:p w:rsidR="007F2DB8" w:rsidRPr="007F2DB8" w:rsidRDefault="007F2DB8" w:rsidP="007F2DB8">
            <w:pPr>
              <w:jc w:val="both"/>
              <w:rPr>
                <w:sz w:val="20"/>
                <w:lang w:val="en-CA"/>
              </w:rPr>
            </w:pPr>
            <w:r w:rsidRPr="007F2DB8">
              <w:rPr>
                <w:sz w:val="20"/>
                <w:lang w:val="en-CA"/>
              </w:rPr>
              <w:t>Federal Court</w:t>
            </w:r>
          </w:p>
          <w:p w:rsidR="007F2DB8" w:rsidRPr="007F2DB8" w:rsidRDefault="007F2DB8" w:rsidP="007F2DB8">
            <w:pPr>
              <w:jc w:val="both"/>
              <w:rPr>
                <w:sz w:val="20"/>
                <w:lang w:val="en-CA"/>
              </w:rPr>
            </w:pPr>
            <w:r w:rsidRPr="007F2DB8">
              <w:rPr>
                <w:sz w:val="20"/>
                <w:lang w:val="en-CA"/>
              </w:rPr>
              <w:t>(Tremblay-Lamer J.)</w:t>
            </w:r>
          </w:p>
          <w:p w:rsidR="007F2DB8" w:rsidRPr="007F2DB8" w:rsidRDefault="007F2DB8" w:rsidP="007F2DB8">
            <w:pPr>
              <w:jc w:val="both"/>
              <w:rPr>
                <w:sz w:val="20"/>
                <w:lang w:val="en-CA"/>
              </w:rPr>
            </w:pPr>
            <w:r w:rsidRPr="007F2DB8">
              <w:rPr>
                <w:sz w:val="20"/>
                <w:lang w:val="en-CA"/>
              </w:rPr>
              <w:t>No. T-544-13</w:t>
            </w:r>
          </w:p>
          <w:p w:rsidR="007F2DB8" w:rsidRPr="007F2DB8" w:rsidRDefault="00A96461" w:rsidP="007F2DB8">
            <w:pPr>
              <w:jc w:val="both"/>
              <w:rPr>
                <w:rStyle w:val="Hyperlink"/>
                <w:rFonts w:eastAsiaTheme="majorEastAsia"/>
                <w:sz w:val="20"/>
              </w:rPr>
            </w:pPr>
            <w:hyperlink r:id="rId68" w:history="1">
              <w:r w:rsidR="007F2DB8" w:rsidRPr="007F2DB8">
                <w:rPr>
                  <w:rStyle w:val="Hyperlink"/>
                  <w:rFonts w:eastAsiaTheme="majorEastAsia"/>
                  <w:sz w:val="20"/>
                </w:rPr>
                <w:t>2014 FC 400</w:t>
              </w:r>
            </w:hyperlink>
          </w:p>
          <w:p w:rsidR="007F2DB8" w:rsidRPr="007F2DB8" w:rsidRDefault="007F2DB8" w:rsidP="007F2DB8">
            <w:pPr>
              <w:jc w:val="both"/>
              <w:rPr>
                <w:color w:val="0000FF" w:themeColor="hyperlink"/>
                <w:sz w:val="20"/>
                <w:u w:val="single"/>
                <w:lang w:val="en-CA"/>
              </w:rPr>
            </w:pPr>
          </w:p>
        </w:tc>
        <w:tc>
          <w:tcPr>
            <w:tcW w:w="243" w:type="pct"/>
          </w:tcPr>
          <w:p w:rsidR="007F2DB8" w:rsidRPr="007F2DB8" w:rsidRDefault="007F2DB8" w:rsidP="007F2DB8">
            <w:pPr>
              <w:jc w:val="both"/>
              <w:rPr>
                <w:sz w:val="20"/>
                <w:lang w:val="en-CA"/>
              </w:rPr>
            </w:pPr>
          </w:p>
        </w:tc>
        <w:tc>
          <w:tcPr>
            <w:tcW w:w="2330" w:type="pct"/>
          </w:tcPr>
          <w:p w:rsidR="007F2DB8" w:rsidRPr="007F2DB8" w:rsidRDefault="007F2DB8" w:rsidP="007F2DB8">
            <w:pPr>
              <w:jc w:val="both"/>
              <w:rPr>
                <w:sz w:val="20"/>
                <w:lang w:val="en-CA"/>
              </w:rPr>
            </w:pPr>
            <w:r w:rsidRPr="007F2DB8">
              <w:rPr>
                <w:sz w:val="20"/>
                <w:lang w:val="en-CA"/>
              </w:rPr>
              <w:t>Application for judicial review dismissed</w:t>
            </w:r>
          </w:p>
          <w:p w:rsidR="007F2DB8" w:rsidRPr="007F2DB8" w:rsidRDefault="007F2DB8" w:rsidP="007F2DB8">
            <w:pPr>
              <w:jc w:val="both"/>
              <w:rPr>
                <w:sz w:val="20"/>
                <w:lang w:val="en-CA"/>
              </w:rPr>
            </w:pPr>
          </w:p>
        </w:tc>
      </w:tr>
      <w:tr w:rsidR="007F2DB8" w:rsidRPr="007F2DB8" w:rsidTr="007F2DB8">
        <w:tc>
          <w:tcPr>
            <w:tcW w:w="2427" w:type="pct"/>
            <w:gridSpan w:val="2"/>
          </w:tcPr>
          <w:p w:rsidR="007F2DB8" w:rsidRPr="007F2DB8" w:rsidRDefault="007F2DB8" w:rsidP="007F2DB8">
            <w:pPr>
              <w:jc w:val="both"/>
              <w:rPr>
                <w:sz w:val="20"/>
                <w:lang w:val="en-CA"/>
              </w:rPr>
            </w:pPr>
            <w:r w:rsidRPr="007F2DB8">
              <w:rPr>
                <w:sz w:val="20"/>
                <w:lang w:val="en-CA"/>
              </w:rPr>
              <w:t>March 16, 2015</w:t>
            </w:r>
          </w:p>
          <w:p w:rsidR="007F2DB8" w:rsidRPr="007F2DB8" w:rsidRDefault="007F2DB8" w:rsidP="007F2DB8">
            <w:pPr>
              <w:jc w:val="both"/>
              <w:rPr>
                <w:sz w:val="20"/>
                <w:lang w:val="en-CA"/>
              </w:rPr>
            </w:pPr>
            <w:r w:rsidRPr="007F2DB8">
              <w:rPr>
                <w:sz w:val="20"/>
                <w:lang w:val="en-CA"/>
              </w:rPr>
              <w:t>Federal Court of Appeal</w:t>
            </w:r>
          </w:p>
          <w:p w:rsidR="007F2DB8" w:rsidRPr="007F2DB8" w:rsidRDefault="007F2DB8" w:rsidP="007F2DB8">
            <w:pPr>
              <w:jc w:val="both"/>
              <w:rPr>
                <w:sz w:val="20"/>
                <w:lang w:val="en-CA"/>
              </w:rPr>
            </w:pPr>
            <w:r w:rsidRPr="007F2DB8">
              <w:rPr>
                <w:sz w:val="20"/>
                <w:lang w:val="en-CA"/>
              </w:rPr>
              <w:t xml:space="preserve">(Noël Marc, Pelletier J.D. Denis, Gauthier </w:t>
            </w:r>
          </w:p>
          <w:p w:rsidR="007F2DB8" w:rsidRPr="007F2DB8" w:rsidRDefault="007F2DB8" w:rsidP="007F2DB8">
            <w:pPr>
              <w:jc w:val="both"/>
              <w:rPr>
                <w:sz w:val="20"/>
                <w:lang w:val="en-CA"/>
              </w:rPr>
            </w:pPr>
            <w:r w:rsidRPr="007F2DB8">
              <w:rPr>
                <w:sz w:val="20"/>
                <w:lang w:val="en-CA"/>
              </w:rPr>
              <w:t>Johanne)</w:t>
            </w:r>
          </w:p>
          <w:p w:rsidR="007F2DB8" w:rsidRPr="007F2DB8" w:rsidRDefault="007F2DB8" w:rsidP="007F2DB8">
            <w:pPr>
              <w:jc w:val="both"/>
              <w:rPr>
                <w:sz w:val="20"/>
                <w:lang w:val="en-CA"/>
              </w:rPr>
            </w:pPr>
          </w:p>
        </w:tc>
        <w:tc>
          <w:tcPr>
            <w:tcW w:w="243" w:type="pct"/>
          </w:tcPr>
          <w:p w:rsidR="007F2DB8" w:rsidRPr="007F2DB8" w:rsidRDefault="007F2DB8" w:rsidP="007F2DB8">
            <w:pPr>
              <w:jc w:val="both"/>
              <w:rPr>
                <w:sz w:val="20"/>
                <w:lang w:val="en-CA"/>
              </w:rPr>
            </w:pPr>
          </w:p>
        </w:tc>
        <w:tc>
          <w:tcPr>
            <w:tcW w:w="2330" w:type="pct"/>
          </w:tcPr>
          <w:p w:rsidR="007F2DB8" w:rsidRPr="007F2DB8" w:rsidRDefault="007F2DB8" w:rsidP="007F2DB8">
            <w:pPr>
              <w:jc w:val="both"/>
              <w:rPr>
                <w:sz w:val="20"/>
                <w:lang w:val="en-CA"/>
              </w:rPr>
            </w:pPr>
            <w:r w:rsidRPr="007F2DB8">
              <w:rPr>
                <w:sz w:val="20"/>
                <w:lang w:val="en-CA"/>
              </w:rPr>
              <w:t>Appeal dismissed</w:t>
            </w:r>
          </w:p>
          <w:p w:rsidR="007F2DB8" w:rsidRPr="007F2DB8" w:rsidRDefault="007F2DB8" w:rsidP="007F2DB8">
            <w:pPr>
              <w:jc w:val="both"/>
              <w:rPr>
                <w:sz w:val="20"/>
                <w:lang w:val="en-CA"/>
              </w:rPr>
            </w:pPr>
          </w:p>
          <w:p w:rsidR="007F2DB8" w:rsidRPr="007F2DB8" w:rsidRDefault="007F2DB8" w:rsidP="007F2DB8">
            <w:pPr>
              <w:jc w:val="both"/>
              <w:rPr>
                <w:sz w:val="20"/>
                <w:lang w:val="en-CA"/>
              </w:rPr>
            </w:pPr>
          </w:p>
        </w:tc>
      </w:tr>
      <w:tr w:rsidR="007F2DB8" w:rsidRPr="007F2DB8" w:rsidTr="007F2DB8">
        <w:tc>
          <w:tcPr>
            <w:tcW w:w="2427" w:type="pct"/>
            <w:gridSpan w:val="2"/>
          </w:tcPr>
          <w:p w:rsidR="007F2DB8" w:rsidRPr="007F2DB8" w:rsidRDefault="007F2DB8" w:rsidP="007F2DB8">
            <w:pPr>
              <w:jc w:val="both"/>
              <w:rPr>
                <w:sz w:val="20"/>
                <w:lang w:val="en-CA"/>
              </w:rPr>
            </w:pPr>
            <w:r w:rsidRPr="007F2DB8">
              <w:rPr>
                <w:sz w:val="20"/>
                <w:lang w:val="en-CA"/>
              </w:rPr>
              <w:t>July 31, 2015</w:t>
            </w:r>
          </w:p>
          <w:p w:rsidR="007F2DB8" w:rsidRPr="007F2DB8" w:rsidRDefault="007F2DB8" w:rsidP="007F2DB8">
            <w:pPr>
              <w:jc w:val="both"/>
              <w:rPr>
                <w:sz w:val="20"/>
                <w:lang w:val="en-CA"/>
              </w:rPr>
            </w:pPr>
            <w:r w:rsidRPr="007F2DB8">
              <w:rPr>
                <w:sz w:val="20"/>
                <w:lang w:val="en-CA"/>
              </w:rPr>
              <w:t>Supreme Court of Canada</w:t>
            </w:r>
          </w:p>
        </w:tc>
        <w:tc>
          <w:tcPr>
            <w:tcW w:w="243" w:type="pct"/>
          </w:tcPr>
          <w:p w:rsidR="007F2DB8" w:rsidRPr="007F2DB8" w:rsidRDefault="007F2DB8" w:rsidP="007F2DB8">
            <w:pPr>
              <w:jc w:val="both"/>
              <w:rPr>
                <w:sz w:val="20"/>
                <w:lang w:val="en-CA"/>
              </w:rPr>
            </w:pPr>
          </w:p>
        </w:tc>
        <w:tc>
          <w:tcPr>
            <w:tcW w:w="2330" w:type="pct"/>
          </w:tcPr>
          <w:p w:rsidR="007F2DB8" w:rsidRPr="007F2DB8" w:rsidRDefault="007F2DB8" w:rsidP="007F2DB8">
            <w:pPr>
              <w:jc w:val="both"/>
              <w:rPr>
                <w:sz w:val="20"/>
                <w:lang w:val="en-CA"/>
              </w:rPr>
            </w:pPr>
            <w:r w:rsidRPr="007F2DB8">
              <w:rPr>
                <w:sz w:val="20"/>
                <w:lang w:val="en-CA"/>
              </w:rPr>
              <w:t>Application for leave to appeal filed; motion to extend time filed</w:t>
            </w:r>
          </w:p>
        </w:tc>
      </w:tr>
    </w:tbl>
    <w:p w:rsidR="007F2DB8" w:rsidRDefault="007F2DB8" w:rsidP="007F2DB8">
      <w:pPr>
        <w:jc w:val="both"/>
        <w:rPr>
          <w:sz w:val="20"/>
          <w:lang w:val="en-CA"/>
        </w:rPr>
      </w:pPr>
    </w:p>
    <w:p w:rsidR="0026164C" w:rsidRPr="007F2DB8" w:rsidRDefault="0026164C" w:rsidP="007F2DB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2DB8" w:rsidRPr="007F2DB8" w:rsidTr="007F2DB8">
        <w:tc>
          <w:tcPr>
            <w:tcW w:w="543" w:type="pct"/>
          </w:tcPr>
          <w:p w:rsidR="007F2DB8" w:rsidRPr="007F2DB8" w:rsidRDefault="007F2DB8" w:rsidP="007F2DB8">
            <w:pPr>
              <w:jc w:val="both"/>
              <w:rPr>
                <w:sz w:val="20"/>
              </w:rPr>
            </w:pPr>
            <w:r w:rsidRPr="007F2DB8">
              <w:rPr>
                <w:rStyle w:val="SCCFileNumberChar"/>
                <w:sz w:val="20"/>
                <w:szCs w:val="20"/>
              </w:rPr>
              <w:t>36534</w:t>
            </w:r>
          </w:p>
        </w:tc>
        <w:tc>
          <w:tcPr>
            <w:tcW w:w="4457" w:type="pct"/>
            <w:gridSpan w:val="3"/>
          </w:tcPr>
          <w:p w:rsidR="007F2DB8" w:rsidRPr="0026164C" w:rsidRDefault="007F2DB8" w:rsidP="007F2DB8">
            <w:pPr>
              <w:pStyle w:val="SCCLsocParty"/>
              <w:jc w:val="both"/>
              <w:rPr>
                <w:b/>
                <w:sz w:val="20"/>
                <w:szCs w:val="20"/>
              </w:rPr>
            </w:pPr>
            <w:r w:rsidRPr="0026164C">
              <w:rPr>
                <w:b/>
                <w:sz w:val="20"/>
                <w:szCs w:val="20"/>
              </w:rPr>
              <w:t>Oda Kagimbi c. Procureur Général du Canada</w:t>
            </w:r>
          </w:p>
          <w:p w:rsidR="007F2DB8" w:rsidRPr="007F2DB8" w:rsidRDefault="007F2DB8" w:rsidP="007F2DB8">
            <w:pPr>
              <w:jc w:val="both"/>
              <w:rPr>
                <w:sz w:val="20"/>
              </w:rPr>
            </w:pPr>
            <w:r w:rsidRPr="007F2DB8">
              <w:rPr>
                <w:sz w:val="20"/>
              </w:rPr>
              <w:t>(CF) (Civile) (Autorisation)</w:t>
            </w:r>
          </w:p>
        </w:tc>
      </w:tr>
      <w:tr w:rsidR="007F2DB8" w:rsidRPr="00F9562A" w:rsidTr="007F2DB8">
        <w:tc>
          <w:tcPr>
            <w:tcW w:w="5000" w:type="pct"/>
            <w:gridSpan w:val="4"/>
          </w:tcPr>
          <w:p w:rsidR="007F2DB8" w:rsidRPr="007F2DB8" w:rsidRDefault="007F2DB8" w:rsidP="007F2DB8">
            <w:pPr>
              <w:jc w:val="both"/>
              <w:rPr>
                <w:sz w:val="20"/>
                <w:lang w:val="fr-CA"/>
              </w:rPr>
            </w:pPr>
            <w:r w:rsidRPr="007F2DB8">
              <w:rPr>
                <w:sz w:val="20"/>
                <w:lang w:val="fr-CA"/>
              </w:rPr>
              <w:t xml:space="preserve">Relations de travail – Griefs – Compétence de l’arbitre – Contrôle judiciaire – La Cour d’appel a-t-elle commis une erreur de droit en concluant comme étant raisonnable la décision de la Cour fédérale selon laquelle le non versement de l’indemnité n’a pas pour effet de donner compétence à l’arbitre d’entendre le grief sur le fond? Si oui, quel est le fardeau de preuve du fonctionnaire? La Cour d’appel a-t-elle commis une erreur dans le choix de la norme de contrôle applicable à cette question? – La Cour d’appel a-t-elle commis une erreur de droit lorsqu’elle a conclu comme étant raisonnable la décision de la Cour fédérale selon laquelle les lignes directrices du Conseil du trésor sur le renvoi en </w:t>
            </w:r>
            <w:r w:rsidRPr="007F2DB8">
              <w:rPr>
                <w:sz w:val="20"/>
                <w:lang w:val="fr-CA"/>
              </w:rPr>
              <w:lastRenderedPageBreak/>
              <w:t xml:space="preserve">cours de stage n’ont pas force de loi à l’égard de l’intimé ni pertinentes pour déterminer si l’intimé a agi de bonne foi lors du renvoi de la demanderesse? – La Cour d’appel a-t-elle commis une erreur de droit en concluant que la Cour fédérale a rendu une décision raisonnable relativement à l’interprétation de l’arbitre quant à l’application du concept de « bonne foi, de camouflage et de subterfuge » en matière de renvoi en cours de stage? – Le fardeau de preuve du concept de « bonne foi » qui incombe au fonctionnaire renvoyé tel que décidé et interprété par la Cour d’appel dans la présente décision a-t-il pour effet de rendre pratiquement et concrètement impossible, en droit fédéral, l’exercice des droits des fonctionnaires renvoyés en période de stage? – </w:t>
            </w:r>
            <w:hyperlink r:id="rId69" w:history="1">
              <w:r w:rsidRPr="007F2DB8">
                <w:rPr>
                  <w:rStyle w:val="citationcar"/>
                  <w:i/>
                  <w:iCs/>
                  <w:sz w:val="20"/>
                  <w:lang w:val="fr-CA"/>
                </w:rPr>
                <w:t>Loi sur les relations de travail dans la fonction publique</w:t>
              </w:r>
              <w:r w:rsidRPr="007F2DB8">
                <w:rPr>
                  <w:rStyle w:val="citationcar"/>
                  <w:sz w:val="20"/>
                  <w:lang w:val="fr-CA"/>
                </w:rPr>
                <w:t>, L.C. 2003, c 22</w:t>
              </w:r>
            </w:hyperlink>
            <w:r w:rsidRPr="007F2DB8">
              <w:rPr>
                <w:sz w:val="20"/>
                <w:lang w:val="fr-CA"/>
              </w:rPr>
              <w:t xml:space="preserve">, art. 2 – </w:t>
            </w:r>
            <w:hyperlink r:id="rId70" w:history="1">
              <w:r w:rsidRPr="007F2DB8">
                <w:rPr>
                  <w:bCs/>
                  <w:i/>
                  <w:iCs/>
                  <w:sz w:val="20"/>
                  <w:lang w:val="fr-CA" w:eastAsia="fr-CA"/>
                </w:rPr>
                <w:t>Loi sur l’emploi dans la fonction publique</w:t>
              </w:r>
              <w:r w:rsidRPr="007F2DB8">
                <w:rPr>
                  <w:bCs/>
                  <w:sz w:val="20"/>
                  <w:lang w:val="fr-CA" w:eastAsia="fr-CA"/>
                </w:rPr>
                <w:t>, LC 2003, c 22, art. 12, 13</w:t>
              </w:r>
            </w:hyperlink>
            <w:r w:rsidRPr="007F2DB8">
              <w:rPr>
                <w:bCs/>
                <w:sz w:val="20"/>
                <w:lang w:val="fr-CA" w:eastAsia="fr-CA"/>
              </w:rPr>
              <w:t>.</w:t>
            </w:r>
          </w:p>
        </w:tc>
      </w:tr>
      <w:tr w:rsidR="007F2DB8" w:rsidRPr="00F9562A" w:rsidTr="007F2DB8">
        <w:tc>
          <w:tcPr>
            <w:tcW w:w="5000" w:type="pct"/>
            <w:gridSpan w:val="4"/>
          </w:tcPr>
          <w:p w:rsidR="007F2DB8" w:rsidRPr="007F2DB8" w:rsidRDefault="007F2DB8" w:rsidP="007F2DB8">
            <w:pPr>
              <w:jc w:val="both"/>
              <w:rPr>
                <w:sz w:val="20"/>
                <w:lang w:val="fr-CA"/>
              </w:rPr>
            </w:pPr>
          </w:p>
        </w:tc>
      </w:tr>
      <w:tr w:rsidR="007F2DB8" w:rsidRPr="00F9562A" w:rsidTr="007F2DB8">
        <w:tc>
          <w:tcPr>
            <w:tcW w:w="5000" w:type="pct"/>
            <w:gridSpan w:val="4"/>
          </w:tcPr>
          <w:p w:rsidR="007F2DB8" w:rsidRPr="007F2DB8" w:rsidRDefault="007F2DB8" w:rsidP="007F2DB8">
            <w:pPr>
              <w:jc w:val="both"/>
              <w:rPr>
                <w:sz w:val="20"/>
                <w:lang w:val="fr-CA"/>
              </w:rPr>
            </w:pPr>
            <w:r w:rsidRPr="007F2DB8">
              <w:rPr>
                <w:sz w:val="20"/>
                <w:lang w:val="fr-CA"/>
              </w:rPr>
              <w:t>Le 19 décembre 2006, la demanderesse a été embauchée à titre d’agente correctionnelle pour une durée indéterminée. Cet emploi était assujetti à une période de stage d’une durée de 12 mois. Au cours de ce stage, l’employeur a décidé de renvoyer la demanderesse compte tenu de son rendement insatisfaisant. La demanderesse a déposé un grief à l’encontre de son renvoi demandant d’être réintégrée dans son poste et de se faire rembourser le salaire et les indemnités qui lui étaient dus, ainsi que les dommages encourus. L’arbitre de grief de la Commission des relations de travail dans la fonction publique en arrive à la conclusion que la demanderesse était en stage quand elle a été renvoyée et que son employeur a établi de façon non équivoque qu’il la croyait incapable d’occuper les fonctions d’agent correctionnel. L’arbitre en arrive également à la conclusion que le renvoi en cours de stage n’a pas servi de subterfuge pour camoufler un autre motif de renvoi. L’arbitre précise que son rôle est limité à ces constatations et qu’il n’a donc pas compétence pour entendre le grief sur le fond.</w:t>
            </w:r>
          </w:p>
          <w:p w:rsidR="007F2DB8" w:rsidRPr="007F2DB8" w:rsidRDefault="007F2DB8" w:rsidP="007F2DB8">
            <w:pPr>
              <w:jc w:val="both"/>
              <w:rPr>
                <w:sz w:val="20"/>
                <w:lang w:val="fr-CA"/>
              </w:rPr>
            </w:pPr>
          </w:p>
        </w:tc>
      </w:tr>
      <w:tr w:rsidR="007F2DB8" w:rsidRPr="00F9562A" w:rsidTr="007F2DB8">
        <w:tc>
          <w:tcPr>
            <w:tcW w:w="2427" w:type="pct"/>
            <w:gridSpan w:val="2"/>
          </w:tcPr>
          <w:p w:rsidR="007F2DB8" w:rsidRPr="007F2DB8" w:rsidRDefault="007F2DB8" w:rsidP="007F2DB8">
            <w:pPr>
              <w:jc w:val="both"/>
              <w:rPr>
                <w:sz w:val="20"/>
                <w:lang w:val="fr-CA"/>
              </w:rPr>
            </w:pPr>
            <w:r w:rsidRPr="007F2DB8">
              <w:rPr>
                <w:sz w:val="20"/>
                <w:lang w:val="fr-CA"/>
              </w:rPr>
              <w:t>Le 30 avril 2014</w:t>
            </w:r>
          </w:p>
          <w:p w:rsidR="007F2DB8" w:rsidRPr="007F2DB8" w:rsidRDefault="007F2DB8" w:rsidP="007F2DB8">
            <w:pPr>
              <w:jc w:val="both"/>
              <w:rPr>
                <w:sz w:val="20"/>
                <w:lang w:val="fr-CA"/>
              </w:rPr>
            </w:pPr>
            <w:r w:rsidRPr="007F2DB8">
              <w:rPr>
                <w:sz w:val="20"/>
                <w:lang w:val="fr-CA"/>
              </w:rPr>
              <w:t>Cour fédérale</w:t>
            </w:r>
          </w:p>
          <w:p w:rsidR="007F2DB8" w:rsidRPr="007F2DB8" w:rsidRDefault="007F2DB8" w:rsidP="007F2DB8">
            <w:pPr>
              <w:jc w:val="both"/>
              <w:rPr>
                <w:sz w:val="20"/>
                <w:lang w:val="fr-CA"/>
              </w:rPr>
            </w:pPr>
            <w:r w:rsidRPr="007F2DB8">
              <w:rPr>
                <w:sz w:val="20"/>
                <w:lang w:val="fr-CA"/>
              </w:rPr>
              <w:t>(La juge Tremblay-Lamer)</w:t>
            </w:r>
          </w:p>
          <w:p w:rsidR="007F2DB8" w:rsidRPr="007F2DB8" w:rsidRDefault="007F2DB8" w:rsidP="007F2DB8">
            <w:pPr>
              <w:jc w:val="both"/>
              <w:rPr>
                <w:sz w:val="20"/>
              </w:rPr>
            </w:pPr>
            <w:r w:rsidRPr="007F2DB8">
              <w:rPr>
                <w:sz w:val="20"/>
              </w:rPr>
              <w:t>No. T-544-13</w:t>
            </w:r>
          </w:p>
          <w:p w:rsidR="007F2DB8" w:rsidRPr="007F2DB8" w:rsidRDefault="00A96461" w:rsidP="007F2DB8">
            <w:pPr>
              <w:jc w:val="both"/>
              <w:rPr>
                <w:rStyle w:val="Hyperlink"/>
                <w:rFonts w:eastAsiaTheme="majorEastAsia"/>
                <w:sz w:val="20"/>
              </w:rPr>
            </w:pPr>
            <w:hyperlink r:id="rId71" w:history="1">
              <w:r w:rsidR="007F2DB8" w:rsidRPr="007F2DB8">
                <w:rPr>
                  <w:rStyle w:val="Hyperlink"/>
                  <w:rFonts w:eastAsiaTheme="majorEastAsia"/>
                  <w:sz w:val="20"/>
                </w:rPr>
                <w:t>2014 CF 400</w:t>
              </w:r>
            </w:hyperlink>
          </w:p>
          <w:p w:rsidR="007F2DB8" w:rsidRPr="007F2DB8" w:rsidRDefault="007F2DB8" w:rsidP="007F2DB8">
            <w:pPr>
              <w:jc w:val="both"/>
              <w:rPr>
                <w:color w:val="0000FF" w:themeColor="hyperlink"/>
                <w:sz w:val="20"/>
                <w:u w:val="single"/>
              </w:rPr>
            </w:pPr>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lang w:val="fr-CA"/>
              </w:rPr>
            </w:pPr>
            <w:r w:rsidRPr="007F2DB8">
              <w:rPr>
                <w:sz w:val="20"/>
                <w:lang w:val="fr-CA"/>
              </w:rPr>
              <w:t>Demande de contrôle judiciaire rejetée.</w:t>
            </w:r>
          </w:p>
          <w:p w:rsidR="007F2DB8" w:rsidRPr="007F2DB8" w:rsidRDefault="007F2DB8" w:rsidP="007F2DB8">
            <w:pPr>
              <w:jc w:val="both"/>
              <w:rPr>
                <w:sz w:val="20"/>
                <w:lang w:val="fr-CA"/>
              </w:rPr>
            </w:pPr>
          </w:p>
        </w:tc>
      </w:tr>
      <w:tr w:rsidR="007F2DB8" w:rsidRPr="007F2DB8" w:rsidTr="007F2DB8">
        <w:tc>
          <w:tcPr>
            <w:tcW w:w="2427" w:type="pct"/>
            <w:gridSpan w:val="2"/>
          </w:tcPr>
          <w:p w:rsidR="007F2DB8" w:rsidRPr="007F2DB8" w:rsidRDefault="007F2DB8" w:rsidP="007F2DB8">
            <w:pPr>
              <w:jc w:val="both"/>
              <w:rPr>
                <w:sz w:val="20"/>
                <w:lang w:val="fr-CA"/>
              </w:rPr>
            </w:pPr>
            <w:r w:rsidRPr="007F2DB8">
              <w:rPr>
                <w:sz w:val="20"/>
                <w:lang w:val="fr-CA"/>
              </w:rPr>
              <w:t>Le 16 mars 2015</w:t>
            </w:r>
          </w:p>
          <w:p w:rsidR="007F2DB8" w:rsidRPr="007F2DB8" w:rsidRDefault="007F2DB8" w:rsidP="007F2DB8">
            <w:pPr>
              <w:jc w:val="both"/>
              <w:rPr>
                <w:sz w:val="20"/>
                <w:lang w:val="fr-CA"/>
              </w:rPr>
            </w:pPr>
            <w:r w:rsidRPr="007F2DB8">
              <w:rPr>
                <w:sz w:val="20"/>
                <w:lang w:val="fr-CA"/>
              </w:rPr>
              <w:t>Cour d’appel fédérale</w:t>
            </w:r>
          </w:p>
          <w:p w:rsidR="007F2DB8" w:rsidRPr="007F2DB8" w:rsidRDefault="007F2DB8" w:rsidP="007F2DB8">
            <w:pPr>
              <w:jc w:val="both"/>
              <w:rPr>
                <w:sz w:val="20"/>
                <w:lang w:val="fr-CA"/>
              </w:rPr>
            </w:pPr>
            <w:r w:rsidRPr="007F2DB8">
              <w:rPr>
                <w:sz w:val="20"/>
                <w:lang w:val="fr-CA"/>
              </w:rPr>
              <w:t xml:space="preserve">(Noël Marc, Pelletier J.D. Denis, Gauthier </w:t>
            </w:r>
          </w:p>
          <w:p w:rsidR="007F2DB8" w:rsidRPr="007F2DB8" w:rsidRDefault="007F2DB8" w:rsidP="007F2DB8">
            <w:pPr>
              <w:jc w:val="both"/>
              <w:rPr>
                <w:sz w:val="20"/>
              </w:rPr>
            </w:pPr>
            <w:r w:rsidRPr="007F2DB8">
              <w:rPr>
                <w:sz w:val="20"/>
              </w:rPr>
              <w:t>Johanne)</w:t>
            </w:r>
          </w:p>
          <w:p w:rsidR="007F2DB8" w:rsidRPr="007F2DB8" w:rsidRDefault="007F2DB8" w:rsidP="007F2DB8">
            <w:pPr>
              <w:jc w:val="both"/>
              <w:rPr>
                <w:sz w:val="20"/>
              </w:rPr>
            </w:pPr>
          </w:p>
        </w:tc>
        <w:tc>
          <w:tcPr>
            <w:tcW w:w="243" w:type="pct"/>
          </w:tcPr>
          <w:p w:rsidR="007F2DB8" w:rsidRPr="007F2DB8" w:rsidRDefault="007F2DB8" w:rsidP="007F2DB8">
            <w:pPr>
              <w:jc w:val="both"/>
              <w:rPr>
                <w:sz w:val="20"/>
              </w:rPr>
            </w:pPr>
          </w:p>
        </w:tc>
        <w:tc>
          <w:tcPr>
            <w:tcW w:w="2330" w:type="pct"/>
          </w:tcPr>
          <w:p w:rsidR="007F2DB8" w:rsidRPr="007F2DB8" w:rsidRDefault="007F2DB8" w:rsidP="007F2DB8">
            <w:pPr>
              <w:jc w:val="both"/>
              <w:rPr>
                <w:sz w:val="20"/>
              </w:rPr>
            </w:pPr>
            <w:r w:rsidRPr="007F2DB8">
              <w:rPr>
                <w:sz w:val="20"/>
              </w:rPr>
              <w:t>Appel rejeté.</w:t>
            </w:r>
          </w:p>
          <w:p w:rsidR="007F2DB8" w:rsidRPr="007F2DB8" w:rsidRDefault="007F2DB8" w:rsidP="007F2DB8">
            <w:pPr>
              <w:jc w:val="both"/>
              <w:rPr>
                <w:sz w:val="20"/>
              </w:rPr>
            </w:pPr>
          </w:p>
          <w:p w:rsidR="007F2DB8" w:rsidRPr="007F2DB8" w:rsidRDefault="007F2DB8" w:rsidP="007F2DB8">
            <w:pPr>
              <w:jc w:val="both"/>
              <w:rPr>
                <w:sz w:val="20"/>
              </w:rPr>
            </w:pPr>
          </w:p>
        </w:tc>
      </w:tr>
      <w:tr w:rsidR="007F2DB8" w:rsidRPr="00F9562A" w:rsidTr="007F2DB8">
        <w:tc>
          <w:tcPr>
            <w:tcW w:w="2427" w:type="pct"/>
            <w:gridSpan w:val="2"/>
          </w:tcPr>
          <w:p w:rsidR="007F2DB8" w:rsidRPr="007F2DB8" w:rsidRDefault="007F2DB8" w:rsidP="007F2DB8">
            <w:pPr>
              <w:jc w:val="both"/>
              <w:rPr>
                <w:sz w:val="20"/>
                <w:lang w:val="fr-CA"/>
              </w:rPr>
            </w:pPr>
            <w:r w:rsidRPr="007F2DB8">
              <w:rPr>
                <w:sz w:val="20"/>
                <w:lang w:val="fr-CA"/>
              </w:rPr>
              <w:t>Le 31 juillet 2015</w:t>
            </w:r>
          </w:p>
          <w:p w:rsidR="007F2DB8" w:rsidRPr="007F2DB8" w:rsidRDefault="007F2DB8" w:rsidP="007F2DB8">
            <w:pPr>
              <w:jc w:val="both"/>
              <w:rPr>
                <w:sz w:val="20"/>
                <w:lang w:val="fr-CA"/>
              </w:rPr>
            </w:pPr>
            <w:r w:rsidRPr="007F2DB8">
              <w:rPr>
                <w:sz w:val="20"/>
                <w:lang w:val="fr-CA"/>
              </w:rPr>
              <w:t>Cour suprême du Canada</w:t>
            </w:r>
          </w:p>
        </w:tc>
        <w:tc>
          <w:tcPr>
            <w:tcW w:w="243" w:type="pct"/>
          </w:tcPr>
          <w:p w:rsidR="007F2DB8" w:rsidRPr="007F2DB8" w:rsidRDefault="007F2DB8" w:rsidP="007F2DB8">
            <w:pPr>
              <w:jc w:val="both"/>
              <w:rPr>
                <w:sz w:val="20"/>
                <w:lang w:val="fr-CA"/>
              </w:rPr>
            </w:pPr>
          </w:p>
        </w:tc>
        <w:tc>
          <w:tcPr>
            <w:tcW w:w="2330" w:type="pct"/>
          </w:tcPr>
          <w:p w:rsidR="007F2DB8" w:rsidRPr="007F2DB8" w:rsidRDefault="007F2DB8" w:rsidP="007F2DB8">
            <w:pPr>
              <w:jc w:val="both"/>
              <w:rPr>
                <w:sz w:val="20"/>
                <w:lang w:val="fr-CA"/>
              </w:rPr>
            </w:pPr>
            <w:r w:rsidRPr="007F2DB8">
              <w:rPr>
                <w:sz w:val="20"/>
                <w:lang w:val="fr-CA"/>
              </w:rPr>
              <w:t>Demande d’autorisation d’appel déposée; requête en prorogation de délai déposée.</w:t>
            </w:r>
          </w:p>
        </w:tc>
      </w:tr>
    </w:tbl>
    <w:p w:rsidR="007F2DB8" w:rsidRDefault="007F2DB8" w:rsidP="007F2DB8">
      <w:pPr>
        <w:jc w:val="both"/>
        <w:rPr>
          <w:sz w:val="20"/>
          <w:lang w:val="fr-CA"/>
        </w:rPr>
      </w:pPr>
    </w:p>
    <w:p w:rsidR="0026164C" w:rsidRPr="007F2DB8" w:rsidRDefault="0026164C" w:rsidP="007F2DB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2"/>
        <w:gridCol w:w="3495"/>
        <w:gridCol w:w="451"/>
        <w:gridCol w:w="4322"/>
      </w:tblGrid>
      <w:tr w:rsidR="007F2DB8" w:rsidRPr="007F2DB8" w:rsidTr="0026164C">
        <w:tc>
          <w:tcPr>
            <w:tcW w:w="541" w:type="pct"/>
          </w:tcPr>
          <w:p w:rsidR="007F2DB8" w:rsidRPr="007F2DB8" w:rsidRDefault="007F2DB8" w:rsidP="007F2DB8">
            <w:pPr>
              <w:jc w:val="both"/>
              <w:rPr>
                <w:sz w:val="20"/>
              </w:rPr>
            </w:pPr>
            <w:r w:rsidRPr="007F2DB8">
              <w:rPr>
                <w:rStyle w:val="SCCFileNumberChar"/>
                <w:sz w:val="20"/>
                <w:szCs w:val="20"/>
              </w:rPr>
              <w:t>36325</w:t>
            </w:r>
          </w:p>
        </w:tc>
        <w:tc>
          <w:tcPr>
            <w:tcW w:w="4459" w:type="pct"/>
            <w:gridSpan w:val="3"/>
          </w:tcPr>
          <w:p w:rsidR="007F2DB8" w:rsidRPr="0026164C" w:rsidRDefault="007F2DB8" w:rsidP="007F2DB8">
            <w:pPr>
              <w:pStyle w:val="SCCLsocParty"/>
              <w:jc w:val="both"/>
              <w:rPr>
                <w:b/>
                <w:sz w:val="20"/>
                <w:szCs w:val="20"/>
                <w:lang w:val="en-US"/>
              </w:rPr>
            </w:pPr>
            <w:r w:rsidRPr="0026164C">
              <w:rPr>
                <w:b/>
                <w:sz w:val="20"/>
                <w:szCs w:val="20"/>
                <w:lang w:val="en-US"/>
              </w:rPr>
              <w:t>Ariston Realty Corp. v. Elcarim Inc., Elcarim E Legna Inc., and Elaine Wai Mascall</w:t>
            </w:r>
          </w:p>
          <w:p w:rsidR="007F2DB8" w:rsidRPr="007F2DB8" w:rsidRDefault="007F2DB8" w:rsidP="007F2DB8">
            <w:pPr>
              <w:jc w:val="both"/>
              <w:rPr>
                <w:sz w:val="20"/>
              </w:rPr>
            </w:pPr>
            <w:r w:rsidRPr="007F2DB8">
              <w:rPr>
                <w:sz w:val="20"/>
              </w:rPr>
              <w:t>(Ont.) (Civil) (By Leave)</w:t>
            </w:r>
          </w:p>
        </w:tc>
      </w:tr>
      <w:tr w:rsidR="007F2DB8" w:rsidRPr="007F2DB8" w:rsidTr="0026164C">
        <w:tc>
          <w:tcPr>
            <w:tcW w:w="5000" w:type="pct"/>
            <w:gridSpan w:val="4"/>
          </w:tcPr>
          <w:p w:rsidR="007F2DB8" w:rsidRDefault="007F2DB8" w:rsidP="007F2DB8">
            <w:pPr>
              <w:jc w:val="both"/>
              <w:rPr>
                <w:spacing w:val="-1"/>
                <w:sz w:val="20"/>
              </w:rPr>
            </w:pPr>
            <w:r w:rsidRPr="007F2DB8">
              <w:rPr>
                <w:sz w:val="20"/>
              </w:rPr>
              <w:t xml:space="preserve">Contracts – Restitution – Property – Real property – Holdover clause in listing agreement – Where a Listing Agreement provides that written notice of introduction is to be given, will actual notice suffice – </w:t>
            </w:r>
            <w:r w:rsidRPr="007F2DB8">
              <w:rPr>
                <w:spacing w:val="-1"/>
                <w:sz w:val="20"/>
              </w:rPr>
              <w:t xml:space="preserve">Will </w:t>
            </w:r>
            <w:r w:rsidRPr="007F2DB8">
              <w:rPr>
                <w:sz w:val="20"/>
              </w:rPr>
              <w:t>a</w:t>
            </w:r>
            <w:r w:rsidRPr="007F2DB8">
              <w:rPr>
                <w:spacing w:val="13"/>
                <w:sz w:val="20"/>
              </w:rPr>
              <w:t xml:space="preserve"> </w:t>
            </w:r>
            <w:r w:rsidRPr="007F2DB8">
              <w:rPr>
                <w:spacing w:val="-1"/>
                <w:sz w:val="20"/>
              </w:rPr>
              <w:t>subsequent</w:t>
            </w:r>
            <w:r w:rsidRPr="007F2DB8">
              <w:rPr>
                <w:spacing w:val="14"/>
                <w:sz w:val="20"/>
              </w:rPr>
              <w:t xml:space="preserve"> </w:t>
            </w:r>
            <w:r w:rsidRPr="007F2DB8">
              <w:rPr>
                <w:spacing w:val="-1"/>
                <w:sz w:val="20"/>
              </w:rPr>
              <w:t>agreement</w:t>
            </w:r>
            <w:r w:rsidRPr="007F2DB8">
              <w:rPr>
                <w:spacing w:val="14"/>
                <w:sz w:val="20"/>
              </w:rPr>
              <w:t xml:space="preserve"> </w:t>
            </w:r>
            <w:r w:rsidRPr="007F2DB8">
              <w:rPr>
                <w:sz w:val="20"/>
              </w:rPr>
              <w:t>of</w:t>
            </w:r>
            <w:r w:rsidRPr="007F2DB8">
              <w:rPr>
                <w:spacing w:val="13"/>
                <w:sz w:val="20"/>
              </w:rPr>
              <w:t xml:space="preserve"> </w:t>
            </w:r>
            <w:r w:rsidRPr="007F2DB8">
              <w:rPr>
                <w:spacing w:val="-1"/>
                <w:sz w:val="20"/>
              </w:rPr>
              <w:t>purchase</w:t>
            </w:r>
            <w:r w:rsidRPr="007F2DB8">
              <w:rPr>
                <w:spacing w:val="11"/>
                <w:sz w:val="20"/>
              </w:rPr>
              <w:t xml:space="preserve"> </w:t>
            </w:r>
            <w:r w:rsidRPr="007F2DB8">
              <w:rPr>
                <w:spacing w:val="-1"/>
                <w:sz w:val="20"/>
              </w:rPr>
              <w:t>and</w:t>
            </w:r>
            <w:r w:rsidRPr="007F2DB8">
              <w:rPr>
                <w:spacing w:val="12"/>
                <w:sz w:val="20"/>
              </w:rPr>
              <w:t xml:space="preserve"> </w:t>
            </w:r>
            <w:r w:rsidRPr="007F2DB8">
              <w:rPr>
                <w:spacing w:val="-1"/>
                <w:sz w:val="20"/>
              </w:rPr>
              <w:t>sale</w:t>
            </w:r>
            <w:r w:rsidRPr="007F2DB8">
              <w:rPr>
                <w:spacing w:val="11"/>
                <w:sz w:val="20"/>
              </w:rPr>
              <w:t xml:space="preserve"> </w:t>
            </w:r>
            <w:r w:rsidRPr="007F2DB8">
              <w:rPr>
                <w:spacing w:val="-1"/>
                <w:sz w:val="20"/>
              </w:rPr>
              <w:t>making</w:t>
            </w:r>
            <w:r w:rsidRPr="007F2DB8">
              <w:rPr>
                <w:spacing w:val="89"/>
                <w:sz w:val="20"/>
              </w:rPr>
              <w:t xml:space="preserve"> </w:t>
            </w:r>
            <w:r w:rsidRPr="007F2DB8">
              <w:rPr>
                <w:spacing w:val="-1"/>
                <w:sz w:val="20"/>
              </w:rPr>
              <w:t xml:space="preserve">reference </w:t>
            </w:r>
            <w:r w:rsidRPr="007F2DB8">
              <w:rPr>
                <w:sz w:val="20"/>
              </w:rPr>
              <w:t>to the</w:t>
            </w:r>
            <w:r w:rsidRPr="007F2DB8">
              <w:rPr>
                <w:spacing w:val="-1"/>
                <w:sz w:val="20"/>
              </w:rPr>
              <w:t xml:space="preserve"> </w:t>
            </w:r>
            <w:r w:rsidRPr="007F2DB8">
              <w:rPr>
                <w:spacing w:val="-2"/>
                <w:sz w:val="20"/>
              </w:rPr>
              <w:t>payment</w:t>
            </w:r>
            <w:r w:rsidRPr="007F2DB8">
              <w:rPr>
                <w:sz w:val="20"/>
              </w:rPr>
              <w:t xml:space="preserve"> of</w:t>
            </w:r>
            <w:r w:rsidRPr="007F2DB8">
              <w:rPr>
                <w:spacing w:val="-1"/>
                <w:sz w:val="20"/>
              </w:rPr>
              <w:t xml:space="preserve"> commission</w:t>
            </w:r>
            <w:r w:rsidRPr="007F2DB8">
              <w:rPr>
                <w:sz w:val="20"/>
              </w:rPr>
              <w:t xml:space="preserve"> </w:t>
            </w:r>
            <w:r w:rsidRPr="007F2DB8">
              <w:rPr>
                <w:spacing w:val="-1"/>
                <w:sz w:val="20"/>
              </w:rPr>
              <w:t>satisfy</w:t>
            </w:r>
            <w:r w:rsidRPr="007F2DB8">
              <w:rPr>
                <w:spacing w:val="-8"/>
                <w:sz w:val="20"/>
              </w:rPr>
              <w:t xml:space="preserve"> </w:t>
            </w:r>
            <w:r w:rsidRPr="007F2DB8">
              <w:rPr>
                <w:sz w:val="20"/>
              </w:rPr>
              <w:t>the</w:t>
            </w:r>
            <w:r w:rsidRPr="007F2DB8">
              <w:rPr>
                <w:spacing w:val="-1"/>
                <w:sz w:val="20"/>
              </w:rPr>
              <w:t xml:space="preserve"> obligation</w:t>
            </w:r>
            <w:r w:rsidRPr="007F2DB8">
              <w:rPr>
                <w:sz w:val="20"/>
              </w:rPr>
              <w:t xml:space="preserve"> to </w:t>
            </w:r>
            <w:r w:rsidRPr="007F2DB8">
              <w:rPr>
                <w:spacing w:val="-1"/>
                <w:sz w:val="20"/>
              </w:rPr>
              <w:t>provide written</w:t>
            </w:r>
            <w:r w:rsidRPr="007F2DB8">
              <w:rPr>
                <w:sz w:val="20"/>
              </w:rPr>
              <w:t xml:space="preserve"> </w:t>
            </w:r>
            <w:r w:rsidRPr="007F2DB8">
              <w:rPr>
                <w:spacing w:val="-1"/>
                <w:sz w:val="20"/>
              </w:rPr>
              <w:t>notice – Will</w:t>
            </w:r>
            <w:r w:rsidRPr="007F2DB8">
              <w:rPr>
                <w:spacing w:val="14"/>
                <w:sz w:val="20"/>
              </w:rPr>
              <w:t xml:space="preserve"> </w:t>
            </w:r>
            <w:r w:rsidRPr="007F2DB8">
              <w:rPr>
                <w:spacing w:val="-1"/>
                <w:sz w:val="20"/>
              </w:rPr>
              <w:t>such</w:t>
            </w:r>
            <w:r w:rsidRPr="007F2DB8">
              <w:rPr>
                <w:spacing w:val="14"/>
                <w:sz w:val="20"/>
              </w:rPr>
              <w:t xml:space="preserve"> a </w:t>
            </w:r>
            <w:r w:rsidRPr="007F2DB8">
              <w:rPr>
                <w:spacing w:val="-1"/>
                <w:sz w:val="20"/>
              </w:rPr>
              <w:t>provision</w:t>
            </w:r>
            <w:r w:rsidRPr="007F2DB8">
              <w:rPr>
                <w:spacing w:val="95"/>
                <w:sz w:val="20"/>
              </w:rPr>
              <w:t xml:space="preserve"> </w:t>
            </w:r>
            <w:r w:rsidRPr="007F2DB8">
              <w:rPr>
                <w:spacing w:val="-1"/>
                <w:sz w:val="20"/>
              </w:rPr>
              <w:t>entitle</w:t>
            </w:r>
            <w:r w:rsidRPr="007F2DB8">
              <w:rPr>
                <w:spacing w:val="-16"/>
                <w:sz w:val="20"/>
              </w:rPr>
              <w:t xml:space="preserve"> </w:t>
            </w:r>
            <w:r w:rsidRPr="007F2DB8">
              <w:rPr>
                <w:sz w:val="20"/>
              </w:rPr>
              <w:t>the</w:t>
            </w:r>
            <w:r w:rsidRPr="007F2DB8">
              <w:rPr>
                <w:spacing w:val="-16"/>
                <w:sz w:val="20"/>
              </w:rPr>
              <w:t xml:space="preserve"> </w:t>
            </w:r>
            <w:r w:rsidRPr="007F2DB8">
              <w:rPr>
                <w:spacing w:val="-1"/>
                <w:sz w:val="20"/>
              </w:rPr>
              <w:t>realtor</w:t>
            </w:r>
            <w:r w:rsidRPr="007F2DB8">
              <w:rPr>
                <w:spacing w:val="-16"/>
                <w:sz w:val="20"/>
              </w:rPr>
              <w:t xml:space="preserve"> </w:t>
            </w:r>
            <w:r w:rsidRPr="007F2DB8">
              <w:rPr>
                <w:sz w:val="20"/>
              </w:rPr>
              <w:t>to</w:t>
            </w:r>
            <w:r w:rsidRPr="007F2DB8">
              <w:rPr>
                <w:spacing w:val="-15"/>
                <w:sz w:val="20"/>
              </w:rPr>
              <w:t xml:space="preserve"> </w:t>
            </w:r>
            <w:r w:rsidRPr="007F2DB8">
              <w:rPr>
                <w:sz w:val="20"/>
              </w:rPr>
              <w:t>the</w:t>
            </w:r>
            <w:r w:rsidRPr="007F2DB8">
              <w:rPr>
                <w:spacing w:val="-16"/>
                <w:sz w:val="20"/>
              </w:rPr>
              <w:t xml:space="preserve"> </w:t>
            </w:r>
            <w:r w:rsidRPr="007F2DB8">
              <w:rPr>
                <w:spacing w:val="-2"/>
                <w:sz w:val="20"/>
              </w:rPr>
              <w:t>payment</w:t>
            </w:r>
            <w:r w:rsidRPr="007F2DB8">
              <w:rPr>
                <w:spacing w:val="-14"/>
                <w:sz w:val="20"/>
              </w:rPr>
              <w:t xml:space="preserve"> </w:t>
            </w:r>
            <w:r w:rsidRPr="007F2DB8">
              <w:rPr>
                <w:sz w:val="20"/>
              </w:rPr>
              <w:t>of</w:t>
            </w:r>
            <w:r w:rsidRPr="007F2DB8">
              <w:rPr>
                <w:spacing w:val="-16"/>
                <w:sz w:val="20"/>
              </w:rPr>
              <w:t xml:space="preserve"> </w:t>
            </w:r>
            <w:r w:rsidRPr="007F2DB8">
              <w:rPr>
                <w:spacing w:val="-1"/>
                <w:sz w:val="20"/>
              </w:rPr>
              <w:t>commission</w:t>
            </w:r>
            <w:r w:rsidRPr="007F2DB8">
              <w:rPr>
                <w:spacing w:val="-20"/>
                <w:sz w:val="20"/>
              </w:rPr>
              <w:t xml:space="preserve"> </w:t>
            </w:r>
            <w:r w:rsidRPr="007F2DB8">
              <w:rPr>
                <w:spacing w:val="-2"/>
                <w:sz w:val="20"/>
              </w:rPr>
              <w:t>or</w:t>
            </w:r>
            <w:r w:rsidRPr="007F2DB8">
              <w:rPr>
                <w:spacing w:val="-20"/>
                <w:sz w:val="20"/>
              </w:rPr>
              <w:t xml:space="preserve"> </w:t>
            </w:r>
            <w:r w:rsidRPr="007F2DB8">
              <w:rPr>
                <w:spacing w:val="-3"/>
                <w:sz w:val="20"/>
              </w:rPr>
              <w:t>other</w:t>
            </w:r>
            <w:r w:rsidRPr="007F2DB8">
              <w:rPr>
                <w:spacing w:val="-20"/>
                <w:sz w:val="20"/>
              </w:rPr>
              <w:t xml:space="preserve"> </w:t>
            </w:r>
            <w:r w:rsidRPr="007F2DB8">
              <w:rPr>
                <w:spacing w:val="-3"/>
                <w:sz w:val="20"/>
              </w:rPr>
              <w:t>compensation</w:t>
            </w:r>
            <w:r w:rsidRPr="007F2DB8">
              <w:rPr>
                <w:spacing w:val="-20"/>
                <w:sz w:val="20"/>
              </w:rPr>
              <w:t xml:space="preserve"> </w:t>
            </w:r>
            <w:r w:rsidRPr="007F2DB8">
              <w:rPr>
                <w:spacing w:val="-3"/>
                <w:sz w:val="20"/>
              </w:rPr>
              <w:t>under</w:t>
            </w:r>
            <w:r w:rsidRPr="007F2DB8">
              <w:rPr>
                <w:spacing w:val="-20"/>
                <w:sz w:val="20"/>
              </w:rPr>
              <w:t xml:space="preserve"> </w:t>
            </w:r>
            <w:r w:rsidRPr="007F2DB8">
              <w:rPr>
                <w:spacing w:val="-2"/>
                <w:sz w:val="20"/>
              </w:rPr>
              <w:t>the</w:t>
            </w:r>
            <w:r w:rsidRPr="007F2DB8">
              <w:rPr>
                <w:spacing w:val="-21"/>
                <w:sz w:val="20"/>
              </w:rPr>
              <w:t xml:space="preserve"> </w:t>
            </w:r>
            <w:r w:rsidRPr="007F2DB8">
              <w:rPr>
                <w:spacing w:val="-3"/>
                <w:sz w:val="20"/>
              </w:rPr>
              <w:t>doctrines</w:t>
            </w:r>
            <w:r w:rsidRPr="007F2DB8">
              <w:rPr>
                <w:spacing w:val="-19"/>
                <w:sz w:val="20"/>
              </w:rPr>
              <w:t xml:space="preserve"> </w:t>
            </w:r>
            <w:r w:rsidRPr="007F2DB8">
              <w:rPr>
                <w:spacing w:val="-3"/>
                <w:sz w:val="20"/>
              </w:rPr>
              <w:t>of</w:t>
            </w:r>
            <w:r w:rsidRPr="007F2DB8">
              <w:rPr>
                <w:spacing w:val="62"/>
                <w:sz w:val="20"/>
              </w:rPr>
              <w:t xml:space="preserve"> </w:t>
            </w:r>
            <w:r w:rsidRPr="007F2DB8">
              <w:rPr>
                <w:i/>
                <w:iCs/>
                <w:sz w:val="20"/>
              </w:rPr>
              <w:t>quantum</w:t>
            </w:r>
            <w:r w:rsidRPr="007F2DB8">
              <w:rPr>
                <w:i/>
                <w:iCs/>
                <w:spacing w:val="-1"/>
                <w:sz w:val="20"/>
              </w:rPr>
              <w:t xml:space="preserve"> meruit</w:t>
            </w:r>
            <w:r w:rsidRPr="007F2DB8">
              <w:rPr>
                <w:i/>
                <w:iCs/>
                <w:sz w:val="20"/>
              </w:rPr>
              <w:t xml:space="preserve"> </w:t>
            </w:r>
            <w:r w:rsidRPr="007F2DB8">
              <w:rPr>
                <w:spacing w:val="-1"/>
                <w:sz w:val="20"/>
              </w:rPr>
              <w:t xml:space="preserve">and/or </w:t>
            </w:r>
            <w:r w:rsidRPr="007F2DB8">
              <w:rPr>
                <w:sz w:val="20"/>
              </w:rPr>
              <w:t xml:space="preserve">unjust </w:t>
            </w:r>
            <w:r w:rsidRPr="007F2DB8">
              <w:rPr>
                <w:spacing w:val="-1"/>
                <w:sz w:val="20"/>
              </w:rPr>
              <w:t>enrichment.</w:t>
            </w:r>
          </w:p>
          <w:p w:rsidR="0026164C" w:rsidRPr="007F2DB8" w:rsidRDefault="0026164C" w:rsidP="007F2DB8">
            <w:pPr>
              <w:jc w:val="both"/>
              <w:rPr>
                <w:sz w:val="20"/>
              </w:rPr>
            </w:pPr>
          </w:p>
        </w:tc>
      </w:tr>
      <w:tr w:rsidR="007F2DB8" w:rsidRPr="007F2DB8" w:rsidTr="0026164C">
        <w:tc>
          <w:tcPr>
            <w:tcW w:w="5000" w:type="pct"/>
            <w:gridSpan w:val="4"/>
          </w:tcPr>
          <w:p w:rsidR="007F2DB8" w:rsidRPr="007F2DB8" w:rsidRDefault="007F2DB8" w:rsidP="007F2DB8">
            <w:pPr>
              <w:jc w:val="both"/>
              <w:rPr>
                <w:sz w:val="20"/>
              </w:rPr>
            </w:pPr>
            <w:r w:rsidRPr="007F2DB8">
              <w:rPr>
                <w:sz w:val="20"/>
              </w:rPr>
              <w:t xml:space="preserve">The respondent, Elcarim Inc., and the applicant, Ariston Realty, entered into a listing agreement for the sale of a property owned by Elcarim. The agreement contained a holdover clause in which Elcarim agreed to pay Ariston a commission on completion of any sale effected within six months after the expiry of the agreement with any party to whom Ariston or co-operating brokers introduced to the property during the term of the agreement, provided Ariston </w:t>
            </w:r>
            <w:r w:rsidRPr="007F2DB8">
              <w:rPr>
                <w:sz w:val="20"/>
              </w:rPr>
              <w:lastRenderedPageBreak/>
              <w:t>notified Elcarim in writing prior to the expiry of the agreement of the name of the party introduced. During the term of the listing agreement, Ariston introduced Context Development Inc., the eventual purchaser of the property, however Ariston never provided Elcarim with written notification. Three and one-half months after the expiry of the listing agreement, Context signed an agreement of purchase and sale with Elcarim for the property. After the sale closed, Ariston submitted an invoice to Elcarim for commission on the sale. Elcarim did not pay the invoice and Ariston commenced an action for payment.</w:t>
            </w:r>
          </w:p>
          <w:p w:rsidR="007F2DB8" w:rsidRPr="007F2DB8" w:rsidRDefault="007F2DB8" w:rsidP="007F2DB8">
            <w:pPr>
              <w:jc w:val="both"/>
              <w:rPr>
                <w:sz w:val="20"/>
              </w:rPr>
            </w:pPr>
          </w:p>
          <w:p w:rsidR="007F2DB8" w:rsidRDefault="007F2DB8" w:rsidP="0026164C">
            <w:pPr>
              <w:jc w:val="both"/>
              <w:rPr>
                <w:sz w:val="20"/>
              </w:rPr>
            </w:pPr>
            <w:r w:rsidRPr="007F2DB8">
              <w:rPr>
                <w:sz w:val="20"/>
              </w:rPr>
              <w:t>The Ontario Superior Court of Justice allowed Ariston Realty’s action, awarding $120,375.00 for unpaid commission, and dismissed the respondents’ counterclaim. The Ontario Court of Appeal allowed the respondents’ appeal and allowed the applicant’s cross-appeal in part, with costs of $20,000 and $130,000 to the respondents for the appeal and trial respectively.</w:t>
            </w:r>
          </w:p>
          <w:p w:rsidR="0026164C" w:rsidRPr="007F2DB8" w:rsidRDefault="0026164C" w:rsidP="0026164C">
            <w:pPr>
              <w:jc w:val="both"/>
              <w:rPr>
                <w:sz w:val="20"/>
              </w:rPr>
            </w:pPr>
          </w:p>
        </w:tc>
      </w:tr>
      <w:tr w:rsidR="007F2DB8" w:rsidRPr="007F2DB8" w:rsidTr="0026164C">
        <w:tc>
          <w:tcPr>
            <w:tcW w:w="2426" w:type="pct"/>
            <w:gridSpan w:val="2"/>
          </w:tcPr>
          <w:p w:rsidR="007F2DB8" w:rsidRPr="007F2DB8" w:rsidRDefault="007F2DB8" w:rsidP="007F2DB8">
            <w:pPr>
              <w:jc w:val="both"/>
              <w:rPr>
                <w:sz w:val="20"/>
              </w:rPr>
            </w:pPr>
            <w:r w:rsidRPr="007F2DB8">
              <w:rPr>
                <w:sz w:val="20"/>
              </w:rPr>
              <w:lastRenderedPageBreak/>
              <w:t>April 11, 2013</w:t>
            </w:r>
          </w:p>
          <w:p w:rsidR="007F2DB8" w:rsidRPr="007F2DB8" w:rsidRDefault="007F2DB8" w:rsidP="007F2DB8">
            <w:pPr>
              <w:jc w:val="both"/>
              <w:rPr>
                <w:sz w:val="20"/>
              </w:rPr>
            </w:pPr>
            <w:r w:rsidRPr="007F2DB8">
              <w:rPr>
                <w:sz w:val="20"/>
              </w:rPr>
              <w:t>Ontario Superior Court of Justice</w:t>
            </w:r>
          </w:p>
          <w:p w:rsidR="007F2DB8" w:rsidRPr="007F2DB8" w:rsidRDefault="007F2DB8" w:rsidP="007F2DB8">
            <w:pPr>
              <w:jc w:val="both"/>
              <w:rPr>
                <w:sz w:val="20"/>
              </w:rPr>
            </w:pPr>
            <w:r w:rsidRPr="007F2DB8">
              <w:rPr>
                <w:sz w:val="20"/>
              </w:rPr>
              <w:t>(Wilson J.)</w:t>
            </w:r>
          </w:p>
          <w:p w:rsidR="007F2DB8" w:rsidRPr="007F2DB8" w:rsidRDefault="007F2DB8" w:rsidP="007F2DB8">
            <w:pPr>
              <w:jc w:val="both"/>
              <w:rPr>
                <w:sz w:val="20"/>
              </w:rPr>
            </w:pPr>
            <w:r w:rsidRPr="007F2DB8">
              <w:rPr>
                <w:sz w:val="20"/>
              </w:rPr>
              <w:t xml:space="preserve">Neutral citation: </w:t>
            </w:r>
            <w:hyperlink r:id="rId72" w:history="1">
              <w:r w:rsidRPr="007F2DB8">
                <w:rPr>
                  <w:rStyle w:val="Hyperlink"/>
                  <w:sz w:val="20"/>
                </w:rPr>
                <w:t>2013 ONSC 1995</w:t>
              </w:r>
            </w:hyperlink>
          </w:p>
          <w:p w:rsidR="007F2DB8" w:rsidRPr="007F2DB8" w:rsidRDefault="007F2DB8" w:rsidP="007F2DB8">
            <w:pPr>
              <w:jc w:val="both"/>
              <w:rPr>
                <w:sz w:val="20"/>
              </w:rPr>
            </w:pPr>
          </w:p>
        </w:tc>
        <w:tc>
          <w:tcPr>
            <w:tcW w:w="243" w:type="pct"/>
          </w:tcPr>
          <w:p w:rsidR="007F2DB8" w:rsidRPr="007F2DB8" w:rsidRDefault="007F2DB8" w:rsidP="007F2DB8">
            <w:pPr>
              <w:jc w:val="both"/>
              <w:rPr>
                <w:sz w:val="20"/>
              </w:rPr>
            </w:pPr>
          </w:p>
        </w:tc>
        <w:tc>
          <w:tcPr>
            <w:tcW w:w="2331" w:type="pct"/>
          </w:tcPr>
          <w:p w:rsidR="007F2DB8" w:rsidRPr="007F2DB8" w:rsidRDefault="007F2DB8" w:rsidP="007F2DB8">
            <w:pPr>
              <w:jc w:val="both"/>
              <w:rPr>
                <w:sz w:val="20"/>
              </w:rPr>
            </w:pPr>
            <w:r w:rsidRPr="007F2DB8">
              <w:rPr>
                <w:sz w:val="20"/>
              </w:rPr>
              <w:t>Applicant’s action for damages, allowed; respondents’ counterclaim, dismissed.</w:t>
            </w:r>
          </w:p>
          <w:p w:rsidR="007F2DB8" w:rsidRPr="007F2DB8" w:rsidRDefault="007F2DB8" w:rsidP="007F2DB8">
            <w:pPr>
              <w:jc w:val="both"/>
              <w:rPr>
                <w:sz w:val="20"/>
              </w:rPr>
            </w:pPr>
          </w:p>
        </w:tc>
      </w:tr>
      <w:tr w:rsidR="007F2DB8" w:rsidRPr="007F2DB8" w:rsidTr="0026164C">
        <w:tc>
          <w:tcPr>
            <w:tcW w:w="2426" w:type="pct"/>
            <w:gridSpan w:val="2"/>
          </w:tcPr>
          <w:p w:rsidR="007F2DB8" w:rsidRPr="007F2DB8" w:rsidRDefault="007F2DB8" w:rsidP="007F2DB8">
            <w:pPr>
              <w:jc w:val="both"/>
              <w:rPr>
                <w:sz w:val="20"/>
              </w:rPr>
            </w:pPr>
            <w:r w:rsidRPr="007F2DB8">
              <w:rPr>
                <w:sz w:val="20"/>
              </w:rPr>
              <w:t>October 27, 2013</w:t>
            </w:r>
          </w:p>
          <w:p w:rsidR="007F2DB8" w:rsidRPr="007F2DB8" w:rsidRDefault="007F2DB8" w:rsidP="007F2DB8">
            <w:pPr>
              <w:jc w:val="both"/>
              <w:rPr>
                <w:sz w:val="20"/>
              </w:rPr>
            </w:pPr>
            <w:r w:rsidRPr="007F2DB8">
              <w:rPr>
                <w:sz w:val="20"/>
              </w:rPr>
              <w:t>Court of Appeal for Ontario</w:t>
            </w:r>
          </w:p>
          <w:p w:rsidR="007F2DB8" w:rsidRPr="007F2DB8" w:rsidRDefault="007F2DB8" w:rsidP="007F2DB8">
            <w:pPr>
              <w:jc w:val="both"/>
              <w:rPr>
                <w:sz w:val="20"/>
              </w:rPr>
            </w:pPr>
            <w:r w:rsidRPr="007F2DB8">
              <w:rPr>
                <w:sz w:val="20"/>
              </w:rPr>
              <w:t>(Juriansz, LaForme and Lauwers JJ.A.)</w:t>
            </w:r>
          </w:p>
          <w:p w:rsidR="007F2DB8" w:rsidRPr="007F2DB8" w:rsidRDefault="007F2DB8" w:rsidP="007F2DB8">
            <w:pPr>
              <w:jc w:val="both"/>
              <w:rPr>
                <w:sz w:val="20"/>
              </w:rPr>
            </w:pPr>
            <w:r w:rsidRPr="007F2DB8">
              <w:rPr>
                <w:sz w:val="20"/>
              </w:rPr>
              <w:t xml:space="preserve">Neutral citation: </w:t>
            </w:r>
            <w:hyperlink r:id="rId73" w:history="1">
              <w:r w:rsidRPr="007F2DB8">
                <w:rPr>
                  <w:rStyle w:val="Hyperlink"/>
                  <w:sz w:val="20"/>
                </w:rPr>
                <w:t>2014 ONCA 737</w:t>
              </w:r>
            </w:hyperlink>
          </w:p>
          <w:p w:rsidR="007F2DB8" w:rsidRPr="007F2DB8" w:rsidRDefault="007F2DB8" w:rsidP="007F2DB8">
            <w:pPr>
              <w:jc w:val="both"/>
              <w:rPr>
                <w:sz w:val="20"/>
              </w:rPr>
            </w:pPr>
          </w:p>
        </w:tc>
        <w:tc>
          <w:tcPr>
            <w:tcW w:w="243" w:type="pct"/>
          </w:tcPr>
          <w:p w:rsidR="007F2DB8" w:rsidRPr="007F2DB8" w:rsidRDefault="007F2DB8" w:rsidP="007F2DB8">
            <w:pPr>
              <w:jc w:val="both"/>
              <w:rPr>
                <w:sz w:val="20"/>
              </w:rPr>
            </w:pPr>
          </w:p>
        </w:tc>
        <w:tc>
          <w:tcPr>
            <w:tcW w:w="2331" w:type="pct"/>
          </w:tcPr>
          <w:p w:rsidR="007F2DB8" w:rsidRPr="007F2DB8" w:rsidRDefault="007F2DB8" w:rsidP="007F2DB8">
            <w:pPr>
              <w:jc w:val="both"/>
              <w:rPr>
                <w:sz w:val="20"/>
              </w:rPr>
            </w:pPr>
            <w:r w:rsidRPr="007F2DB8">
              <w:rPr>
                <w:sz w:val="20"/>
              </w:rPr>
              <w:t>Respondents’ appeal allowed; judgment of trial judge set aside; applicant’s cross-appeal allowed, in part.</w:t>
            </w:r>
          </w:p>
        </w:tc>
      </w:tr>
      <w:tr w:rsidR="007F2DB8" w:rsidRPr="007F2DB8" w:rsidTr="0026164C">
        <w:tc>
          <w:tcPr>
            <w:tcW w:w="2426" w:type="pct"/>
            <w:gridSpan w:val="2"/>
          </w:tcPr>
          <w:p w:rsidR="007F2DB8" w:rsidRPr="007F2DB8" w:rsidRDefault="007F2DB8" w:rsidP="007F2DB8">
            <w:pPr>
              <w:jc w:val="both"/>
              <w:rPr>
                <w:sz w:val="20"/>
              </w:rPr>
            </w:pPr>
            <w:r w:rsidRPr="007F2DB8">
              <w:rPr>
                <w:sz w:val="20"/>
              </w:rPr>
              <w:t>December 30, 2014</w:t>
            </w:r>
          </w:p>
          <w:p w:rsidR="007F2DB8" w:rsidRPr="007F2DB8" w:rsidRDefault="007F2DB8" w:rsidP="007F2DB8">
            <w:pPr>
              <w:jc w:val="both"/>
              <w:rPr>
                <w:sz w:val="20"/>
              </w:rPr>
            </w:pPr>
            <w:r w:rsidRPr="007F2DB8">
              <w:rPr>
                <w:sz w:val="20"/>
              </w:rPr>
              <w:t>Court of Appeal for Ontario</w:t>
            </w:r>
          </w:p>
          <w:p w:rsidR="007F2DB8" w:rsidRPr="007F2DB8" w:rsidRDefault="007F2DB8" w:rsidP="007F2DB8">
            <w:pPr>
              <w:jc w:val="both"/>
              <w:rPr>
                <w:sz w:val="20"/>
              </w:rPr>
            </w:pPr>
            <w:r w:rsidRPr="007F2DB8">
              <w:rPr>
                <w:sz w:val="20"/>
              </w:rPr>
              <w:t>(Juriansz, LaForme and Lauwers JJ.A.)</w:t>
            </w:r>
          </w:p>
          <w:p w:rsidR="007F2DB8" w:rsidRPr="007F2DB8" w:rsidRDefault="007F2DB8" w:rsidP="007F2DB8">
            <w:pPr>
              <w:jc w:val="both"/>
              <w:rPr>
                <w:sz w:val="20"/>
              </w:rPr>
            </w:pPr>
            <w:r w:rsidRPr="007F2DB8">
              <w:rPr>
                <w:sz w:val="20"/>
              </w:rPr>
              <w:t xml:space="preserve">Neutral citation: </w:t>
            </w:r>
            <w:hyperlink r:id="rId74" w:history="1">
              <w:r w:rsidRPr="007F2DB8">
                <w:rPr>
                  <w:rStyle w:val="Hyperlink"/>
                  <w:sz w:val="20"/>
                </w:rPr>
                <w:t>2014 ONCA 925</w:t>
              </w:r>
            </w:hyperlink>
          </w:p>
          <w:p w:rsidR="007F2DB8" w:rsidRPr="007F2DB8" w:rsidRDefault="007F2DB8" w:rsidP="007F2DB8">
            <w:pPr>
              <w:jc w:val="both"/>
              <w:rPr>
                <w:sz w:val="20"/>
              </w:rPr>
            </w:pPr>
          </w:p>
        </w:tc>
        <w:tc>
          <w:tcPr>
            <w:tcW w:w="243" w:type="pct"/>
          </w:tcPr>
          <w:p w:rsidR="007F2DB8" w:rsidRPr="007F2DB8" w:rsidRDefault="007F2DB8" w:rsidP="007F2DB8">
            <w:pPr>
              <w:jc w:val="both"/>
              <w:rPr>
                <w:sz w:val="20"/>
              </w:rPr>
            </w:pPr>
          </w:p>
        </w:tc>
        <w:tc>
          <w:tcPr>
            <w:tcW w:w="2331" w:type="pct"/>
          </w:tcPr>
          <w:p w:rsidR="007F2DB8" w:rsidRPr="007F2DB8" w:rsidRDefault="007F2DB8" w:rsidP="007F2DB8">
            <w:pPr>
              <w:jc w:val="both"/>
              <w:rPr>
                <w:sz w:val="20"/>
              </w:rPr>
            </w:pPr>
            <w:r w:rsidRPr="007F2DB8">
              <w:rPr>
                <w:sz w:val="20"/>
              </w:rPr>
              <w:t>Costs awarded to respondents, fixed at $20,000 for appeal and $130,000 for trial.</w:t>
            </w:r>
          </w:p>
          <w:p w:rsidR="007F2DB8" w:rsidRPr="007F2DB8" w:rsidRDefault="007F2DB8" w:rsidP="007F2DB8">
            <w:pPr>
              <w:jc w:val="both"/>
              <w:rPr>
                <w:sz w:val="20"/>
              </w:rPr>
            </w:pPr>
          </w:p>
        </w:tc>
      </w:tr>
      <w:tr w:rsidR="007F2DB8" w:rsidRPr="007F2DB8" w:rsidTr="0026164C">
        <w:tc>
          <w:tcPr>
            <w:tcW w:w="2426" w:type="pct"/>
            <w:gridSpan w:val="2"/>
          </w:tcPr>
          <w:p w:rsidR="007F2DB8" w:rsidRPr="007F2DB8" w:rsidRDefault="007F2DB8" w:rsidP="007F2DB8">
            <w:pPr>
              <w:jc w:val="both"/>
              <w:rPr>
                <w:sz w:val="20"/>
              </w:rPr>
            </w:pPr>
            <w:r w:rsidRPr="007F2DB8">
              <w:rPr>
                <w:sz w:val="20"/>
              </w:rPr>
              <w:t>February 27, 2015</w:t>
            </w:r>
          </w:p>
          <w:p w:rsidR="007F2DB8" w:rsidRPr="007F2DB8" w:rsidRDefault="007F2DB8" w:rsidP="007F2DB8">
            <w:pPr>
              <w:jc w:val="both"/>
              <w:rPr>
                <w:sz w:val="20"/>
              </w:rPr>
            </w:pPr>
            <w:r w:rsidRPr="007F2DB8">
              <w:rPr>
                <w:sz w:val="20"/>
              </w:rPr>
              <w:t>Supreme Court of Canada</w:t>
            </w:r>
          </w:p>
          <w:p w:rsidR="007F2DB8" w:rsidRPr="007F2DB8" w:rsidRDefault="007F2DB8" w:rsidP="007F2DB8">
            <w:pPr>
              <w:jc w:val="both"/>
              <w:rPr>
                <w:sz w:val="20"/>
              </w:rPr>
            </w:pPr>
          </w:p>
        </w:tc>
        <w:tc>
          <w:tcPr>
            <w:tcW w:w="243" w:type="pct"/>
          </w:tcPr>
          <w:p w:rsidR="007F2DB8" w:rsidRPr="007F2DB8" w:rsidRDefault="007F2DB8" w:rsidP="007F2DB8">
            <w:pPr>
              <w:jc w:val="both"/>
              <w:rPr>
                <w:sz w:val="20"/>
              </w:rPr>
            </w:pPr>
          </w:p>
        </w:tc>
        <w:tc>
          <w:tcPr>
            <w:tcW w:w="2331" w:type="pct"/>
          </w:tcPr>
          <w:p w:rsidR="007F2DB8" w:rsidRPr="007F2DB8" w:rsidRDefault="007F2DB8" w:rsidP="007F2DB8">
            <w:pPr>
              <w:jc w:val="both"/>
              <w:rPr>
                <w:sz w:val="20"/>
              </w:rPr>
            </w:pPr>
            <w:r w:rsidRPr="007F2DB8">
              <w:rPr>
                <w:sz w:val="20"/>
              </w:rPr>
              <w:t>Application for leave to appeal, filed.</w:t>
            </w:r>
          </w:p>
        </w:tc>
      </w:tr>
      <w:tr w:rsidR="007F2DB8" w:rsidRPr="007F2DB8" w:rsidTr="0026164C">
        <w:tc>
          <w:tcPr>
            <w:tcW w:w="2426" w:type="pct"/>
            <w:gridSpan w:val="2"/>
          </w:tcPr>
          <w:p w:rsidR="007F2DB8" w:rsidRPr="007F2DB8" w:rsidRDefault="007F2DB8" w:rsidP="007F2DB8">
            <w:pPr>
              <w:jc w:val="both"/>
              <w:rPr>
                <w:sz w:val="20"/>
              </w:rPr>
            </w:pPr>
            <w:r w:rsidRPr="007F2DB8">
              <w:rPr>
                <w:sz w:val="20"/>
              </w:rPr>
              <w:t>April 7, 2015</w:t>
            </w:r>
          </w:p>
          <w:p w:rsidR="007F2DB8" w:rsidRPr="007F2DB8" w:rsidRDefault="007F2DB8" w:rsidP="007F2DB8">
            <w:pPr>
              <w:jc w:val="both"/>
              <w:rPr>
                <w:sz w:val="20"/>
              </w:rPr>
            </w:pPr>
            <w:r w:rsidRPr="007F2DB8">
              <w:rPr>
                <w:sz w:val="20"/>
              </w:rPr>
              <w:t>Supreme Court of Canada</w:t>
            </w:r>
          </w:p>
        </w:tc>
        <w:tc>
          <w:tcPr>
            <w:tcW w:w="243" w:type="pct"/>
          </w:tcPr>
          <w:p w:rsidR="007F2DB8" w:rsidRPr="007F2DB8" w:rsidRDefault="007F2DB8" w:rsidP="007F2DB8">
            <w:pPr>
              <w:jc w:val="both"/>
              <w:rPr>
                <w:sz w:val="20"/>
              </w:rPr>
            </w:pPr>
          </w:p>
        </w:tc>
        <w:tc>
          <w:tcPr>
            <w:tcW w:w="2331" w:type="pct"/>
          </w:tcPr>
          <w:p w:rsidR="007F2DB8" w:rsidRPr="007F2DB8" w:rsidRDefault="007F2DB8" w:rsidP="007F2DB8">
            <w:pPr>
              <w:jc w:val="both"/>
              <w:rPr>
                <w:sz w:val="20"/>
              </w:rPr>
            </w:pPr>
            <w:r w:rsidRPr="007F2DB8">
              <w:rPr>
                <w:sz w:val="20"/>
              </w:rPr>
              <w:t>Motion to extend time to serve and file  application, filed.</w:t>
            </w:r>
          </w:p>
        </w:tc>
      </w:tr>
    </w:tbl>
    <w:p w:rsidR="007F2DB8" w:rsidRDefault="007F2DB8" w:rsidP="007F2DB8">
      <w:pPr>
        <w:jc w:val="both"/>
        <w:rPr>
          <w:sz w:val="20"/>
        </w:rPr>
      </w:pPr>
    </w:p>
    <w:p w:rsidR="0026164C" w:rsidRPr="007F2DB8" w:rsidRDefault="0026164C" w:rsidP="007F2D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2"/>
        <w:gridCol w:w="3495"/>
        <w:gridCol w:w="451"/>
        <w:gridCol w:w="4322"/>
      </w:tblGrid>
      <w:tr w:rsidR="007F2DB8" w:rsidRPr="00F9562A" w:rsidTr="0026164C">
        <w:tc>
          <w:tcPr>
            <w:tcW w:w="541" w:type="pct"/>
          </w:tcPr>
          <w:p w:rsidR="007F2DB8" w:rsidRPr="007F2DB8" w:rsidRDefault="007F2DB8" w:rsidP="007F2DB8">
            <w:pPr>
              <w:jc w:val="both"/>
              <w:rPr>
                <w:sz w:val="20"/>
                <w:lang w:val="fr-CA"/>
              </w:rPr>
            </w:pPr>
            <w:r w:rsidRPr="007F2DB8">
              <w:rPr>
                <w:rStyle w:val="SCCFileNumberChar"/>
                <w:sz w:val="20"/>
                <w:szCs w:val="20"/>
                <w:lang w:val="fr-CA"/>
              </w:rPr>
              <w:t>36325</w:t>
            </w:r>
          </w:p>
        </w:tc>
        <w:tc>
          <w:tcPr>
            <w:tcW w:w="4459" w:type="pct"/>
            <w:gridSpan w:val="3"/>
          </w:tcPr>
          <w:p w:rsidR="007F2DB8" w:rsidRPr="0026164C" w:rsidRDefault="007F2DB8" w:rsidP="007F2DB8">
            <w:pPr>
              <w:pStyle w:val="SCCLsocParty"/>
              <w:jc w:val="both"/>
              <w:rPr>
                <w:b/>
                <w:sz w:val="20"/>
                <w:szCs w:val="20"/>
              </w:rPr>
            </w:pPr>
            <w:r w:rsidRPr="0026164C">
              <w:rPr>
                <w:b/>
                <w:sz w:val="20"/>
                <w:szCs w:val="20"/>
              </w:rPr>
              <w:t>Ariston Realty Corp. c. Elcarim Inc., Elcarim E Legna Inc., et Elaine Wai Mascall</w:t>
            </w:r>
          </w:p>
          <w:p w:rsidR="007F2DB8" w:rsidRPr="007F2DB8" w:rsidRDefault="007F2DB8" w:rsidP="007F2DB8">
            <w:pPr>
              <w:jc w:val="both"/>
              <w:rPr>
                <w:sz w:val="20"/>
                <w:lang w:val="fr-CA"/>
              </w:rPr>
            </w:pPr>
            <w:r w:rsidRPr="007F2DB8">
              <w:rPr>
                <w:sz w:val="20"/>
                <w:lang w:val="fr-CA"/>
              </w:rPr>
              <w:t>(Ont.) (Civile) (Sur autorisation)</w:t>
            </w:r>
          </w:p>
        </w:tc>
      </w:tr>
      <w:tr w:rsidR="007F2DB8" w:rsidRPr="00F9562A" w:rsidTr="0026164C">
        <w:tc>
          <w:tcPr>
            <w:tcW w:w="5000" w:type="pct"/>
            <w:gridSpan w:val="4"/>
          </w:tcPr>
          <w:p w:rsidR="007F2DB8" w:rsidRDefault="007F2DB8" w:rsidP="007F2DB8">
            <w:pPr>
              <w:jc w:val="both"/>
              <w:rPr>
                <w:spacing w:val="-1"/>
                <w:sz w:val="20"/>
                <w:lang w:val="fr-CA"/>
              </w:rPr>
            </w:pPr>
            <w:r w:rsidRPr="007F2DB8">
              <w:rPr>
                <w:sz w:val="20"/>
                <w:lang w:val="fr-CA"/>
              </w:rPr>
              <w:lastRenderedPageBreak/>
              <w:t xml:space="preserve">Contrats – Restitution – Biens – Biens réels – Clause prévoyant le paiement d’une commission après l’expiration de la convention d’inscription – Un avis en bonne et due forme suffit-il lorsque la convention d’inscription exige un avis écrit en cas de présentation? – Est-il satisfait à l’obligation relative à l’avis écrit si l’entente de vente et d’achat conclue ultérieurement prévoit le paiement d’une commission? </w:t>
            </w:r>
            <w:r w:rsidRPr="007F2DB8">
              <w:rPr>
                <w:spacing w:val="-1"/>
                <w:sz w:val="20"/>
                <w:lang w:val="fr-CA"/>
              </w:rPr>
              <w:t xml:space="preserve">– Une telle clause donne-t-elle le droit à l’agent immobilier d’obtenir le versement de la commission ou d’un autre type de dédommagement en vertu des doctrines du </w:t>
            </w:r>
            <w:r w:rsidRPr="007F2DB8">
              <w:rPr>
                <w:i/>
                <w:spacing w:val="-1"/>
                <w:sz w:val="20"/>
                <w:lang w:val="fr-CA"/>
              </w:rPr>
              <w:t>quantum meruit</w:t>
            </w:r>
            <w:r w:rsidRPr="007F2DB8">
              <w:rPr>
                <w:spacing w:val="-1"/>
                <w:sz w:val="20"/>
                <w:lang w:val="fr-CA"/>
              </w:rPr>
              <w:t xml:space="preserve"> ou de l’enrichissement sans cause ou des deux?</w:t>
            </w:r>
          </w:p>
          <w:p w:rsidR="0026164C" w:rsidRPr="007F2DB8" w:rsidRDefault="0026164C" w:rsidP="007F2DB8">
            <w:pPr>
              <w:jc w:val="both"/>
              <w:rPr>
                <w:sz w:val="20"/>
                <w:lang w:val="fr-CA"/>
              </w:rPr>
            </w:pPr>
          </w:p>
        </w:tc>
      </w:tr>
      <w:tr w:rsidR="007F2DB8" w:rsidRPr="00F9562A" w:rsidTr="0026164C">
        <w:tc>
          <w:tcPr>
            <w:tcW w:w="5000" w:type="pct"/>
            <w:gridSpan w:val="4"/>
          </w:tcPr>
          <w:p w:rsidR="007F2DB8" w:rsidRPr="007F2DB8" w:rsidRDefault="007F2DB8" w:rsidP="007F2DB8">
            <w:pPr>
              <w:jc w:val="both"/>
              <w:rPr>
                <w:sz w:val="20"/>
                <w:lang w:val="fr-CA"/>
              </w:rPr>
            </w:pPr>
            <w:r w:rsidRPr="007F2DB8">
              <w:rPr>
                <w:sz w:val="20"/>
                <w:lang w:val="fr-CA"/>
              </w:rPr>
              <w:t>L’intimée, Elcarim Inc., et la demanderesse, Ariston Realty, ont conclu une convention d’inscription en vue de la vente d’une propriété appartenant à Elcarim. La convention stipulait qu’Elcarim acceptait de verser à Ariston une commission pour toute vente conclue dans les six mois suivant l’expiration de la convention avec toute partie à qui Ariston ou des courtiers collaborant avec cette dernière auraient présenté la propriété, à condition qu’Ariston indique par écrit à Elcarim le nom de ces parties avant l’expiration de la convention. Pendant la validité de la convention, Ariston a présenté la propriété à Context Development Inc., qui a fini par l’acquérir, mais Ariston n’a jamais avisé Elcarim par écrit. Trois mois et demi après l’expiration de la convention d’inscription, Context a conclu avec Elcarim une entente de vente et d’achat visant la propriété. Après la conclusion de la vente, Ariston a présenté à Elcarim une facture lui réclamant le versement de sa commission sur la vente. Elcarim n’a pas payé la facture, et Ariston a intenté une action pour en obtenir le paiement.</w:t>
            </w:r>
          </w:p>
          <w:p w:rsidR="007F2DB8" w:rsidRPr="007F2DB8" w:rsidRDefault="007F2DB8" w:rsidP="007F2DB8">
            <w:pPr>
              <w:jc w:val="both"/>
              <w:rPr>
                <w:sz w:val="20"/>
                <w:lang w:val="fr-CA"/>
              </w:rPr>
            </w:pPr>
          </w:p>
          <w:p w:rsidR="007F2DB8" w:rsidRPr="007F2DB8" w:rsidRDefault="007F2DB8" w:rsidP="007F2DB8">
            <w:pPr>
              <w:jc w:val="both"/>
              <w:rPr>
                <w:sz w:val="20"/>
                <w:lang w:val="fr-CA"/>
              </w:rPr>
            </w:pPr>
            <w:r w:rsidRPr="007F2DB8">
              <w:rPr>
                <w:sz w:val="20"/>
                <w:lang w:val="fr-CA"/>
              </w:rPr>
              <w:t>La Cour supérieure de justice de l’Ontario a accueilli l’action intentée par Ariston Realty, lui a accordé 120 375 $ en commission non payée et a rejeté la demande reconventionnelle des intimées. La Cour d’appel de l’Ontario a accueilli l’appel interjeté par les intimées et a accueilli en partie l’appel incident interjeté par la demanderesse, accordant aux intimées des dépens de 20 000 $ et de 130 000 $ respectivement pour l’appel et le procès.</w:t>
            </w:r>
          </w:p>
          <w:p w:rsidR="007F2DB8" w:rsidRPr="007F2DB8" w:rsidRDefault="007F2DB8" w:rsidP="007F2DB8">
            <w:pPr>
              <w:jc w:val="both"/>
              <w:rPr>
                <w:sz w:val="20"/>
                <w:lang w:val="fr-CA"/>
              </w:rPr>
            </w:pPr>
          </w:p>
        </w:tc>
      </w:tr>
      <w:tr w:rsidR="007F2DB8" w:rsidRPr="00F9562A" w:rsidTr="0026164C">
        <w:tc>
          <w:tcPr>
            <w:tcW w:w="2426" w:type="pct"/>
            <w:gridSpan w:val="2"/>
          </w:tcPr>
          <w:p w:rsidR="007F2DB8" w:rsidRPr="007F2DB8" w:rsidRDefault="007F2DB8" w:rsidP="007F2DB8">
            <w:pPr>
              <w:jc w:val="both"/>
              <w:rPr>
                <w:sz w:val="20"/>
                <w:lang w:val="fr-CA"/>
              </w:rPr>
            </w:pPr>
            <w:r w:rsidRPr="007F2DB8">
              <w:rPr>
                <w:sz w:val="20"/>
                <w:lang w:val="fr-CA"/>
              </w:rPr>
              <w:t>11 avril 2013</w:t>
            </w:r>
          </w:p>
          <w:p w:rsidR="007F2DB8" w:rsidRPr="007F2DB8" w:rsidRDefault="007F2DB8" w:rsidP="007F2DB8">
            <w:pPr>
              <w:jc w:val="both"/>
              <w:rPr>
                <w:sz w:val="20"/>
                <w:lang w:val="fr-CA"/>
              </w:rPr>
            </w:pPr>
            <w:r w:rsidRPr="007F2DB8">
              <w:rPr>
                <w:sz w:val="20"/>
                <w:lang w:val="fr-CA"/>
              </w:rPr>
              <w:t>Cour supérieure de justice de l’Ontario</w:t>
            </w:r>
          </w:p>
          <w:p w:rsidR="007F2DB8" w:rsidRPr="007F2DB8" w:rsidRDefault="007F2DB8" w:rsidP="007F2DB8">
            <w:pPr>
              <w:jc w:val="both"/>
              <w:rPr>
                <w:sz w:val="20"/>
                <w:lang w:val="fr-CA"/>
              </w:rPr>
            </w:pPr>
            <w:r w:rsidRPr="007F2DB8">
              <w:rPr>
                <w:sz w:val="20"/>
                <w:lang w:val="fr-CA"/>
              </w:rPr>
              <w:t>(Juge Wilson)</w:t>
            </w:r>
          </w:p>
          <w:p w:rsidR="007F2DB8" w:rsidRPr="007F2DB8" w:rsidRDefault="007F2DB8" w:rsidP="007F2DB8">
            <w:pPr>
              <w:jc w:val="both"/>
              <w:rPr>
                <w:sz w:val="20"/>
                <w:lang w:val="fr-CA"/>
              </w:rPr>
            </w:pPr>
            <w:r w:rsidRPr="007F2DB8">
              <w:rPr>
                <w:sz w:val="20"/>
                <w:lang w:val="fr-CA"/>
              </w:rPr>
              <w:t xml:space="preserve">Référence neutre : </w:t>
            </w:r>
            <w:hyperlink r:id="rId75" w:history="1">
              <w:r w:rsidRPr="007F2DB8">
                <w:rPr>
                  <w:rStyle w:val="Hyperlink"/>
                  <w:sz w:val="20"/>
                  <w:lang w:val="fr-CA"/>
                </w:rPr>
                <w:t>2013 ONSC 1995</w:t>
              </w:r>
            </w:hyperlink>
          </w:p>
          <w:p w:rsidR="007F2DB8" w:rsidRPr="007F2DB8" w:rsidRDefault="007F2DB8" w:rsidP="007F2DB8">
            <w:pPr>
              <w:jc w:val="both"/>
              <w:rPr>
                <w:sz w:val="20"/>
                <w:lang w:val="fr-CA"/>
              </w:rPr>
            </w:pPr>
          </w:p>
        </w:tc>
        <w:tc>
          <w:tcPr>
            <w:tcW w:w="243" w:type="pct"/>
          </w:tcPr>
          <w:p w:rsidR="007F2DB8" w:rsidRPr="007F2DB8" w:rsidRDefault="007F2DB8" w:rsidP="007F2DB8">
            <w:pPr>
              <w:jc w:val="both"/>
              <w:rPr>
                <w:sz w:val="20"/>
                <w:lang w:val="fr-CA"/>
              </w:rPr>
            </w:pPr>
          </w:p>
        </w:tc>
        <w:tc>
          <w:tcPr>
            <w:tcW w:w="2331" w:type="pct"/>
          </w:tcPr>
          <w:p w:rsidR="007F2DB8" w:rsidRPr="007F2DB8" w:rsidRDefault="007F2DB8" w:rsidP="007F2DB8">
            <w:pPr>
              <w:jc w:val="both"/>
              <w:rPr>
                <w:sz w:val="20"/>
                <w:lang w:val="fr-CA"/>
              </w:rPr>
            </w:pPr>
            <w:r w:rsidRPr="007F2DB8">
              <w:rPr>
                <w:sz w:val="20"/>
                <w:lang w:val="fr-CA"/>
              </w:rPr>
              <w:t>Action en dommages-intérêts intentée par la demanderesse accueillie; rejet de la demande reconventionnelle des intimées.</w:t>
            </w:r>
          </w:p>
          <w:p w:rsidR="007F2DB8" w:rsidRPr="007F2DB8" w:rsidRDefault="007F2DB8" w:rsidP="007F2DB8">
            <w:pPr>
              <w:jc w:val="both"/>
              <w:rPr>
                <w:sz w:val="20"/>
                <w:lang w:val="fr-CA"/>
              </w:rPr>
            </w:pPr>
          </w:p>
        </w:tc>
      </w:tr>
      <w:tr w:rsidR="007F2DB8" w:rsidRPr="00F9562A" w:rsidTr="0026164C">
        <w:tc>
          <w:tcPr>
            <w:tcW w:w="2426" w:type="pct"/>
            <w:gridSpan w:val="2"/>
          </w:tcPr>
          <w:p w:rsidR="007F2DB8" w:rsidRPr="007F2DB8" w:rsidRDefault="007F2DB8" w:rsidP="007F2DB8">
            <w:pPr>
              <w:jc w:val="both"/>
              <w:rPr>
                <w:sz w:val="20"/>
                <w:lang w:val="fr-CA"/>
              </w:rPr>
            </w:pPr>
            <w:r w:rsidRPr="007F2DB8">
              <w:rPr>
                <w:sz w:val="20"/>
                <w:lang w:val="fr-CA"/>
              </w:rPr>
              <w:t>27 octobre 2013</w:t>
            </w:r>
          </w:p>
          <w:p w:rsidR="007F2DB8" w:rsidRPr="007F2DB8" w:rsidRDefault="007F2DB8" w:rsidP="007F2DB8">
            <w:pPr>
              <w:jc w:val="both"/>
              <w:rPr>
                <w:sz w:val="20"/>
                <w:lang w:val="fr-CA"/>
              </w:rPr>
            </w:pPr>
            <w:r w:rsidRPr="007F2DB8">
              <w:rPr>
                <w:sz w:val="20"/>
                <w:lang w:val="fr-CA"/>
              </w:rPr>
              <w:t>Cour d’appel de l’Ontario</w:t>
            </w:r>
          </w:p>
          <w:p w:rsidR="007F2DB8" w:rsidRPr="007F2DB8" w:rsidRDefault="007F2DB8" w:rsidP="007F2DB8">
            <w:pPr>
              <w:jc w:val="both"/>
              <w:rPr>
                <w:sz w:val="20"/>
                <w:lang w:val="fr-CA"/>
              </w:rPr>
            </w:pPr>
            <w:r w:rsidRPr="007F2DB8">
              <w:rPr>
                <w:sz w:val="20"/>
                <w:lang w:val="fr-CA"/>
              </w:rPr>
              <w:t>(Juges Juriansz, LaForme et Lauwers)</w:t>
            </w:r>
          </w:p>
          <w:p w:rsidR="007F2DB8" w:rsidRPr="007F2DB8" w:rsidRDefault="007F2DB8" w:rsidP="007F2DB8">
            <w:pPr>
              <w:jc w:val="both"/>
              <w:rPr>
                <w:sz w:val="20"/>
                <w:lang w:val="fr-CA"/>
              </w:rPr>
            </w:pPr>
            <w:r w:rsidRPr="007F2DB8">
              <w:rPr>
                <w:sz w:val="20"/>
                <w:lang w:val="fr-CA"/>
              </w:rPr>
              <w:t xml:space="preserve">Référence neutre : </w:t>
            </w:r>
            <w:hyperlink r:id="rId76" w:history="1">
              <w:r w:rsidRPr="007F2DB8">
                <w:rPr>
                  <w:rStyle w:val="Hyperlink"/>
                  <w:sz w:val="20"/>
                  <w:lang w:val="fr-CA"/>
                </w:rPr>
                <w:t>2014 ONCA 737</w:t>
              </w:r>
            </w:hyperlink>
          </w:p>
          <w:p w:rsidR="007F2DB8" w:rsidRPr="007F2DB8" w:rsidRDefault="007F2DB8" w:rsidP="007F2DB8">
            <w:pPr>
              <w:jc w:val="both"/>
              <w:rPr>
                <w:sz w:val="20"/>
                <w:lang w:val="fr-CA"/>
              </w:rPr>
            </w:pPr>
          </w:p>
        </w:tc>
        <w:tc>
          <w:tcPr>
            <w:tcW w:w="243" w:type="pct"/>
          </w:tcPr>
          <w:p w:rsidR="007F2DB8" w:rsidRPr="007F2DB8" w:rsidRDefault="007F2DB8" w:rsidP="007F2DB8">
            <w:pPr>
              <w:jc w:val="both"/>
              <w:rPr>
                <w:sz w:val="20"/>
                <w:lang w:val="fr-CA"/>
              </w:rPr>
            </w:pPr>
          </w:p>
        </w:tc>
        <w:tc>
          <w:tcPr>
            <w:tcW w:w="2331" w:type="pct"/>
          </w:tcPr>
          <w:p w:rsidR="007F2DB8" w:rsidRPr="007F2DB8" w:rsidRDefault="007F2DB8" w:rsidP="007F2DB8">
            <w:pPr>
              <w:jc w:val="both"/>
              <w:rPr>
                <w:sz w:val="20"/>
                <w:lang w:val="fr-CA"/>
              </w:rPr>
            </w:pPr>
            <w:r w:rsidRPr="007F2DB8">
              <w:rPr>
                <w:sz w:val="20"/>
                <w:lang w:val="fr-CA"/>
              </w:rPr>
              <w:t>Appel interjeté par les intimées accueilli; annulation du jugement de première instance; appel incident interjeté par la demanderesse accueilli en partie.</w:t>
            </w:r>
          </w:p>
        </w:tc>
      </w:tr>
      <w:tr w:rsidR="007F2DB8" w:rsidRPr="00F9562A" w:rsidTr="0026164C">
        <w:tc>
          <w:tcPr>
            <w:tcW w:w="2426" w:type="pct"/>
            <w:gridSpan w:val="2"/>
          </w:tcPr>
          <w:p w:rsidR="007F2DB8" w:rsidRPr="007F2DB8" w:rsidRDefault="007F2DB8" w:rsidP="007F2DB8">
            <w:pPr>
              <w:jc w:val="both"/>
              <w:rPr>
                <w:sz w:val="20"/>
                <w:lang w:val="fr-CA"/>
              </w:rPr>
            </w:pPr>
            <w:r w:rsidRPr="007F2DB8">
              <w:rPr>
                <w:sz w:val="20"/>
                <w:lang w:val="fr-CA"/>
              </w:rPr>
              <w:t>30 décembre 2014</w:t>
            </w:r>
          </w:p>
          <w:p w:rsidR="007F2DB8" w:rsidRPr="007F2DB8" w:rsidRDefault="007F2DB8" w:rsidP="007F2DB8">
            <w:pPr>
              <w:jc w:val="both"/>
              <w:rPr>
                <w:sz w:val="20"/>
                <w:lang w:val="fr-CA"/>
              </w:rPr>
            </w:pPr>
            <w:r w:rsidRPr="007F2DB8">
              <w:rPr>
                <w:sz w:val="20"/>
                <w:lang w:val="fr-CA"/>
              </w:rPr>
              <w:t>Cour d’appel de l’Ontario</w:t>
            </w:r>
          </w:p>
          <w:p w:rsidR="007F2DB8" w:rsidRPr="007F2DB8" w:rsidRDefault="007F2DB8" w:rsidP="007F2DB8">
            <w:pPr>
              <w:jc w:val="both"/>
              <w:rPr>
                <w:sz w:val="20"/>
                <w:lang w:val="fr-CA"/>
              </w:rPr>
            </w:pPr>
            <w:r w:rsidRPr="007F2DB8">
              <w:rPr>
                <w:sz w:val="20"/>
                <w:lang w:val="fr-CA"/>
              </w:rPr>
              <w:t>(Juges Juriansz, LaForme et Lauwers)</w:t>
            </w:r>
          </w:p>
          <w:p w:rsidR="007F2DB8" w:rsidRPr="007F2DB8" w:rsidRDefault="007F2DB8" w:rsidP="007F2DB8">
            <w:pPr>
              <w:jc w:val="both"/>
              <w:rPr>
                <w:sz w:val="20"/>
                <w:lang w:val="fr-CA"/>
              </w:rPr>
            </w:pPr>
            <w:r w:rsidRPr="007F2DB8">
              <w:rPr>
                <w:sz w:val="20"/>
                <w:lang w:val="fr-CA"/>
              </w:rPr>
              <w:t xml:space="preserve">Référence neutre : </w:t>
            </w:r>
            <w:hyperlink r:id="rId77" w:history="1">
              <w:r w:rsidRPr="007F2DB8">
                <w:rPr>
                  <w:rStyle w:val="Hyperlink"/>
                  <w:sz w:val="20"/>
                  <w:lang w:val="fr-CA"/>
                </w:rPr>
                <w:t>2014 ONCA 925</w:t>
              </w:r>
            </w:hyperlink>
          </w:p>
          <w:p w:rsidR="007F2DB8" w:rsidRPr="007F2DB8" w:rsidRDefault="007F2DB8" w:rsidP="007F2DB8">
            <w:pPr>
              <w:jc w:val="both"/>
              <w:rPr>
                <w:sz w:val="20"/>
                <w:lang w:val="fr-CA"/>
              </w:rPr>
            </w:pPr>
          </w:p>
        </w:tc>
        <w:tc>
          <w:tcPr>
            <w:tcW w:w="243" w:type="pct"/>
          </w:tcPr>
          <w:p w:rsidR="007F2DB8" w:rsidRPr="007F2DB8" w:rsidRDefault="007F2DB8" w:rsidP="007F2DB8">
            <w:pPr>
              <w:jc w:val="both"/>
              <w:rPr>
                <w:sz w:val="20"/>
                <w:lang w:val="fr-CA"/>
              </w:rPr>
            </w:pPr>
          </w:p>
        </w:tc>
        <w:tc>
          <w:tcPr>
            <w:tcW w:w="2331" w:type="pct"/>
          </w:tcPr>
          <w:p w:rsidR="007F2DB8" w:rsidRPr="007F2DB8" w:rsidRDefault="007F2DB8" w:rsidP="007F2DB8">
            <w:pPr>
              <w:jc w:val="both"/>
              <w:rPr>
                <w:sz w:val="20"/>
                <w:lang w:val="fr-CA"/>
              </w:rPr>
            </w:pPr>
            <w:r w:rsidRPr="007F2DB8">
              <w:rPr>
                <w:sz w:val="20"/>
                <w:lang w:val="fr-CA"/>
              </w:rPr>
              <w:t>Dépens accordés aux intimées, d’un montant de 20 000 $ pour l’appel et de 130 000 $ pour l’action en première instance.</w:t>
            </w:r>
          </w:p>
          <w:p w:rsidR="007F2DB8" w:rsidRPr="007F2DB8" w:rsidRDefault="007F2DB8" w:rsidP="007F2DB8">
            <w:pPr>
              <w:jc w:val="both"/>
              <w:rPr>
                <w:sz w:val="20"/>
                <w:lang w:val="fr-CA"/>
              </w:rPr>
            </w:pPr>
          </w:p>
        </w:tc>
      </w:tr>
      <w:tr w:rsidR="007F2DB8" w:rsidRPr="00F9562A" w:rsidTr="0026164C">
        <w:tc>
          <w:tcPr>
            <w:tcW w:w="2426" w:type="pct"/>
            <w:gridSpan w:val="2"/>
          </w:tcPr>
          <w:p w:rsidR="007F2DB8" w:rsidRPr="007F2DB8" w:rsidRDefault="007F2DB8" w:rsidP="007F2DB8">
            <w:pPr>
              <w:jc w:val="both"/>
              <w:rPr>
                <w:sz w:val="20"/>
                <w:lang w:val="fr-CA"/>
              </w:rPr>
            </w:pPr>
            <w:r w:rsidRPr="007F2DB8">
              <w:rPr>
                <w:sz w:val="20"/>
                <w:lang w:val="fr-CA"/>
              </w:rPr>
              <w:lastRenderedPageBreak/>
              <w:t>27 février 2015</w:t>
            </w:r>
          </w:p>
          <w:p w:rsidR="007F2DB8" w:rsidRPr="007F2DB8" w:rsidRDefault="007F2DB8" w:rsidP="007F2DB8">
            <w:pPr>
              <w:jc w:val="both"/>
              <w:rPr>
                <w:sz w:val="20"/>
                <w:lang w:val="fr-CA"/>
              </w:rPr>
            </w:pPr>
            <w:r w:rsidRPr="007F2DB8">
              <w:rPr>
                <w:sz w:val="20"/>
                <w:lang w:val="fr-CA"/>
              </w:rPr>
              <w:t>Cour suprême du Canada</w:t>
            </w:r>
          </w:p>
          <w:p w:rsidR="007F2DB8" w:rsidRPr="007F2DB8" w:rsidRDefault="007F2DB8" w:rsidP="007F2DB8">
            <w:pPr>
              <w:jc w:val="both"/>
              <w:rPr>
                <w:sz w:val="20"/>
                <w:lang w:val="fr-CA"/>
              </w:rPr>
            </w:pPr>
          </w:p>
        </w:tc>
        <w:tc>
          <w:tcPr>
            <w:tcW w:w="243" w:type="pct"/>
          </w:tcPr>
          <w:p w:rsidR="007F2DB8" w:rsidRPr="007F2DB8" w:rsidRDefault="007F2DB8" w:rsidP="007F2DB8">
            <w:pPr>
              <w:jc w:val="both"/>
              <w:rPr>
                <w:sz w:val="20"/>
                <w:lang w:val="fr-CA"/>
              </w:rPr>
            </w:pPr>
          </w:p>
        </w:tc>
        <w:tc>
          <w:tcPr>
            <w:tcW w:w="2331" w:type="pct"/>
          </w:tcPr>
          <w:p w:rsidR="007F2DB8" w:rsidRPr="007F2DB8" w:rsidRDefault="007F2DB8" w:rsidP="007F2DB8">
            <w:pPr>
              <w:jc w:val="both"/>
              <w:rPr>
                <w:sz w:val="20"/>
                <w:lang w:val="fr-CA"/>
              </w:rPr>
            </w:pPr>
            <w:r w:rsidRPr="007F2DB8">
              <w:rPr>
                <w:sz w:val="20"/>
                <w:lang w:val="fr-CA"/>
              </w:rPr>
              <w:t>Dépôt de la demande d’autorisation d’appel.</w:t>
            </w:r>
          </w:p>
        </w:tc>
      </w:tr>
      <w:tr w:rsidR="007F2DB8" w:rsidRPr="00F9562A" w:rsidTr="0026164C">
        <w:tc>
          <w:tcPr>
            <w:tcW w:w="2426" w:type="pct"/>
            <w:gridSpan w:val="2"/>
          </w:tcPr>
          <w:p w:rsidR="007F2DB8" w:rsidRPr="007F2DB8" w:rsidRDefault="007F2DB8" w:rsidP="007F2DB8">
            <w:pPr>
              <w:jc w:val="both"/>
              <w:rPr>
                <w:sz w:val="20"/>
                <w:lang w:val="fr-CA"/>
              </w:rPr>
            </w:pPr>
            <w:r w:rsidRPr="007F2DB8">
              <w:rPr>
                <w:sz w:val="20"/>
                <w:lang w:val="fr-CA"/>
              </w:rPr>
              <w:t>7 avril 2015</w:t>
            </w:r>
          </w:p>
          <w:p w:rsidR="007F2DB8" w:rsidRPr="007F2DB8" w:rsidRDefault="007F2DB8" w:rsidP="007F2DB8">
            <w:pPr>
              <w:jc w:val="both"/>
              <w:rPr>
                <w:sz w:val="20"/>
                <w:lang w:val="fr-CA"/>
              </w:rPr>
            </w:pPr>
            <w:r w:rsidRPr="007F2DB8">
              <w:rPr>
                <w:sz w:val="20"/>
                <w:lang w:val="fr-CA"/>
              </w:rPr>
              <w:t>Cour suprême du Canada</w:t>
            </w:r>
          </w:p>
        </w:tc>
        <w:tc>
          <w:tcPr>
            <w:tcW w:w="243" w:type="pct"/>
          </w:tcPr>
          <w:p w:rsidR="007F2DB8" w:rsidRPr="007F2DB8" w:rsidRDefault="007F2DB8" w:rsidP="007F2DB8">
            <w:pPr>
              <w:jc w:val="both"/>
              <w:rPr>
                <w:sz w:val="20"/>
                <w:lang w:val="fr-CA"/>
              </w:rPr>
            </w:pPr>
          </w:p>
        </w:tc>
        <w:tc>
          <w:tcPr>
            <w:tcW w:w="2331" w:type="pct"/>
          </w:tcPr>
          <w:p w:rsidR="007F2DB8" w:rsidRPr="007F2DB8" w:rsidRDefault="007F2DB8" w:rsidP="007F2DB8">
            <w:pPr>
              <w:jc w:val="both"/>
              <w:rPr>
                <w:sz w:val="20"/>
                <w:lang w:val="fr-CA"/>
              </w:rPr>
            </w:pPr>
            <w:r w:rsidRPr="007F2DB8">
              <w:rPr>
                <w:sz w:val="20"/>
                <w:lang w:val="fr-CA"/>
              </w:rPr>
              <w:t>Dépôt d’une requête en prorogation du délai pour signifier et déposer la demande d’autorisation.</w:t>
            </w:r>
          </w:p>
        </w:tc>
      </w:tr>
    </w:tbl>
    <w:p w:rsidR="007F2DB8" w:rsidRPr="007F2DB8" w:rsidRDefault="007F2DB8" w:rsidP="009550BB">
      <w:pPr>
        <w:ind w:left="360" w:hanging="360"/>
        <w:jc w:val="both"/>
        <w:rPr>
          <w:sz w:val="20"/>
          <w:lang w:val="fr-CA"/>
        </w:rPr>
      </w:pPr>
    </w:p>
    <w:p w:rsidR="007F2DB8" w:rsidRPr="007F2DB8" w:rsidRDefault="007F2DB8" w:rsidP="009550BB">
      <w:pPr>
        <w:ind w:left="360" w:hanging="360"/>
        <w:jc w:val="both"/>
        <w:rPr>
          <w:sz w:val="20"/>
          <w:lang w:val="fr-CA"/>
        </w:rPr>
      </w:pPr>
    </w:p>
    <w:p w:rsidR="007F2DB8" w:rsidRPr="007F2DB8" w:rsidRDefault="007F2DB8" w:rsidP="009550BB">
      <w:pPr>
        <w:ind w:left="360" w:hanging="360"/>
        <w:jc w:val="both"/>
        <w:rPr>
          <w:sz w:val="20"/>
          <w:lang w:val="fr-CA"/>
        </w:rPr>
      </w:pPr>
    </w:p>
    <w:p w:rsidR="00D3344A" w:rsidRPr="004B4D42" w:rsidRDefault="00D3344A" w:rsidP="00D3344A">
      <w:pPr>
        <w:widowControl w:val="0"/>
        <w:outlineLvl w:val="0"/>
      </w:pPr>
      <w:r w:rsidRPr="00E7483A">
        <w:t>Supreme</w:t>
      </w:r>
      <w:r w:rsidRPr="004B4D42">
        <w:t xml:space="preserve"> Court of Canada / Cour suprême du Canada : </w:t>
      </w:r>
    </w:p>
    <w:p w:rsidR="00D3344A" w:rsidRPr="004B4D42" w:rsidRDefault="00A96461" w:rsidP="00D3344A">
      <w:pPr>
        <w:widowControl w:val="0"/>
        <w:outlineLvl w:val="0"/>
        <w:rPr>
          <w:u w:val="single"/>
        </w:rPr>
      </w:pPr>
      <w:hyperlink r:id="rId78" w:history="1">
        <w:r w:rsidR="00D3344A" w:rsidRPr="004B4D42">
          <w:rPr>
            <w:rStyle w:val="Hyperlink"/>
          </w:rPr>
          <w:t>comments-commentaires@scc-csc.ca</w:t>
        </w:r>
      </w:hyperlink>
    </w:p>
    <w:p w:rsidR="00D3344A" w:rsidRPr="004B4D42" w:rsidRDefault="0065588C" w:rsidP="00D3344A">
      <w:pPr>
        <w:widowControl w:val="0"/>
        <w:outlineLvl w:val="0"/>
      </w:pPr>
      <w:r w:rsidRPr="004B4D42">
        <w:t>613-</w:t>
      </w:r>
      <w:r w:rsidR="00D3344A" w:rsidRPr="004B4D42">
        <w:t>995-4330</w:t>
      </w:r>
    </w:p>
    <w:p w:rsidR="00497B5E" w:rsidRPr="004B4D42" w:rsidRDefault="00497B5E" w:rsidP="00497B5E">
      <w:pPr>
        <w:widowControl w:val="0"/>
        <w:rPr>
          <w:sz w:val="20"/>
        </w:rPr>
      </w:pPr>
    </w:p>
    <w:p w:rsidR="00F6251B" w:rsidRPr="004B4D42" w:rsidRDefault="003F43E6" w:rsidP="00F6251B">
      <w:pPr>
        <w:pStyle w:val="Footer"/>
        <w:jc w:val="center"/>
      </w:pPr>
      <w:r w:rsidRPr="004B4D42">
        <w:t>- 30 -</w:t>
      </w:r>
    </w:p>
    <w:p w:rsidR="00F6251B" w:rsidRPr="004B4D42" w:rsidRDefault="00F6251B" w:rsidP="005C1453">
      <w:pPr>
        <w:pStyle w:val="Footer"/>
        <w:ind w:left="2160"/>
        <w:rPr>
          <w:sz w:val="20"/>
          <w:lang w:val="fr-CA"/>
        </w:rPr>
      </w:pPr>
      <w:r w:rsidRPr="004B4D42">
        <w:rPr>
          <w:color w:val="A6A6A6"/>
          <w:sz w:val="16"/>
          <w:szCs w:val="16"/>
          <w:lang w:val="fr-CA"/>
        </w:rPr>
        <w:t xml:space="preserve"> </w:t>
      </w:r>
    </w:p>
    <w:sectPr w:rsidR="00F6251B" w:rsidRPr="004B4D42" w:rsidSect="00524822">
      <w:headerReference w:type="even" r:id="rId79"/>
      <w:headerReference w:type="default" r:id="rId80"/>
      <w:footerReference w:type="even" r:id="rId81"/>
      <w:footerReference w:type="default" r:id="rId82"/>
      <w:headerReference w:type="first" r:id="rId83"/>
      <w:footerReference w:type="first" r:id="rId84"/>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DB8" w:rsidRDefault="007F2DB8" w:rsidP="0034178A">
      <w:r>
        <w:separator/>
      </w:r>
    </w:p>
  </w:endnote>
  <w:endnote w:type="continuationSeparator" w:id="0">
    <w:p w:rsidR="007F2DB8" w:rsidRDefault="007F2DB8"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BB" w:rsidRDefault="008C5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DB8" w:rsidRPr="00EF33BF" w:rsidRDefault="007F2DB8" w:rsidP="00EF3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BB" w:rsidRDefault="008C5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DB8" w:rsidRDefault="007F2DB8" w:rsidP="0034178A">
      <w:r>
        <w:separator/>
      </w:r>
    </w:p>
  </w:footnote>
  <w:footnote w:type="continuationSeparator" w:id="0">
    <w:p w:rsidR="007F2DB8" w:rsidRDefault="007F2DB8"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BB" w:rsidRDefault="008C51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BB" w:rsidRDefault="008C51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BB" w:rsidRDefault="008C5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153"/>
    <w:multiLevelType w:val="hybridMultilevel"/>
    <w:tmpl w:val="49EA03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3D1251"/>
    <w:multiLevelType w:val="hybridMultilevel"/>
    <w:tmpl w:val="E946D5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642EA3"/>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1FF0A29"/>
    <w:multiLevelType w:val="hybridMultilevel"/>
    <w:tmpl w:val="688C2E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AB4D74"/>
    <w:multiLevelType w:val="hybridMultilevel"/>
    <w:tmpl w:val="59EA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1329C"/>
    <w:multiLevelType w:val="hybridMultilevel"/>
    <w:tmpl w:val="8F6ED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24C9D"/>
    <w:multiLevelType w:val="hybridMultilevel"/>
    <w:tmpl w:val="1B945A04"/>
    <w:lvl w:ilvl="0" w:tplc="CAC80DA6">
      <w:start w:val="5"/>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4841DA"/>
    <w:multiLevelType w:val="hybridMultilevel"/>
    <w:tmpl w:val="02A82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416E41"/>
    <w:multiLevelType w:val="hybridMultilevel"/>
    <w:tmpl w:val="C81C71C8"/>
    <w:lvl w:ilvl="0" w:tplc="6F0A33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84F6E"/>
    <w:multiLevelType w:val="hybridMultilevel"/>
    <w:tmpl w:val="01EC0B2C"/>
    <w:lvl w:ilvl="0" w:tplc="D2DE26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E4B0B"/>
    <w:multiLevelType w:val="hybridMultilevel"/>
    <w:tmpl w:val="CF36FE66"/>
    <w:lvl w:ilvl="0" w:tplc="21841D76">
      <w:start w:val="3"/>
      <w:numFmt w:val="decimal"/>
      <w:lvlText w:val="%1."/>
      <w:lvlJc w:val="left"/>
      <w:pPr>
        <w:ind w:left="720" w:hanging="360"/>
      </w:pPr>
      <w:rPr>
        <w:b w:val="0"/>
        <w:i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338376DD"/>
    <w:multiLevelType w:val="hybridMultilevel"/>
    <w:tmpl w:val="0C7A1D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39DF6904"/>
    <w:multiLevelType w:val="hybridMultilevel"/>
    <w:tmpl w:val="0208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85F55"/>
    <w:multiLevelType w:val="hybridMultilevel"/>
    <w:tmpl w:val="D0027D34"/>
    <w:lvl w:ilvl="0" w:tplc="60922BE8">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E5F0E31"/>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3F5B3A30"/>
    <w:multiLevelType w:val="hybridMultilevel"/>
    <w:tmpl w:val="03EC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95DCA"/>
    <w:multiLevelType w:val="hybridMultilevel"/>
    <w:tmpl w:val="ACA85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43DD3"/>
    <w:multiLevelType w:val="hybridMultilevel"/>
    <w:tmpl w:val="A1943E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D63299"/>
    <w:multiLevelType w:val="hybridMultilevel"/>
    <w:tmpl w:val="8E9455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98D24D5"/>
    <w:multiLevelType w:val="hybridMultilevel"/>
    <w:tmpl w:val="44A6E290"/>
    <w:lvl w:ilvl="0" w:tplc="549AE956">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E017142"/>
    <w:multiLevelType w:val="hybridMultilevel"/>
    <w:tmpl w:val="7E2CF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B12864"/>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7B6F3781"/>
    <w:multiLevelType w:val="hybridMultilevel"/>
    <w:tmpl w:val="4170F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202BB"/>
    <w:multiLevelType w:val="hybridMultilevel"/>
    <w:tmpl w:val="739235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6"/>
  </w:num>
  <w:num w:numId="2">
    <w:abstractNumId w:val="5"/>
  </w:num>
  <w:num w:numId="3">
    <w:abstractNumId w:val="0"/>
  </w:num>
  <w:num w:numId="4">
    <w:abstractNumId w:val="20"/>
  </w:num>
  <w:num w:numId="5">
    <w:abstractNumId w:val="1"/>
  </w:num>
  <w:num w:numId="6">
    <w:abstractNumId w:val="3"/>
  </w:num>
  <w:num w:numId="7">
    <w:abstractNumId w:val="4"/>
  </w:num>
  <w:num w:numId="8">
    <w:abstractNumId w:val="23"/>
  </w:num>
  <w:num w:numId="9">
    <w:abstractNumId w:val="21"/>
  </w:num>
  <w:num w:numId="10">
    <w:abstractNumId w:val="15"/>
  </w:num>
  <w:num w:numId="11">
    <w:abstractNumId w:val="19"/>
  </w:num>
  <w:num w:numId="12">
    <w:abstractNumId w:val="13"/>
  </w:num>
  <w:num w:numId="13">
    <w:abstractNumId w:val="6"/>
  </w:num>
  <w:num w:numId="14">
    <w:abstractNumId w:val="9"/>
  </w:num>
  <w:num w:numId="1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defaultTabStop w:val="720"/>
  <w:drawingGridHorizontalSpacing w:val="120"/>
  <w:displayHorizontalDrawingGridEvery w:val="2"/>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128A2"/>
    <w:rsid w:val="000136CC"/>
    <w:rsid w:val="0001374A"/>
    <w:rsid w:val="00014C19"/>
    <w:rsid w:val="000164DB"/>
    <w:rsid w:val="00016D65"/>
    <w:rsid w:val="00016D95"/>
    <w:rsid w:val="0001736B"/>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1283"/>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D13"/>
    <w:rsid w:val="00086629"/>
    <w:rsid w:val="00087808"/>
    <w:rsid w:val="00093693"/>
    <w:rsid w:val="00095627"/>
    <w:rsid w:val="000A0444"/>
    <w:rsid w:val="000A152E"/>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C1C"/>
    <w:rsid w:val="00100CEE"/>
    <w:rsid w:val="001017D1"/>
    <w:rsid w:val="00101E4B"/>
    <w:rsid w:val="00102F8F"/>
    <w:rsid w:val="001033B2"/>
    <w:rsid w:val="001043C6"/>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3976"/>
    <w:rsid w:val="00124DEC"/>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790"/>
    <w:rsid w:val="00176D8B"/>
    <w:rsid w:val="00181375"/>
    <w:rsid w:val="001813C3"/>
    <w:rsid w:val="001819DA"/>
    <w:rsid w:val="00182705"/>
    <w:rsid w:val="001838E0"/>
    <w:rsid w:val="00183A15"/>
    <w:rsid w:val="00185355"/>
    <w:rsid w:val="001866BF"/>
    <w:rsid w:val="00186884"/>
    <w:rsid w:val="0019000C"/>
    <w:rsid w:val="0019030D"/>
    <w:rsid w:val="0019092C"/>
    <w:rsid w:val="00190C7A"/>
    <w:rsid w:val="00190F7F"/>
    <w:rsid w:val="001947C1"/>
    <w:rsid w:val="00194F2A"/>
    <w:rsid w:val="0019508F"/>
    <w:rsid w:val="001A06DE"/>
    <w:rsid w:val="001A08FF"/>
    <w:rsid w:val="001A1AE7"/>
    <w:rsid w:val="001A2314"/>
    <w:rsid w:val="001A3100"/>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F27B1"/>
    <w:rsid w:val="001F2F00"/>
    <w:rsid w:val="001F5B11"/>
    <w:rsid w:val="00200F31"/>
    <w:rsid w:val="0020221F"/>
    <w:rsid w:val="00203AEA"/>
    <w:rsid w:val="00205051"/>
    <w:rsid w:val="0020794A"/>
    <w:rsid w:val="00207A23"/>
    <w:rsid w:val="00207C7F"/>
    <w:rsid w:val="00210B48"/>
    <w:rsid w:val="0021175A"/>
    <w:rsid w:val="002120BD"/>
    <w:rsid w:val="00212962"/>
    <w:rsid w:val="00217135"/>
    <w:rsid w:val="00217D25"/>
    <w:rsid w:val="0022132D"/>
    <w:rsid w:val="00221D16"/>
    <w:rsid w:val="00222CAE"/>
    <w:rsid w:val="00223622"/>
    <w:rsid w:val="00223B83"/>
    <w:rsid w:val="00225A53"/>
    <w:rsid w:val="002262C4"/>
    <w:rsid w:val="002264F4"/>
    <w:rsid w:val="00227A81"/>
    <w:rsid w:val="00231427"/>
    <w:rsid w:val="00231B27"/>
    <w:rsid w:val="00232934"/>
    <w:rsid w:val="00233057"/>
    <w:rsid w:val="00234A3D"/>
    <w:rsid w:val="00235ACB"/>
    <w:rsid w:val="00236EEA"/>
    <w:rsid w:val="002407C6"/>
    <w:rsid w:val="00241714"/>
    <w:rsid w:val="00243D06"/>
    <w:rsid w:val="00244CDD"/>
    <w:rsid w:val="00245302"/>
    <w:rsid w:val="00245D73"/>
    <w:rsid w:val="002472FE"/>
    <w:rsid w:val="00250F72"/>
    <w:rsid w:val="002514CA"/>
    <w:rsid w:val="00252FDB"/>
    <w:rsid w:val="002567CD"/>
    <w:rsid w:val="00257322"/>
    <w:rsid w:val="002613AC"/>
    <w:rsid w:val="0026164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12E35"/>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241A"/>
    <w:rsid w:val="00332627"/>
    <w:rsid w:val="00332F1F"/>
    <w:rsid w:val="0033535C"/>
    <w:rsid w:val="0033625F"/>
    <w:rsid w:val="003379DC"/>
    <w:rsid w:val="00340D7B"/>
    <w:rsid w:val="00341556"/>
    <w:rsid w:val="0034178A"/>
    <w:rsid w:val="003429E0"/>
    <w:rsid w:val="00343A3B"/>
    <w:rsid w:val="00343C1E"/>
    <w:rsid w:val="003441F0"/>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431A"/>
    <w:rsid w:val="0038547C"/>
    <w:rsid w:val="00385A88"/>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D353C"/>
    <w:rsid w:val="003E29B3"/>
    <w:rsid w:val="003E36C0"/>
    <w:rsid w:val="003E3724"/>
    <w:rsid w:val="003E3957"/>
    <w:rsid w:val="003E7F59"/>
    <w:rsid w:val="003F0D8B"/>
    <w:rsid w:val="003F1E6F"/>
    <w:rsid w:val="003F1F9E"/>
    <w:rsid w:val="003F3BC1"/>
    <w:rsid w:val="003F43E6"/>
    <w:rsid w:val="003F4894"/>
    <w:rsid w:val="004000BE"/>
    <w:rsid w:val="004026BA"/>
    <w:rsid w:val="00403038"/>
    <w:rsid w:val="0040709C"/>
    <w:rsid w:val="00407F30"/>
    <w:rsid w:val="004116DA"/>
    <w:rsid w:val="004117D6"/>
    <w:rsid w:val="00411834"/>
    <w:rsid w:val="00412A23"/>
    <w:rsid w:val="004149DA"/>
    <w:rsid w:val="00415755"/>
    <w:rsid w:val="00416211"/>
    <w:rsid w:val="00420841"/>
    <w:rsid w:val="00423732"/>
    <w:rsid w:val="00425B31"/>
    <w:rsid w:val="00426976"/>
    <w:rsid w:val="00427722"/>
    <w:rsid w:val="00427F4F"/>
    <w:rsid w:val="00431731"/>
    <w:rsid w:val="00431779"/>
    <w:rsid w:val="00431A2A"/>
    <w:rsid w:val="00431CE6"/>
    <w:rsid w:val="00433C3E"/>
    <w:rsid w:val="00440246"/>
    <w:rsid w:val="00441CF2"/>
    <w:rsid w:val="00444072"/>
    <w:rsid w:val="00446BAE"/>
    <w:rsid w:val="0045044A"/>
    <w:rsid w:val="004511AB"/>
    <w:rsid w:val="0045235F"/>
    <w:rsid w:val="004533F1"/>
    <w:rsid w:val="00453797"/>
    <w:rsid w:val="00453ABE"/>
    <w:rsid w:val="004542A8"/>
    <w:rsid w:val="004576E8"/>
    <w:rsid w:val="00460794"/>
    <w:rsid w:val="00463A9F"/>
    <w:rsid w:val="00463CEF"/>
    <w:rsid w:val="00463DEF"/>
    <w:rsid w:val="00464FEE"/>
    <w:rsid w:val="004672B7"/>
    <w:rsid w:val="00467391"/>
    <w:rsid w:val="004706A0"/>
    <w:rsid w:val="00472190"/>
    <w:rsid w:val="004724BF"/>
    <w:rsid w:val="00472695"/>
    <w:rsid w:val="00474D9B"/>
    <w:rsid w:val="004775E8"/>
    <w:rsid w:val="00481888"/>
    <w:rsid w:val="0048370B"/>
    <w:rsid w:val="00486750"/>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129A"/>
    <w:rsid w:val="004B31C7"/>
    <w:rsid w:val="004B4BDC"/>
    <w:rsid w:val="004B4D42"/>
    <w:rsid w:val="004B7E3E"/>
    <w:rsid w:val="004C0544"/>
    <w:rsid w:val="004C07ED"/>
    <w:rsid w:val="004C2585"/>
    <w:rsid w:val="004C281D"/>
    <w:rsid w:val="004C2E9D"/>
    <w:rsid w:val="004C4513"/>
    <w:rsid w:val="004C5A9B"/>
    <w:rsid w:val="004C7FC6"/>
    <w:rsid w:val="004D25B5"/>
    <w:rsid w:val="004D6E67"/>
    <w:rsid w:val="004E00B4"/>
    <w:rsid w:val="004E0963"/>
    <w:rsid w:val="004E0B2F"/>
    <w:rsid w:val="004E1B3F"/>
    <w:rsid w:val="004E2A8E"/>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E62"/>
    <w:rsid w:val="005208AC"/>
    <w:rsid w:val="00520B14"/>
    <w:rsid w:val="00521DC2"/>
    <w:rsid w:val="00521EFA"/>
    <w:rsid w:val="00523A16"/>
    <w:rsid w:val="00523D2D"/>
    <w:rsid w:val="00524822"/>
    <w:rsid w:val="005256DB"/>
    <w:rsid w:val="00525B79"/>
    <w:rsid w:val="005264A5"/>
    <w:rsid w:val="00526D01"/>
    <w:rsid w:val="00532EB0"/>
    <w:rsid w:val="00533CD5"/>
    <w:rsid w:val="00534871"/>
    <w:rsid w:val="00535069"/>
    <w:rsid w:val="00535A60"/>
    <w:rsid w:val="005372AF"/>
    <w:rsid w:val="00540D5C"/>
    <w:rsid w:val="00541FF9"/>
    <w:rsid w:val="00544481"/>
    <w:rsid w:val="0054689F"/>
    <w:rsid w:val="00546DAD"/>
    <w:rsid w:val="005542A1"/>
    <w:rsid w:val="00555A0C"/>
    <w:rsid w:val="00555A17"/>
    <w:rsid w:val="00555EC7"/>
    <w:rsid w:val="00557DCC"/>
    <w:rsid w:val="00561169"/>
    <w:rsid w:val="005617DA"/>
    <w:rsid w:val="00561B18"/>
    <w:rsid w:val="0056339B"/>
    <w:rsid w:val="00566C79"/>
    <w:rsid w:val="00570169"/>
    <w:rsid w:val="00571FF4"/>
    <w:rsid w:val="005731FD"/>
    <w:rsid w:val="005748A1"/>
    <w:rsid w:val="005812EF"/>
    <w:rsid w:val="0058254B"/>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453"/>
    <w:rsid w:val="005C196C"/>
    <w:rsid w:val="005C2CA2"/>
    <w:rsid w:val="005C3064"/>
    <w:rsid w:val="005C3191"/>
    <w:rsid w:val="005C3C86"/>
    <w:rsid w:val="005C725E"/>
    <w:rsid w:val="005C7BBF"/>
    <w:rsid w:val="005D019B"/>
    <w:rsid w:val="005D3069"/>
    <w:rsid w:val="005D3730"/>
    <w:rsid w:val="005D3BD1"/>
    <w:rsid w:val="005E2F89"/>
    <w:rsid w:val="005E4545"/>
    <w:rsid w:val="005E4E13"/>
    <w:rsid w:val="005E5730"/>
    <w:rsid w:val="005E73A1"/>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4B60"/>
    <w:rsid w:val="00655090"/>
    <w:rsid w:val="0065588C"/>
    <w:rsid w:val="0066366C"/>
    <w:rsid w:val="006648D1"/>
    <w:rsid w:val="00664E1D"/>
    <w:rsid w:val="00666BA1"/>
    <w:rsid w:val="00667D20"/>
    <w:rsid w:val="006700CB"/>
    <w:rsid w:val="00670428"/>
    <w:rsid w:val="006708BC"/>
    <w:rsid w:val="006721DF"/>
    <w:rsid w:val="00672A20"/>
    <w:rsid w:val="00674808"/>
    <w:rsid w:val="00674CE6"/>
    <w:rsid w:val="00676BB6"/>
    <w:rsid w:val="00677279"/>
    <w:rsid w:val="00677979"/>
    <w:rsid w:val="006803A0"/>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7FA7"/>
    <w:rsid w:val="006B1C34"/>
    <w:rsid w:val="006B293F"/>
    <w:rsid w:val="006B35F3"/>
    <w:rsid w:val="006B40C1"/>
    <w:rsid w:val="006B6A20"/>
    <w:rsid w:val="006C1EDD"/>
    <w:rsid w:val="006C2F5C"/>
    <w:rsid w:val="006C4010"/>
    <w:rsid w:val="006C477E"/>
    <w:rsid w:val="006C6D7A"/>
    <w:rsid w:val="006D0C02"/>
    <w:rsid w:val="006D0F19"/>
    <w:rsid w:val="006D2B2B"/>
    <w:rsid w:val="006D3FB0"/>
    <w:rsid w:val="006D443D"/>
    <w:rsid w:val="006D614A"/>
    <w:rsid w:val="006D6B5E"/>
    <w:rsid w:val="006D6CA1"/>
    <w:rsid w:val="006D7DA7"/>
    <w:rsid w:val="006E27D1"/>
    <w:rsid w:val="006E4462"/>
    <w:rsid w:val="006E465C"/>
    <w:rsid w:val="006E4B08"/>
    <w:rsid w:val="006E4EB7"/>
    <w:rsid w:val="006E7F81"/>
    <w:rsid w:val="006F1443"/>
    <w:rsid w:val="006F2579"/>
    <w:rsid w:val="006F2887"/>
    <w:rsid w:val="006F713E"/>
    <w:rsid w:val="006F7EB1"/>
    <w:rsid w:val="00700AD5"/>
    <w:rsid w:val="00702D4F"/>
    <w:rsid w:val="00703D5F"/>
    <w:rsid w:val="007045FC"/>
    <w:rsid w:val="0070488F"/>
    <w:rsid w:val="00704CDE"/>
    <w:rsid w:val="0070582E"/>
    <w:rsid w:val="007073E2"/>
    <w:rsid w:val="00710713"/>
    <w:rsid w:val="007123C3"/>
    <w:rsid w:val="0071266E"/>
    <w:rsid w:val="007130F7"/>
    <w:rsid w:val="00714183"/>
    <w:rsid w:val="00721EC2"/>
    <w:rsid w:val="007226F3"/>
    <w:rsid w:val="0072344E"/>
    <w:rsid w:val="007240C3"/>
    <w:rsid w:val="007243CC"/>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501E"/>
    <w:rsid w:val="00746472"/>
    <w:rsid w:val="00746CD0"/>
    <w:rsid w:val="00747C5A"/>
    <w:rsid w:val="00751DE7"/>
    <w:rsid w:val="00752CE8"/>
    <w:rsid w:val="00760A78"/>
    <w:rsid w:val="00764725"/>
    <w:rsid w:val="00764B6B"/>
    <w:rsid w:val="00764F0C"/>
    <w:rsid w:val="00766432"/>
    <w:rsid w:val="00766983"/>
    <w:rsid w:val="00767A28"/>
    <w:rsid w:val="007712C3"/>
    <w:rsid w:val="00771F1C"/>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75AC"/>
    <w:rsid w:val="007A0F7C"/>
    <w:rsid w:val="007A10D6"/>
    <w:rsid w:val="007A12A7"/>
    <w:rsid w:val="007A14FC"/>
    <w:rsid w:val="007A4A3D"/>
    <w:rsid w:val="007A5A11"/>
    <w:rsid w:val="007A6F16"/>
    <w:rsid w:val="007A7B6E"/>
    <w:rsid w:val="007A7F7F"/>
    <w:rsid w:val="007A7FD6"/>
    <w:rsid w:val="007B09DF"/>
    <w:rsid w:val="007B2DB6"/>
    <w:rsid w:val="007B300E"/>
    <w:rsid w:val="007B3A11"/>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C60"/>
    <w:rsid w:val="007E5486"/>
    <w:rsid w:val="007E6196"/>
    <w:rsid w:val="007E6656"/>
    <w:rsid w:val="007E70BF"/>
    <w:rsid w:val="007E735A"/>
    <w:rsid w:val="007F0085"/>
    <w:rsid w:val="007F080F"/>
    <w:rsid w:val="007F0F01"/>
    <w:rsid w:val="007F155F"/>
    <w:rsid w:val="007F22ED"/>
    <w:rsid w:val="007F2DB8"/>
    <w:rsid w:val="007F3253"/>
    <w:rsid w:val="007F4F42"/>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39C"/>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578F2"/>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0AD5"/>
    <w:rsid w:val="00881457"/>
    <w:rsid w:val="00882802"/>
    <w:rsid w:val="008836A7"/>
    <w:rsid w:val="00884467"/>
    <w:rsid w:val="00887F03"/>
    <w:rsid w:val="00893B95"/>
    <w:rsid w:val="008941B2"/>
    <w:rsid w:val="008A1084"/>
    <w:rsid w:val="008A1DA7"/>
    <w:rsid w:val="008A3884"/>
    <w:rsid w:val="008A4ABF"/>
    <w:rsid w:val="008B0108"/>
    <w:rsid w:val="008B18E3"/>
    <w:rsid w:val="008B3670"/>
    <w:rsid w:val="008B4157"/>
    <w:rsid w:val="008B4A24"/>
    <w:rsid w:val="008B5AFF"/>
    <w:rsid w:val="008B5E0B"/>
    <w:rsid w:val="008B758A"/>
    <w:rsid w:val="008B7CD2"/>
    <w:rsid w:val="008C0C4F"/>
    <w:rsid w:val="008C12F3"/>
    <w:rsid w:val="008C277A"/>
    <w:rsid w:val="008C43B3"/>
    <w:rsid w:val="008C51BB"/>
    <w:rsid w:val="008C561D"/>
    <w:rsid w:val="008C62EC"/>
    <w:rsid w:val="008D0BE4"/>
    <w:rsid w:val="008D19DB"/>
    <w:rsid w:val="008D41B5"/>
    <w:rsid w:val="008D5BE0"/>
    <w:rsid w:val="008D7B10"/>
    <w:rsid w:val="008E7C23"/>
    <w:rsid w:val="008E7F8D"/>
    <w:rsid w:val="008F06E9"/>
    <w:rsid w:val="008F2850"/>
    <w:rsid w:val="008F2FC2"/>
    <w:rsid w:val="008F302C"/>
    <w:rsid w:val="008F5D1E"/>
    <w:rsid w:val="008F7242"/>
    <w:rsid w:val="00901457"/>
    <w:rsid w:val="0090233F"/>
    <w:rsid w:val="009035A2"/>
    <w:rsid w:val="009119D3"/>
    <w:rsid w:val="00922101"/>
    <w:rsid w:val="009244F7"/>
    <w:rsid w:val="00924C0D"/>
    <w:rsid w:val="0092587F"/>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7705"/>
    <w:rsid w:val="009A0E19"/>
    <w:rsid w:val="009A1215"/>
    <w:rsid w:val="009A1416"/>
    <w:rsid w:val="009A20E4"/>
    <w:rsid w:val="009A2440"/>
    <w:rsid w:val="009A2448"/>
    <w:rsid w:val="009A3D15"/>
    <w:rsid w:val="009A3FD3"/>
    <w:rsid w:val="009A6007"/>
    <w:rsid w:val="009A6F9E"/>
    <w:rsid w:val="009A714A"/>
    <w:rsid w:val="009B0602"/>
    <w:rsid w:val="009B0987"/>
    <w:rsid w:val="009B121B"/>
    <w:rsid w:val="009B14F4"/>
    <w:rsid w:val="009B17DB"/>
    <w:rsid w:val="009B3199"/>
    <w:rsid w:val="009B38BC"/>
    <w:rsid w:val="009B4EC5"/>
    <w:rsid w:val="009B50CC"/>
    <w:rsid w:val="009B51A4"/>
    <w:rsid w:val="009B67B3"/>
    <w:rsid w:val="009B739B"/>
    <w:rsid w:val="009B7BAA"/>
    <w:rsid w:val="009C08E6"/>
    <w:rsid w:val="009C1B38"/>
    <w:rsid w:val="009C205F"/>
    <w:rsid w:val="009C3B2A"/>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A00F88"/>
    <w:rsid w:val="00A01AAA"/>
    <w:rsid w:val="00A02007"/>
    <w:rsid w:val="00A024F6"/>
    <w:rsid w:val="00A02A8B"/>
    <w:rsid w:val="00A041C7"/>
    <w:rsid w:val="00A06B3C"/>
    <w:rsid w:val="00A12CC9"/>
    <w:rsid w:val="00A20173"/>
    <w:rsid w:val="00A2060D"/>
    <w:rsid w:val="00A216B7"/>
    <w:rsid w:val="00A21708"/>
    <w:rsid w:val="00A242EA"/>
    <w:rsid w:val="00A2504D"/>
    <w:rsid w:val="00A271B3"/>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2285"/>
    <w:rsid w:val="00A65A66"/>
    <w:rsid w:val="00A66EE4"/>
    <w:rsid w:val="00A70197"/>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71C9"/>
    <w:rsid w:val="00A87FE2"/>
    <w:rsid w:val="00A95355"/>
    <w:rsid w:val="00A960E9"/>
    <w:rsid w:val="00A96461"/>
    <w:rsid w:val="00A97B41"/>
    <w:rsid w:val="00A97F0C"/>
    <w:rsid w:val="00A97F93"/>
    <w:rsid w:val="00AA0E4D"/>
    <w:rsid w:val="00AA25C5"/>
    <w:rsid w:val="00AB05C9"/>
    <w:rsid w:val="00AB0BC7"/>
    <w:rsid w:val="00AB20AB"/>
    <w:rsid w:val="00AB2AAE"/>
    <w:rsid w:val="00AB2C0F"/>
    <w:rsid w:val="00AB40A0"/>
    <w:rsid w:val="00AB552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42F5"/>
    <w:rsid w:val="00AE4721"/>
    <w:rsid w:val="00AE747B"/>
    <w:rsid w:val="00AE7DE5"/>
    <w:rsid w:val="00AF1653"/>
    <w:rsid w:val="00AF3BF4"/>
    <w:rsid w:val="00AF3F93"/>
    <w:rsid w:val="00AF50BF"/>
    <w:rsid w:val="00B02DE3"/>
    <w:rsid w:val="00B037AA"/>
    <w:rsid w:val="00B054BA"/>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397"/>
    <w:rsid w:val="00B92EEB"/>
    <w:rsid w:val="00B9309E"/>
    <w:rsid w:val="00B957C1"/>
    <w:rsid w:val="00B95A58"/>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152"/>
    <w:rsid w:val="00BC6C9D"/>
    <w:rsid w:val="00BC6F58"/>
    <w:rsid w:val="00BD07C7"/>
    <w:rsid w:val="00BD14CE"/>
    <w:rsid w:val="00BD2421"/>
    <w:rsid w:val="00BD3541"/>
    <w:rsid w:val="00BD4652"/>
    <w:rsid w:val="00BD4A8F"/>
    <w:rsid w:val="00BD62A2"/>
    <w:rsid w:val="00BD6A96"/>
    <w:rsid w:val="00BD6BF0"/>
    <w:rsid w:val="00BD74B1"/>
    <w:rsid w:val="00BE037A"/>
    <w:rsid w:val="00BE112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6B98"/>
    <w:rsid w:val="00C06DE4"/>
    <w:rsid w:val="00C15480"/>
    <w:rsid w:val="00C204EF"/>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FF2"/>
    <w:rsid w:val="00C373FF"/>
    <w:rsid w:val="00C412AD"/>
    <w:rsid w:val="00C419F7"/>
    <w:rsid w:val="00C4313B"/>
    <w:rsid w:val="00C45F01"/>
    <w:rsid w:val="00C4698C"/>
    <w:rsid w:val="00C5207F"/>
    <w:rsid w:val="00C52D21"/>
    <w:rsid w:val="00C5543B"/>
    <w:rsid w:val="00C573B1"/>
    <w:rsid w:val="00C600EE"/>
    <w:rsid w:val="00C64192"/>
    <w:rsid w:val="00C72D39"/>
    <w:rsid w:val="00C7351D"/>
    <w:rsid w:val="00C752EB"/>
    <w:rsid w:val="00C75878"/>
    <w:rsid w:val="00C76BBB"/>
    <w:rsid w:val="00C779D4"/>
    <w:rsid w:val="00C77C0E"/>
    <w:rsid w:val="00C81430"/>
    <w:rsid w:val="00C86829"/>
    <w:rsid w:val="00C935F6"/>
    <w:rsid w:val="00C9788C"/>
    <w:rsid w:val="00C97C59"/>
    <w:rsid w:val="00CA0C2B"/>
    <w:rsid w:val="00CA418B"/>
    <w:rsid w:val="00CB1766"/>
    <w:rsid w:val="00CB1E90"/>
    <w:rsid w:val="00CB1EB4"/>
    <w:rsid w:val="00CB328F"/>
    <w:rsid w:val="00CB3B10"/>
    <w:rsid w:val="00CB4831"/>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A76"/>
    <w:rsid w:val="00D263A5"/>
    <w:rsid w:val="00D2692A"/>
    <w:rsid w:val="00D27E31"/>
    <w:rsid w:val="00D308D8"/>
    <w:rsid w:val="00D318AF"/>
    <w:rsid w:val="00D3344A"/>
    <w:rsid w:val="00D3355A"/>
    <w:rsid w:val="00D362BE"/>
    <w:rsid w:val="00D36BE9"/>
    <w:rsid w:val="00D3722A"/>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124"/>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F27"/>
    <w:rsid w:val="00D90F8B"/>
    <w:rsid w:val="00D95433"/>
    <w:rsid w:val="00D95F43"/>
    <w:rsid w:val="00DA17B0"/>
    <w:rsid w:val="00DA2C00"/>
    <w:rsid w:val="00DA33EC"/>
    <w:rsid w:val="00DA3F09"/>
    <w:rsid w:val="00DA5E1F"/>
    <w:rsid w:val="00DA6D82"/>
    <w:rsid w:val="00DB169C"/>
    <w:rsid w:val="00DB180E"/>
    <w:rsid w:val="00DB21E9"/>
    <w:rsid w:val="00DB27AF"/>
    <w:rsid w:val="00DB292F"/>
    <w:rsid w:val="00DB3966"/>
    <w:rsid w:val="00DB3F0F"/>
    <w:rsid w:val="00DB5A3F"/>
    <w:rsid w:val="00DB78EC"/>
    <w:rsid w:val="00DC124A"/>
    <w:rsid w:val="00DC2AD7"/>
    <w:rsid w:val="00DC6EBF"/>
    <w:rsid w:val="00DD4D17"/>
    <w:rsid w:val="00DD5846"/>
    <w:rsid w:val="00DD620A"/>
    <w:rsid w:val="00DE11D6"/>
    <w:rsid w:val="00DE2212"/>
    <w:rsid w:val="00DE2457"/>
    <w:rsid w:val="00DE2C8D"/>
    <w:rsid w:val="00DE5E69"/>
    <w:rsid w:val="00DE610C"/>
    <w:rsid w:val="00DE7CEB"/>
    <w:rsid w:val="00DE7F13"/>
    <w:rsid w:val="00DF06C4"/>
    <w:rsid w:val="00DF2C09"/>
    <w:rsid w:val="00DF3A31"/>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FF3"/>
    <w:rsid w:val="00E31BA9"/>
    <w:rsid w:val="00E31E1C"/>
    <w:rsid w:val="00E337E8"/>
    <w:rsid w:val="00E34AA2"/>
    <w:rsid w:val="00E37FAF"/>
    <w:rsid w:val="00E41F06"/>
    <w:rsid w:val="00E42B30"/>
    <w:rsid w:val="00E42DA2"/>
    <w:rsid w:val="00E45E6B"/>
    <w:rsid w:val="00E50167"/>
    <w:rsid w:val="00E5097C"/>
    <w:rsid w:val="00E51DDA"/>
    <w:rsid w:val="00E5361B"/>
    <w:rsid w:val="00E54925"/>
    <w:rsid w:val="00E604A4"/>
    <w:rsid w:val="00E61C4E"/>
    <w:rsid w:val="00E63F87"/>
    <w:rsid w:val="00E6527E"/>
    <w:rsid w:val="00E65A41"/>
    <w:rsid w:val="00E710C9"/>
    <w:rsid w:val="00E724E4"/>
    <w:rsid w:val="00E73312"/>
    <w:rsid w:val="00E735D4"/>
    <w:rsid w:val="00E73AFD"/>
    <w:rsid w:val="00E7411D"/>
    <w:rsid w:val="00E7483A"/>
    <w:rsid w:val="00E76439"/>
    <w:rsid w:val="00E80317"/>
    <w:rsid w:val="00E80877"/>
    <w:rsid w:val="00E829FE"/>
    <w:rsid w:val="00E82B62"/>
    <w:rsid w:val="00E841D8"/>
    <w:rsid w:val="00E850A8"/>
    <w:rsid w:val="00E858D9"/>
    <w:rsid w:val="00E85DC1"/>
    <w:rsid w:val="00E862F4"/>
    <w:rsid w:val="00E9032B"/>
    <w:rsid w:val="00E90B5E"/>
    <w:rsid w:val="00E92DE1"/>
    <w:rsid w:val="00E93717"/>
    <w:rsid w:val="00E95563"/>
    <w:rsid w:val="00E97E2B"/>
    <w:rsid w:val="00EA0D5B"/>
    <w:rsid w:val="00EA3FF6"/>
    <w:rsid w:val="00EA6DC0"/>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D11BA"/>
    <w:rsid w:val="00ED1764"/>
    <w:rsid w:val="00ED200B"/>
    <w:rsid w:val="00ED2E12"/>
    <w:rsid w:val="00ED4F03"/>
    <w:rsid w:val="00ED52B2"/>
    <w:rsid w:val="00EE173D"/>
    <w:rsid w:val="00EE24D6"/>
    <w:rsid w:val="00EE59C6"/>
    <w:rsid w:val="00EF1864"/>
    <w:rsid w:val="00EF26B4"/>
    <w:rsid w:val="00EF33BF"/>
    <w:rsid w:val="00EF775A"/>
    <w:rsid w:val="00F00020"/>
    <w:rsid w:val="00F02E36"/>
    <w:rsid w:val="00F04707"/>
    <w:rsid w:val="00F04ACD"/>
    <w:rsid w:val="00F0571B"/>
    <w:rsid w:val="00F107A8"/>
    <w:rsid w:val="00F10F01"/>
    <w:rsid w:val="00F110F6"/>
    <w:rsid w:val="00F122E7"/>
    <w:rsid w:val="00F152B2"/>
    <w:rsid w:val="00F17D2D"/>
    <w:rsid w:val="00F20894"/>
    <w:rsid w:val="00F22AFE"/>
    <w:rsid w:val="00F237A4"/>
    <w:rsid w:val="00F24087"/>
    <w:rsid w:val="00F265F6"/>
    <w:rsid w:val="00F27291"/>
    <w:rsid w:val="00F314C0"/>
    <w:rsid w:val="00F32569"/>
    <w:rsid w:val="00F33889"/>
    <w:rsid w:val="00F35C22"/>
    <w:rsid w:val="00F41337"/>
    <w:rsid w:val="00F41940"/>
    <w:rsid w:val="00F44405"/>
    <w:rsid w:val="00F46255"/>
    <w:rsid w:val="00F47DC5"/>
    <w:rsid w:val="00F50A23"/>
    <w:rsid w:val="00F518F3"/>
    <w:rsid w:val="00F5367B"/>
    <w:rsid w:val="00F54B12"/>
    <w:rsid w:val="00F5608F"/>
    <w:rsid w:val="00F6027C"/>
    <w:rsid w:val="00F60DAD"/>
    <w:rsid w:val="00F60DE0"/>
    <w:rsid w:val="00F6194D"/>
    <w:rsid w:val="00F61F8E"/>
    <w:rsid w:val="00F6251B"/>
    <w:rsid w:val="00F626C6"/>
    <w:rsid w:val="00F63405"/>
    <w:rsid w:val="00F64156"/>
    <w:rsid w:val="00F70C8A"/>
    <w:rsid w:val="00F71087"/>
    <w:rsid w:val="00F73A04"/>
    <w:rsid w:val="00F74DE7"/>
    <w:rsid w:val="00F76A83"/>
    <w:rsid w:val="00F81D96"/>
    <w:rsid w:val="00F826E7"/>
    <w:rsid w:val="00F82C6C"/>
    <w:rsid w:val="00F83978"/>
    <w:rsid w:val="00F83ED3"/>
    <w:rsid w:val="00F857B4"/>
    <w:rsid w:val="00F86C88"/>
    <w:rsid w:val="00F86D13"/>
    <w:rsid w:val="00F87535"/>
    <w:rsid w:val="00F91915"/>
    <w:rsid w:val="00F921C0"/>
    <w:rsid w:val="00F92282"/>
    <w:rsid w:val="00F9337A"/>
    <w:rsid w:val="00F9562A"/>
    <w:rsid w:val="00F962B4"/>
    <w:rsid w:val="00F972B0"/>
    <w:rsid w:val="00FA0210"/>
    <w:rsid w:val="00FA2BF8"/>
    <w:rsid w:val="00FA3AA3"/>
    <w:rsid w:val="00FA5D62"/>
    <w:rsid w:val="00FA6040"/>
    <w:rsid w:val="00FA6293"/>
    <w:rsid w:val="00FA6373"/>
    <w:rsid w:val="00FB08CC"/>
    <w:rsid w:val="00FB1304"/>
    <w:rsid w:val="00FB3686"/>
    <w:rsid w:val="00FB4545"/>
    <w:rsid w:val="00FB4D7A"/>
    <w:rsid w:val="00FB56BD"/>
    <w:rsid w:val="00FB578C"/>
    <w:rsid w:val="00FB58BB"/>
    <w:rsid w:val="00FB597D"/>
    <w:rsid w:val="00FC0D59"/>
    <w:rsid w:val="00FC1A5C"/>
    <w:rsid w:val="00FC2D4C"/>
    <w:rsid w:val="00FC39EA"/>
    <w:rsid w:val="00FC4943"/>
    <w:rsid w:val="00FC60B8"/>
    <w:rsid w:val="00FD15AF"/>
    <w:rsid w:val="00FD2F1A"/>
    <w:rsid w:val="00FD4EC8"/>
    <w:rsid w:val="00FD5E81"/>
    <w:rsid w:val="00FD7F01"/>
    <w:rsid w:val="00FE0F88"/>
    <w:rsid w:val="00FE3782"/>
    <w:rsid w:val="00FE3AC5"/>
    <w:rsid w:val="00FE44CF"/>
    <w:rsid w:val="00FE4721"/>
    <w:rsid w:val="00FE4D2A"/>
    <w:rsid w:val="00FE4FD0"/>
    <w:rsid w:val="00FE5839"/>
    <w:rsid w:val="00FF2F3F"/>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1">
    <w:name w:val="heading 1"/>
    <w:basedOn w:val="Normal"/>
    <w:next w:val="Normal"/>
    <w:link w:val="Heading1Char"/>
    <w:uiPriority w:val="9"/>
    <w:qFormat/>
    <w:rsid w:val="007F2DB8"/>
    <w:pPr>
      <w:keepNext/>
      <w:keepLines/>
      <w:spacing w:before="480"/>
      <w:jc w:val="both"/>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documentstaticurl">
    <w:name w:val="documentstaticurl"/>
    <w:basedOn w:val="DefaultParagraphFont"/>
    <w:rsid w:val="007F2DB8"/>
  </w:style>
  <w:style w:type="character" w:customStyle="1" w:styleId="Heading1Char">
    <w:name w:val="Heading 1 Char"/>
    <w:basedOn w:val="DefaultParagraphFont"/>
    <w:link w:val="Heading1"/>
    <w:uiPriority w:val="9"/>
    <w:rsid w:val="007F2DB8"/>
    <w:rPr>
      <w:rFonts w:asciiTheme="majorHAnsi" w:eastAsiaTheme="majorEastAsia" w:hAnsiTheme="majorHAnsi" w:cstheme="majorBidi"/>
      <w:b/>
      <w:bCs/>
      <w:color w:val="365F91" w:themeColor="accent1" w:themeShade="BF"/>
      <w:sz w:val="28"/>
      <w:szCs w:val="28"/>
      <w:lang w:val="en-CA"/>
    </w:rPr>
  </w:style>
  <w:style w:type="paragraph" w:styleId="NormalWeb">
    <w:name w:val="Normal (Web)"/>
    <w:basedOn w:val="Normal"/>
    <w:uiPriority w:val="99"/>
    <w:unhideWhenUsed/>
    <w:rsid w:val="007F2DB8"/>
    <w:pPr>
      <w:spacing w:before="100" w:beforeAutospacing="1" w:after="100" w:afterAutospacing="1"/>
    </w:pPr>
    <w:rPr>
      <w:szCs w:val="24"/>
    </w:rPr>
  </w:style>
  <w:style w:type="character" w:customStyle="1" w:styleId="citationcar">
    <w:name w:val="citationcar"/>
    <w:basedOn w:val="DefaultParagraphFont"/>
    <w:rsid w:val="007F2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6525" TargetMode="External"/><Relationship Id="rId18" Type="http://schemas.openxmlformats.org/officeDocument/2006/relationships/hyperlink" Target="http://www.scc-csc.ca/case-dossier/info/sum-som-fra.aspx?cas=36553" TargetMode="External"/><Relationship Id="rId26" Type="http://schemas.openxmlformats.org/officeDocument/2006/relationships/hyperlink" Target="http://canlii.ca/t/gg37w" TargetMode="External"/><Relationship Id="rId39" Type="http://schemas.openxmlformats.org/officeDocument/2006/relationships/hyperlink" Target="http://www.canlii.org/en/on/onca/doc/2015/2015onca158/2015onca158.html" TargetMode="External"/><Relationship Id="rId21" Type="http://schemas.openxmlformats.org/officeDocument/2006/relationships/hyperlink" Target="http://www.scc-csc.ca/case-dossier/info/sum-som-eng.aspx?cas=36510" TargetMode="External"/><Relationship Id="rId34" Type="http://schemas.openxmlformats.org/officeDocument/2006/relationships/hyperlink" Target="http://www.canlii.org/en/bc/bcsc/doc/2007/2007bcsc1940/2007bcsc1940.html?autocompleteStr=2007%20bcsc%201940&amp;autocompletePos=1" TargetMode="External"/><Relationship Id="rId42" Type="http://schemas.openxmlformats.org/officeDocument/2006/relationships/hyperlink" Target="http://www.canlii.org/en/bc/bcsc/doc/2013/2013bcsc1074/2013bcsc1074.html" TargetMode="External"/><Relationship Id="rId47" Type="http://schemas.openxmlformats.org/officeDocument/2006/relationships/hyperlink" Target="http://canlii.ca/t/ghjh3" TargetMode="External"/><Relationship Id="rId50" Type="http://schemas.openxmlformats.org/officeDocument/2006/relationships/hyperlink" Target="https://www.canlii.org/en/nl/nlsctd/doc/2012/2012canlii53959/2012canlii53959.html?searchUrlHash=AAAAAQAQMjAxMiBOTFREKEcpIDEzMgAAAAAB&amp;resultIndex=8" TargetMode="External"/><Relationship Id="rId55" Type="http://schemas.openxmlformats.org/officeDocument/2006/relationships/hyperlink" Target="https://www.canlii.org/en/nl/nlca/doc/2015/2015nlca21/2015nlca21.html?searchUrlHash=AAAAAQAQMjAxMiBOTFREKEcpIDEzMwAAAAAB&amp;resultIndex=1" TargetMode="External"/><Relationship Id="rId63" Type="http://schemas.openxmlformats.org/officeDocument/2006/relationships/hyperlink" Target="http://canlii.ca/t/gj37h" TargetMode="External"/><Relationship Id="rId68" Type="http://schemas.openxmlformats.org/officeDocument/2006/relationships/hyperlink" Target="http://www.canlii.org/en/ca/fct/doc/2014/2014fc400/2014fc400.html" TargetMode="External"/><Relationship Id="rId76" Type="http://schemas.openxmlformats.org/officeDocument/2006/relationships/hyperlink" Target="https://www.canlii.org/en/on/onca/doc/2014/2014onca737/2014onca737.html?autocompleteStr=2014%20ONCA%20737&amp;autocompletePos=1" TargetMode="External"/><Relationship Id="rId84"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canlii.org/fr/ca/cfpi/doc/2014/2014cf400/2014cf400.html" TargetMode="External"/><Relationship Id="rId2" Type="http://schemas.openxmlformats.org/officeDocument/2006/relationships/numbering" Target="numbering.xml"/><Relationship Id="rId16" Type="http://schemas.openxmlformats.org/officeDocument/2006/relationships/hyperlink" Target="http://www.scc-csc.ca/case-dossier/info/sum-som-eng.aspx?cas=36517" TargetMode="External"/><Relationship Id="rId29" Type="http://schemas.openxmlformats.org/officeDocument/2006/relationships/hyperlink" Target="http://canlii.ca/t/gg37w" TargetMode="External"/><Relationship Id="rId11" Type="http://schemas.openxmlformats.org/officeDocument/2006/relationships/hyperlink" Target="http://www.scc-csc.ca/case-dossier/info/sum-som-eng.aspx?cas=36560" TargetMode="External"/><Relationship Id="rId24" Type="http://schemas.openxmlformats.org/officeDocument/2006/relationships/hyperlink" Target="http://canlii.ca/t/gg37w" TargetMode="External"/><Relationship Id="rId32" Type="http://schemas.openxmlformats.org/officeDocument/2006/relationships/hyperlink" Target="http://canlii.ca/t/gg37w" TargetMode="External"/><Relationship Id="rId37" Type="http://schemas.openxmlformats.org/officeDocument/2006/relationships/hyperlink" Target="http://www.canlii.org/en/bc/bcca/doc/2015/2015bcca270/2015bcca270.html?autocompleteStr=2015%20bcca%20270&amp;autocompletePos=1" TargetMode="External"/><Relationship Id="rId40" Type="http://schemas.openxmlformats.org/officeDocument/2006/relationships/hyperlink" Target="http://www.canlii.org/en/on/onsc/doc/2013/2013onsc3053/2013onsc3053.html" TargetMode="External"/><Relationship Id="rId45" Type="http://schemas.openxmlformats.org/officeDocument/2006/relationships/hyperlink" Target="http://www.canlii.org/en/bc/bcca/doc/2014/2014bcca61/2014bcca61.html" TargetMode="External"/><Relationship Id="rId53" Type="http://schemas.openxmlformats.org/officeDocument/2006/relationships/hyperlink" Target="https://www.canlii.org/en/nl/nlsctd/doc/2012/2012canlii53959/2012canlii53959.html?searchUrlHash=AAAAAQAQMjAxMiBOTFREKEcpIDEzMgAAAAAB&amp;resultIndex=8" TargetMode="External"/><Relationship Id="rId58" Type="http://schemas.openxmlformats.org/officeDocument/2006/relationships/hyperlink" Target="http://www.canlii.org/fr/qc/qccs/doc/2015/2015qccs156/2015qccs156.html?searchUrlHash=AAAAAQATbWlsdW5vdmljIGLDqWxhbmdlcgAAAAAB&amp;resultIndex=1" TargetMode="External"/><Relationship Id="rId66" Type="http://schemas.openxmlformats.org/officeDocument/2006/relationships/hyperlink" Target="http://www.canlii.org/fr/ca/legis/lois/lc-2003-c-22-art-2/derniere/lc-2003-c-22-art-2.html" TargetMode="External"/><Relationship Id="rId74" Type="http://schemas.openxmlformats.org/officeDocument/2006/relationships/hyperlink" Target="https://www.canlii.org/en/on/onca/doc/2014/2014onca925/2014onca925.html?autocompleteStr=2014%20ONCA%20925&amp;autocompletePos=1"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canlii.org/en/ab/abca/doc/2014/2014abca39/2014abca39.html?resultIndex=1" TargetMode="External"/><Relationship Id="rId82" Type="http://schemas.openxmlformats.org/officeDocument/2006/relationships/footer" Target="footer2.xml"/><Relationship Id="rId19" Type="http://schemas.openxmlformats.org/officeDocument/2006/relationships/hyperlink" Target="http://www.scc-csc.ca/case-dossier/info/sum-som-eng.aspx?cas=36512" TargetMode="External"/><Relationship Id="rId4" Type="http://schemas.openxmlformats.org/officeDocument/2006/relationships/settings" Target="settings.xml"/><Relationship Id="rId9" Type="http://schemas.openxmlformats.org/officeDocument/2006/relationships/hyperlink" Target="http://www.scc-csc.ca/case-dossier/info/sum-som-eng.aspx?cas=36483" TargetMode="External"/><Relationship Id="rId14" Type="http://schemas.openxmlformats.org/officeDocument/2006/relationships/hyperlink" Target="http://www.scc-csc.ca/case-dossier/info/sum-som-eng.aspx?cas=36456" TargetMode="External"/><Relationship Id="rId22" Type="http://schemas.openxmlformats.org/officeDocument/2006/relationships/hyperlink" Target="http://www.scc-csc.ca/case-dossier/info/sum-som-eng.aspx?cas=36534" TargetMode="External"/><Relationship Id="rId27" Type="http://schemas.openxmlformats.org/officeDocument/2006/relationships/hyperlink" Target="http://canlii.ca/t/gg37w" TargetMode="External"/><Relationship Id="rId30" Type="http://schemas.openxmlformats.org/officeDocument/2006/relationships/hyperlink" Target="http://canlii.ca/t/gg37w" TargetMode="External"/><Relationship Id="rId35" Type="http://schemas.openxmlformats.org/officeDocument/2006/relationships/hyperlink" Target="http://www.canlii.org/en/bc/bcca/doc/2015/2015bcca270/2015bcca270.html?autocompleteStr=2015%20bcca%20270&amp;autocompletePos=1" TargetMode="External"/><Relationship Id="rId43" Type="http://schemas.openxmlformats.org/officeDocument/2006/relationships/hyperlink" Target="http://www.canlii.org/en/bc/bcca/doc/2014/2014bcca61/2014bcca61.html" TargetMode="External"/><Relationship Id="rId48" Type="http://schemas.openxmlformats.org/officeDocument/2006/relationships/hyperlink" Target="http://canlii.ca/t/g3gp7" TargetMode="External"/><Relationship Id="rId56" Type="http://schemas.openxmlformats.org/officeDocument/2006/relationships/hyperlink" Target="http://www.canlii.org/fr/qc/qccs/doc/2015/2015qccs156/2015qccs156.html?searchUrlHash=AAAAAQATbWlsdW5vdmljIGLDqWxhbmdlcgAAAAAB&amp;resultIndex=1" TargetMode="External"/><Relationship Id="rId64" Type="http://schemas.openxmlformats.org/officeDocument/2006/relationships/hyperlink" Target="http://canlii.ca/t/gfrqt" TargetMode="External"/><Relationship Id="rId69" Type="http://schemas.openxmlformats.org/officeDocument/2006/relationships/hyperlink" Target="http://www.canlii.org/fr/ca/legis/lois/lc-2003-c-22-art-2/derniere/lc-2003-c-22-art-2.html" TargetMode="External"/><Relationship Id="rId77" Type="http://schemas.openxmlformats.org/officeDocument/2006/relationships/hyperlink" Target="https://www.canlii.org/en/on/onca/doc/2014/2014onca925/2014onca925.html?autocompleteStr=2014%20ONCA%20925&amp;autocompletePos=1" TargetMode="External"/><Relationship Id="rId8" Type="http://schemas.openxmlformats.org/officeDocument/2006/relationships/hyperlink" Target="http://www.scc-csc.ca/case-dossier/info/sum-som-eng.aspx?cas=36481" TargetMode="External"/><Relationship Id="rId51" Type="http://schemas.openxmlformats.org/officeDocument/2006/relationships/hyperlink" Target="https://www.canlii.org/en/nl/nlsctd/doc/2012/2012canlii53958/2012canlii53958.html?searchUrlHash=AAAAAQAQMjAxMiBOTFREKEcpIDEzMwAAAAAB&amp;resultIndex=3" TargetMode="External"/><Relationship Id="rId72" Type="http://schemas.openxmlformats.org/officeDocument/2006/relationships/hyperlink" Target="https://www.canlii.org/en/on/onsc/doc/2013/2013onsc1995/2013onsc1995.html?autocompleteStr=2013%20ONSC%201995&amp;autocompletePos=1"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cc-csc.ca/case-dossier/info/sum-som-eng.aspx?cas=36561" TargetMode="External"/><Relationship Id="rId17" Type="http://schemas.openxmlformats.org/officeDocument/2006/relationships/hyperlink" Target="http://www.scc-csc.ca/case-dossier/info/sum-som-eng.aspx?cas=36492" TargetMode="External"/><Relationship Id="rId25" Type="http://schemas.openxmlformats.org/officeDocument/2006/relationships/hyperlink" Target="http://canlii.ca/t/gg37w" TargetMode="External"/><Relationship Id="rId33" Type="http://schemas.openxmlformats.org/officeDocument/2006/relationships/hyperlink" Target="http://canlii.ca/t/gg37w" TargetMode="External"/><Relationship Id="rId38" Type="http://schemas.openxmlformats.org/officeDocument/2006/relationships/hyperlink" Target="http://www.canlii.org/en/on/onsc/doc/2013/2013onsc3053/2013onsc3053.html" TargetMode="External"/><Relationship Id="rId46" Type="http://schemas.openxmlformats.org/officeDocument/2006/relationships/hyperlink" Target="http://canlii.ca/t/g3gp7" TargetMode="External"/><Relationship Id="rId59" Type="http://schemas.openxmlformats.org/officeDocument/2006/relationships/hyperlink" Target="http://www.canlii.org/fr/qc/qcca/doc/2015/2015qcca282/2015qcca282.html?searchUrlHash=AAAAAQATbWlsdW5vdmljIGLDqWxhbmdlcgAAAAAB&amp;resultIndex=6" TargetMode="External"/><Relationship Id="rId67" Type="http://schemas.openxmlformats.org/officeDocument/2006/relationships/hyperlink" Target="http://www.canlii.org/fr/ca/legis/lois/lc-2003-c-22-art-12-et-13/derniere/lc-2003-c-22-art-12-et-13.html" TargetMode="External"/><Relationship Id="rId20" Type="http://schemas.openxmlformats.org/officeDocument/2006/relationships/hyperlink" Target="http://www.scc-csc.ca/case-dossier/info/sum-som-eng.aspx?cas=36371" TargetMode="External"/><Relationship Id="rId41" Type="http://schemas.openxmlformats.org/officeDocument/2006/relationships/hyperlink" Target="http://www.canlii.org/en/on/onca/doc/2015/2015onca158/2015onca158.html" TargetMode="External"/><Relationship Id="rId54" Type="http://schemas.openxmlformats.org/officeDocument/2006/relationships/hyperlink" Target="https://www.canlii.org/en/nl/nlsctd/doc/2012/2012canlii53958/2012canlii53958.html?searchUrlHash=AAAAAQAQMjAxMiBOTFREKEcpIDEzMwAAAAAB&amp;resultIndex=3" TargetMode="External"/><Relationship Id="rId62" Type="http://schemas.openxmlformats.org/officeDocument/2006/relationships/hyperlink" Target="http://canlii.ca/t/gfrqt" TargetMode="External"/><Relationship Id="rId70" Type="http://schemas.openxmlformats.org/officeDocument/2006/relationships/hyperlink" Target="http://www.canlii.org/fr/ca/legis/lois/lc-2003-c-22-art-12-et-13/derniere/lc-2003-c-22-art-12-et-13.html" TargetMode="External"/><Relationship Id="rId75" Type="http://schemas.openxmlformats.org/officeDocument/2006/relationships/hyperlink" Target="https://www.canlii.org/en/on/onsc/doc/2013/2013onsc1995/2013onsc1995.html?autocompleteStr=2013%20ONSC%201995&amp;autocompletePos=1"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c-csc.ca/case-dossier/info/sum-som-eng.aspx?cas=35843" TargetMode="External"/><Relationship Id="rId23" Type="http://schemas.openxmlformats.org/officeDocument/2006/relationships/hyperlink" Target="http://www.scc-csc.ca/case-dossier/info/sum-som-eng.aspx?cas=36325" TargetMode="External"/><Relationship Id="rId28" Type="http://schemas.openxmlformats.org/officeDocument/2006/relationships/hyperlink" Target="http://canlii.ca/t/gg37w" TargetMode="External"/><Relationship Id="rId36" Type="http://schemas.openxmlformats.org/officeDocument/2006/relationships/hyperlink" Target="http://www.canlii.org/en/bc/bcsc/doc/2007/2007bcsc1940/2007bcsc1940.html?autocompleteStr=2007%20bcsc%201940&amp;autocompletePos=1" TargetMode="External"/><Relationship Id="rId49" Type="http://schemas.openxmlformats.org/officeDocument/2006/relationships/hyperlink" Target="http://canlii.ca/t/ghjh3" TargetMode="External"/><Relationship Id="rId57" Type="http://schemas.openxmlformats.org/officeDocument/2006/relationships/hyperlink" Target="http://www.canlii.org/fr/qc/qcca/doc/2015/2015qcca282/2015qcca282.html?searchUrlHash=AAAAAQATbWlsdW5vdmljIGLDqWxhbmdlcgAAAAAB&amp;resultIndex=6" TargetMode="External"/><Relationship Id="rId10" Type="http://schemas.openxmlformats.org/officeDocument/2006/relationships/hyperlink" Target="http://www.scc-csc.ca/case-dossier/info/sum-som-eng.aspx?cas=36519" TargetMode="External"/><Relationship Id="rId31" Type="http://schemas.openxmlformats.org/officeDocument/2006/relationships/hyperlink" Target="http://canlii.ca/t/gg37w" TargetMode="External"/><Relationship Id="rId44" Type="http://schemas.openxmlformats.org/officeDocument/2006/relationships/hyperlink" Target="http://www.canlii.org/en/bc/bcsc/doc/2013/2013bcsc1074/2013bcsc1074.html" TargetMode="External"/><Relationship Id="rId52" Type="http://schemas.openxmlformats.org/officeDocument/2006/relationships/hyperlink" Target="https://www.canlii.org/en/nl/nlca/doc/2015/2015nlca21/2015nlca21.html?searchUrlHash=AAAAAQAQMjAxMiBOTFREKEcpIDEzMwAAAAAB&amp;resultIndex=1" TargetMode="External"/><Relationship Id="rId60" Type="http://schemas.openxmlformats.org/officeDocument/2006/relationships/hyperlink" Target="http://www.canlii.org/en/ab/abca/doc/2014/2014abca39/2014abca39.html?resultIndex=1" TargetMode="External"/><Relationship Id="rId65" Type="http://schemas.openxmlformats.org/officeDocument/2006/relationships/hyperlink" Target="http://canlii.ca/t/gj37h" TargetMode="External"/><Relationship Id="rId73" Type="http://schemas.openxmlformats.org/officeDocument/2006/relationships/hyperlink" Target="https://www.canlii.org/en/on/onca/doc/2014/2014onca737/2014onca737.html?autocompleteStr=2014%20ONCA%20737&amp;autocompletePos=1" TargetMode="External"/><Relationship Id="rId78" Type="http://schemas.openxmlformats.org/officeDocument/2006/relationships/hyperlink" Target="mailto:comments-commentaires@scc-csc.ca" TargetMode="External"/><Relationship Id="rId81" Type="http://schemas.openxmlformats.org/officeDocument/2006/relationships/footer" Target="footer1.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12B55-AF37-4E82-8E3D-AC813637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12772</Words>
  <Characters>72803</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85405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2015-11-02T17:33:00Z</dcterms:created>
  <dcterms:modified xsi:type="dcterms:W3CDTF">2015-11-26T20:22:00Z</dcterms:modified>
</cp:coreProperties>
</file>