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4B4D42" w:rsidRDefault="003F43E6" w:rsidP="00122CE1">
      <w:pPr>
        <w:pStyle w:val="Header"/>
        <w:tabs>
          <w:tab w:val="left" w:pos="1620"/>
          <w:tab w:val="left" w:pos="1710"/>
        </w:tabs>
        <w:jc w:val="center"/>
        <w:rPr>
          <w:b/>
          <w:sz w:val="32"/>
        </w:rPr>
      </w:pPr>
      <w:bookmarkStart w:id="0" w:name="_GoBack"/>
      <w:bookmarkEnd w:id="0"/>
      <w:r w:rsidRPr="004B4D42">
        <w:rPr>
          <w:b/>
          <w:sz w:val="32"/>
        </w:rPr>
        <w:t xml:space="preserve">Supreme Court of Canada / Cour </w:t>
      </w:r>
      <w:proofErr w:type="spellStart"/>
      <w:r w:rsidRPr="004B4D42">
        <w:rPr>
          <w:b/>
          <w:sz w:val="32"/>
        </w:rPr>
        <w:t>suprême</w:t>
      </w:r>
      <w:proofErr w:type="spellEnd"/>
      <w:r w:rsidRPr="004B4D42">
        <w:rPr>
          <w:b/>
          <w:sz w:val="32"/>
        </w:rPr>
        <w:t xml:space="preserve"> du Canada</w:t>
      </w:r>
    </w:p>
    <w:p w:rsidR="003F43E6" w:rsidRPr="004B4D42" w:rsidRDefault="003F43E6" w:rsidP="006F2579">
      <w:pPr>
        <w:widowControl w:val="0"/>
        <w:rPr>
          <w:i/>
        </w:rPr>
      </w:pPr>
    </w:p>
    <w:p w:rsidR="006F2579" w:rsidRPr="004B4D42" w:rsidRDefault="006F2579" w:rsidP="006F2579">
      <w:pPr>
        <w:widowControl w:val="0"/>
        <w:rPr>
          <w:i/>
        </w:rPr>
      </w:pPr>
      <w:r w:rsidRPr="004B4D42">
        <w:rPr>
          <w:i/>
        </w:rPr>
        <w:t xml:space="preserve">(le </w:t>
      </w:r>
      <w:proofErr w:type="spellStart"/>
      <w:r w:rsidRPr="004B4D42">
        <w:rPr>
          <w:i/>
        </w:rPr>
        <w:t>français</w:t>
      </w:r>
      <w:proofErr w:type="spellEnd"/>
      <w:r w:rsidRPr="004B4D42">
        <w:rPr>
          <w:i/>
        </w:rPr>
        <w:t xml:space="preserve"> suit)</w:t>
      </w:r>
    </w:p>
    <w:p w:rsidR="006F2579" w:rsidRPr="004B4D42" w:rsidRDefault="006F2579" w:rsidP="006F2579">
      <w:pPr>
        <w:widowControl w:val="0"/>
      </w:pPr>
    </w:p>
    <w:p w:rsidR="006F2579" w:rsidRPr="004B4D42" w:rsidRDefault="00B07908" w:rsidP="006F2579">
      <w:pPr>
        <w:widowControl w:val="0"/>
        <w:jc w:val="center"/>
        <w:rPr>
          <w:b/>
        </w:rPr>
      </w:pPr>
      <w:r w:rsidRPr="004B4D42">
        <w:fldChar w:fldCharType="begin"/>
      </w:r>
      <w:r w:rsidR="006F2579" w:rsidRPr="004B4D42">
        <w:instrText xml:space="preserve"> SEQ CHAPTER \h \r 1</w:instrText>
      </w:r>
      <w:r w:rsidRPr="004B4D42">
        <w:fldChar w:fldCharType="end"/>
      </w:r>
      <w:r w:rsidR="006F2579" w:rsidRPr="004B4D42">
        <w:rPr>
          <w:b/>
        </w:rPr>
        <w:t>JUDGMENT</w:t>
      </w:r>
      <w:r w:rsidR="00B17AAC" w:rsidRPr="004B4D42">
        <w:rPr>
          <w:b/>
        </w:rPr>
        <w:t>S</w:t>
      </w:r>
      <w:r w:rsidR="006F2579" w:rsidRPr="004B4D42">
        <w:rPr>
          <w:b/>
        </w:rPr>
        <w:t xml:space="preserve"> TO B</w:t>
      </w:r>
      <w:r w:rsidR="00001846" w:rsidRPr="004B4D42">
        <w:rPr>
          <w:b/>
        </w:rPr>
        <w:t>E RENDERED IN LEAVE APPLICATION</w:t>
      </w:r>
      <w:r w:rsidR="00B17AAC" w:rsidRPr="004B4D42">
        <w:rPr>
          <w:b/>
        </w:rPr>
        <w:t>S</w:t>
      </w:r>
    </w:p>
    <w:p w:rsidR="006F2579" w:rsidRPr="004B4D42" w:rsidRDefault="006F2579" w:rsidP="006F2579">
      <w:pPr>
        <w:widowControl w:val="0"/>
        <w:rPr>
          <w:b/>
        </w:rPr>
      </w:pPr>
    </w:p>
    <w:p w:rsidR="006F2579" w:rsidRPr="004B4D42" w:rsidRDefault="00957342" w:rsidP="006F2579">
      <w:pPr>
        <w:widowControl w:val="0"/>
        <w:rPr>
          <w:b/>
        </w:rPr>
      </w:pPr>
      <w:r>
        <w:rPr>
          <w:b/>
        </w:rPr>
        <w:t>November</w:t>
      </w:r>
      <w:r w:rsidR="0001736B">
        <w:rPr>
          <w:b/>
        </w:rPr>
        <w:t xml:space="preserve"> </w:t>
      </w:r>
      <w:r w:rsidR="00A864D8">
        <w:rPr>
          <w:b/>
        </w:rPr>
        <w:t>9</w:t>
      </w:r>
      <w:r w:rsidR="006F2579" w:rsidRPr="004B4D42">
        <w:rPr>
          <w:b/>
        </w:rPr>
        <w:t xml:space="preserve">, </w:t>
      </w:r>
      <w:r w:rsidR="0054689F">
        <w:rPr>
          <w:b/>
        </w:rPr>
        <w:t>2015</w:t>
      </w:r>
    </w:p>
    <w:p w:rsidR="006F2579" w:rsidRPr="004B4D42" w:rsidRDefault="006F2579" w:rsidP="006F2579">
      <w:pPr>
        <w:widowControl w:val="0"/>
        <w:rPr>
          <w:b/>
        </w:rPr>
      </w:pPr>
      <w:r w:rsidRPr="004B4D42">
        <w:rPr>
          <w:b/>
        </w:rPr>
        <w:t>For immediate release</w:t>
      </w:r>
    </w:p>
    <w:p w:rsidR="006F2579" w:rsidRPr="004B4D42" w:rsidRDefault="006F2579" w:rsidP="006F2579">
      <w:pPr>
        <w:widowControl w:val="0"/>
      </w:pPr>
    </w:p>
    <w:p w:rsidR="006F2579" w:rsidRPr="00ED678A" w:rsidRDefault="006F2579" w:rsidP="006F2579">
      <w:pPr>
        <w:widowControl w:val="0"/>
        <w:rPr>
          <w:lang w:val="fr-CA"/>
        </w:rPr>
      </w:pPr>
      <w:r w:rsidRPr="004B4D42">
        <w:rPr>
          <w:b/>
        </w:rPr>
        <w:t>OTTAWA</w:t>
      </w:r>
      <w:r w:rsidRPr="004B4D42">
        <w:t xml:space="preserve"> – The Supreme Court of Canada announced today that judgment in the following application</w:t>
      </w:r>
      <w:r w:rsidR="008600ED" w:rsidRPr="004B4D42">
        <w:t>s</w:t>
      </w:r>
      <w:r w:rsidRPr="004B4D42">
        <w:t xml:space="preserve"> for leave to appeal will be delivered at 9:45 a.m. E</w:t>
      </w:r>
      <w:r w:rsidR="00957342">
        <w:t>S</w:t>
      </w:r>
      <w:r w:rsidRPr="004B4D42">
        <w:t xml:space="preserve">T on Thursday, </w:t>
      </w:r>
      <w:r w:rsidR="00957342">
        <w:t>Novem</w:t>
      </w:r>
      <w:r w:rsidR="00A024F6">
        <w:t xml:space="preserve">ber </w:t>
      </w:r>
      <w:r w:rsidR="00A864D8">
        <w:t>12</w:t>
      </w:r>
      <w:r w:rsidR="00960719" w:rsidRPr="004B4D42">
        <w:t>,</w:t>
      </w:r>
      <w:r w:rsidR="002F38D7" w:rsidRPr="004B4D42">
        <w:t xml:space="preserve"> </w:t>
      </w:r>
      <w:r w:rsidR="006648D1" w:rsidRPr="004B4D42">
        <w:t>2015</w:t>
      </w:r>
      <w:r w:rsidRPr="004B4D42">
        <w:t xml:space="preserve">.  </w:t>
      </w:r>
      <w:r w:rsidRPr="00ED678A">
        <w:rPr>
          <w:lang w:val="fr-CA"/>
        </w:rPr>
        <w:t>This list is subject to change.</w:t>
      </w:r>
    </w:p>
    <w:p w:rsidR="00D4457A" w:rsidRPr="00ED678A" w:rsidRDefault="00D4457A" w:rsidP="006F2579">
      <w:pPr>
        <w:widowControl w:val="0"/>
        <w:rPr>
          <w:lang w:val="fr-CA"/>
        </w:rPr>
      </w:pPr>
    </w:p>
    <w:p w:rsidR="00FF5AA4" w:rsidRPr="00ED678A" w:rsidRDefault="00FF5AA4" w:rsidP="006F2579">
      <w:pPr>
        <w:widowControl w:val="0"/>
        <w:rPr>
          <w:lang w:val="fr-CA"/>
        </w:rPr>
      </w:pPr>
    </w:p>
    <w:p w:rsidR="006F2579" w:rsidRPr="004B4D42" w:rsidRDefault="006F2579" w:rsidP="006F2579">
      <w:pPr>
        <w:widowControl w:val="0"/>
        <w:jc w:val="center"/>
        <w:rPr>
          <w:lang w:val="fr-CA"/>
        </w:rPr>
      </w:pPr>
      <w:r w:rsidRPr="004B4D42">
        <w:rPr>
          <w:b/>
          <w:lang w:val="fr-CA"/>
        </w:rPr>
        <w:t>PROCHAIN</w:t>
      </w:r>
      <w:r w:rsidR="00B17AAC" w:rsidRPr="004B4D42">
        <w:rPr>
          <w:b/>
          <w:lang w:val="fr-CA"/>
        </w:rPr>
        <w:t>S</w:t>
      </w:r>
      <w:r w:rsidRPr="004B4D42">
        <w:rPr>
          <w:b/>
          <w:lang w:val="fr-CA"/>
        </w:rPr>
        <w:t xml:space="preserve"> JUGEMENT</w:t>
      </w:r>
      <w:r w:rsidR="00B17AAC" w:rsidRPr="004B4D42">
        <w:rPr>
          <w:b/>
          <w:lang w:val="fr-CA"/>
        </w:rPr>
        <w:t>S</w:t>
      </w:r>
      <w:r w:rsidR="00001846" w:rsidRPr="004B4D42">
        <w:rPr>
          <w:b/>
          <w:lang w:val="fr-CA"/>
        </w:rPr>
        <w:t xml:space="preserve"> SUR DEMANDE</w:t>
      </w:r>
      <w:r w:rsidR="00B17AAC" w:rsidRPr="004B4D42">
        <w:rPr>
          <w:b/>
          <w:lang w:val="fr-CA"/>
        </w:rPr>
        <w:t>S</w:t>
      </w:r>
      <w:r w:rsidRPr="004B4D42">
        <w:rPr>
          <w:b/>
          <w:lang w:val="fr-CA"/>
        </w:rPr>
        <w:t xml:space="preserve"> D’AUTORISATION</w:t>
      </w:r>
    </w:p>
    <w:p w:rsidR="006F2579" w:rsidRPr="004B4D42" w:rsidRDefault="006F2579" w:rsidP="006F2579">
      <w:pPr>
        <w:widowControl w:val="0"/>
        <w:rPr>
          <w:lang w:val="fr-CA"/>
        </w:rPr>
      </w:pPr>
    </w:p>
    <w:p w:rsidR="006F2579" w:rsidRPr="004B4D42" w:rsidRDefault="006F2579" w:rsidP="006F2579">
      <w:pPr>
        <w:widowControl w:val="0"/>
        <w:rPr>
          <w:b/>
          <w:lang w:val="fr-CA"/>
        </w:rPr>
      </w:pPr>
      <w:r w:rsidRPr="004B4D42">
        <w:rPr>
          <w:b/>
          <w:lang w:val="fr-CA"/>
        </w:rPr>
        <w:t>Le</w:t>
      </w:r>
      <w:r w:rsidR="00957A76" w:rsidRPr="004B4D42">
        <w:rPr>
          <w:b/>
          <w:lang w:val="fr-CA"/>
        </w:rPr>
        <w:t xml:space="preserve"> </w:t>
      </w:r>
      <w:r w:rsidR="00A864D8">
        <w:rPr>
          <w:b/>
          <w:lang w:val="fr-CA"/>
        </w:rPr>
        <w:t>9</w:t>
      </w:r>
      <w:r w:rsidR="0001736B">
        <w:rPr>
          <w:b/>
          <w:lang w:val="fr-CA"/>
        </w:rPr>
        <w:t xml:space="preserve"> </w:t>
      </w:r>
      <w:r w:rsidR="00957342">
        <w:rPr>
          <w:b/>
          <w:lang w:val="fr-CA"/>
        </w:rPr>
        <w:t>novem</w:t>
      </w:r>
      <w:r w:rsidR="0001736B">
        <w:rPr>
          <w:b/>
          <w:lang w:val="fr-CA"/>
        </w:rPr>
        <w:t>bre</w:t>
      </w:r>
      <w:r w:rsidR="00506A2E" w:rsidRPr="004B4D42">
        <w:rPr>
          <w:b/>
          <w:lang w:val="fr-CA"/>
        </w:rPr>
        <w:t xml:space="preserve"> </w:t>
      </w:r>
      <w:r w:rsidR="006648D1" w:rsidRPr="004B4D42">
        <w:rPr>
          <w:b/>
          <w:lang w:val="fr-CA"/>
        </w:rPr>
        <w:t>2015</w:t>
      </w:r>
    </w:p>
    <w:p w:rsidR="006F2579" w:rsidRPr="004B4D42" w:rsidRDefault="006F2579" w:rsidP="006F2579">
      <w:pPr>
        <w:widowControl w:val="0"/>
        <w:rPr>
          <w:b/>
          <w:lang w:val="fr-CA"/>
        </w:rPr>
      </w:pPr>
      <w:r w:rsidRPr="004B4D42">
        <w:rPr>
          <w:b/>
          <w:lang w:val="fr-CA"/>
        </w:rPr>
        <w:t>Pour diffusion immédiate</w:t>
      </w:r>
    </w:p>
    <w:p w:rsidR="006F2579" w:rsidRPr="004B4D42" w:rsidRDefault="006F2579" w:rsidP="006F2579">
      <w:pPr>
        <w:widowControl w:val="0"/>
        <w:rPr>
          <w:b/>
          <w:lang w:val="fr-CA"/>
        </w:rPr>
      </w:pPr>
    </w:p>
    <w:p w:rsidR="006F2579" w:rsidRPr="004B4D42" w:rsidRDefault="006F2579" w:rsidP="006F2579">
      <w:pPr>
        <w:widowControl w:val="0"/>
        <w:rPr>
          <w:lang w:val="fr-CA"/>
        </w:rPr>
      </w:pPr>
      <w:r w:rsidRPr="004B4D42">
        <w:rPr>
          <w:b/>
          <w:lang w:val="fr-CA"/>
        </w:rPr>
        <w:t>OTTAWA</w:t>
      </w:r>
      <w:r w:rsidRPr="004B4D42">
        <w:rPr>
          <w:lang w:val="fr-CA"/>
        </w:rPr>
        <w:t xml:space="preserve"> – La Cour suprême du Canada annonce que jugement ser</w:t>
      </w:r>
      <w:r w:rsidR="008600ED" w:rsidRPr="004B4D42">
        <w:rPr>
          <w:lang w:val="fr-CA"/>
        </w:rPr>
        <w:t>a</w:t>
      </w:r>
      <w:r w:rsidRPr="004B4D42">
        <w:rPr>
          <w:lang w:val="fr-CA"/>
        </w:rPr>
        <w:t xml:space="preserve"> rendu dans l</w:t>
      </w:r>
      <w:r w:rsidR="008600ED" w:rsidRPr="004B4D42">
        <w:rPr>
          <w:lang w:val="fr-CA"/>
        </w:rPr>
        <w:t>es</w:t>
      </w:r>
      <w:r w:rsidRPr="004B4D42">
        <w:rPr>
          <w:lang w:val="fr-CA"/>
        </w:rPr>
        <w:t xml:space="preserve"> demande</w:t>
      </w:r>
      <w:r w:rsidR="008600ED" w:rsidRPr="004B4D42">
        <w:rPr>
          <w:lang w:val="fr-CA"/>
        </w:rPr>
        <w:t>s</w:t>
      </w:r>
      <w:r w:rsidRPr="004B4D42">
        <w:rPr>
          <w:lang w:val="fr-CA"/>
        </w:rPr>
        <w:t xml:space="preserve"> d</w:t>
      </w:r>
      <w:r w:rsidR="00001846" w:rsidRPr="004B4D42">
        <w:rPr>
          <w:lang w:val="fr-CA"/>
        </w:rPr>
        <w:t>’autorisation d’appel suivante</w:t>
      </w:r>
      <w:r w:rsidR="008600ED" w:rsidRPr="004B4D42">
        <w:rPr>
          <w:lang w:val="fr-CA"/>
        </w:rPr>
        <w:t>s</w:t>
      </w:r>
      <w:r w:rsidRPr="004B4D42">
        <w:rPr>
          <w:lang w:val="fr-CA"/>
        </w:rPr>
        <w:t xml:space="preserve"> le jeudi </w:t>
      </w:r>
      <w:r w:rsidR="00A864D8">
        <w:rPr>
          <w:lang w:val="fr-CA"/>
        </w:rPr>
        <w:t>12</w:t>
      </w:r>
      <w:r w:rsidR="00957342">
        <w:rPr>
          <w:lang w:val="fr-CA"/>
        </w:rPr>
        <w:t xml:space="preserve"> novembre</w:t>
      </w:r>
      <w:r w:rsidR="00533CD5" w:rsidRPr="004B4D42">
        <w:rPr>
          <w:lang w:val="fr-CA"/>
        </w:rPr>
        <w:t xml:space="preserve"> </w:t>
      </w:r>
      <w:r w:rsidR="006648D1" w:rsidRPr="004B4D42">
        <w:rPr>
          <w:lang w:val="fr-CA"/>
        </w:rPr>
        <w:t>2015</w:t>
      </w:r>
      <w:r w:rsidRPr="004B4D42">
        <w:rPr>
          <w:lang w:val="fr-CA"/>
        </w:rPr>
        <w:t xml:space="preserve">, à 9 h 45 </w:t>
      </w:r>
      <w:r w:rsidR="000627A2" w:rsidRPr="004B4D42">
        <w:rPr>
          <w:lang w:val="fr-CA"/>
        </w:rPr>
        <w:t>H</w:t>
      </w:r>
      <w:r w:rsidR="00957342">
        <w:rPr>
          <w:lang w:val="fr-CA"/>
        </w:rPr>
        <w:t>N</w:t>
      </w:r>
      <w:r w:rsidRPr="004B4D42">
        <w:rPr>
          <w:lang w:val="fr-CA"/>
        </w:rPr>
        <w:t>E.  Cette liste est sujette à modifications.</w:t>
      </w:r>
    </w:p>
    <w:p w:rsidR="006F2579" w:rsidRPr="004B4D42" w:rsidRDefault="006F2579" w:rsidP="006F2579">
      <w:pPr>
        <w:widowControl w:val="0"/>
        <w:outlineLvl w:val="0"/>
        <w:rPr>
          <w:szCs w:val="24"/>
          <w:lang w:val="fr-CA"/>
        </w:rPr>
      </w:pPr>
    </w:p>
    <w:p w:rsidR="001838E0" w:rsidRPr="004B4D42" w:rsidRDefault="003D353C" w:rsidP="009B14F4">
      <w:pPr>
        <w:widowControl w:val="0"/>
        <w:jc w:val="both"/>
        <w:rPr>
          <w:sz w:val="20"/>
          <w:lang w:val="fr-CA"/>
        </w:rPr>
      </w:pPr>
      <w:r>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8890" r="11430"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18BCD"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E14D31" w:rsidRDefault="00E14D31" w:rsidP="000B6193">
      <w:pPr>
        <w:jc w:val="both"/>
        <w:rPr>
          <w:sz w:val="20"/>
          <w:lang w:val="fr-CA"/>
        </w:rPr>
      </w:pPr>
    </w:p>
    <w:p w:rsidR="00EF6E6D" w:rsidRPr="00EF6E6D" w:rsidRDefault="00EF6E6D" w:rsidP="00EF6E6D">
      <w:pPr>
        <w:pStyle w:val="ListParagraph"/>
        <w:numPr>
          <w:ilvl w:val="0"/>
          <w:numId w:val="27"/>
        </w:numPr>
        <w:ind w:left="360"/>
        <w:jc w:val="both"/>
        <w:rPr>
          <w:sz w:val="20"/>
          <w:lang w:val="en-CA" w:eastAsia="en-CA"/>
        </w:rPr>
      </w:pPr>
      <w:r w:rsidRPr="00EF6E6D">
        <w:rPr>
          <w:i/>
          <w:sz w:val="20"/>
          <w:lang w:val="en-CA" w:eastAsia="en-CA"/>
        </w:rPr>
        <w:t>Daniel Charlton v. Her Majesty the Queen</w:t>
      </w:r>
      <w:r w:rsidR="00D9772E">
        <w:rPr>
          <w:sz w:val="20"/>
          <w:lang w:val="en-CA" w:eastAsia="en-CA"/>
        </w:rPr>
        <w:t xml:space="preserve"> </w:t>
      </w:r>
      <w:r w:rsidRPr="00EF6E6D">
        <w:rPr>
          <w:sz w:val="20"/>
          <w:lang w:val="en-CA" w:eastAsia="en-CA"/>
        </w:rPr>
        <w:t>(Ont.) (Criminal) (By Leave) (</w:t>
      </w:r>
      <w:hyperlink r:id="rId8" w:history="1">
        <w:r w:rsidRPr="00D9772E">
          <w:rPr>
            <w:rStyle w:val="Hyperlink"/>
            <w:sz w:val="20"/>
            <w:lang w:val="en-CA" w:eastAsia="en-CA"/>
          </w:rPr>
          <w:t>36529</w:t>
        </w:r>
      </w:hyperlink>
      <w:r w:rsidRPr="00EF6E6D">
        <w:rPr>
          <w:sz w:val="20"/>
          <w:lang w:val="en-CA" w:eastAsia="en-CA"/>
        </w:rPr>
        <w:t>)</w:t>
      </w:r>
    </w:p>
    <w:p w:rsidR="00EF6E6D" w:rsidRPr="00EF6E6D" w:rsidRDefault="00EF6E6D" w:rsidP="00EF6E6D">
      <w:pPr>
        <w:ind w:left="360" w:hanging="360"/>
        <w:jc w:val="both"/>
        <w:rPr>
          <w:sz w:val="20"/>
          <w:lang w:val="en-CA" w:eastAsia="en-CA"/>
        </w:rPr>
      </w:pPr>
    </w:p>
    <w:p w:rsidR="00EF6E6D" w:rsidRPr="00EF6E6D" w:rsidRDefault="00EF6E6D" w:rsidP="00EF6E6D">
      <w:pPr>
        <w:pStyle w:val="ListParagraph"/>
        <w:numPr>
          <w:ilvl w:val="0"/>
          <w:numId w:val="27"/>
        </w:numPr>
        <w:ind w:left="360"/>
        <w:rPr>
          <w:sz w:val="20"/>
          <w:lang w:val="en-CA"/>
        </w:rPr>
      </w:pPr>
      <w:r w:rsidRPr="00EF6E6D">
        <w:rPr>
          <w:i/>
          <w:sz w:val="20"/>
          <w:lang w:val="en-CA"/>
        </w:rPr>
        <w:t xml:space="preserve">BC Freedom of Information and Privacy Association v. Attorney General of British Columbia </w:t>
      </w:r>
      <w:r w:rsidRPr="00EF6E6D">
        <w:rPr>
          <w:sz w:val="20"/>
          <w:lang w:val="en-CA"/>
        </w:rPr>
        <w:t>(B.C.) (Civil) (By Leave) (</w:t>
      </w:r>
      <w:hyperlink r:id="rId9" w:history="1">
        <w:r w:rsidRPr="00D9772E">
          <w:rPr>
            <w:rStyle w:val="Hyperlink"/>
            <w:sz w:val="20"/>
            <w:lang w:val="en-CA"/>
          </w:rPr>
          <w:t>36495</w:t>
        </w:r>
      </w:hyperlink>
      <w:r w:rsidRPr="00EF6E6D">
        <w:rPr>
          <w:sz w:val="20"/>
          <w:lang w:val="en-CA"/>
        </w:rPr>
        <w:t>)</w:t>
      </w:r>
    </w:p>
    <w:p w:rsidR="00EF6E6D" w:rsidRPr="00EF6E6D" w:rsidRDefault="00EF6E6D" w:rsidP="00EF6E6D">
      <w:pPr>
        <w:ind w:left="360" w:hanging="360"/>
        <w:rPr>
          <w:sz w:val="20"/>
          <w:lang w:val="en-CA"/>
        </w:rPr>
      </w:pPr>
    </w:p>
    <w:p w:rsidR="00EF6E6D" w:rsidRPr="00EF6E6D" w:rsidRDefault="00EF6E6D" w:rsidP="000B6193">
      <w:pPr>
        <w:jc w:val="both"/>
        <w:rPr>
          <w:sz w:val="20"/>
        </w:rPr>
      </w:pPr>
    </w:p>
    <w:p w:rsidR="00F70C8A" w:rsidRDefault="00F70C8A" w:rsidP="009550BB">
      <w:pPr>
        <w:ind w:left="360" w:hanging="36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377675" w:rsidRPr="00377675" w:rsidTr="00107F04">
        <w:tc>
          <w:tcPr>
            <w:tcW w:w="543" w:type="pct"/>
          </w:tcPr>
          <w:p w:rsidR="00377675" w:rsidRPr="00377675" w:rsidRDefault="00377675" w:rsidP="00377675">
            <w:pPr>
              <w:jc w:val="both"/>
              <w:rPr>
                <w:rFonts w:eastAsiaTheme="minorHAnsi" w:cstheme="minorBidi"/>
                <w:sz w:val="20"/>
                <w:lang w:val="en-CA"/>
              </w:rPr>
            </w:pPr>
            <w:r w:rsidRPr="00BD3F9E">
              <w:rPr>
                <w:rFonts w:eastAsiaTheme="minorHAnsi" w:cstheme="minorBidi"/>
                <w:b/>
                <w:sz w:val="20"/>
                <w:lang w:val="en-CA"/>
              </w:rPr>
              <w:t>36529</w:t>
            </w:r>
          </w:p>
        </w:tc>
        <w:tc>
          <w:tcPr>
            <w:tcW w:w="4457" w:type="pct"/>
            <w:gridSpan w:val="3"/>
          </w:tcPr>
          <w:p w:rsidR="00377675" w:rsidRPr="00377675" w:rsidRDefault="00377675" w:rsidP="00377675">
            <w:pPr>
              <w:jc w:val="both"/>
              <w:rPr>
                <w:rFonts w:eastAsiaTheme="minorHAnsi" w:cstheme="minorBidi"/>
                <w:b/>
                <w:sz w:val="20"/>
                <w:lang w:val="en-CA"/>
              </w:rPr>
            </w:pPr>
            <w:r w:rsidRPr="00377675">
              <w:rPr>
                <w:rFonts w:eastAsiaTheme="minorHAnsi" w:cstheme="minorBidi"/>
                <w:b/>
                <w:sz w:val="20"/>
                <w:lang w:val="en-CA"/>
              </w:rPr>
              <w:t>Daniel Charlton v. Her Majesty the Queen</w:t>
            </w:r>
          </w:p>
          <w:p w:rsidR="00377675" w:rsidRPr="00377675" w:rsidRDefault="00377675" w:rsidP="006E0A35">
            <w:pPr>
              <w:jc w:val="both"/>
              <w:rPr>
                <w:rFonts w:eastAsiaTheme="minorHAnsi" w:cstheme="minorBidi"/>
                <w:sz w:val="20"/>
                <w:lang w:val="en-CA"/>
              </w:rPr>
            </w:pPr>
            <w:r w:rsidRPr="00377675">
              <w:rPr>
                <w:rFonts w:eastAsiaTheme="minorHAnsi" w:cstheme="minorBidi"/>
                <w:sz w:val="20"/>
                <w:lang w:val="en-CA"/>
              </w:rPr>
              <w:t>(Ont.) (Criminal) (By Leave)</w:t>
            </w:r>
          </w:p>
        </w:tc>
      </w:tr>
      <w:tr w:rsidR="00377675" w:rsidRPr="00377675" w:rsidTr="00107F04">
        <w:tc>
          <w:tcPr>
            <w:tcW w:w="5000" w:type="pct"/>
            <w:gridSpan w:val="4"/>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Criminal law – Appeals – Evidence – Identity – Application for a mistrial dismissed – What is the legal test for the presumption that a trial judge is presumed to know the law – Whether the trial judge misapprehended the evidence of identity – What is the appropriate standard of review to apply – Whether the Court of Appeal erred in law.</w:t>
            </w:r>
          </w:p>
        </w:tc>
      </w:tr>
      <w:tr w:rsidR="00377675" w:rsidRPr="00377675" w:rsidTr="00107F04">
        <w:tc>
          <w:tcPr>
            <w:tcW w:w="5000" w:type="pct"/>
            <w:gridSpan w:val="4"/>
          </w:tcPr>
          <w:p w:rsidR="00377675" w:rsidRPr="00377675" w:rsidRDefault="00377675" w:rsidP="00377675">
            <w:pPr>
              <w:jc w:val="both"/>
              <w:rPr>
                <w:rFonts w:eastAsiaTheme="minorHAnsi" w:cstheme="minorBidi"/>
                <w:sz w:val="20"/>
                <w:lang w:val="en-CA"/>
              </w:rPr>
            </w:pPr>
          </w:p>
        </w:tc>
      </w:tr>
      <w:tr w:rsidR="00377675" w:rsidRPr="00377675" w:rsidTr="00107F04">
        <w:tc>
          <w:tcPr>
            <w:tcW w:w="5000" w:type="pct"/>
            <w:gridSpan w:val="4"/>
          </w:tcPr>
          <w:p w:rsidR="00377675" w:rsidRPr="00377675" w:rsidRDefault="00377675" w:rsidP="00377675">
            <w:pPr>
              <w:jc w:val="both"/>
              <w:rPr>
                <w:rFonts w:eastAsiaTheme="minorHAnsi"/>
                <w:sz w:val="20"/>
                <w:lang w:val="en-CA"/>
              </w:rPr>
            </w:pPr>
            <w:r w:rsidRPr="00377675">
              <w:rPr>
                <w:rFonts w:eastAsiaTheme="minorHAnsi" w:cstheme="minorBidi"/>
                <w:sz w:val="20"/>
                <w:lang w:val="en-CA"/>
              </w:rPr>
              <w:t>There was a knock on the door of a family home late one night. The family’s 15 year old boy answered. Three masked men forced their way into the home by jabbing the muzzle of a sawed-off shotgun into his stomach. They bound his wrists with packing tape, ransacked the house and stole electronics, two televisions, video games and the keys to the family Mercedes. Two left with the car. The third went out the back door. At trial, the applicant’s application for a mistrial was dismissed. The main issue</w:t>
            </w:r>
            <w:r w:rsidRPr="00377675">
              <w:rPr>
                <w:rFonts w:eastAsiaTheme="minorHAnsi"/>
                <w:sz w:val="20"/>
                <w:lang w:val="en-CA"/>
              </w:rPr>
              <w:t xml:space="preserve"> at trial was identity. The applicant was convicted of multiple counts relating to the robbery, the confinement and various firearms counts. The applicant’s appeal from conviction was dismissed.</w:t>
            </w:r>
          </w:p>
          <w:p w:rsidR="00377675" w:rsidRPr="00377675" w:rsidRDefault="00377675" w:rsidP="00377675">
            <w:pPr>
              <w:jc w:val="both"/>
              <w:rPr>
                <w:rFonts w:eastAsiaTheme="minorHAnsi"/>
                <w:sz w:val="20"/>
                <w:lang w:val="en-CA"/>
              </w:rPr>
            </w:pPr>
          </w:p>
        </w:tc>
      </w:tr>
      <w:tr w:rsidR="00377675" w:rsidRPr="00377675" w:rsidTr="00107F04">
        <w:tc>
          <w:tcPr>
            <w:tcW w:w="2427" w:type="pct"/>
            <w:gridSpan w:val="2"/>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lastRenderedPageBreak/>
              <w:t>April 26, 2011</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Ontario Superior Court of Justice</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(O'Connor J.)</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2011 ONSC 1793</w:t>
            </w:r>
          </w:p>
          <w:p w:rsidR="00377675" w:rsidRPr="00BD3F9E" w:rsidRDefault="00ED678A" w:rsidP="00377675">
            <w:pPr>
              <w:jc w:val="both"/>
              <w:rPr>
                <w:rFonts w:eastAsiaTheme="minorHAnsi" w:cstheme="minorBidi"/>
                <w:sz w:val="20"/>
                <w:lang w:val="en-CA"/>
              </w:rPr>
            </w:pPr>
            <w:hyperlink r:id="rId10" w:history="1">
              <w:r w:rsidR="00377675" w:rsidRPr="00BD3F9E">
                <w:rPr>
                  <w:rFonts w:eastAsiaTheme="minorHAnsi" w:cstheme="minorBidi"/>
                  <w:color w:val="0000FF" w:themeColor="hyperlink"/>
                  <w:sz w:val="20"/>
                  <w:u w:val="single"/>
                  <w:lang w:val="en-CA"/>
                </w:rPr>
                <w:t>http://canlii.ca/t/fl610</w:t>
              </w:r>
            </w:hyperlink>
          </w:p>
          <w:p w:rsidR="00377675" w:rsidRPr="00377675" w:rsidRDefault="00377675" w:rsidP="00377675">
            <w:pPr>
              <w:jc w:val="both"/>
              <w:rPr>
                <w:rFonts w:eastAsiaTheme="minorHAnsi" w:cstheme="minorBidi"/>
                <w:sz w:val="20"/>
                <w:lang w:val="en-CA"/>
              </w:rPr>
            </w:pPr>
          </w:p>
        </w:tc>
        <w:tc>
          <w:tcPr>
            <w:tcW w:w="243" w:type="pct"/>
          </w:tcPr>
          <w:p w:rsidR="00377675" w:rsidRPr="00377675" w:rsidRDefault="00377675" w:rsidP="00377675">
            <w:pPr>
              <w:jc w:val="both"/>
              <w:rPr>
                <w:rFonts w:eastAsiaTheme="minorHAnsi" w:cstheme="minorBidi"/>
                <w:sz w:val="20"/>
                <w:lang w:val="en-CA"/>
              </w:rPr>
            </w:pPr>
          </w:p>
        </w:tc>
        <w:tc>
          <w:tcPr>
            <w:tcW w:w="2330" w:type="pct"/>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Convictions: robbery, robbery while masked; unlawful confinement; possession of a loaded restricted firearm; possession of a prohibited firearm; possession of stolen property; breach of a recognizance</w:t>
            </w:r>
          </w:p>
          <w:p w:rsidR="00377675" w:rsidRPr="00377675" w:rsidRDefault="00377675" w:rsidP="00377675">
            <w:pPr>
              <w:jc w:val="both"/>
              <w:rPr>
                <w:rFonts w:eastAsiaTheme="minorHAnsi" w:cstheme="minorBidi"/>
                <w:sz w:val="20"/>
                <w:lang w:val="en-CA"/>
              </w:rPr>
            </w:pPr>
          </w:p>
        </w:tc>
      </w:tr>
      <w:tr w:rsidR="00377675" w:rsidRPr="00377675" w:rsidTr="00107F04">
        <w:tc>
          <w:tcPr>
            <w:tcW w:w="2427" w:type="pct"/>
            <w:gridSpan w:val="2"/>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April 30, 2015</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Court of Appeal for Ontario</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 xml:space="preserve">(Watt, </w:t>
            </w:r>
            <w:proofErr w:type="spellStart"/>
            <w:r w:rsidRPr="00377675">
              <w:rPr>
                <w:rFonts w:eastAsiaTheme="minorHAnsi" w:cstheme="minorBidi"/>
                <w:sz w:val="20"/>
                <w:lang w:val="en-CA"/>
              </w:rPr>
              <w:t>Pepall</w:t>
            </w:r>
            <w:proofErr w:type="spellEnd"/>
            <w:r w:rsidRPr="00377675">
              <w:rPr>
                <w:rFonts w:eastAsiaTheme="minorHAnsi" w:cstheme="minorBidi"/>
                <w:sz w:val="20"/>
                <w:lang w:val="en-CA"/>
              </w:rPr>
              <w:t xml:space="preserve">, </w:t>
            </w:r>
            <w:proofErr w:type="spellStart"/>
            <w:r w:rsidRPr="00377675">
              <w:rPr>
                <w:rFonts w:eastAsiaTheme="minorHAnsi" w:cstheme="minorBidi"/>
                <w:sz w:val="20"/>
                <w:lang w:val="en-CA"/>
              </w:rPr>
              <w:t>Benotto</w:t>
            </w:r>
            <w:proofErr w:type="spellEnd"/>
            <w:r w:rsidRPr="00377675">
              <w:rPr>
                <w:rFonts w:eastAsiaTheme="minorHAnsi" w:cstheme="minorBidi"/>
                <w:sz w:val="20"/>
                <w:lang w:val="en-CA"/>
              </w:rPr>
              <w:t xml:space="preserve"> JJ.A.)</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2015 ONCA 299, C54069</w:t>
            </w:r>
          </w:p>
          <w:p w:rsidR="00377675" w:rsidRPr="00BD3F9E" w:rsidRDefault="00ED678A" w:rsidP="00377675">
            <w:pPr>
              <w:jc w:val="both"/>
              <w:rPr>
                <w:rFonts w:eastAsiaTheme="minorHAnsi" w:cstheme="minorBidi"/>
                <w:sz w:val="20"/>
                <w:lang w:val="en-CA"/>
              </w:rPr>
            </w:pPr>
            <w:hyperlink r:id="rId11" w:history="1">
              <w:r w:rsidR="00377675" w:rsidRPr="00BD3F9E">
                <w:rPr>
                  <w:rFonts w:eastAsiaTheme="minorHAnsi" w:cstheme="minorBidi"/>
                  <w:color w:val="0000FF" w:themeColor="hyperlink"/>
                  <w:sz w:val="20"/>
                  <w:u w:val="single"/>
                  <w:lang w:val="en-CA"/>
                </w:rPr>
                <w:t>http://canlii.ca/t/ghd9k</w:t>
              </w:r>
            </w:hyperlink>
          </w:p>
          <w:p w:rsidR="00377675" w:rsidRPr="00377675" w:rsidRDefault="00377675" w:rsidP="00377675">
            <w:pPr>
              <w:jc w:val="both"/>
              <w:rPr>
                <w:rFonts w:eastAsiaTheme="minorHAnsi" w:cstheme="minorBidi"/>
                <w:sz w:val="20"/>
                <w:lang w:val="en-CA"/>
              </w:rPr>
            </w:pPr>
          </w:p>
        </w:tc>
        <w:tc>
          <w:tcPr>
            <w:tcW w:w="243" w:type="pct"/>
          </w:tcPr>
          <w:p w:rsidR="00377675" w:rsidRPr="00377675" w:rsidRDefault="00377675" w:rsidP="00377675">
            <w:pPr>
              <w:jc w:val="both"/>
              <w:rPr>
                <w:rFonts w:eastAsiaTheme="minorHAnsi" w:cstheme="minorBidi"/>
                <w:sz w:val="20"/>
                <w:lang w:val="en-CA"/>
              </w:rPr>
            </w:pPr>
          </w:p>
        </w:tc>
        <w:tc>
          <w:tcPr>
            <w:tcW w:w="2330" w:type="pct"/>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Appeal dismissed</w:t>
            </w:r>
          </w:p>
          <w:p w:rsidR="00377675" w:rsidRPr="00377675" w:rsidRDefault="00377675" w:rsidP="00377675">
            <w:pPr>
              <w:jc w:val="both"/>
              <w:rPr>
                <w:rFonts w:eastAsiaTheme="minorHAnsi" w:cstheme="minorBidi"/>
                <w:sz w:val="20"/>
                <w:lang w:val="en-CA"/>
              </w:rPr>
            </w:pPr>
          </w:p>
          <w:p w:rsidR="00377675" w:rsidRPr="00377675" w:rsidRDefault="00377675" w:rsidP="00377675">
            <w:pPr>
              <w:jc w:val="both"/>
              <w:rPr>
                <w:rFonts w:eastAsiaTheme="minorHAnsi" w:cstheme="minorBidi"/>
                <w:sz w:val="20"/>
                <w:lang w:val="en-CA"/>
              </w:rPr>
            </w:pPr>
          </w:p>
        </w:tc>
      </w:tr>
      <w:tr w:rsidR="00377675" w:rsidRPr="00377675" w:rsidTr="00107F04">
        <w:tc>
          <w:tcPr>
            <w:tcW w:w="2427" w:type="pct"/>
            <w:gridSpan w:val="2"/>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July 30, 2015</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Supreme Court of Canada</w:t>
            </w:r>
          </w:p>
          <w:p w:rsidR="00377675" w:rsidRPr="00377675" w:rsidRDefault="00377675" w:rsidP="00377675">
            <w:pPr>
              <w:jc w:val="both"/>
              <w:rPr>
                <w:rFonts w:eastAsiaTheme="minorHAnsi" w:cstheme="minorBidi"/>
                <w:sz w:val="20"/>
                <w:lang w:val="en-CA"/>
              </w:rPr>
            </w:pPr>
          </w:p>
          <w:p w:rsidR="00377675" w:rsidRPr="00377675" w:rsidRDefault="00377675" w:rsidP="00377675">
            <w:pPr>
              <w:jc w:val="both"/>
              <w:rPr>
                <w:rFonts w:eastAsiaTheme="minorHAnsi" w:cstheme="minorBidi"/>
                <w:sz w:val="20"/>
                <w:lang w:val="en-CA"/>
              </w:rPr>
            </w:pPr>
          </w:p>
        </w:tc>
        <w:tc>
          <w:tcPr>
            <w:tcW w:w="243" w:type="pct"/>
          </w:tcPr>
          <w:p w:rsidR="00377675" w:rsidRPr="00377675" w:rsidRDefault="00377675" w:rsidP="00377675">
            <w:pPr>
              <w:jc w:val="both"/>
              <w:rPr>
                <w:rFonts w:eastAsiaTheme="minorHAnsi" w:cstheme="minorBidi"/>
                <w:sz w:val="20"/>
                <w:lang w:val="en-CA"/>
              </w:rPr>
            </w:pPr>
          </w:p>
        </w:tc>
        <w:tc>
          <w:tcPr>
            <w:tcW w:w="2330" w:type="pct"/>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Motion for an extension of time to serve and file the application for leave to appeal and application for leave to appeal filed</w:t>
            </w:r>
          </w:p>
          <w:p w:rsidR="00377675" w:rsidRPr="00377675" w:rsidRDefault="00377675" w:rsidP="00377675">
            <w:pPr>
              <w:jc w:val="both"/>
              <w:rPr>
                <w:rFonts w:eastAsiaTheme="minorHAnsi" w:cstheme="minorBidi"/>
                <w:sz w:val="20"/>
                <w:lang w:val="en-CA"/>
              </w:rPr>
            </w:pPr>
          </w:p>
        </w:tc>
      </w:tr>
    </w:tbl>
    <w:p w:rsidR="00377675" w:rsidRPr="00377675" w:rsidRDefault="00377675" w:rsidP="00377675">
      <w:pPr>
        <w:jc w:val="both"/>
        <w:rPr>
          <w:rFonts w:eastAsiaTheme="minorHAnsi" w:cstheme="minorBidi"/>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377675" w:rsidRPr="00377675" w:rsidTr="00107F04">
        <w:tc>
          <w:tcPr>
            <w:tcW w:w="543" w:type="pct"/>
          </w:tcPr>
          <w:p w:rsidR="00377675" w:rsidRPr="00377675" w:rsidRDefault="00377675" w:rsidP="00377675">
            <w:pPr>
              <w:jc w:val="both"/>
              <w:rPr>
                <w:rFonts w:eastAsiaTheme="minorHAnsi" w:cstheme="minorBidi"/>
                <w:sz w:val="20"/>
                <w:lang w:val="fr-CA"/>
              </w:rPr>
            </w:pPr>
            <w:r w:rsidRPr="00BD3F9E">
              <w:rPr>
                <w:rFonts w:eastAsiaTheme="minorHAnsi" w:cstheme="minorBidi"/>
                <w:b/>
                <w:sz w:val="20"/>
                <w:lang w:val="fr-CA"/>
              </w:rPr>
              <w:t>36529</w:t>
            </w:r>
          </w:p>
        </w:tc>
        <w:tc>
          <w:tcPr>
            <w:tcW w:w="4457" w:type="pct"/>
            <w:gridSpan w:val="3"/>
          </w:tcPr>
          <w:p w:rsidR="00377675" w:rsidRPr="00377675" w:rsidRDefault="00377675" w:rsidP="00377675">
            <w:pPr>
              <w:jc w:val="both"/>
              <w:rPr>
                <w:rFonts w:eastAsiaTheme="minorHAnsi" w:cstheme="minorBidi"/>
                <w:b/>
                <w:sz w:val="20"/>
                <w:lang w:val="fr-CA"/>
              </w:rPr>
            </w:pPr>
            <w:r w:rsidRPr="00377675">
              <w:rPr>
                <w:rFonts w:eastAsiaTheme="minorHAnsi" w:cstheme="minorBidi"/>
                <w:b/>
                <w:sz w:val="20"/>
                <w:lang w:val="fr-CA"/>
              </w:rPr>
              <w:t>Daniel Charlton c. Sa Majesté la Reine</w:t>
            </w:r>
          </w:p>
          <w:p w:rsidR="00377675" w:rsidRPr="00377675" w:rsidRDefault="00377675" w:rsidP="006E0A35">
            <w:pPr>
              <w:jc w:val="both"/>
              <w:rPr>
                <w:rFonts w:eastAsiaTheme="minorHAnsi" w:cstheme="minorBidi"/>
                <w:sz w:val="20"/>
                <w:lang w:val="fr-CA"/>
              </w:rPr>
            </w:pPr>
            <w:r w:rsidRPr="00377675">
              <w:rPr>
                <w:rFonts w:eastAsiaTheme="minorHAnsi" w:cstheme="minorBidi"/>
                <w:sz w:val="20"/>
                <w:lang w:val="fr-CA"/>
              </w:rPr>
              <w:t>(Ont.) (Criminelle) (Sur autorisation)</w:t>
            </w:r>
          </w:p>
        </w:tc>
      </w:tr>
      <w:tr w:rsidR="00377675" w:rsidRPr="00ED678A" w:rsidTr="00107F04">
        <w:tc>
          <w:tcPr>
            <w:tcW w:w="5000" w:type="pct"/>
            <w:gridSpan w:val="4"/>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 xml:space="preserve">Droit criminel – Appels – Preuve – Identité – Demande d’annulation du procès rejetée – Quel est le critère juridique de la présomption selon laquelle le juge du procès est censé connaître le droit? – Le juge de procès </w:t>
            </w:r>
            <w:proofErr w:type="spellStart"/>
            <w:r w:rsidRPr="00377675">
              <w:rPr>
                <w:rFonts w:eastAsiaTheme="minorHAnsi" w:cstheme="minorBidi"/>
                <w:sz w:val="20"/>
                <w:lang w:val="fr-CA"/>
              </w:rPr>
              <w:t>a-t-il</w:t>
            </w:r>
            <w:proofErr w:type="spellEnd"/>
            <w:r w:rsidRPr="00377675">
              <w:rPr>
                <w:rFonts w:eastAsiaTheme="minorHAnsi" w:cstheme="minorBidi"/>
                <w:sz w:val="20"/>
                <w:lang w:val="fr-CA"/>
              </w:rPr>
              <w:t xml:space="preserve"> mal interprété la preuve d’identité? – Quelle norme de contrôle convient-il d’appliquer? – La Cour d’appel a-t-elle commis une erreur de droit?</w:t>
            </w:r>
          </w:p>
        </w:tc>
      </w:tr>
      <w:tr w:rsidR="00377675" w:rsidRPr="00ED678A" w:rsidTr="00107F04">
        <w:tc>
          <w:tcPr>
            <w:tcW w:w="5000" w:type="pct"/>
            <w:gridSpan w:val="4"/>
          </w:tcPr>
          <w:p w:rsidR="00377675" w:rsidRPr="00377675" w:rsidRDefault="00377675" w:rsidP="00377675">
            <w:pPr>
              <w:jc w:val="both"/>
              <w:rPr>
                <w:rFonts w:eastAsiaTheme="minorHAnsi" w:cstheme="minorBidi"/>
                <w:sz w:val="20"/>
                <w:lang w:val="fr-CA"/>
              </w:rPr>
            </w:pPr>
          </w:p>
        </w:tc>
      </w:tr>
      <w:tr w:rsidR="00377675" w:rsidRPr="00ED678A" w:rsidTr="00107F04">
        <w:tc>
          <w:tcPr>
            <w:tcW w:w="5000" w:type="pct"/>
            <w:gridSpan w:val="4"/>
          </w:tcPr>
          <w:p w:rsidR="00377675" w:rsidRPr="00377675" w:rsidRDefault="00377675" w:rsidP="00377675">
            <w:pPr>
              <w:jc w:val="both"/>
              <w:rPr>
                <w:rFonts w:eastAsiaTheme="minorHAnsi"/>
                <w:sz w:val="20"/>
                <w:lang w:val="fr-CA"/>
              </w:rPr>
            </w:pPr>
            <w:r w:rsidRPr="00377675">
              <w:rPr>
                <w:rFonts w:eastAsiaTheme="minorHAnsi" w:cstheme="minorBidi"/>
                <w:sz w:val="20"/>
                <w:lang w:val="fr-CA"/>
              </w:rPr>
              <w:t>Des coups sont frappés à la porte d’un domicile familial tard dans la soirée. Le fils de 15 ans répond. Trois hommes masqués s’introduisent de force dans la maison en lui enfonçant le canon d’un fusil de chasse à canon scié dans l’estomac. Ils lui attachent les poignets avec du ruban d’emballage, pillent la maison et volent des appareils électroniques, deux télévisions, des jeux vidéo ainsi que les clés de la Mercedes familiale. Deux d’entre eux partent avec la voiture. Le troisième sort par la porte arrière. Le juge de première instance rejette la demande d’annulation du procès présentée par le demandeur. La question principale soulevée au procès porte sur l’identité</w:t>
            </w:r>
            <w:r w:rsidRPr="00377675">
              <w:rPr>
                <w:rFonts w:eastAsiaTheme="minorHAnsi"/>
                <w:sz w:val="20"/>
                <w:lang w:val="fr-CA"/>
              </w:rPr>
              <w:t>. Le demandeur est déclaré coupable de multiples chefs d’accusation relatifs au vol et à la séquestration, et de divers chefs liés aux armes à feu. L’appel interjeté par le demandeur contre la déclaration de culpabilité est rejeté.</w:t>
            </w:r>
          </w:p>
          <w:p w:rsidR="00377675" w:rsidRPr="00377675" w:rsidRDefault="00377675" w:rsidP="00377675">
            <w:pPr>
              <w:jc w:val="both"/>
              <w:rPr>
                <w:rFonts w:eastAsiaTheme="minorHAnsi"/>
                <w:sz w:val="20"/>
                <w:lang w:val="fr-CA"/>
              </w:rPr>
            </w:pPr>
          </w:p>
        </w:tc>
      </w:tr>
      <w:tr w:rsidR="00377675" w:rsidRPr="00ED678A" w:rsidTr="00107F04">
        <w:tc>
          <w:tcPr>
            <w:tcW w:w="2427" w:type="pct"/>
            <w:gridSpan w:val="2"/>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26 avril 2011</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Cour supérieure de justice de l’Ontario</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 xml:space="preserve">(Juge </w:t>
            </w:r>
            <w:proofErr w:type="spellStart"/>
            <w:r w:rsidRPr="00377675">
              <w:rPr>
                <w:rFonts w:eastAsiaTheme="minorHAnsi" w:cstheme="minorBidi"/>
                <w:sz w:val="20"/>
                <w:lang w:val="fr-CA"/>
              </w:rPr>
              <w:t>O’Connor</w:t>
            </w:r>
            <w:proofErr w:type="spellEnd"/>
            <w:r w:rsidRPr="00377675">
              <w:rPr>
                <w:rFonts w:eastAsiaTheme="minorHAnsi" w:cstheme="minorBidi"/>
                <w:sz w:val="20"/>
                <w:lang w:val="fr-CA"/>
              </w:rPr>
              <w:t>)</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2011 ONSC 1793</w:t>
            </w:r>
          </w:p>
          <w:p w:rsidR="00377675" w:rsidRPr="00BD3F9E" w:rsidRDefault="00ED678A" w:rsidP="00377675">
            <w:pPr>
              <w:jc w:val="both"/>
              <w:rPr>
                <w:rFonts w:eastAsiaTheme="minorHAnsi" w:cstheme="minorBidi"/>
                <w:sz w:val="20"/>
                <w:lang w:val="fr-CA"/>
              </w:rPr>
            </w:pPr>
            <w:hyperlink r:id="rId12" w:history="1">
              <w:r w:rsidR="00377675" w:rsidRPr="00BD3F9E">
                <w:rPr>
                  <w:rFonts w:eastAsiaTheme="minorHAnsi" w:cstheme="minorBidi"/>
                  <w:color w:val="0000FF" w:themeColor="hyperlink"/>
                  <w:sz w:val="20"/>
                  <w:u w:val="single"/>
                  <w:lang w:val="fr-CA"/>
                </w:rPr>
                <w:t>http://canlii.ca/t/fl610</w:t>
              </w:r>
            </w:hyperlink>
          </w:p>
          <w:p w:rsidR="00377675" w:rsidRPr="00377675" w:rsidRDefault="00377675" w:rsidP="00377675">
            <w:pPr>
              <w:jc w:val="both"/>
              <w:rPr>
                <w:rFonts w:eastAsiaTheme="minorHAnsi" w:cstheme="minorBidi"/>
                <w:sz w:val="20"/>
                <w:lang w:val="fr-CA"/>
              </w:rPr>
            </w:pPr>
          </w:p>
        </w:tc>
        <w:tc>
          <w:tcPr>
            <w:tcW w:w="243" w:type="pct"/>
          </w:tcPr>
          <w:p w:rsidR="00377675" w:rsidRPr="00377675" w:rsidRDefault="00377675" w:rsidP="00377675">
            <w:pPr>
              <w:jc w:val="both"/>
              <w:rPr>
                <w:rFonts w:eastAsiaTheme="minorHAnsi" w:cstheme="minorBidi"/>
                <w:sz w:val="20"/>
                <w:lang w:val="fr-CA"/>
              </w:rPr>
            </w:pPr>
          </w:p>
        </w:tc>
        <w:tc>
          <w:tcPr>
            <w:tcW w:w="2330" w:type="pct"/>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Déclarations de culpabilité : vol et vol en ayant le visage couvert d’un masque; séquestration; possession d’une arme à feu à autorisation restreinte chargée; possession d’une arme à feu prohibée; possession de biens volés; manquement à l’engagement</w:t>
            </w:r>
          </w:p>
          <w:p w:rsidR="00377675" w:rsidRPr="00377675" w:rsidRDefault="00377675" w:rsidP="00377675">
            <w:pPr>
              <w:jc w:val="both"/>
              <w:rPr>
                <w:rFonts w:eastAsiaTheme="minorHAnsi" w:cstheme="minorBidi"/>
                <w:sz w:val="20"/>
                <w:lang w:val="fr-CA"/>
              </w:rPr>
            </w:pPr>
          </w:p>
        </w:tc>
      </w:tr>
      <w:tr w:rsidR="00377675" w:rsidRPr="00377675" w:rsidTr="00107F04">
        <w:tc>
          <w:tcPr>
            <w:tcW w:w="2427" w:type="pct"/>
            <w:gridSpan w:val="2"/>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30 avril 2015</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Cour d’appel de l’Ontario</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 xml:space="preserve">(Juges Watt, </w:t>
            </w:r>
            <w:proofErr w:type="spellStart"/>
            <w:r w:rsidRPr="00377675">
              <w:rPr>
                <w:rFonts w:eastAsiaTheme="minorHAnsi" w:cstheme="minorBidi"/>
                <w:sz w:val="20"/>
                <w:lang w:val="fr-CA"/>
              </w:rPr>
              <w:t>Pepall</w:t>
            </w:r>
            <w:proofErr w:type="spellEnd"/>
            <w:r w:rsidRPr="00377675">
              <w:rPr>
                <w:rFonts w:eastAsiaTheme="minorHAnsi" w:cstheme="minorBidi"/>
                <w:sz w:val="20"/>
                <w:lang w:val="fr-CA"/>
              </w:rPr>
              <w:t xml:space="preserve"> et </w:t>
            </w:r>
            <w:proofErr w:type="spellStart"/>
            <w:r w:rsidRPr="00377675">
              <w:rPr>
                <w:rFonts w:eastAsiaTheme="minorHAnsi" w:cstheme="minorBidi"/>
                <w:sz w:val="20"/>
                <w:lang w:val="fr-CA"/>
              </w:rPr>
              <w:t>Benotto</w:t>
            </w:r>
            <w:proofErr w:type="spellEnd"/>
            <w:r w:rsidRPr="00377675">
              <w:rPr>
                <w:rFonts w:eastAsiaTheme="minorHAnsi" w:cstheme="minorBidi"/>
                <w:sz w:val="20"/>
                <w:lang w:val="fr-CA"/>
              </w:rPr>
              <w:t>)</w:t>
            </w:r>
          </w:p>
          <w:p w:rsidR="00377675" w:rsidRPr="00377675" w:rsidRDefault="00377675" w:rsidP="00377675">
            <w:pPr>
              <w:jc w:val="both"/>
              <w:rPr>
                <w:rFonts w:eastAsiaTheme="minorHAnsi" w:cstheme="minorBidi"/>
                <w:sz w:val="20"/>
              </w:rPr>
            </w:pPr>
            <w:r w:rsidRPr="00377675">
              <w:rPr>
                <w:rFonts w:eastAsiaTheme="minorHAnsi" w:cstheme="minorBidi"/>
                <w:sz w:val="20"/>
              </w:rPr>
              <w:t>2015 ONCA 299, C54069</w:t>
            </w:r>
          </w:p>
          <w:p w:rsidR="00377675" w:rsidRPr="00BD3F9E" w:rsidRDefault="00ED678A" w:rsidP="00377675">
            <w:pPr>
              <w:jc w:val="both"/>
              <w:rPr>
                <w:rFonts w:eastAsiaTheme="minorHAnsi" w:cstheme="minorBidi"/>
                <w:sz w:val="20"/>
              </w:rPr>
            </w:pPr>
            <w:hyperlink r:id="rId13" w:history="1">
              <w:r w:rsidR="00377675" w:rsidRPr="00BD3F9E">
                <w:rPr>
                  <w:rFonts w:eastAsiaTheme="minorHAnsi" w:cstheme="minorBidi"/>
                  <w:color w:val="0000FF" w:themeColor="hyperlink"/>
                  <w:sz w:val="20"/>
                  <w:u w:val="single"/>
                </w:rPr>
                <w:t>http://canlii.ca/t/ghd9k</w:t>
              </w:r>
            </w:hyperlink>
          </w:p>
          <w:p w:rsidR="00377675" w:rsidRPr="00377675" w:rsidRDefault="00377675" w:rsidP="00377675">
            <w:pPr>
              <w:jc w:val="both"/>
              <w:rPr>
                <w:rFonts w:eastAsiaTheme="minorHAnsi" w:cstheme="minorBidi"/>
                <w:sz w:val="20"/>
              </w:rPr>
            </w:pPr>
          </w:p>
        </w:tc>
        <w:tc>
          <w:tcPr>
            <w:tcW w:w="243" w:type="pct"/>
          </w:tcPr>
          <w:p w:rsidR="00377675" w:rsidRPr="00377675" w:rsidRDefault="00377675" w:rsidP="00377675">
            <w:pPr>
              <w:jc w:val="both"/>
              <w:rPr>
                <w:rFonts w:eastAsiaTheme="minorHAnsi" w:cstheme="minorBidi"/>
                <w:sz w:val="20"/>
              </w:rPr>
            </w:pPr>
          </w:p>
        </w:tc>
        <w:tc>
          <w:tcPr>
            <w:tcW w:w="2330" w:type="pct"/>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Rejet de l’appel</w:t>
            </w:r>
          </w:p>
          <w:p w:rsidR="00377675" w:rsidRPr="00377675" w:rsidRDefault="00377675" w:rsidP="00377675">
            <w:pPr>
              <w:jc w:val="both"/>
              <w:rPr>
                <w:rFonts w:eastAsiaTheme="minorHAnsi" w:cstheme="minorBidi"/>
                <w:sz w:val="20"/>
                <w:lang w:val="fr-CA"/>
              </w:rPr>
            </w:pPr>
          </w:p>
          <w:p w:rsidR="00377675" w:rsidRPr="00377675" w:rsidRDefault="00377675" w:rsidP="00377675">
            <w:pPr>
              <w:jc w:val="both"/>
              <w:rPr>
                <w:rFonts w:eastAsiaTheme="minorHAnsi" w:cstheme="minorBidi"/>
                <w:sz w:val="20"/>
                <w:lang w:val="fr-CA"/>
              </w:rPr>
            </w:pPr>
          </w:p>
        </w:tc>
      </w:tr>
      <w:tr w:rsidR="00377675" w:rsidRPr="00ED678A" w:rsidTr="00107F04">
        <w:tc>
          <w:tcPr>
            <w:tcW w:w="2427" w:type="pct"/>
            <w:gridSpan w:val="2"/>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30 juillet 2015</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Cour suprême du Canada</w:t>
            </w:r>
          </w:p>
          <w:p w:rsidR="00377675" w:rsidRPr="00377675" w:rsidRDefault="00377675" w:rsidP="00377675">
            <w:pPr>
              <w:jc w:val="both"/>
              <w:rPr>
                <w:rFonts w:eastAsiaTheme="minorHAnsi" w:cstheme="minorBidi"/>
                <w:sz w:val="20"/>
                <w:lang w:val="fr-CA"/>
              </w:rPr>
            </w:pPr>
          </w:p>
        </w:tc>
        <w:tc>
          <w:tcPr>
            <w:tcW w:w="243" w:type="pct"/>
          </w:tcPr>
          <w:p w:rsidR="00377675" w:rsidRPr="00377675" w:rsidRDefault="00377675" w:rsidP="00377675">
            <w:pPr>
              <w:jc w:val="both"/>
              <w:rPr>
                <w:rFonts w:eastAsiaTheme="minorHAnsi" w:cstheme="minorBidi"/>
                <w:sz w:val="20"/>
                <w:lang w:val="fr-CA"/>
              </w:rPr>
            </w:pPr>
          </w:p>
        </w:tc>
        <w:tc>
          <w:tcPr>
            <w:tcW w:w="2330" w:type="pct"/>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 xml:space="preserve">Dépôt de la requête en prorogation du délai pour signifier et déposer la demande d’autorisation d’appel, et dépôt de la demande d’autorisation d’appel </w:t>
            </w:r>
          </w:p>
        </w:tc>
      </w:tr>
    </w:tbl>
    <w:p w:rsidR="00377675" w:rsidRPr="00377675" w:rsidRDefault="00377675" w:rsidP="00377675">
      <w:pPr>
        <w:jc w:val="both"/>
        <w:rPr>
          <w:rFonts w:eastAsiaTheme="minorHAnsi" w:cstheme="minorBidi"/>
          <w:sz w:val="20"/>
          <w:lang w:val="fr-CA"/>
        </w:rPr>
      </w:pPr>
    </w:p>
    <w:p w:rsidR="00377675" w:rsidRPr="00BD3F9E" w:rsidRDefault="00377675" w:rsidP="009550BB">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584"/>
        <w:gridCol w:w="360"/>
        <w:gridCol w:w="4320"/>
      </w:tblGrid>
      <w:tr w:rsidR="00377675" w:rsidRPr="00377675" w:rsidTr="00107F04">
        <w:tc>
          <w:tcPr>
            <w:tcW w:w="543" w:type="pct"/>
          </w:tcPr>
          <w:p w:rsidR="00377675" w:rsidRPr="00377675" w:rsidRDefault="00377675" w:rsidP="00377675">
            <w:pPr>
              <w:jc w:val="both"/>
              <w:rPr>
                <w:rFonts w:eastAsiaTheme="minorHAnsi" w:cstheme="minorBidi"/>
                <w:sz w:val="20"/>
                <w:lang w:val="en-CA"/>
              </w:rPr>
            </w:pPr>
            <w:r w:rsidRPr="00BD3F9E">
              <w:rPr>
                <w:rFonts w:eastAsiaTheme="minorHAnsi" w:cstheme="minorBidi"/>
                <w:b/>
                <w:sz w:val="20"/>
                <w:lang w:val="en-CA"/>
              </w:rPr>
              <w:lastRenderedPageBreak/>
              <w:t>36495</w:t>
            </w:r>
          </w:p>
        </w:tc>
        <w:tc>
          <w:tcPr>
            <w:tcW w:w="4457" w:type="pct"/>
            <w:gridSpan w:val="3"/>
          </w:tcPr>
          <w:p w:rsidR="00377675" w:rsidRPr="00377675" w:rsidRDefault="00377675" w:rsidP="00377675">
            <w:pPr>
              <w:jc w:val="both"/>
              <w:rPr>
                <w:rFonts w:eastAsiaTheme="minorHAnsi" w:cstheme="minorBidi"/>
                <w:b/>
                <w:sz w:val="20"/>
                <w:lang w:val="en-CA"/>
              </w:rPr>
            </w:pPr>
            <w:r w:rsidRPr="00377675">
              <w:rPr>
                <w:rFonts w:eastAsiaTheme="minorHAnsi" w:cstheme="minorBidi"/>
                <w:b/>
                <w:sz w:val="20"/>
                <w:lang w:val="en-CA"/>
              </w:rPr>
              <w:t>BC Freedom of Information and Privacy Association v. Attorney General of British Columbia</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(B.C.) (Civil) (By Leave)</w:t>
            </w:r>
          </w:p>
        </w:tc>
      </w:tr>
      <w:tr w:rsidR="00377675" w:rsidRPr="00377675" w:rsidTr="00107F04">
        <w:tc>
          <w:tcPr>
            <w:tcW w:w="5000" w:type="pct"/>
            <w:gridSpan w:val="4"/>
          </w:tcPr>
          <w:p w:rsidR="00377675" w:rsidRPr="00377675" w:rsidRDefault="00377675" w:rsidP="00377675">
            <w:pPr>
              <w:jc w:val="both"/>
              <w:rPr>
                <w:rFonts w:eastAsiaTheme="minorHAnsi" w:cstheme="minorBidi"/>
                <w:sz w:val="20"/>
                <w:lang w:val="en-CA"/>
              </w:rPr>
            </w:pPr>
          </w:p>
          <w:p w:rsidR="00377675" w:rsidRPr="00377675" w:rsidRDefault="00377675" w:rsidP="00377675">
            <w:pPr>
              <w:jc w:val="both"/>
              <w:rPr>
                <w:rFonts w:eastAsiaTheme="minorHAnsi" w:cstheme="minorBidi"/>
                <w:sz w:val="20"/>
                <w:lang w:val="en-CA"/>
              </w:rPr>
            </w:pPr>
            <w:r w:rsidRPr="00377675">
              <w:rPr>
                <w:rFonts w:eastAsiaTheme="minorHAnsi" w:cstheme="minorBidi"/>
                <w:i/>
                <w:sz w:val="20"/>
                <w:lang w:val="en-CA"/>
              </w:rPr>
              <w:t>Charter of Rights</w:t>
            </w:r>
            <w:r w:rsidRPr="00377675">
              <w:rPr>
                <w:rFonts w:eastAsiaTheme="minorHAnsi" w:cstheme="minorBidi"/>
                <w:sz w:val="20"/>
                <w:lang w:val="en-CA"/>
              </w:rPr>
              <w:t xml:space="preserve"> — Constitutional law — Freedom of expression — Elections — Election advertising — Third party advertising — Requirement that all third party advertisers register before advertising — Whether, in light of the expanding regulatory sphere, a registration requirement covering all political advertising which results in an admitted and obvious breach of </w:t>
            </w:r>
            <w:r w:rsidRPr="00377675">
              <w:rPr>
                <w:rFonts w:eastAsiaTheme="minorHAnsi" w:cstheme="minorBidi"/>
                <w:i/>
                <w:sz w:val="20"/>
                <w:lang w:val="en-CA"/>
              </w:rPr>
              <w:t>Charter</w:t>
            </w:r>
            <w:r w:rsidRPr="00377675">
              <w:rPr>
                <w:rFonts w:eastAsiaTheme="minorHAnsi" w:cstheme="minorBidi"/>
                <w:sz w:val="20"/>
                <w:lang w:val="en-CA"/>
              </w:rPr>
              <w:t xml:space="preserve"> rights may ever be justified without evidence and on the mere assertion that the restriction was adopted simply for administrative convenience, particularly in the face of evidence of a simple, alternative measure employed elsewhere to achieve the same objectives.</w:t>
            </w:r>
          </w:p>
        </w:tc>
      </w:tr>
      <w:tr w:rsidR="00377675" w:rsidRPr="00377675" w:rsidTr="00107F04">
        <w:tc>
          <w:tcPr>
            <w:tcW w:w="5000" w:type="pct"/>
            <w:gridSpan w:val="4"/>
          </w:tcPr>
          <w:p w:rsidR="00377675" w:rsidRPr="00377675" w:rsidRDefault="00377675" w:rsidP="00377675">
            <w:pPr>
              <w:jc w:val="both"/>
              <w:rPr>
                <w:rFonts w:eastAsiaTheme="minorHAnsi" w:cstheme="minorBidi"/>
                <w:sz w:val="20"/>
                <w:lang w:val="en-CA"/>
              </w:rPr>
            </w:pPr>
          </w:p>
        </w:tc>
      </w:tr>
      <w:tr w:rsidR="00377675" w:rsidRPr="00377675" w:rsidTr="00107F04">
        <w:tc>
          <w:tcPr>
            <w:tcW w:w="5000" w:type="pct"/>
            <w:gridSpan w:val="4"/>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 xml:space="preserve">Section 239 of the </w:t>
            </w:r>
            <w:r w:rsidRPr="00377675">
              <w:rPr>
                <w:rFonts w:eastAsiaTheme="minorHAnsi" w:cstheme="minorBidi"/>
                <w:i/>
                <w:sz w:val="20"/>
                <w:lang w:val="en-CA"/>
              </w:rPr>
              <w:t>Election Act</w:t>
            </w:r>
            <w:r w:rsidRPr="00377675">
              <w:rPr>
                <w:rFonts w:eastAsiaTheme="minorHAnsi" w:cstheme="minorBidi"/>
                <w:sz w:val="20"/>
                <w:lang w:val="en-CA"/>
              </w:rPr>
              <w:t xml:space="preserve">, R.S.B.C. 1996, c. 106, requires third party sponsors of election advertising during a campaign period to register with the Chief Electoral Officer. The British Columbia Freedom of Information and Privacy Association brought a </w:t>
            </w:r>
            <w:r w:rsidRPr="00377675">
              <w:rPr>
                <w:rFonts w:eastAsiaTheme="minorHAnsi" w:cstheme="minorBidi"/>
                <w:i/>
                <w:sz w:val="20"/>
                <w:lang w:val="en-CA"/>
              </w:rPr>
              <w:t>Charter</w:t>
            </w:r>
            <w:r w:rsidRPr="00377675">
              <w:rPr>
                <w:rFonts w:eastAsiaTheme="minorHAnsi" w:cstheme="minorBidi"/>
                <w:sz w:val="20"/>
                <w:lang w:val="en-CA"/>
              </w:rPr>
              <w:t xml:space="preserve"> challenge to this provision, alleging that it breached the right to freedom of expression found in s. 2(b) and should be read down to include an exception for third parties spending less than $500 on election advertising.</w:t>
            </w:r>
          </w:p>
          <w:p w:rsidR="00377675" w:rsidRPr="00377675" w:rsidRDefault="00377675" w:rsidP="00377675">
            <w:pPr>
              <w:jc w:val="both"/>
              <w:rPr>
                <w:rFonts w:eastAsiaTheme="minorHAnsi" w:cstheme="minorBidi"/>
                <w:sz w:val="20"/>
                <w:lang w:val="en-CA"/>
              </w:rPr>
            </w:pP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 xml:space="preserve">The trial judge found that s. 239 infringed freedom of expression, but, based on </w:t>
            </w:r>
            <w:r w:rsidRPr="00377675">
              <w:rPr>
                <w:rFonts w:eastAsiaTheme="minorHAnsi" w:cstheme="minorBidi"/>
                <w:i/>
                <w:sz w:val="20"/>
                <w:lang w:val="en-CA"/>
              </w:rPr>
              <w:t>Harper v. Canada (Attorney General)</w:t>
            </w:r>
            <w:r w:rsidRPr="00377675">
              <w:rPr>
                <w:rFonts w:eastAsiaTheme="minorHAnsi" w:cstheme="minorBidi"/>
                <w:sz w:val="20"/>
                <w:lang w:val="en-CA"/>
              </w:rPr>
              <w:t xml:space="preserve">, 2004 SCC 33, found that the infringement was justified under s. 1 of the </w:t>
            </w:r>
            <w:r w:rsidRPr="00377675">
              <w:rPr>
                <w:rFonts w:eastAsiaTheme="minorHAnsi" w:cstheme="minorBidi"/>
                <w:i/>
                <w:sz w:val="20"/>
                <w:lang w:val="en-CA"/>
              </w:rPr>
              <w:t>Charter</w:t>
            </w:r>
            <w:r w:rsidRPr="00377675">
              <w:rPr>
                <w:rFonts w:eastAsiaTheme="minorHAnsi" w:cstheme="minorBidi"/>
                <w:sz w:val="20"/>
                <w:lang w:val="en-CA"/>
              </w:rPr>
              <w:t>. The Court of Appeal, Saunders J.A. dissenting, dismissed the appeal.</w:t>
            </w:r>
          </w:p>
          <w:p w:rsidR="00377675" w:rsidRPr="00377675" w:rsidRDefault="00377675" w:rsidP="00377675">
            <w:pPr>
              <w:jc w:val="both"/>
              <w:rPr>
                <w:rFonts w:eastAsiaTheme="minorHAnsi" w:cstheme="minorBidi"/>
                <w:sz w:val="20"/>
                <w:lang w:val="en-CA"/>
              </w:rPr>
            </w:pPr>
          </w:p>
        </w:tc>
      </w:tr>
      <w:tr w:rsidR="00377675" w:rsidRPr="00377675" w:rsidTr="00107F04">
        <w:tc>
          <w:tcPr>
            <w:tcW w:w="2476" w:type="pct"/>
            <w:gridSpan w:val="2"/>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April 16, 2014</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Supreme Court of British Columbia</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(Cohen J.)</w:t>
            </w:r>
          </w:p>
          <w:p w:rsidR="00377675" w:rsidRPr="00377675" w:rsidRDefault="00ED678A" w:rsidP="00377675">
            <w:pPr>
              <w:jc w:val="both"/>
              <w:rPr>
                <w:rFonts w:eastAsiaTheme="minorHAnsi" w:cstheme="minorBidi"/>
                <w:sz w:val="20"/>
                <w:lang w:val="en-CA"/>
              </w:rPr>
            </w:pPr>
            <w:hyperlink r:id="rId14" w:history="1">
              <w:r w:rsidR="00377675" w:rsidRPr="00BD3F9E">
                <w:rPr>
                  <w:rFonts w:eastAsiaTheme="minorHAnsi" w:cstheme="minorBidi"/>
                  <w:color w:val="0000FF" w:themeColor="hyperlink"/>
                  <w:sz w:val="20"/>
                  <w:u w:val="single"/>
                  <w:lang w:val="en-CA"/>
                </w:rPr>
                <w:t>2014 BCSC 660</w:t>
              </w:r>
            </w:hyperlink>
          </w:p>
          <w:p w:rsidR="00377675" w:rsidRPr="00377675" w:rsidRDefault="00377675" w:rsidP="00377675">
            <w:pPr>
              <w:jc w:val="both"/>
              <w:rPr>
                <w:rFonts w:eastAsiaTheme="minorHAnsi" w:cstheme="minorBidi"/>
                <w:sz w:val="20"/>
                <w:lang w:val="en-CA"/>
              </w:rPr>
            </w:pPr>
          </w:p>
        </w:tc>
        <w:tc>
          <w:tcPr>
            <w:tcW w:w="194" w:type="pct"/>
          </w:tcPr>
          <w:p w:rsidR="00377675" w:rsidRPr="00377675" w:rsidRDefault="00377675" w:rsidP="00377675">
            <w:pPr>
              <w:jc w:val="both"/>
              <w:rPr>
                <w:rFonts w:eastAsiaTheme="minorHAnsi" w:cstheme="minorBidi"/>
                <w:sz w:val="20"/>
                <w:lang w:val="en-CA"/>
              </w:rPr>
            </w:pPr>
          </w:p>
        </w:tc>
        <w:tc>
          <w:tcPr>
            <w:tcW w:w="2330" w:type="pct"/>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Motion for summary trial dismissed</w:t>
            </w:r>
          </w:p>
          <w:p w:rsidR="00377675" w:rsidRPr="00377675" w:rsidRDefault="00377675" w:rsidP="00377675">
            <w:pPr>
              <w:jc w:val="both"/>
              <w:rPr>
                <w:rFonts w:eastAsiaTheme="minorHAnsi" w:cstheme="minorBidi"/>
                <w:sz w:val="20"/>
                <w:lang w:val="en-CA"/>
              </w:rPr>
            </w:pPr>
          </w:p>
        </w:tc>
      </w:tr>
      <w:tr w:rsidR="00377675" w:rsidRPr="00377675" w:rsidTr="00107F04">
        <w:tc>
          <w:tcPr>
            <w:tcW w:w="2476" w:type="pct"/>
            <w:gridSpan w:val="2"/>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April 23, 2015</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 xml:space="preserve">Court of Appeal for British Columbia </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(Vancouver)</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(Newbury, Saunders [dissenting], Lowry JJ.A.)</w:t>
            </w:r>
          </w:p>
          <w:p w:rsidR="00377675" w:rsidRPr="00377675" w:rsidRDefault="00ED678A" w:rsidP="00377675">
            <w:pPr>
              <w:jc w:val="both"/>
              <w:rPr>
                <w:rFonts w:eastAsiaTheme="minorHAnsi" w:cstheme="minorBidi"/>
                <w:sz w:val="20"/>
                <w:lang w:val="en-CA"/>
              </w:rPr>
            </w:pPr>
            <w:hyperlink r:id="rId15" w:history="1">
              <w:r w:rsidR="00377675" w:rsidRPr="00BD3F9E">
                <w:rPr>
                  <w:rFonts w:eastAsiaTheme="minorHAnsi" w:cstheme="minorBidi"/>
                  <w:color w:val="0000FF" w:themeColor="hyperlink"/>
                  <w:sz w:val="20"/>
                  <w:u w:val="single"/>
                  <w:lang w:val="en-CA"/>
                </w:rPr>
                <w:t>2015 BCCA 172</w:t>
              </w:r>
            </w:hyperlink>
          </w:p>
          <w:p w:rsidR="00377675" w:rsidRPr="00377675" w:rsidRDefault="00377675" w:rsidP="00377675">
            <w:pPr>
              <w:jc w:val="both"/>
              <w:rPr>
                <w:rFonts w:eastAsiaTheme="minorHAnsi" w:cstheme="minorBidi"/>
                <w:sz w:val="20"/>
                <w:lang w:val="en-CA"/>
              </w:rPr>
            </w:pPr>
          </w:p>
        </w:tc>
        <w:tc>
          <w:tcPr>
            <w:tcW w:w="194" w:type="pct"/>
          </w:tcPr>
          <w:p w:rsidR="00377675" w:rsidRPr="00377675" w:rsidRDefault="00377675" w:rsidP="00377675">
            <w:pPr>
              <w:jc w:val="both"/>
              <w:rPr>
                <w:rFonts w:eastAsiaTheme="minorHAnsi" w:cstheme="minorBidi"/>
                <w:sz w:val="20"/>
                <w:lang w:val="en-CA"/>
              </w:rPr>
            </w:pPr>
          </w:p>
        </w:tc>
        <w:tc>
          <w:tcPr>
            <w:tcW w:w="2330" w:type="pct"/>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Appeal dismissed</w:t>
            </w:r>
          </w:p>
          <w:p w:rsidR="00377675" w:rsidRPr="00377675" w:rsidRDefault="00377675" w:rsidP="00377675">
            <w:pPr>
              <w:jc w:val="both"/>
              <w:rPr>
                <w:rFonts w:eastAsiaTheme="minorHAnsi" w:cstheme="minorBidi"/>
                <w:sz w:val="20"/>
                <w:lang w:val="en-CA"/>
              </w:rPr>
            </w:pPr>
          </w:p>
        </w:tc>
      </w:tr>
      <w:tr w:rsidR="00377675" w:rsidRPr="00377675" w:rsidTr="00107F04">
        <w:tc>
          <w:tcPr>
            <w:tcW w:w="2476" w:type="pct"/>
            <w:gridSpan w:val="2"/>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June 22, 2015</w:t>
            </w:r>
          </w:p>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Supreme Court of Canada</w:t>
            </w:r>
          </w:p>
          <w:p w:rsidR="00377675" w:rsidRPr="00377675" w:rsidRDefault="00377675" w:rsidP="00377675">
            <w:pPr>
              <w:jc w:val="both"/>
              <w:rPr>
                <w:rFonts w:eastAsiaTheme="minorHAnsi" w:cstheme="minorBidi"/>
                <w:sz w:val="20"/>
                <w:lang w:val="en-CA"/>
              </w:rPr>
            </w:pPr>
          </w:p>
        </w:tc>
        <w:tc>
          <w:tcPr>
            <w:tcW w:w="194" w:type="pct"/>
          </w:tcPr>
          <w:p w:rsidR="00377675" w:rsidRPr="00377675" w:rsidRDefault="00377675" w:rsidP="00377675">
            <w:pPr>
              <w:jc w:val="both"/>
              <w:rPr>
                <w:rFonts w:eastAsiaTheme="minorHAnsi" w:cstheme="minorBidi"/>
                <w:sz w:val="20"/>
                <w:lang w:val="en-CA"/>
              </w:rPr>
            </w:pPr>
          </w:p>
        </w:tc>
        <w:tc>
          <w:tcPr>
            <w:tcW w:w="2330" w:type="pct"/>
          </w:tcPr>
          <w:p w:rsidR="00377675" w:rsidRPr="00377675" w:rsidRDefault="00377675" w:rsidP="00377675">
            <w:pPr>
              <w:jc w:val="both"/>
              <w:rPr>
                <w:rFonts w:eastAsiaTheme="minorHAnsi" w:cstheme="minorBidi"/>
                <w:sz w:val="20"/>
                <w:lang w:val="en-CA"/>
              </w:rPr>
            </w:pPr>
            <w:r w:rsidRPr="00377675">
              <w:rPr>
                <w:rFonts w:eastAsiaTheme="minorHAnsi" w:cstheme="minorBidi"/>
                <w:sz w:val="20"/>
                <w:lang w:val="en-CA"/>
              </w:rPr>
              <w:t>Application for leave to appeal filed</w:t>
            </w:r>
          </w:p>
          <w:p w:rsidR="00377675" w:rsidRPr="00377675" w:rsidRDefault="00377675" w:rsidP="00377675">
            <w:pPr>
              <w:jc w:val="both"/>
              <w:rPr>
                <w:rFonts w:eastAsiaTheme="minorHAnsi" w:cstheme="minorBidi"/>
                <w:sz w:val="20"/>
                <w:lang w:val="en-CA"/>
              </w:rPr>
            </w:pPr>
          </w:p>
        </w:tc>
      </w:tr>
    </w:tbl>
    <w:p w:rsidR="00377675" w:rsidRPr="00377675" w:rsidRDefault="00377675" w:rsidP="00377675">
      <w:pPr>
        <w:jc w:val="both"/>
        <w:rPr>
          <w:rFonts w:eastAsiaTheme="minorHAnsi" w:cstheme="minorBidi"/>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584"/>
        <w:gridCol w:w="360"/>
        <w:gridCol w:w="4320"/>
      </w:tblGrid>
      <w:tr w:rsidR="00377675" w:rsidRPr="00ED678A" w:rsidTr="00107F04">
        <w:tc>
          <w:tcPr>
            <w:tcW w:w="543" w:type="pct"/>
          </w:tcPr>
          <w:p w:rsidR="00377675" w:rsidRPr="00377675" w:rsidRDefault="00377675" w:rsidP="00377675">
            <w:pPr>
              <w:jc w:val="both"/>
              <w:rPr>
                <w:rFonts w:eastAsiaTheme="minorHAnsi" w:cstheme="minorBidi"/>
                <w:sz w:val="20"/>
                <w:lang w:val="fr-CA"/>
              </w:rPr>
            </w:pPr>
            <w:r w:rsidRPr="00BD3F9E">
              <w:rPr>
                <w:rFonts w:eastAsiaTheme="minorHAnsi" w:cstheme="minorBidi"/>
                <w:b/>
                <w:sz w:val="20"/>
                <w:lang w:val="fr-CA"/>
              </w:rPr>
              <w:t>36495</w:t>
            </w:r>
          </w:p>
        </w:tc>
        <w:tc>
          <w:tcPr>
            <w:tcW w:w="4457" w:type="pct"/>
            <w:gridSpan w:val="3"/>
          </w:tcPr>
          <w:p w:rsidR="00377675" w:rsidRPr="00377675" w:rsidRDefault="00377675" w:rsidP="00377675">
            <w:pPr>
              <w:jc w:val="both"/>
              <w:rPr>
                <w:rFonts w:eastAsiaTheme="minorHAnsi" w:cstheme="minorBidi"/>
                <w:b/>
                <w:sz w:val="20"/>
                <w:lang w:val="fr-CA"/>
              </w:rPr>
            </w:pPr>
            <w:r w:rsidRPr="00377675">
              <w:rPr>
                <w:rFonts w:eastAsiaTheme="minorHAnsi" w:cstheme="minorBidi"/>
                <w:b/>
                <w:sz w:val="20"/>
                <w:lang w:val="fr-CA"/>
              </w:rPr>
              <w:t xml:space="preserve">BC </w:t>
            </w:r>
            <w:proofErr w:type="spellStart"/>
            <w:r w:rsidRPr="00377675">
              <w:rPr>
                <w:rFonts w:eastAsiaTheme="minorHAnsi" w:cstheme="minorBidi"/>
                <w:b/>
                <w:sz w:val="20"/>
                <w:lang w:val="fr-CA"/>
              </w:rPr>
              <w:t>Freedom</w:t>
            </w:r>
            <w:proofErr w:type="spellEnd"/>
            <w:r w:rsidRPr="00377675">
              <w:rPr>
                <w:rFonts w:eastAsiaTheme="minorHAnsi" w:cstheme="minorBidi"/>
                <w:b/>
                <w:sz w:val="20"/>
                <w:lang w:val="fr-CA"/>
              </w:rPr>
              <w:t xml:space="preserve"> of Information and </w:t>
            </w:r>
            <w:proofErr w:type="spellStart"/>
            <w:r w:rsidRPr="00377675">
              <w:rPr>
                <w:rFonts w:eastAsiaTheme="minorHAnsi" w:cstheme="minorBidi"/>
                <w:b/>
                <w:sz w:val="20"/>
                <w:lang w:val="fr-CA"/>
              </w:rPr>
              <w:t>Privacy</w:t>
            </w:r>
            <w:proofErr w:type="spellEnd"/>
            <w:r w:rsidRPr="00377675">
              <w:rPr>
                <w:rFonts w:eastAsiaTheme="minorHAnsi" w:cstheme="minorBidi"/>
                <w:b/>
                <w:sz w:val="20"/>
                <w:lang w:val="fr-CA"/>
              </w:rPr>
              <w:t xml:space="preserve"> Association c. Procureur général de la Colombie-Britannique</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(C.-B.) (Civile) (Sur autorisation)</w:t>
            </w:r>
          </w:p>
        </w:tc>
      </w:tr>
      <w:tr w:rsidR="00377675" w:rsidRPr="00ED678A" w:rsidTr="00107F04">
        <w:tc>
          <w:tcPr>
            <w:tcW w:w="5000" w:type="pct"/>
            <w:gridSpan w:val="4"/>
          </w:tcPr>
          <w:p w:rsidR="00377675" w:rsidRPr="00377675" w:rsidRDefault="00377675" w:rsidP="00377675">
            <w:pPr>
              <w:jc w:val="both"/>
              <w:rPr>
                <w:rFonts w:eastAsiaTheme="minorHAnsi" w:cstheme="minorBidi"/>
                <w:sz w:val="20"/>
                <w:lang w:val="fr-CA"/>
              </w:rPr>
            </w:pPr>
            <w:r w:rsidRPr="00377675">
              <w:rPr>
                <w:rFonts w:eastAsiaTheme="minorHAnsi" w:cstheme="minorBidi"/>
                <w:i/>
                <w:sz w:val="20"/>
                <w:lang w:val="fr-CA"/>
              </w:rPr>
              <w:t>Charte des droits</w:t>
            </w:r>
            <w:r w:rsidRPr="00377675">
              <w:rPr>
                <w:rFonts w:eastAsiaTheme="minorHAnsi" w:cstheme="minorBidi"/>
                <w:sz w:val="20"/>
                <w:lang w:val="fr-CA"/>
              </w:rPr>
              <w:t xml:space="preserve"> — Droit constitutionnel — Liberté d’expression — Élections — Publicité électorale — Publicité par des tiers — Obligation pour tous les tiers annonceurs de s’enregistrer avant de faire de la publicité — Eu égard à l’expansion du domaine réglementaire, une obligation d’enregistrement s’appliquant à toute la publicité politique et entraînant une violation reconnue et manifeste des droits garantis par la </w:t>
            </w:r>
            <w:r w:rsidRPr="00377675">
              <w:rPr>
                <w:rFonts w:eastAsiaTheme="minorHAnsi" w:cstheme="minorBidi"/>
                <w:i/>
                <w:sz w:val="20"/>
                <w:lang w:val="fr-CA"/>
              </w:rPr>
              <w:t>Charte</w:t>
            </w:r>
            <w:r w:rsidRPr="00377675">
              <w:rPr>
                <w:rFonts w:eastAsiaTheme="minorHAnsi" w:cstheme="minorBidi"/>
                <w:sz w:val="20"/>
                <w:lang w:val="fr-CA"/>
              </w:rPr>
              <w:t xml:space="preserve"> pourrait-elle se justifier en l’absence </w:t>
            </w:r>
            <w:r w:rsidRPr="00377675">
              <w:rPr>
                <w:rFonts w:eastAsiaTheme="minorHAnsi" w:cstheme="minorBidi"/>
                <w:sz w:val="20"/>
                <w:lang w:val="fr-CA"/>
              </w:rPr>
              <w:lastRenderedPageBreak/>
              <w:t>de preuve et uniquement parce qu’on affirme que la restriction a été adoptée par simple souci de commodité administrative, en particulier lorsqu’une seule autre mesure est utilisée ailleurs en vue d’atteindre les mêmes objectifs?</w:t>
            </w:r>
          </w:p>
        </w:tc>
      </w:tr>
      <w:tr w:rsidR="00377675" w:rsidRPr="00ED678A" w:rsidTr="00107F04">
        <w:tc>
          <w:tcPr>
            <w:tcW w:w="5000" w:type="pct"/>
            <w:gridSpan w:val="4"/>
          </w:tcPr>
          <w:p w:rsidR="00377675" w:rsidRPr="00377675" w:rsidRDefault="00377675" w:rsidP="00377675">
            <w:pPr>
              <w:jc w:val="both"/>
              <w:rPr>
                <w:rFonts w:eastAsiaTheme="minorHAnsi" w:cstheme="minorBidi"/>
                <w:sz w:val="20"/>
                <w:lang w:val="fr-CA"/>
              </w:rPr>
            </w:pPr>
          </w:p>
        </w:tc>
      </w:tr>
      <w:tr w:rsidR="00377675" w:rsidRPr="00ED678A" w:rsidTr="00107F04">
        <w:tc>
          <w:tcPr>
            <w:tcW w:w="5000" w:type="pct"/>
            <w:gridSpan w:val="4"/>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L’article 239 de l’</w:t>
            </w:r>
            <w:proofErr w:type="spellStart"/>
            <w:r w:rsidRPr="00377675">
              <w:rPr>
                <w:rFonts w:eastAsiaTheme="minorHAnsi" w:cstheme="minorBidi"/>
                <w:i/>
                <w:sz w:val="20"/>
                <w:lang w:val="fr-CA"/>
              </w:rPr>
              <w:t>Election</w:t>
            </w:r>
            <w:proofErr w:type="spellEnd"/>
            <w:r w:rsidRPr="00377675">
              <w:rPr>
                <w:rFonts w:eastAsiaTheme="minorHAnsi" w:cstheme="minorBidi"/>
                <w:i/>
                <w:sz w:val="20"/>
                <w:lang w:val="fr-CA"/>
              </w:rPr>
              <w:t xml:space="preserve"> </w:t>
            </w:r>
            <w:proofErr w:type="spellStart"/>
            <w:r w:rsidRPr="00377675">
              <w:rPr>
                <w:rFonts w:eastAsiaTheme="minorHAnsi" w:cstheme="minorBidi"/>
                <w:i/>
                <w:sz w:val="20"/>
                <w:lang w:val="fr-CA"/>
              </w:rPr>
              <w:t>Act</w:t>
            </w:r>
            <w:proofErr w:type="spellEnd"/>
            <w:r w:rsidRPr="00377675">
              <w:rPr>
                <w:rFonts w:eastAsiaTheme="minorHAnsi" w:cstheme="minorBidi"/>
                <w:sz w:val="20"/>
                <w:lang w:val="fr-CA"/>
              </w:rPr>
              <w:t xml:space="preserve">, R.S.B.C. 1996, c. 106, oblige les tiers annonceurs dans une campagne électorale à s’enregistrer auprès du directeur général des élections. La British Columbia </w:t>
            </w:r>
            <w:proofErr w:type="spellStart"/>
            <w:r w:rsidRPr="00377675">
              <w:rPr>
                <w:rFonts w:eastAsiaTheme="minorHAnsi" w:cstheme="minorBidi"/>
                <w:sz w:val="20"/>
                <w:lang w:val="fr-CA"/>
              </w:rPr>
              <w:t>Freedom</w:t>
            </w:r>
            <w:proofErr w:type="spellEnd"/>
            <w:r w:rsidRPr="00377675">
              <w:rPr>
                <w:rFonts w:eastAsiaTheme="minorHAnsi" w:cstheme="minorBidi"/>
                <w:sz w:val="20"/>
                <w:lang w:val="fr-CA"/>
              </w:rPr>
              <w:t xml:space="preserve"> of Information and </w:t>
            </w:r>
            <w:proofErr w:type="spellStart"/>
            <w:r w:rsidRPr="00377675">
              <w:rPr>
                <w:rFonts w:eastAsiaTheme="minorHAnsi" w:cstheme="minorBidi"/>
                <w:sz w:val="20"/>
                <w:lang w:val="fr-CA"/>
              </w:rPr>
              <w:t>Privacy</w:t>
            </w:r>
            <w:proofErr w:type="spellEnd"/>
            <w:r w:rsidRPr="00377675">
              <w:rPr>
                <w:rFonts w:eastAsiaTheme="minorHAnsi" w:cstheme="minorBidi"/>
                <w:sz w:val="20"/>
                <w:lang w:val="fr-CA"/>
              </w:rPr>
              <w:t xml:space="preserve"> Association a contesté cette disposition en application de la </w:t>
            </w:r>
            <w:r w:rsidRPr="00377675">
              <w:rPr>
                <w:rFonts w:eastAsiaTheme="minorHAnsi" w:cstheme="minorBidi"/>
                <w:i/>
                <w:sz w:val="20"/>
                <w:lang w:val="fr-CA"/>
              </w:rPr>
              <w:t>Charte</w:t>
            </w:r>
            <w:r w:rsidRPr="00377675">
              <w:rPr>
                <w:rFonts w:eastAsiaTheme="minorHAnsi" w:cstheme="minorBidi"/>
                <w:sz w:val="20"/>
                <w:lang w:val="fr-CA"/>
              </w:rPr>
              <w:t>, alléguant qu’elle porte atteinte au droit à la liberté d’expression garanti à l’al. 2</w:t>
            </w:r>
            <w:r w:rsidRPr="00377675">
              <w:rPr>
                <w:rFonts w:eastAsiaTheme="minorHAnsi" w:cstheme="minorBidi"/>
                <w:i/>
                <w:sz w:val="20"/>
                <w:lang w:val="fr-CA"/>
              </w:rPr>
              <w:t>b</w:t>
            </w:r>
            <w:r w:rsidRPr="00377675">
              <w:rPr>
                <w:rFonts w:eastAsiaTheme="minorHAnsi" w:cstheme="minorBidi"/>
                <w:sz w:val="20"/>
                <w:lang w:val="fr-CA"/>
              </w:rPr>
              <w:t>) et qu’il y a lieu de considérer qu’elle inclut une exception pour les tiers qui dépensent moins de 500 $ en publicité électorale.</w:t>
            </w:r>
          </w:p>
          <w:p w:rsidR="00377675" w:rsidRPr="00377675" w:rsidRDefault="00377675" w:rsidP="00377675">
            <w:pPr>
              <w:jc w:val="both"/>
              <w:rPr>
                <w:rFonts w:eastAsiaTheme="minorHAnsi" w:cstheme="minorBidi"/>
                <w:sz w:val="20"/>
                <w:lang w:val="fr-CA"/>
              </w:rPr>
            </w:pP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 xml:space="preserve">Le juge de première instance a conclu que l’art. 239 porte atteinte à la liberté d’expression, mais que, eu égard à l’arrêt </w:t>
            </w:r>
            <w:r w:rsidRPr="00377675">
              <w:rPr>
                <w:rFonts w:eastAsiaTheme="minorHAnsi" w:cstheme="minorBidi"/>
                <w:i/>
                <w:sz w:val="20"/>
                <w:lang w:val="fr-CA"/>
              </w:rPr>
              <w:t>Harper c. Canada (Procureur général)</w:t>
            </w:r>
            <w:r w:rsidRPr="00377675">
              <w:rPr>
                <w:rFonts w:eastAsiaTheme="minorHAnsi" w:cstheme="minorBidi"/>
                <w:sz w:val="20"/>
                <w:lang w:val="fr-CA"/>
              </w:rPr>
              <w:t xml:space="preserve">, 2004 CSC 33, l’atteinte est justifiée au regard de l’article premier de la </w:t>
            </w:r>
            <w:r w:rsidRPr="00377675">
              <w:rPr>
                <w:rFonts w:eastAsiaTheme="minorHAnsi" w:cstheme="minorBidi"/>
                <w:i/>
                <w:sz w:val="20"/>
                <w:lang w:val="fr-CA"/>
              </w:rPr>
              <w:t>Charte</w:t>
            </w:r>
            <w:r w:rsidRPr="00377675">
              <w:rPr>
                <w:rFonts w:eastAsiaTheme="minorHAnsi" w:cstheme="minorBidi"/>
                <w:sz w:val="20"/>
                <w:lang w:val="fr-CA"/>
              </w:rPr>
              <w:t>. La Cour d’appel a rejeté l’appel, la juge Saunders étant dissidente.</w:t>
            </w:r>
          </w:p>
          <w:p w:rsidR="00377675" w:rsidRPr="00377675" w:rsidRDefault="00377675" w:rsidP="00377675">
            <w:pPr>
              <w:jc w:val="both"/>
              <w:rPr>
                <w:rFonts w:eastAsiaTheme="minorHAnsi" w:cstheme="minorBidi"/>
                <w:sz w:val="20"/>
                <w:lang w:val="fr-CA"/>
              </w:rPr>
            </w:pPr>
          </w:p>
        </w:tc>
      </w:tr>
      <w:tr w:rsidR="00377675" w:rsidRPr="00ED678A" w:rsidTr="00107F04">
        <w:tc>
          <w:tcPr>
            <w:tcW w:w="2476" w:type="pct"/>
            <w:gridSpan w:val="2"/>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16 avril 2014</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Cour suprême de la Colombie-Britannique</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(Juge Cohen)</w:t>
            </w:r>
          </w:p>
          <w:p w:rsidR="00377675" w:rsidRPr="00377675" w:rsidRDefault="00ED678A" w:rsidP="00377675">
            <w:pPr>
              <w:jc w:val="both"/>
              <w:rPr>
                <w:rFonts w:eastAsiaTheme="minorHAnsi" w:cstheme="minorBidi"/>
                <w:sz w:val="20"/>
                <w:lang w:val="fr-CA"/>
              </w:rPr>
            </w:pPr>
            <w:hyperlink r:id="rId16" w:history="1">
              <w:r w:rsidR="00377675" w:rsidRPr="00BD3F9E">
                <w:rPr>
                  <w:rFonts w:eastAsiaTheme="minorHAnsi" w:cstheme="minorBidi"/>
                  <w:color w:val="0000FF" w:themeColor="hyperlink"/>
                  <w:sz w:val="20"/>
                  <w:u w:val="single"/>
                  <w:lang w:val="fr-CA"/>
                </w:rPr>
                <w:t>2014 BCSC 660</w:t>
              </w:r>
            </w:hyperlink>
          </w:p>
          <w:p w:rsidR="00377675" w:rsidRPr="00377675" w:rsidRDefault="00377675" w:rsidP="00377675">
            <w:pPr>
              <w:jc w:val="both"/>
              <w:rPr>
                <w:rFonts w:eastAsiaTheme="minorHAnsi" w:cstheme="minorBidi"/>
                <w:sz w:val="20"/>
                <w:lang w:val="fr-CA"/>
              </w:rPr>
            </w:pPr>
          </w:p>
        </w:tc>
        <w:tc>
          <w:tcPr>
            <w:tcW w:w="194" w:type="pct"/>
          </w:tcPr>
          <w:p w:rsidR="00377675" w:rsidRPr="00377675" w:rsidRDefault="00377675" w:rsidP="00377675">
            <w:pPr>
              <w:jc w:val="both"/>
              <w:rPr>
                <w:rFonts w:eastAsiaTheme="minorHAnsi" w:cstheme="minorBidi"/>
                <w:sz w:val="20"/>
                <w:lang w:val="fr-CA"/>
              </w:rPr>
            </w:pPr>
          </w:p>
        </w:tc>
        <w:tc>
          <w:tcPr>
            <w:tcW w:w="2330" w:type="pct"/>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 xml:space="preserve">Rejet de la requête en jugement sommaire </w:t>
            </w:r>
          </w:p>
          <w:p w:rsidR="00377675" w:rsidRPr="00377675" w:rsidRDefault="00377675" w:rsidP="00377675">
            <w:pPr>
              <w:jc w:val="both"/>
              <w:rPr>
                <w:rFonts w:eastAsiaTheme="minorHAnsi" w:cstheme="minorBidi"/>
                <w:sz w:val="20"/>
                <w:lang w:val="fr-CA"/>
              </w:rPr>
            </w:pPr>
          </w:p>
        </w:tc>
      </w:tr>
      <w:tr w:rsidR="00377675" w:rsidRPr="00377675" w:rsidTr="00107F04">
        <w:tc>
          <w:tcPr>
            <w:tcW w:w="2476" w:type="pct"/>
            <w:gridSpan w:val="2"/>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23 avril 2015</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 xml:space="preserve">Cour d’appel de la Colombie-Britannique </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(Vancouver)</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(Juges Newbury, Saunders [dissidente] et Lowry)</w:t>
            </w:r>
          </w:p>
          <w:p w:rsidR="00377675" w:rsidRPr="00377675" w:rsidRDefault="00ED678A" w:rsidP="00377675">
            <w:pPr>
              <w:jc w:val="both"/>
              <w:rPr>
                <w:rFonts w:eastAsiaTheme="minorHAnsi" w:cstheme="minorBidi"/>
                <w:sz w:val="20"/>
                <w:lang w:val="fr-CA"/>
              </w:rPr>
            </w:pPr>
            <w:hyperlink r:id="rId17" w:history="1">
              <w:r w:rsidR="00377675" w:rsidRPr="00BD3F9E">
                <w:rPr>
                  <w:rFonts w:eastAsiaTheme="minorHAnsi" w:cstheme="minorBidi"/>
                  <w:color w:val="0000FF" w:themeColor="hyperlink"/>
                  <w:sz w:val="20"/>
                  <w:u w:val="single"/>
                  <w:lang w:val="fr-CA"/>
                </w:rPr>
                <w:t>2015 BCCA 172</w:t>
              </w:r>
            </w:hyperlink>
          </w:p>
          <w:p w:rsidR="00377675" w:rsidRPr="00377675" w:rsidRDefault="00377675" w:rsidP="00377675">
            <w:pPr>
              <w:jc w:val="both"/>
              <w:rPr>
                <w:rFonts w:eastAsiaTheme="minorHAnsi" w:cstheme="minorBidi"/>
                <w:sz w:val="20"/>
                <w:lang w:val="fr-CA"/>
              </w:rPr>
            </w:pPr>
          </w:p>
        </w:tc>
        <w:tc>
          <w:tcPr>
            <w:tcW w:w="194" w:type="pct"/>
          </w:tcPr>
          <w:p w:rsidR="00377675" w:rsidRPr="00377675" w:rsidRDefault="00377675" w:rsidP="00377675">
            <w:pPr>
              <w:jc w:val="both"/>
              <w:rPr>
                <w:rFonts w:eastAsiaTheme="minorHAnsi" w:cstheme="minorBidi"/>
                <w:sz w:val="20"/>
                <w:lang w:val="fr-CA"/>
              </w:rPr>
            </w:pPr>
          </w:p>
        </w:tc>
        <w:tc>
          <w:tcPr>
            <w:tcW w:w="2330" w:type="pct"/>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Rejet de l’appel</w:t>
            </w:r>
          </w:p>
          <w:p w:rsidR="00377675" w:rsidRPr="00377675" w:rsidRDefault="00377675" w:rsidP="00377675">
            <w:pPr>
              <w:jc w:val="both"/>
              <w:rPr>
                <w:rFonts w:eastAsiaTheme="minorHAnsi" w:cstheme="minorBidi"/>
                <w:sz w:val="20"/>
                <w:lang w:val="fr-CA"/>
              </w:rPr>
            </w:pPr>
          </w:p>
        </w:tc>
      </w:tr>
      <w:tr w:rsidR="00377675" w:rsidRPr="00ED678A" w:rsidTr="00107F04">
        <w:tc>
          <w:tcPr>
            <w:tcW w:w="2476" w:type="pct"/>
            <w:gridSpan w:val="2"/>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22 juin 2015</w:t>
            </w:r>
          </w:p>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Cour suprême du Canada</w:t>
            </w:r>
          </w:p>
          <w:p w:rsidR="00377675" w:rsidRPr="00377675" w:rsidRDefault="00377675" w:rsidP="00377675">
            <w:pPr>
              <w:jc w:val="both"/>
              <w:rPr>
                <w:rFonts w:eastAsiaTheme="minorHAnsi" w:cstheme="minorBidi"/>
                <w:sz w:val="20"/>
                <w:lang w:val="fr-CA"/>
              </w:rPr>
            </w:pPr>
          </w:p>
        </w:tc>
        <w:tc>
          <w:tcPr>
            <w:tcW w:w="194" w:type="pct"/>
          </w:tcPr>
          <w:p w:rsidR="00377675" w:rsidRPr="00377675" w:rsidRDefault="00377675" w:rsidP="00377675">
            <w:pPr>
              <w:jc w:val="both"/>
              <w:rPr>
                <w:rFonts w:eastAsiaTheme="minorHAnsi" w:cstheme="minorBidi"/>
                <w:sz w:val="20"/>
                <w:lang w:val="fr-CA"/>
              </w:rPr>
            </w:pPr>
          </w:p>
        </w:tc>
        <w:tc>
          <w:tcPr>
            <w:tcW w:w="2330" w:type="pct"/>
          </w:tcPr>
          <w:p w:rsidR="00377675" w:rsidRPr="00377675" w:rsidRDefault="00377675" w:rsidP="00377675">
            <w:pPr>
              <w:jc w:val="both"/>
              <w:rPr>
                <w:rFonts w:eastAsiaTheme="minorHAnsi" w:cstheme="minorBidi"/>
                <w:sz w:val="20"/>
                <w:lang w:val="fr-CA"/>
              </w:rPr>
            </w:pPr>
            <w:r w:rsidRPr="00377675">
              <w:rPr>
                <w:rFonts w:eastAsiaTheme="minorHAnsi" w:cstheme="minorBidi"/>
                <w:sz w:val="20"/>
                <w:lang w:val="fr-CA"/>
              </w:rPr>
              <w:t>Dépôt de la demande d’autorisation d’appel</w:t>
            </w:r>
          </w:p>
          <w:p w:rsidR="00377675" w:rsidRPr="00377675" w:rsidRDefault="00377675" w:rsidP="00377675">
            <w:pPr>
              <w:jc w:val="both"/>
              <w:rPr>
                <w:rFonts w:eastAsiaTheme="minorHAnsi" w:cstheme="minorBidi"/>
                <w:sz w:val="20"/>
                <w:lang w:val="fr-CA"/>
              </w:rPr>
            </w:pPr>
          </w:p>
        </w:tc>
      </w:tr>
    </w:tbl>
    <w:p w:rsidR="00377675" w:rsidRPr="00377675" w:rsidRDefault="00377675" w:rsidP="00377675">
      <w:pPr>
        <w:jc w:val="both"/>
        <w:rPr>
          <w:rFonts w:eastAsiaTheme="minorHAnsi" w:cstheme="minorBidi"/>
          <w:sz w:val="20"/>
          <w:lang w:val="fr-CA"/>
        </w:rPr>
      </w:pPr>
    </w:p>
    <w:p w:rsidR="00377675" w:rsidRDefault="00377675" w:rsidP="009550BB">
      <w:pPr>
        <w:ind w:left="360" w:hanging="360"/>
        <w:jc w:val="both"/>
        <w:rPr>
          <w:sz w:val="20"/>
          <w:lang w:val="fr-CA"/>
        </w:rPr>
      </w:pPr>
    </w:p>
    <w:p w:rsidR="006E0A35" w:rsidRPr="00BD3F9E" w:rsidRDefault="006E0A35" w:rsidP="009550BB">
      <w:pPr>
        <w:ind w:left="360" w:hanging="360"/>
        <w:jc w:val="both"/>
        <w:rPr>
          <w:sz w:val="20"/>
          <w:lang w:val="fr-CA"/>
        </w:rPr>
      </w:pPr>
    </w:p>
    <w:p w:rsidR="00D3344A" w:rsidRPr="00BD3F9E" w:rsidRDefault="00D3344A" w:rsidP="00D3344A">
      <w:pPr>
        <w:widowControl w:val="0"/>
        <w:outlineLvl w:val="0"/>
        <w:rPr>
          <w:sz w:val="20"/>
        </w:rPr>
      </w:pPr>
      <w:r w:rsidRPr="00BD3F9E">
        <w:rPr>
          <w:sz w:val="20"/>
        </w:rPr>
        <w:t xml:space="preserve">Supreme Court of Canada / Cour </w:t>
      </w:r>
      <w:proofErr w:type="spellStart"/>
      <w:r w:rsidRPr="00BD3F9E">
        <w:rPr>
          <w:sz w:val="20"/>
        </w:rPr>
        <w:t>suprême</w:t>
      </w:r>
      <w:proofErr w:type="spellEnd"/>
      <w:r w:rsidRPr="00BD3F9E">
        <w:rPr>
          <w:sz w:val="20"/>
        </w:rPr>
        <w:t xml:space="preserve"> du Canada : </w:t>
      </w:r>
    </w:p>
    <w:p w:rsidR="00D3344A" w:rsidRPr="00BD3F9E" w:rsidRDefault="00ED678A" w:rsidP="00D3344A">
      <w:pPr>
        <w:widowControl w:val="0"/>
        <w:outlineLvl w:val="0"/>
        <w:rPr>
          <w:sz w:val="20"/>
          <w:u w:val="single"/>
        </w:rPr>
      </w:pPr>
      <w:hyperlink r:id="rId18" w:history="1">
        <w:r w:rsidR="00D3344A" w:rsidRPr="00BD3F9E">
          <w:rPr>
            <w:rStyle w:val="Hyperlink"/>
            <w:sz w:val="20"/>
          </w:rPr>
          <w:t>comments-commentaires@scc-csc.ca</w:t>
        </w:r>
      </w:hyperlink>
    </w:p>
    <w:p w:rsidR="00D3344A" w:rsidRPr="00BD3F9E" w:rsidRDefault="0065588C" w:rsidP="00D3344A">
      <w:pPr>
        <w:widowControl w:val="0"/>
        <w:outlineLvl w:val="0"/>
        <w:rPr>
          <w:sz w:val="20"/>
        </w:rPr>
      </w:pPr>
      <w:r w:rsidRPr="00BD3F9E">
        <w:rPr>
          <w:sz w:val="20"/>
        </w:rPr>
        <w:t>613-</w:t>
      </w:r>
      <w:r w:rsidR="00D3344A" w:rsidRPr="00BD3F9E">
        <w:rPr>
          <w:sz w:val="20"/>
        </w:rPr>
        <w:t>995-4330</w:t>
      </w:r>
    </w:p>
    <w:p w:rsidR="00497B5E" w:rsidRPr="00BD3F9E" w:rsidRDefault="00497B5E" w:rsidP="00497B5E">
      <w:pPr>
        <w:widowControl w:val="0"/>
        <w:rPr>
          <w:sz w:val="20"/>
        </w:rPr>
      </w:pPr>
    </w:p>
    <w:p w:rsidR="00F6251B" w:rsidRPr="00BD3F9E" w:rsidRDefault="003F43E6" w:rsidP="00F6251B">
      <w:pPr>
        <w:pStyle w:val="Footer"/>
        <w:jc w:val="center"/>
        <w:rPr>
          <w:sz w:val="20"/>
        </w:rPr>
      </w:pPr>
      <w:r w:rsidRPr="00BD3F9E">
        <w:rPr>
          <w:sz w:val="20"/>
        </w:rPr>
        <w:t>- 30 -</w:t>
      </w:r>
    </w:p>
    <w:p w:rsidR="00F6251B" w:rsidRPr="00BD3F9E" w:rsidRDefault="00F6251B" w:rsidP="00F6251B">
      <w:pPr>
        <w:pStyle w:val="Footer"/>
        <w:jc w:val="center"/>
        <w:rPr>
          <w:sz w:val="20"/>
        </w:rPr>
      </w:pPr>
    </w:p>
    <w:p w:rsidR="00F6251B" w:rsidRPr="004B4D42" w:rsidRDefault="00F6251B" w:rsidP="005C1453">
      <w:pPr>
        <w:pStyle w:val="Footer"/>
        <w:ind w:left="2160"/>
        <w:rPr>
          <w:sz w:val="20"/>
          <w:lang w:val="fr-CA"/>
        </w:rPr>
      </w:pPr>
      <w:r w:rsidRPr="004B4D42">
        <w:rPr>
          <w:color w:val="A6A6A6"/>
          <w:sz w:val="16"/>
          <w:szCs w:val="16"/>
          <w:lang w:val="fr-CA"/>
        </w:rPr>
        <w:t xml:space="preserve"> </w:t>
      </w:r>
    </w:p>
    <w:sectPr w:rsidR="00F6251B" w:rsidRPr="004B4D42" w:rsidSect="0052482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576" w:footer="7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72" w:rsidRDefault="00D46172" w:rsidP="0034178A">
      <w:r>
        <w:separator/>
      </w:r>
    </w:p>
  </w:endnote>
  <w:endnote w:type="continuationSeparator" w:id="0">
    <w:p w:rsidR="00D46172" w:rsidRDefault="00D46172"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72" w:rsidRDefault="00D461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72" w:rsidRPr="00EF33BF" w:rsidRDefault="00D46172" w:rsidP="00EF33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72" w:rsidRDefault="00D46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72" w:rsidRDefault="00D46172" w:rsidP="0034178A">
      <w:r>
        <w:separator/>
      </w:r>
    </w:p>
  </w:footnote>
  <w:footnote w:type="continuationSeparator" w:id="0">
    <w:p w:rsidR="00D46172" w:rsidRDefault="00D46172"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72" w:rsidRDefault="00D46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72" w:rsidRDefault="00D461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72" w:rsidRDefault="00D46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153"/>
    <w:multiLevelType w:val="hybridMultilevel"/>
    <w:tmpl w:val="49EA03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3D1251"/>
    <w:multiLevelType w:val="hybridMultilevel"/>
    <w:tmpl w:val="E946D5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642EA3"/>
    <w:multiLevelType w:val="hybridMultilevel"/>
    <w:tmpl w:val="8DBA8A7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1FF0A29"/>
    <w:multiLevelType w:val="hybridMultilevel"/>
    <w:tmpl w:val="688C2E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AB4D74"/>
    <w:multiLevelType w:val="hybridMultilevel"/>
    <w:tmpl w:val="59EAD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1329C"/>
    <w:multiLevelType w:val="hybridMultilevel"/>
    <w:tmpl w:val="8F6ED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24C9D"/>
    <w:multiLevelType w:val="hybridMultilevel"/>
    <w:tmpl w:val="1B945A04"/>
    <w:lvl w:ilvl="0" w:tplc="CAC80DA6">
      <w:start w:val="5"/>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4841DA"/>
    <w:multiLevelType w:val="hybridMultilevel"/>
    <w:tmpl w:val="02A82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416E41"/>
    <w:multiLevelType w:val="hybridMultilevel"/>
    <w:tmpl w:val="C81C71C8"/>
    <w:lvl w:ilvl="0" w:tplc="6F0A33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84F6E"/>
    <w:multiLevelType w:val="hybridMultilevel"/>
    <w:tmpl w:val="01EC0B2C"/>
    <w:lvl w:ilvl="0" w:tplc="D2DE26C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E4B0B"/>
    <w:multiLevelType w:val="hybridMultilevel"/>
    <w:tmpl w:val="CF36FE66"/>
    <w:lvl w:ilvl="0" w:tplc="21841D76">
      <w:start w:val="3"/>
      <w:numFmt w:val="decimal"/>
      <w:lvlText w:val="%1."/>
      <w:lvlJc w:val="left"/>
      <w:pPr>
        <w:ind w:left="720" w:hanging="360"/>
      </w:pPr>
      <w:rPr>
        <w:b w:val="0"/>
        <w:i w:val="0"/>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38376DD"/>
    <w:multiLevelType w:val="hybridMultilevel"/>
    <w:tmpl w:val="0C7A1D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39DF6904"/>
    <w:multiLevelType w:val="hybridMultilevel"/>
    <w:tmpl w:val="0208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85F55"/>
    <w:multiLevelType w:val="hybridMultilevel"/>
    <w:tmpl w:val="D0027D34"/>
    <w:lvl w:ilvl="0" w:tplc="60922BE8">
      <w:start w:val="3"/>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E5F0E31"/>
    <w:multiLevelType w:val="hybridMultilevel"/>
    <w:tmpl w:val="8DBA8A7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F5B3A30"/>
    <w:multiLevelType w:val="hybridMultilevel"/>
    <w:tmpl w:val="03EC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95DCA"/>
    <w:multiLevelType w:val="hybridMultilevel"/>
    <w:tmpl w:val="ACA85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43DD3"/>
    <w:multiLevelType w:val="hybridMultilevel"/>
    <w:tmpl w:val="A1943E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4B966E9D"/>
    <w:multiLevelType w:val="hybridMultilevel"/>
    <w:tmpl w:val="912E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A6025"/>
    <w:multiLevelType w:val="hybridMultilevel"/>
    <w:tmpl w:val="6FB6F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63299"/>
    <w:multiLevelType w:val="hybridMultilevel"/>
    <w:tmpl w:val="8E9455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958161A"/>
    <w:multiLevelType w:val="hybridMultilevel"/>
    <w:tmpl w:val="C5968F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98D24D5"/>
    <w:multiLevelType w:val="hybridMultilevel"/>
    <w:tmpl w:val="44A6E290"/>
    <w:lvl w:ilvl="0" w:tplc="549AE956">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E017142"/>
    <w:multiLevelType w:val="hybridMultilevel"/>
    <w:tmpl w:val="7E2CF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12864"/>
    <w:multiLevelType w:val="hybridMultilevel"/>
    <w:tmpl w:val="8DBA8A7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7B6F3781"/>
    <w:multiLevelType w:val="hybridMultilevel"/>
    <w:tmpl w:val="4170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202BB"/>
    <w:multiLevelType w:val="hybridMultilevel"/>
    <w:tmpl w:val="739235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6"/>
  </w:num>
  <w:num w:numId="2">
    <w:abstractNumId w:val="5"/>
  </w:num>
  <w:num w:numId="3">
    <w:abstractNumId w:val="0"/>
  </w:num>
  <w:num w:numId="4">
    <w:abstractNumId w:val="22"/>
  </w:num>
  <w:num w:numId="5">
    <w:abstractNumId w:val="1"/>
  </w:num>
  <w:num w:numId="6">
    <w:abstractNumId w:val="3"/>
  </w:num>
  <w:num w:numId="7">
    <w:abstractNumId w:val="4"/>
  </w:num>
  <w:num w:numId="8">
    <w:abstractNumId w:val="25"/>
  </w:num>
  <w:num w:numId="9">
    <w:abstractNumId w:val="23"/>
  </w:num>
  <w:num w:numId="10">
    <w:abstractNumId w:val="15"/>
  </w:num>
  <w:num w:numId="11">
    <w:abstractNumId w:val="20"/>
  </w:num>
  <w:num w:numId="12">
    <w:abstractNumId w:val="13"/>
  </w:num>
  <w:num w:numId="13">
    <w:abstractNumId w:val="6"/>
  </w:num>
  <w:num w:numId="14">
    <w:abstractNumId w:val="9"/>
  </w:num>
  <w:num w:numId="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proofState w:spelling="clean"/>
  <w:defaultTabStop w:val="720"/>
  <w:drawingGridHorizontalSpacing w:val="120"/>
  <w:displayHorizont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46"/>
    <w:rsid w:val="000018E3"/>
    <w:rsid w:val="00003A2D"/>
    <w:rsid w:val="000043C3"/>
    <w:rsid w:val="000128A2"/>
    <w:rsid w:val="000136CC"/>
    <w:rsid w:val="0001374A"/>
    <w:rsid w:val="00014C19"/>
    <w:rsid w:val="000164DB"/>
    <w:rsid w:val="00016D65"/>
    <w:rsid w:val="00016D95"/>
    <w:rsid w:val="0001736B"/>
    <w:rsid w:val="00020797"/>
    <w:rsid w:val="00020816"/>
    <w:rsid w:val="00020DAE"/>
    <w:rsid w:val="0002267C"/>
    <w:rsid w:val="00024962"/>
    <w:rsid w:val="000276EE"/>
    <w:rsid w:val="00033257"/>
    <w:rsid w:val="00033D1E"/>
    <w:rsid w:val="00033D28"/>
    <w:rsid w:val="0003496D"/>
    <w:rsid w:val="00034A7F"/>
    <w:rsid w:val="00035790"/>
    <w:rsid w:val="00041B58"/>
    <w:rsid w:val="00042069"/>
    <w:rsid w:val="00042390"/>
    <w:rsid w:val="0004298B"/>
    <w:rsid w:val="00043FDE"/>
    <w:rsid w:val="000467DE"/>
    <w:rsid w:val="00046CB2"/>
    <w:rsid w:val="00047CD6"/>
    <w:rsid w:val="00051DE6"/>
    <w:rsid w:val="00054F8E"/>
    <w:rsid w:val="000577D9"/>
    <w:rsid w:val="00061283"/>
    <w:rsid w:val="000627A2"/>
    <w:rsid w:val="0006417A"/>
    <w:rsid w:val="00065F8F"/>
    <w:rsid w:val="00066B80"/>
    <w:rsid w:val="00067F50"/>
    <w:rsid w:val="00070830"/>
    <w:rsid w:val="00077E16"/>
    <w:rsid w:val="000809B3"/>
    <w:rsid w:val="00080EAB"/>
    <w:rsid w:val="00082444"/>
    <w:rsid w:val="000825A5"/>
    <w:rsid w:val="00082D8D"/>
    <w:rsid w:val="0008327A"/>
    <w:rsid w:val="000843DB"/>
    <w:rsid w:val="00085D13"/>
    <w:rsid w:val="00086629"/>
    <w:rsid w:val="00087808"/>
    <w:rsid w:val="00093693"/>
    <w:rsid w:val="00095627"/>
    <w:rsid w:val="000A0444"/>
    <w:rsid w:val="000A152E"/>
    <w:rsid w:val="000A245A"/>
    <w:rsid w:val="000A32CC"/>
    <w:rsid w:val="000A4311"/>
    <w:rsid w:val="000A50F9"/>
    <w:rsid w:val="000A6C60"/>
    <w:rsid w:val="000A78FC"/>
    <w:rsid w:val="000A7C00"/>
    <w:rsid w:val="000B07FB"/>
    <w:rsid w:val="000B10DF"/>
    <w:rsid w:val="000B163F"/>
    <w:rsid w:val="000B46A2"/>
    <w:rsid w:val="000B6193"/>
    <w:rsid w:val="000B7258"/>
    <w:rsid w:val="000B754A"/>
    <w:rsid w:val="000B76DB"/>
    <w:rsid w:val="000B7CBE"/>
    <w:rsid w:val="000B7EF2"/>
    <w:rsid w:val="000C02C5"/>
    <w:rsid w:val="000C0E20"/>
    <w:rsid w:val="000C182C"/>
    <w:rsid w:val="000C18B8"/>
    <w:rsid w:val="000C236F"/>
    <w:rsid w:val="000C3667"/>
    <w:rsid w:val="000C41A6"/>
    <w:rsid w:val="000C41C9"/>
    <w:rsid w:val="000C4781"/>
    <w:rsid w:val="000C572E"/>
    <w:rsid w:val="000C61C7"/>
    <w:rsid w:val="000C6AA2"/>
    <w:rsid w:val="000C7BD5"/>
    <w:rsid w:val="000D1DDF"/>
    <w:rsid w:val="000D262B"/>
    <w:rsid w:val="000D2F5C"/>
    <w:rsid w:val="000D3129"/>
    <w:rsid w:val="000D4BBF"/>
    <w:rsid w:val="000D6FB8"/>
    <w:rsid w:val="000E1FB7"/>
    <w:rsid w:val="000E3195"/>
    <w:rsid w:val="000E35CD"/>
    <w:rsid w:val="000E4F1E"/>
    <w:rsid w:val="000E50F2"/>
    <w:rsid w:val="000E514D"/>
    <w:rsid w:val="000E51E9"/>
    <w:rsid w:val="000E5407"/>
    <w:rsid w:val="000F0595"/>
    <w:rsid w:val="000F233F"/>
    <w:rsid w:val="000F3118"/>
    <w:rsid w:val="000F3522"/>
    <w:rsid w:val="000F4C35"/>
    <w:rsid w:val="000F525E"/>
    <w:rsid w:val="000F5511"/>
    <w:rsid w:val="000F6CBD"/>
    <w:rsid w:val="00100C1C"/>
    <w:rsid w:val="00100CEE"/>
    <w:rsid w:val="001017D1"/>
    <w:rsid w:val="00101E4B"/>
    <w:rsid w:val="00102F8F"/>
    <w:rsid w:val="001033B2"/>
    <w:rsid w:val="001043C6"/>
    <w:rsid w:val="00105612"/>
    <w:rsid w:val="001068F5"/>
    <w:rsid w:val="00107219"/>
    <w:rsid w:val="00107DAF"/>
    <w:rsid w:val="00110FE1"/>
    <w:rsid w:val="001147A4"/>
    <w:rsid w:val="001170C6"/>
    <w:rsid w:val="00117137"/>
    <w:rsid w:val="00117AF3"/>
    <w:rsid w:val="001200D6"/>
    <w:rsid w:val="00120360"/>
    <w:rsid w:val="00120CA0"/>
    <w:rsid w:val="0012101A"/>
    <w:rsid w:val="0012202C"/>
    <w:rsid w:val="00122CE1"/>
    <w:rsid w:val="00123976"/>
    <w:rsid w:val="00124DEC"/>
    <w:rsid w:val="001262EF"/>
    <w:rsid w:val="0013159F"/>
    <w:rsid w:val="00131EB1"/>
    <w:rsid w:val="00132635"/>
    <w:rsid w:val="00134190"/>
    <w:rsid w:val="001354E7"/>
    <w:rsid w:val="00136710"/>
    <w:rsid w:val="00140982"/>
    <w:rsid w:val="00141200"/>
    <w:rsid w:val="0014243F"/>
    <w:rsid w:val="0014294E"/>
    <w:rsid w:val="00142C72"/>
    <w:rsid w:val="001432DF"/>
    <w:rsid w:val="00143519"/>
    <w:rsid w:val="00144111"/>
    <w:rsid w:val="00144A29"/>
    <w:rsid w:val="00147BE4"/>
    <w:rsid w:val="00147DE3"/>
    <w:rsid w:val="00150453"/>
    <w:rsid w:val="00150D1B"/>
    <w:rsid w:val="00151336"/>
    <w:rsid w:val="00152366"/>
    <w:rsid w:val="00152EC0"/>
    <w:rsid w:val="00153B85"/>
    <w:rsid w:val="00155FD8"/>
    <w:rsid w:val="0015605D"/>
    <w:rsid w:val="001560EC"/>
    <w:rsid w:val="00157B04"/>
    <w:rsid w:val="00160866"/>
    <w:rsid w:val="00161F83"/>
    <w:rsid w:val="00167721"/>
    <w:rsid w:val="0017098A"/>
    <w:rsid w:val="001716F7"/>
    <w:rsid w:val="001739C2"/>
    <w:rsid w:val="00173B3A"/>
    <w:rsid w:val="00174655"/>
    <w:rsid w:val="00176790"/>
    <w:rsid w:val="00176D8B"/>
    <w:rsid w:val="00181375"/>
    <w:rsid w:val="001813C3"/>
    <w:rsid w:val="001819DA"/>
    <w:rsid w:val="00182705"/>
    <w:rsid w:val="001838E0"/>
    <w:rsid w:val="00183A15"/>
    <w:rsid w:val="00185355"/>
    <w:rsid w:val="001866BF"/>
    <w:rsid w:val="00186884"/>
    <w:rsid w:val="0019000C"/>
    <w:rsid w:val="0019030D"/>
    <w:rsid w:val="0019092C"/>
    <w:rsid w:val="00190C7A"/>
    <w:rsid w:val="00190F7F"/>
    <w:rsid w:val="001947C1"/>
    <w:rsid w:val="00194F2A"/>
    <w:rsid w:val="0019508F"/>
    <w:rsid w:val="001A06DE"/>
    <w:rsid w:val="001A08FF"/>
    <w:rsid w:val="001A1AE7"/>
    <w:rsid w:val="001A2314"/>
    <w:rsid w:val="001A3100"/>
    <w:rsid w:val="001A3AA1"/>
    <w:rsid w:val="001A4547"/>
    <w:rsid w:val="001A48FB"/>
    <w:rsid w:val="001A4C89"/>
    <w:rsid w:val="001A562F"/>
    <w:rsid w:val="001A646C"/>
    <w:rsid w:val="001B2704"/>
    <w:rsid w:val="001B3657"/>
    <w:rsid w:val="001B3EDD"/>
    <w:rsid w:val="001B4478"/>
    <w:rsid w:val="001B4569"/>
    <w:rsid w:val="001B4B99"/>
    <w:rsid w:val="001B68D3"/>
    <w:rsid w:val="001C0C39"/>
    <w:rsid w:val="001C0E0C"/>
    <w:rsid w:val="001C2F21"/>
    <w:rsid w:val="001C321B"/>
    <w:rsid w:val="001C3C19"/>
    <w:rsid w:val="001C3ED4"/>
    <w:rsid w:val="001C5E6C"/>
    <w:rsid w:val="001D0423"/>
    <w:rsid w:val="001D1020"/>
    <w:rsid w:val="001D1E16"/>
    <w:rsid w:val="001D235D"/>
    <w:rsid w:val="001D2555"/>
    <w:rsid w:val="001D337C"/>
    <w:rsid w:val="001D380D"/>
    <w:rsid w:val="001D65C6"/>
    <w:rsid w:val="001E3BCD"/>
    <w:rsid w:val="001F27B1"/>
    <w:rsid w:val="001F2F00"/>
    <w:rsid w:val="001F5B11"/>
    <w:rsid w:val="00200F31"/>
    <w:rsid w:val="0020221F"/>
    <w:rsid w:val="00203AEA"/>
    <w:rsid w:val="00205051"/>
    <w:rsid w:val="0020794A"/>
    <w:rsid w:val="00207A23"/>
    <w:rsid w:val="00207C7F"/>
    <w:rsid w:val="00210B48"/>
    <w:rsid w:val="0021175A"/>
    <w:rsid w:val="002120BD"/>
    <w:rsid w:val="00212962"/>
    <w:rsid w:val="00217135"/>
    <w:rsid w:val="0022132D"/>
    <w:rsid w:val="00221D16"/>
    <w:rsid w:val="00222CAE"/>
    <w:rsid w:val="00223622"/>
    <w:rsid w:val="00223B83"/>
    <w:rsid w:val="00225A53"/>
    <w:rsid w:val="002262C4"/>
    <w:rsid w:val="002264F4"/>
    <w:rsid w:val="00227A81"/>
    <w:rsid w:val="00231427"/>
    <w:rsid w:val="00231B27"/>
    <w:rsid w:val="00232934"/>
    <w:rsid w:val="00233057"/>
    <w:rsid w:val="00234A3D"/>
    <w:rsid w:val="00235ACB"/>
    <w:rsid w:val="00236EEA"/>
    <w:rsid w:val="002407C6"/>
    <w:rsid w:val="00241714"/>
    <w:rsid w:val="00243D06"/>
    <w:rsid w:val="00244CDD"/>
    <w:rsid w:val="00245302"/>
    <w:rsid w:val="00245D73"/>
    <w:rsid w:val="002472FE"/>
    <w:rsid w:val="00250F72"/>
    <w:rsid w:val="002514CA"/>
    <w:rsid w:val="00252FDB"/>
    <w:rsid w:val="002567CD"/>
    <w:rsid w:val="00257322"/>
    <w:rsid w:val="002613AC"/>
    <w:rsid w:val="00261D3C"/>
    <w:rsid w:val="00262C42"/>
    <w:rsid w:val="0026349D"/>
    <w:rsid w:val="00266E0E"/>
    <w:rsid w:val="00266FD4"/>
    <w:rsid w:val="002671CC"/>
    <w:rsid w:val="002676FA"/>
    <w:rsid w:val="0027099E"/>
    <w:rsid w:val="002709E7"/>
    <w:rsid w:val="0027369C"/>
    <w:rsid w:val="00274B8F"/>
    <w:rsid w:val="00276C42"/>
    <w:rsid w:val="002775A0"/>
    <w:rsid w:val="00280E55"/>
    <w:rsid w:val="00282FEC"/>
    <w:rsid w:val="00282FF3"/>
    <w:rsid w:val="0028364E"/>
    <w:rsid w:val="002848CB"/>
    <w:rsid w:val="002858BA"/>
    <w:rsid w:val="0028661B"/>
    <w:rsid w:val="0028686B"/>
    <w:rsid w:val="0029235D"/>
    <w:rsid w:val="00292574"/>
    <w:rsid w:val="0029396A"/>
    <w:rsid w:val="002A0621"/>
    <w:rsid w:val="002A17E0"/>
    <w:rsid w:val="002A4823"/>
    <w:rsid w:val="002A5245"/>
    <w:rsid w:val="002A55D1"/>
    <w:rsid w:val="002A5C41"/>
    <w:rsid w:val="002A5CF5"/>
    <w:rsid w:val="002A6EA4"/>
    <w:rsid w:val="002A7E9D"/>
    <w:rsid w:val="002B15AC"/>
    <w:rsid w:val="002B36C3"/>
    <w:rsid w:val="002B5525"/>
    <w:rsid w:val="002B5A2E"/>
    <w:rsid w:val="002B5A4B"/>
    <w:rsid w:val="002C10D1"/>
    <w:rsid w:val="002C239C"/>
    <w:rsid w:val="002C3A5F"/>
    <w:rsid w:val="002C5754"/>
    <w:rsid w:val="002D0C49"/>
    <w:rsid w:val="002D2553"/>
    <w:rsid w:val="002D43A1"/>
    <w:rsid w:val="002D63D6"/>
    <w:rsid w:val="002D6680"/>
    <w:rsid w:val="002E00CC"/>
    <w:rsid w:val="002E0473"/>
    <w:rsid w:val="002E1AF1"/>
    <w:rsid w:val="002E3911"/>
    <w:rsid w:val="002F06D0"/>
    <w:rsid w:val="002F2CF2"/>
    <w:rsid w:val="002F3830"/>
    <w:rsid w:val="002F38D7"/>
    <w:rsid w:val="002F4929"/>
    <w:rsid w:val="002F5989"/>
    <w:rsid w:val="002F7DDE"/>
    <w:rsid w:val="002F7E97"/>
    <w:rsid w:val="003012A2"/>
    <w:rsid w:val="00313652"/>
    <w:rsid w:val="0031376D"/>
    <w:rsid w:val="003151B5"/>
    <w:rsid w:val="00315AF8"/>
    <w:rsid w:val="003175F3"/>
    <w:rsid w:val="00317835"/>
    <w:rsid w:val="00317C72"/>
    <w:rsid w:val="003235CC"/>
    <w:rsid w:val="00325668"/>
    <w:rsid w:val="00325823"/>
    <w:rsid w:val="0032752E"/>
    <w:rsid w:val="0033097A"/>
    <w:rsid w:val="00330DCC"/>
    <w:rsid w:val="003310D4"/>
    <w:rsid w:val="0033241A"/>
    <w:rsid w:val="00332627"/>
    <w:rsid w:val="00332F1F"/>
    <w:rsid w:val="0033535C"/>
    <w:rsid w:val="0033625F"/>
    <w:rsid w:val="003379DC"/>
    <w:rsid w:val="00340D7B"/>
    <w:rsid w:val="00341556"/>
    <w:rsid w:val="0034178A"/>
    <w:rsid w:val="003429E0"/>
    <w:rsid w:val="00343A3B"/>
    <w:rsid w:val="00343C1E"/>
    <w:rsid w:val="003441F0"/>
    <w:rsid w:val="003509E6"/>
    <w:rsid w:val="00351946"/>
    <w:rsid w:val="0035210E"/>
    <w:rsid w:val="003521FD"/>
    <w:rsid w:val="00352802"/>
    <w:rsid w:val="00353085"/>
    <w:rsid w:val="003535EF"/>
    <w:rsid w:val="0035515E"/>
    <w:rsid w:val="00357828"/>
    <w:rsid w:val="00357895"/>
    <w:rsid w:val="00357B15"/>
    <w:rsid w:val="00360FCE"/>
    <w:rsid w:val="00362E82"/>
    <w:rsid w:val="00364001"/>
    <w:rsid w:val="00365DC3"/>
    <w:rsid w:val="0036633C"/>
    <w:rsid w:val="0036763E"/>
    <w:rsid w:val="0037013D"/>
    <w:rsid w:val="00370DA4"/>
    <w:rsid w:val="003710CD"/>
    <w:rsid w:val="00372FAD"/>
    <w:rsid w:val="00372FD5"/>
    <w:rsid w:val="0037633B"/>
    <w:rsid w:val="00376958"/>
    <w:rsid w:val="00376C1A"/>
    <w:rsid w:val="00377675"/>
    <w:rsid w:val="0037769F"/>
    <w:rsid w:val="0037792A"/>
    <w:rsid w:val="00377C17"/>
    <w:rsid w:val="00377C46"/>
    <w:rsid w:val="0038431A"/>
    <w:rsid w:val="0038547C"/>
    <w:rsid w:val="00385A88"/>
    <w:rsid w:val="00387900"/>
    <w:rsid w:val="00387AF8"/>
    <w:rsid w:val="00390065"/>
    <w:rsid w:val="00390A1E"/>
    <w:rsid w:val="00393660"/>
    <w:rsid w:val="003940A4"/>
    <w:rsid w:val="003957B6"/>
    <w:rsid w:val="003958AE"/>
    <w:rsid w:val="00395D43"/>
    <w:rsid w:val="0039618A"/>
    <w:rsid w:val="0039624A"/>
    <w:rsid w:val="0039709D"/>
    <w:rsid w:val="00397213"/>
    <w:rsid w:val="003A00C9"/>
    <w:rsid w:val="003A0258"/>
    <w:rsid w:val="003A11C4"/>
    <w:rsid w:val="003A1F69"/>
    <w:rsid w:val="003A58BA"/>
    <w:rsid w:val="003B00B8"/>
    <w:rsid w:val="003B0718"/>
    <w:rsid w:val="003B1455"/>
    <w:rsid w:val="003B1639"/>
    <w:rsid w:val="003B2AC6"/>
    <w:rsid w:val="003B2F30"/>
    <w:rsid w:val="003B3019"/>
    <w:rsid w:val="003B34C2"/>
    <w:rsid w:val="003B39D7"/>
    <w:rsid w:val="003B4B2E"/>
    <w:rsid w:val="003B61F0"/>
    <w:rsid w:val="003B64B3"/>
    <w:rsid w:val="003B693A"/>
    <w:rsid w:val="003B6E18"/>
    <w:rsid w:val="003B7053"/>
    <w:rsid w:val="003C0C25"/>
    <w:rsid w:val="003C2D62"/>
    <w:rsid w:val="003C5F5E"/>
    <w:rsid w:val="003C5FC2"/>
    <w:rsid w:val="003C6BB7"/>
    <w:rsid w:val="003D0A88"/>
    <w:rsid w:val="003D27BD"/>
    <w:rsid w:val="003D353C"/>
    <w:rsid w:val="003E29B3"/>
    <w:rsid w:val="003E36C0"/>
    <w:rsid w:val="003E3724"/>
    <w:rsid w:val="003E3957"/>
    <w:rsid w:val="003E7F59"/>
    <w:rsid w:val="003F0D8B"/>
    <w:rsid w:val="003F1E6F"/>
    <w:rsid w:val="003F1F9E"/>
    <w:rsid w:val="003F3BC1"/>
    <w:rsid w:val="003F43E6"/>
    <w:rsid w:val="003F4894"/>
    <w:rsid w:val="004000BE"/>
    <w:rsid w:val="004026BA"/>
    <w:rsid w:val="00403038"/>
    <w:rsid w:val="0040709C"/>
    <w:rsid w:val="00407F30"/>
    <w:rsid w:val="004116DA"/>
    <w:rsid w:val="004117D6"/>
    <w:rsid w:val="00411834"/>
    <w:rsid w:val="00412A23"/>
    <w:rsid w:val="004149DA"/>
    <w:rsid w:val="00415755"/>
    <w:rsid w:val="00416211"/>
    <w:rsid w:val="00420841"/>
    <w:rsid w:val="00423732"/>
    <w:rsid w:val="00425B31"/>
    <w:rsid w:val="00426976"/>
    <w:rsid w:val="00427722"/>
    <w:rsid w:val="00427F4F"/>
    <w:rsid w:val="00431731"/>
    <w:rsid w:val="00431779"/>
    <w:rsid w:val="00431A2A"/>
    <w:rsid w:val="00431CE6"/>
    <w:rsid w:val="00433C3E"/>
    <w:rsid w:val="00440246"/>
    <w:rsid w:val="00441CF2"/>
    <w:rsid w:val="00444072"/>
    <w:rsid w:val="00446BAE"/>
    <w:rsid w:val="0045044A"/>
    <w:rsid w:val="004511AB"/>
    <w:rsid w:val="0045235F"/>
    <w:rsid w:val="004533F1"/>
    <w:rsid w:val="00453797"/>
    <w:rsid w:val="00453ABE"/>
    <w:rsid w:val="004542A8"/>
    <w:rsid w:val="004576E8"/>
    <w:rsid w:val="00460794"/>
    <w:rsid w:val="00463731"/>
    <w:rsid w:val="00463A9F"/>
    <w:rsid w:val="00463CEF"/>
    <w:rsid w:val="00463DEF"/>
    <w:rsid w:val="00464FEE"/>
    <w:rsid w:val="004672B7"/>
    <w:rsid w:val="00467391"/>
    <w:rsid w:val="004706A0"/>
    <w:rsid w:val="00472190"/>
    <w:rsid w:val="004724BF"/>
    <w:rsid w:val="00472695"/>
    <w:rsid w:val="00474D9B"/>
    <w:rsid w:val="004775E8"/>
    <w:rsid w:val="00481888"/>
    <w:rsid w:val="0048370B"/>
    <w:rsid w:val="00486750"/>
    <w:rsid w:val="00487EBC"/>
    <w:rsid w:val="00490DDC"/>
    <w:rsid w:val="00491D56"/>
    <w:rsid w:val="00491D60"/>
    <w:rsid w:val="00494CD1"/>
    <w:rsid w:val="004957BA"/>
    <w:rsid w:val="004963CC"/>
    <w:rsid w:val="004970C9"/>
    <w:rsid w:val="00497B5E"/>
    <w:rsid w:val="004A224A"/>
    <w:rsid w:val="004A28DD"/>
    <w:rsid w:val="004A3074"/>
    <w:rsid w:val="004A570E"/>
    <w:rsid w:val="004A59B2"/>
    <w:rsid w:val="004A7CEC"/>
    <w:rsid w:val="004B06E1"/>
    <w:rsid w:val="004B129A"/>
    <w:rsid w:val="004B31C7"/>
    <w:rsid w:val="004B4BDC"/>
    <w:rsid w:val="004B4D42"/>
    <w:rsid w:val="004B7E3E"/>
    <w:rsid w:val="004C0544"/>
    <w:rsid w:val="004C07ED"/>
    <w:rsid w:val="004C2585"/>
    <w:rsid w:val="004C281D"/>
    <w:rsid w:val="004C2E9D"/>
    <w:rsid w:val="004C4513"/>
    <w:rsid w:val="004C5A9B"/>
    <w:rsid w:val="004C7FC6"/>
    <w:rsid w:val="004D25B5"/>
    <w:rsid w:val="004D6E67"/>
    <w:rsid w:val="004E00B4"/>
    <w:rsid w:val="004E0963"/>
    <w:rsid w:val="004E0B2F"/>
    <w:rsid w:val="004E1B3F"/>
    <w:rsid w:val="004E2A8E"/>
    <w:rsid w:val="004F000D"/>
    <w:rsid w:val="004F0EC9"/>
    <w:rsid w:val="004F27DD"/>
    <w:rsid w:val="004F40AB"/>
    <w:rsid w:val="0050050B"/>
    <w:rsid w:val="0050132A"/>
    <w:rsid w:val="00502F3E"/>
    <w:rsid w:val="00503196"/>
    <w:rsid w:val="00503ADE"/>
    <w:rsid w:val="00504706"/>
    <w:rsid w:val="0050674F"/>
    <w:rsid w:val="00506A2E"/>
    <w:rsid w:val="00510BE0"/>
    <w:rsid w:val="00510C5C"/>
    <w:rsid w:val="00511E62"/>
    <w:rsid w:val="005208AC"/>
    <w:rsid w:val="00520B14"/>
    <w:rsid w:val="00521DC2"/>
    <w:rsid w:val="00521EFA"/>
    <w:rsid w:val="00523A16"/>
    <w:rsid w:val="00523D2D"/>
    <w:rsid w:val="00524822"/>
    <w:rsid w:val="005256DB"/>
    <w:rsid w:val="00525B79"/>
    <w:rsid w:val="005264A5"/>
    <w:rsid w:val="00526D01"/>
    <w:rsid w:val="00532EB0"/>
    <w:rsid w:val="00533CD5"/>
    <w:rsid w:val="00534871"/>
    <w:rsid w:val="00535069"/>
    <w:rsid w:val="00535A60"/>
    <w:rsid w:val="005372AF"/>
    <w:rsid w:val="00540D5C"/>
    <w:rsid w:val="00541FF9"/>
    <w:rsid w:val="00544481"/>
    <w:rsid w:val="0054689F"/>
    <w:rsid w:val="00546DAD"/>
    <w:rsid w:val="005542A1"/>
    <w:rsid w:val="00555A0C"/>
    <w:rsid w:val="00555A17"/>
    <w:rsid w:val="00555EC7"/>
    <w:rsid w:val="00557DCC"/>
    <w:rsid w:val="00561169"/>
    <w:rsid w:val="005617DA"/>
    <w:rsid w:val="00561B18"/>
    <w:rsid w:val="0056339B"/>
    <w:rsid w:val="00566C79"/>
    <w:rsid w:val="00570169"/>
    <w:rsid w:val="00571FF4"/>
    <w:rsid w:val="005748A1"/>
    <w:rsid w:val="005812EF"/>
    <w:rsid w:val="0058254B"/>
    <w:rsid w:val="0058351E"/>
    <w:rsid w:val="00587914"/>
    <w:rsid w:val="005925EC"/>
    <w:rsid w:val="0059611F"/>
    <w:rsid w:val="005964F5"/>
    <w:rsid w:val="00597224"/>
    <w:rsid w:val="005A1B7D"/>
    <w:rsid w:val="005A3592"/>
    <w:rsid w:val="005A4082"/>
    <w:rsid w:val="005B0AAB"/>
    <w:rsid w:val="005B4EB8"/>
    <w:rsid w:val="005B5497"/>
    <w:rsid w:val="005B5790"/>
    <w:rsid w:val="005B5E9D"/>
    <w:rsid w:val="005B6F1B"/>
    <w:rsid w:val="005B711B"/>
    <w:rsid w:val="005C1453"/>
    <w:rsid w:val="005C196C"/>
    <w:rsid w:val="005C2CA2"/>
    <w:rsid w:val="005C3064"/>
    <w:rsid w:val="005C3191"/>
    <w:rsid w:val="005C3C86"/>
    <w:rsid w:val="005C725E"/>
    <w:rsid w:val="005C7BBF"/>
    <w:rsid w:val="005D019B"/>
    <w:rsid w:val="005D3069"/>
    <w:rsid w:val="005D3730"/>
    <w:rsid w:val="005D3BD1"/>
    <w:rsid w:val="005E2F89"/>
    <w:rsid w:val="005E4545"/>
    <w:rsid w:val="005E4E13"/>
    <w:rsid w:val="005E5730"/>
    <w:rsid w:val="005E73A1"/>
    <w:rsid w:val="005F4197"/>
    <w:rsid w:val="005F4C67"/>
    <w:rsid w:val="005F5163"/>
    <w:rsid w:val="005F52C6"/>
    <w:rsid w:val="006067DB"/>
    <w:rsid w:val="006073F9"/>
    <w:rsid w:val="00607F86"/>
    <w:rsid w:val="00610BC0"/>
    <w:rsid w:val="0061157C"/>
    <w:rsid w:val="0061282A"/>
    <w:rsid w:val="006131E5"/>
    <w:rsid w:val="006132AE"/>
    <w:rsid w:val="006167B8"/>
    <w:rsid w:val="00617C22"/>
    <w:rsid w:val="00621A6D"/>
    <w:rsid w:val="00621F03"/>
    <w:rsid w:val="0062265E"/>
    <w:rsid w:val="00622F11"/>
    <w:rsid w:val="00623213"/>
    <w:rsid w:val="006251DE"/>
    <w:rsid w:val="006254EE"/>
    <w:rsid w:val="00625B63"/>
    <w:rsid w:val="00627517"/>
    <w:rsid w:val="00630B1A"/>
    <w:rsid w:val="00632A4A"/>
    <w:rsid w:val="00634573"/>
    <w:rsid w:val="00635A24"/>
    <w:rsid w:val="00636ADD"/>
    <w:rsid w:val="006406E5"/>
    <w:rsid w:val="00640B24"/>
    <w:rsid w:val="00641C9C"/>
    <w:rsid w:val="00642EB3"/>
    <w:rsid w:val="006441AD"/>
    <w:rsid w:val="006442C8"/>
    <w:rsid w:val="00654B60"/>
    <w:rsid w:val="00655090"/>
    <w:rsid w:val="0065588C"/>
    <w:rsid w:val="0066366C"/>
    <w:rsid w:val="006648D1"/>
    <w:rsid w:val="00664E1D"/>
    <w:rsid w:val="00666BA1"/>
    <w:rsid w:val="00667D20"/>
    <w:rsid w:val="006700CB"/>
    <w:rsid w:val="00670428"/>
    <w:rsid w:val="006708BC"/>
    <w:rsid w:val="006721DF"/>
    <w:rsid w:val="00672A20"/>
    <w:rsid w:val="00672B2D"/>
    <w:rsid w:val="00674808"/>
    <w:rsid w:val="00674CE6"/>
    <w:rsid w:val="00676BB6"/>
    <w:rsid w:val="00677279"/>
    <w:rsid w:val="00677979"/>
    <w:rsid w:val="006803A0"/>
    <w:rsid w:val="00682088"/>
    <w:rsid w:val="00683770"/>
    <w:rsid w:val="00683B58"/>
    <w:rsid w:val="006849D2"/>
    <w:rsid w:val="00686A7E"/>
    <w:rsid w:val="00686CAE"/>
    <w:rsid w:val="00690509"/>
    <w:rsid w:val="00690963"/>
    <w:rsid w:val="00690B95"/>
    <w:rsid w:val="00691156"/>
    <w:rsid w:val="00691FAB"/>
    <w:rsid w:val="00693751"/>
    <w:rsid w:val="00693795"/>
    <w:rsid w:val="006937ED"/>
    <w:rsid w:val="00693CE6"/>
    <w:rsid w:val="00695005"/>
    <w:rsid w:val="00696375"/>
    <w:rsid w:val="006965DF"/>
    <w:rsid w:val="00696CA3"/>
    <w:rsid w:val="006A09A4"/>
    <w:rsid w:val="006A21CC"/>
    <w:rsid w:val="006A3856"/>
    <w:rsid w:val="006A438F"/>
    <w:rsid w:val="006A503A"/>
    <w:rsid w:val="006A7FA7"/>
    <w:rsid w:val="006B1C34"/>
    <w:rsid w:val="006B293F"/>
    <w:rsid w:val="006B35F3"/>
    <w:rsid w:val="006B40C1"/>
    <w:rsid w:val="006B6A20"/>
    <w:rsid w:val="006C1EDD"/>
    <w:rsid w:val="006C2F5C"/>
    <w:rsid w:val="006C4010"/>
    <w:rsid w:val="006C477E"/>
    <w:rsid w:val="006C6D7A"/>
    <w:rsid w:val="006D0C02"/>
    <w:rsid w:val="006D0F19"/>
    <w:rsid w:val="006D2B2B"/>
    <w:rsid w:val="006D3FB0"/>
    <w:rsid w:val="006D443D"/>
    <w:rsid w:val="006D614A"/>
    <w:rsid w:val="006D6B5E"/>
    <w:rsid w:val="006D6CA1"/>
    <w:rsid w:val="006D7DA7"/>
    <w:rsid w:val="006E0A35"/>
    <w:rsid w:val="006E27D1"/>
    <w:rsid w:val="006E4462"/>
    <w:rsid w:val="006E465C"/>
    <w:rsid w:val="006E4B08"/>
    <w:rsid w:val="006E4EB7"/>
    <w:rsid w:val="006E7F81"/>
    <w:rsid w:val="006F1443"/>
    <w:rsid w:val="006F2579"/>
    <w:rsid w:val="006F2887"/>
    <w:rsid w:val="006F713E"/>
    <w:rsid w:val="006F7EB1"/>
    <w:rsid w:val="00700AD5"/>
    <w:rsid w:val="00702D4F"/>
    <w:rsid w:val="00703D5F"/>
    <w:rsid w:val="007045FC"/>
    <w:rsid w:val="0070488F"/>
    <w:rsid w:val="00704CDE"/>
    <w:rsid w:val="0070582E"/>
    <w:rsid w:val="007073E2"/>
    <w:rsid w:val="00710713"/>
    <w:rsid w:val="007123C3"/>
    <w:rsid w:val="0071266E"/>
    <w:rsid w:val="007130F7"/>
    <w:rsid w:val="00714183"/>
    <w:rsid w:val="00721EC2"/>
    <w:rsid w:val="007226F3"/>
    <w:rsid w:val="0072344E"/>
    <w:rsid w:val="007240C3"/>
    <w:rsid w:val="007243CC"/>
    <w:rsid w:val="007301CB"/>
    <w:rsid w:val="00731957"/>
    <w:rsid w:val="00733EF3"/>
    <w:rsid w:val="007356BB"/>
    <w:rsid w:val="00735BED"/>
    <w:rsid w:val="0073666D"/>
    <w:rsid w:val="0073669E"/>
    <w:rsid w:val="0073707B"/>
    <w:rsid w:val="00737C67"/>
    <w:rsid w:val="00737D1D"/>
    <w:rsid w:val="00737F76"/>
    <w:rsid w:val="00741002"/>
    <w:rsid w:val="00741637"/>
    <w:rsid w:val="007418D4"/>
    <w:rsid w:val="00742121"/>
    <w:rsid w:val="00744F24"/>
    <w:rsid w:val="0074501E"/>
    <w:rsid w:val="00746472"/>
    <w:rsid w:val="00746CD0"/>
    <w:rsid w:val="00747C5A"/>
    <w:rsid w:val="00751DE7"/>
    <w:rsid w:val="00752CE8"/>
    <w:rsid w:val="00760A78"/>
    <w:rsid w:val="00764725"/>
    <w:rsid w:val="00764B6B"/>
    <w:rsid w:val="00764F0C"/>
    <w:rsid w:val="00766432"/>
    <w:rsid w:val="00766983"/>
    <w:rsid w:val="00767A28"/>
    <w:rsid w:val="007712C3"/>
    <w:rsid w:val="00771F1C"/>
    <w:rsid w:val="007725DF"/>
    <w:rsid w:val="007736D0"/>
    <w:rsid w:val="007758CF"/>
    <w:rsid w:val="00775FEC"/>
    <w:rsid w:val="00776317"/>
    <w:rsid w:val="00776D06"/>
    <w:rsid w:val="007810BC"/>
    <w:rsid w:val="00781EB4"/>
    <w:rsid w:val="007823D7"/>
    <w:rsid w:val="00782E96"/>
    <w:rsid w:val="00785A39"/>
    <w:rsid w:val="0078776F"/>
    <w:rsid w:val="007900EA"/>
    <w:rsid w:val="007918A1"/>
    <w:rsid w:val="00795FC0"/>
    <w:rsid w:val="007975AC"/>
    <w:rsid w:val="007A0F7C"/>
    <w:rsid w:val="007A10D6"/>
    <w:rsid w:val="007A12A7"/>
    <w:rsid w:val="007A14FC"/>
    <w:rsid w:val="007A4A3D"/>
    <w:rsid w:val="007A5A11"/>
    <w:rsid w:val="007A6F16"/>
    <w:rsid w:val="007A7B6E"/>
    <w:rsid w:val="007A7F7F"/>
    <w:rsid w:val="007A7FD6"/>
    <w:rsid w:val="007B09DF"/>
    <w:rsid w:val="007B2DB6"/>
    <w:rsid w:val="007B300E"/>
    <w:rsid w:val="007B3A11"/>
    <w:rsid w:val="007B567F"/>
    <w:rsid w:val="007B57E8"/>
    <w:rsid w:val="007B65D4"/>
    <w:rsid w:val="007B67FE"/>
    <w:rsid w:val="007B7B2B"/>
    <w:rsid w:val="007B7B34"/>
    <w:rsid w:val="007C5323"/>
    <w:rsid w:val="007C6187"/>
    <w:rsid w:val="007C67EE"/>
    <w:rsid w:val="007C7A8C"/>
    <w:rsid w:val="007D05C7"/>
    <w:rsid w:val="007D07F8"/>
    <w:rsid w:val="007D1707"/>
    <w:rsid w:val="007D24AB"/>
    <w:rsid w:val="007D3405"/>
    <w:rsid w:val="007D41C2"/>
    <w:rsid w:val="007D42D5"/>
    <w:rsid w:val="007D4BFC"/>
    <w:rsid w:val="007D6193"/>
    <w:rsid w:val="007D6B1C"/>
    <w:rsid w:val="007D7A92"/>
    <w:rsid w:val="007E1C60"/>
    <w:rsid w:val="007E5486"/>
    <w:rsid w:val="007E6196"/>
    <w:rsid w:val="007E6656"/>
    <w:rsid w:val="007E70BF"/>
    <w:rsid w:val="007E735A"/>
    <w:rsid w:val="007F0085"/>
    <w:rsid w:val="007F080F"/>
    <w:rsid w:val="007F0F01"/>
    <w:rsid w:val="007F155F"/>
    <w:rsid w:val="007F22ED"/>
    <w:rsid w:val="007F3253"/>
    <w:rsid w:val="007F4F42"/>
    <w:rsid w:val="007F7F32"/>
    <w:rsid w:val="00800DF8"/>
    <w:rsid w:val="00801E32"/>
    <w:rsid w:val="008021FD"/>
    <w:rsid w:val="008026FA"/>
    <w:rsid w:val="008036BE"/>
    <w:rsid w:val="00803B18"/>
    <w:rsid w:val="00804BA2"/>
    <w:rsid w:val="00804FE6"/>
    <w:rsid w:val="0080556B"/>
    <w:rsid w:val="00807D00"/>
    <w:rsid w:val="00807EB6"/>
    <w:rsid w:val="008115B8"/>
    <w:rsid w:val="008115CF"/>
    <w:rsid w:val="00812315"/>
    <w:rsid w:val="00813018"/>
    <w:rsid w:val="00814DCA"/>
    <w:rsid w:val="0081539C"/>
    <w:rsid w:val="00815D1B"/>
    <w:rsid w:val="00816C1F"/>
    <w:rsid w:val="00820876"/>
    <w:rsid w:val="0082143F"/>
    <w:rsid w:val="00822064"/>
    <w:rsid w:val="008220AD"/>
    <w:rsid w:val="00823610"/>
    <w:rsid w:val="0083049A"/>
    <w:rsid w:val="008321A6"/>
    <w:rsid w:val="0083380F"/>
    <w:rsid w:val="00835FCE"/>
    <w:rsid w:val="008368DE"/>
    <w:rsid w:val="00840E25"/>
    <w:rsid w:val="0084161A"/>
    <w:rsid w:val="00841962"/>
    <w:rsid w:val="008424BB"/>
    <w:rsid w:val="008465CB"/>
    <w:rsid w:val="0085127E"/>
    <w:rsid w:val="008517C6"/>
    <w:rsid w:val="00852898"/>
    <w:rsid w:val="008534CC"/>
    <w:rsid w:val="00853C98"/>
    <w:rsid w:val="0085543E"/>
    <w:rsid w:val="008568B0"/>
    <w:rsid w:val="008578F2"/>
    <w:rsid w:val="008600ED"/>
    <w:rsid w:val="00860366"/>
    <w:rsid w:val="00861CAB"/>
    <w:rsid w:val="00862B21"/>
    <w:rsid w:val="00863E02"/>
    <w:rsid w:val="00865274"/>
    <w:rsid w:val="00865940"/>
    <w:rsid w:val="00865EEC"/>
    <w:rsid w:val="00866A27"/>
    <w:rsid w:val="008701DC"/>
    <w:rsid w:val="0087081B"/>
    <w:rsid w:val="008739F1"/>
    <w:rsid w:val="00874308"/>
    <w:rsid w:val="00877B13"/>
    <w:rsid w:val="00880AD5"/>
    <w:rsid w:val="00881457"/>
    <w:rsid w:val="00882802"/>
    <w:rsid w:val="008836A7"/>
    <w:rsid w:val="00884467"/>
    <w:rsid w:val="00887F03"/>
    <w:rsid w:val="00893B95"/>
    <w:rsid w:val="008941B2"/>
    <w:rsid w:val="008A1084"/>
    <w:rsid w:val="008A1DA7"/>
    <w:rsid w:val="008A3884"/>
    <w:rsid w:val="008A4ABF"/>
    <w:rsid w:val="008B0108"/>
    <w:rsid w:val="008B18E3"/>
    <w:rsid w:val="008B3670"/>
    <w:rsid w:val="008B4157"/>
    <w:rsid w:val="008B4A24"/>
    <w:rsid w:val="008B5AFF"/>
    <w:rsid w:val="008B5E0B"/>
    <w:rsid w:val="008B758A"/>
    <w:rsid w:val="008B7CD2"/>
    <w:rsid w:val="008C0C4F"/>
    <w:rsid w:val="008C12F3"/>
    <w:rsid w:val="008C277A"/>
    <w:rsid w:val="008C561D"/>
    <w:rsid w:val="008C62EC"/>
    <w:rsid w:val="008D0BE4"/>
    <w:rsid w:val="008D19DB"/>
    <w:rsid w:val="008D41B5"/>
    <w:rsid w:val="008D5BE0"/>
    <w:rsid w:val="008D7B10"/>
    <w:rsid w:val="008E0FD3"/>
    <w:rsid w:val="008E7C23"/>
    <w:rsid w:val="008E7F8D"/>
    <w:rsid w:val="008F06E9"/>
    <w:rsid w:val="008F0EC2"/>
    <w:rsid w:val="008F2850"/>
    <w:rsid w:val="008F2FC2"/>
    <w:rsid w:val="008F302C"/>
    <w:rsid w:val="008F5D1E"/>
    <w:rsid w:val="008F7242"/>
    <w:rsid w:val="00901457"/>
    <w:rsid w:val="0090233F"/>
    <w:rsid w:val="009035A2"/>
    <w:rsid w:val="009119D3"/>
    <w:rsid w:val="00922101"/>
    <w:rsid w:val="009244F7"/>
    <w:rsid w:val="00924C0D"/>
    <w:rsid w:val="0092587F"/>
    <w:rsid w:val="00932FE2"/>
    <w:rsid w:val="009340AB"/>
    <w:rsid w:val="00936192"/>
    <w:rsid w:val="0094066E"/>
    <w:rsid w:val="0094245B"/>
    <w:rsid w:val="00942A08"/>
    <w:rsid w:val="00942CAD"/>
    <w:rsid w:val="00943363"/>
    <w:rsid w:val="009434CF"/>
    <w:rsid w:val="00946910"/>
    <w:rsid w:val="00947C38"/>
    <w:rsid w:val="00953BFE"/>
    <w:rsid w:val="009550BB"/>
    <w:rsid w:val="00956067"/>
    <w:rsid w:val="00957342"/>
    <w:rsid w:val="009574F2"/>
    <w:rsid w:val="00957921"/>
    <w:rsid w:val="00957A76"/>
    <w:rsid w:val="00957C00"/>
    <w:rsid w:val="00960719"/>
    <w:rsid w:val="009619CF"/>
    <w:rsid w:val="00963502"/>
    <w:rsid w:val="00963C96"/>
    <w:rsid w:val="009648EF"/>
    <w:rsid w:val="0097114B"/>
    <w:rsid w:val="00971F36"/>
    <w:rsid w:val="00974614"/>
    <w:rsid w:val="0097588C"/>
    <w:rsid w:val="00976FE8"/>
    <w:rsid w:val="0097799A"/>
    <w:rsid w:val="00977C25"/>
    <w:rsid w:val="009807C9"/>
    <w:rsid w:val="00980CAF"/>
    <w:rsid w:val="0098122A"/>
    <w:rsid w:val="009816C8"/>
    <w:rsid w:val="00982327"/>
    <w:rsid w:val="009833CB"/>
    <w:rsid w:val="009836FB"/>
    <w:rsid w:val="009837A3"/>
    <w:rsid w:val="009843E2"/>
    <w:rsid w:val="009861EE"/>
    <w:rsid w:val="009912E2"/>
    <w:rsid w:val="00991536"/>
    <w:rsid w:val="009918AC"/>
    <w:rsid w:val="00993DAC"/>
    <w:rsid w:val="00996373"/>
    <w:rsid w:val="00996A23"/>
    <w:rsid w:val="00997705"/>
    <w:rsid w:val="009A0E19"/>
    <w:rsid w:val="009A1215"/>
    <w:rsid w:val="009A1416"/>
    <w:rsid w:val="009A20E4"/>
    <w:rsid w:val="009A2440"/>
    <w:rsid w:val="009A2448"/>
    <w:rsid w:val="009A3D15"/>
    <w:rsid w:val="009A3FD3"/>
    <w:rsid w:val="009A6007"/>
    <w:rsid w:val="009A6F9E"/>
    <w:rsid w:val="009A714A"/>
    <w:rsid w:val="009B0602"/>
    <w:rsid w:val="009B0987"/>
    <w:rsid w:val="009B121B"/>
    <w:rsid w:val="009B14F4"/>
    <w:rsid w:val="009B17DB"/>
    <w:rsid w:val="009B3199"/>
    <w:rsid w:val="009B38BC"/>
    <w:rsid w:val="009B4EC5"/>
    <w:rsid w:val="009B50CC"/>
    <w:rsid w:val="009B51A4"/>
    <w:rsid w:val="009B67B3"/>
    <w:rsid w:val="009B739B"/>
    <w:rsid w:val="009B7BAA"/>
    <w:rsid w:val="009C08E6"/>
    <w:rsid w:val="009C1B38"/>
    <w:rsid w:val="009C205F"/>
    <w:rsid w:val="009C3B2A"/>
    <w:rsid w:val="009C4C78"/>
    <w:rsid w:val="009C5124"/>
    <w:rsid w:val="009C5F2B"/>
    <w:rsid w:val="009C6454"/>
    <w:rsid w:val="009C78E3"/>
    <w:rsid w:val="009C7FFB"/>
    <w:rsid w:val="009D2D62"/>
    <w:rsid w:val="009D31CD"/>
    <w:rsid w:val="009D7121"/>
    <w:rsid w:val="009E01B8"/>
    <w:rsid w:val="009E0843"/>
    <w:rsid w:val="009E38AF"/>
    <w:rsid w:val="009E52A8"/>
    <w:rsid w:val="009E673E"/>
    <w:rsid w:val="009E7AD8"/>
    <w:rsid w:val="009F0D41"/>
    <w:rsid w:val="009F161C"/>
    <w:rsid w:val="009F1BC2"/>
    <w:rsid w:val="009F29A4"/>
    <w:rsid w:val="009F2F18"/>
    <w:rsid w:val="009F4EF8"/>
    <w:rsid w:val="009F4F1B"/>
    <w:rsid w:val="009F5872"/>
    <w:rsid w:val="009F740D"/>
    <w:rsid w:val="00A00F88"/>
    <w:rsid w:val="00A01AAA"/>
    <w:rsid w:val="00A02007"/>
    <w:rsid w:val="00A024F6"/>
    <w:rsid w:val="00A02A8B"/>
    <w:rsid w:val="00A041C7"/>
    <w:rsid w:val="00A06B3C"/>
    <w:rsid w:val="00A12CC9"/>
    <w:rsid w:val="00A20173"/>
    <w:rsid w:val="00A2060D"/>
    <w:rsid w:val="00A216B7"/>
    <w:rsid w:val="00A21708"/>
    <w:rsid w:val="00A242EA"/>
    <w:rsid w:val="00A2504D"/>
    <w:rsid w:val="00A271B3"/>
    <w:rsid w:val="00A2797C"/>
    <w:rsid w:val="00A309B7"/>
    <w:rsid w:val="00A322BE"/>
    <w:rsid w:val="00A33342"/>
    <w:rsid w:val="00A33719"/>
    <w:rsid w:val="00A40262"/>
    <w:rsid w:val="00A41B5E"/>
    <w:rsid w:val="00A42042"/>
    <w:rsid w:val="00A422C2"/>
    <w:rsid w:val="00A4281A"/>
    <w:rsid w:val="00A44C41"/>
    <w:rsid w:val="00A45529"/>
    <w:rsid w:val="00A466AC"/>
    <w:rsid w:val="00A47031"/>
    <w:rsid w:val="00A4765E"/>
    <w:rsid w:val="00A50604"/>
    <w:rsid w:val="00A50E26"/>
    <w:rsid w:val="00A522C3"/>
    <w:rsid w:val="00A524A6"/>
    <w:rsid w:val="00A54818"/>
    <w:rsid w:val="00A55DD4"/>
    <w:rsid w:val="00A56859"/>
    <w:rsid w:val="00A569E0"/>
    <w:rsid w:val="00A60CA4"/>
    <w:rsid w:val="00A62285"/>
    <w:rsid w:val="00A65A66"/>
    <w:rsid w:val="00A66EE4"/>
    <w:rsid w:val="00A70197"/>
    <w:rsid w:val="00A715EF"/>
    <w:rsid w:val="00A71BDB"/>
    <w:rsid w:val="00A720B7"/>
    <w:rsid w:val="00A73387"/>
    <w:rsid w:val="00A745D3"/>
    <w:rsid w:val="00A7462D"/>
    <w:rsid w:val="00A8029C"/>
    <w:rsid w:val="00A8033D"/>
    <w:rsid w:val="00A826B4"/>
    <w:rsid w:val="00A82E1A"/>
    <w:rsid w:val="00A8395A"/>
    <w:rsid w:val="00A83C7E"/>
    <w:rsid w:val="00A8418C"/>
    <w:rsid w:val="00A84DA1"/>
    <w:rsid w:val="00A85812"/>
    <w:rsid w:val="00A864D8"/>
    <w:rsid w:val="00A871C9"/>
    <w:rsid w:val="00A87FE2"/>
    <w:rsid w:val="00A95355"/>
    <w:rsid w:val="00A960E9"/>
    <w:rsid w:val="00A97B41"/>
    <w:rsid w:val="00A97F0C"/>
    <w:rsid w:val="00A97F93"/>
    <w:rsid w:val="00AA0E4D"/>
    <w:rsid w:val="00AA25C5"/>
    <w:rsid w:val="00AB05C9"/>
    <w:rsid w:val="00AB0BC7"/>
    <w:rsid w:val="00AB20AB"/>
    <w:rsid w:val="00AB2AAE"/>
    <w:rsid w:val="00AB2C0F"/>
    <w:rsid w:val="00AB40A0"/>
    <w:rsid w:val="00AB5528"/>
    <w:rsid w:val="00AB74C3"/>
    <w:rsid w:val="00AC0E72"/>
    <w:rsid w:val="00AC1250"/>
    <w:rsid w:val="00AC21C6"/>
    <w:rsid w:val="00AC3779"/>
    <w:rsid w:val="00AD0097"/>
    <w:rsid w:val="00AD020B"/>
    <w:rsid w:val="00AD0D5C"/>
    <w:rsid w:val="00AD1A96"/>
    <w:rsid w:val="00AD2A29"/>
    <w:rsid w:val="00AD52A6"/>
    <w:rsid w:val="00AD5AEC"/>
    <w:rsid w:val="00AD6AD0"/>
    <w:rsid w:val="00AD6D0B"/>
    <w:rsid w:val="00AE2C85"/>
    <w:rsid w:val="00AE42F5"/>
    <w:rsid w:val="00AE4721"/>
    <w:rsid w:val="00AE747B"/>
    <w:rsid w:val="00AE7DE5"/>
    <w:rsid w:val="00AF1653"/>
    <w:rsid w:val="00AF3BF4"/>
    <w:rsid w:val="00AF3F93"/>
    <w:rsid w:val="00AF50BF"/>
    <w:rsid w:val="00B02DE3"/>
    <w:rsid w:val="00B037AA"/>
    <w:rsid w:val="00B054BA"/>
    <w:rsid w:val="00B07908"/>
    <w:rsid w:val="00B1256E"/>
    <w:rsid w:val="00B13787"/>
    <w:rsid w:val="00B1445B"/>
    <w:rsid w:val="00B15801"/>
    <w:rsid w:val="00B1644E"/>
    <w:rsid w:val="00B17AAC"/>
    <w:rsid w:val="00B215D0"/>
    <w:rsid w:val="00B21F73"/>
    <w:rsid w:val="00B23A60"/>
    <w:rsid w:val="00B23D80"/>
    <w:rsid w:val="00B245B8"/>
    <w:rsid w:val="00B24ABA"/>
    <w:rsid w:val="00B25FB2"/>
    <w:rsid w:val="00B30861"/>
    <w:rsid w:val="00B33FC9"/>
    <w:rsid w:val="00B34D05"/>
    <w:rsid w:val="00B34E1F"/>
    <w:rsid w:val="00B35194"/>
    <w:rsid w:val="00B36C97"/>
    <w:rsid w:val="00B37AAA"/>
    <w:rsid w:val="00B37C41"/>
    <w:rsid w:val="00B4078C"/>
    <w:rsid w:val="00B4191E"/>
    <w:rsid w:val="00B42C6D"/>
    <w:rsid w:val="00B437D7"/>
    <w:rsid w:val="00B4516E"/>
    <w:rsid w:val="00B45B27"/>
    <w:rsid w:val="00B46CB0"/>
    <w:rsid w:val="00B5139A"/>
    <w:rsid w:val="00B52315"/>
    <w:rsid w:val="00B52DAB"/>
    <w:rsid w:val="00B539BE"/>
    <w:rsid w:val="00B56011"/>
    <w:rsid w:val="00B56EF5"/>
    <w:rsid w:val="00B6070A"/>
    <w:rsid w:val="00B62043"/>
    <w:rsid w:val="00B63682"/>
    <w:rsid w:val="00B6581A"/>
    <w:rsid w:val="00B6639E"/>
    <w:rsid w:val="00B670E5"/>
    <w:rsid w:val="00B70890"/>
    <w:rsid w:val="00B71CAF"/>
    <w:rsid w:val="00B7320C"/>
    <w:rsid w:val="00B74DA0"/>
    <w:rsid w:val="00B7733B"/>
    <w:rsid w:val="00B80F85"/>
    <w:rsid w:val="00B824E7"/>
    <w:rsid w:val="00B829D3"/>
    <w:rsid w:val="00B83B7C"/>
    <w:rsid w:val="00B83EBF"/>
    <w:rsid w:val="00B84F90"/>
    <w:rsid w:val="00B85A66"/>
    <w:rsid w:val="00B86E92"/>
    <w:rsid w:val="00B90F3B"/>
    <w:rsid w:val="00B916F3"/>
    <w:rsid w:val="00B92397"/>
    <w:rsid w:val="00B92EEB"/>
    <w:rsid w:val="00B9309E"/>
    <w:rsid w:val="00B957C1"/>
    <w:rsid w:val="00B95A58"/>
    <w:rsid w:val="00B9752D"/>
    <w:rsid w:val="00BA01C1"/>
    <w:rsid w:val="00BA06FA"/>
    <w:rsid w:val="00BA0A23"/>
    <w:rsid w:val="00BA3460"/>
    <w:rsid w:val="00BA39C2"/>
    <w:rsid w:val="00BA5F1E"/>
    <w:rsid w:val="00BA6D44"/>
    <w:rsid w:val="00BA7782"/>
    <w:rsid w:val="00BB134D"/>
    <w:rsid w:val="00BB2F5F"/>
    <w:rsid w:val="00BB4B53"/>
    <w:rsid w:val="00BC0A42"/>
    <w:rsid w:val="00BC286A"/>
    <w:rsid w:val="00BC45E1"/>
    <w:rsid w:val="00BC471A"/>
    <w:rsid w:val="00BC52D2"/>
    <w:rsid w:val="00BC5FEE"/>
    <w:rsid w:val="00BC6152"/>
    <w:rsid w:val="00BC6C9D"/>
    <w:rsid w:val="00BC6F58"/>
    <w:rsid w:val="00BD07C7"/>
    <w:rsid w:val="00BD14CE"/>
    <w:rsid w:val="00BD2421"/>
    <w:rsid w:val="00BD3541"/>
    <w:rsid w:val="00BD3F9E"/>
    <w:rsid w:val="00BD4652"/>
    <w:rsid w:val="00BD4A8F"/>
    <w:rsid w:val="00BD62A2"/>
    <w:rsid w:val="00BD6A96"/>
    <w:rsid w:val="00BD6BF0"/>
    <w:rsid w:val="00BD74B1"/>
    <w:rsid w:val="00BE037A"/>
    <w:rsid w:val="00BE112A"/>
    <w:rsid w:val="00BE17E6"/>
    <w:rsid w:val="00BE1D6C"/>
    <w:rsid w:val="00BE27CF"/>
    <w:rsid w:val="00BE2D7E"/>
    <w:rsid w:val="00BE4426"/>
    <w:rsid w:val="00BE540B"/>
    <w:rsid w:val="00BE6364"/>
    <w:rsid w:val="00BE6576"/>
    <w:rsid w:val="00BF048F"/>
    <w:rsid w:val="00BF1FCA"/>
    <w:rsid w:val="00C00650"/>
    <w:rsid w:val="00C021BB"/>
    <w:rsid w:val="00C037A3"/>
    <w:rsid w:val="00C03932"/>
    <w:rsid w:val="00C06B98"/>
    <w:rsid w:val="00C06DE4"/>
    <w:rsid w:val="00C15480"/>
    <w:rsid w:val="00C204EF"/>
    <w:rsid w:val="00C23824"/>
    <w:rsid w:val="00C23B84"/>
    <w:rsid w:val="00C264D9"/>
    <w:rsid w:val="00C2655A"/>
    <w:rsid w:val="00C269D6"/>
    <w:rsid w:val="00C26F6A"/>
    <w:rsid w:val="00C31354"/>
    <w:rsid w:val="00C319FB"/>
    <w:rsid w:val="00C31C5A"/>
    <w:rsid w:val="00C31EAC"/>
    <w:rsid w:val="00C3269C"/>
    <w:rsid w:val="00C342CA"/>
    <w:rsid w:val="00C34515"/>
    <w:rsid w:val="00C34D9A"/>
    <w:rsid w:val="00C36C08"/>
    <w:rsid w:val="00C36CF8"/>
    <w:rsid w:val="00C36FF2"/>
    <w:rsid w:val="00C373FF"/>
    <w:rsid w:val="00C412AD"/>
    <w:rsid w:val="00C419F7"/>
    <w:rsid w:val="00C4313B"/>
    <w:rsid w:val="00C45F01"/>
    <w:rsid w:val="00C4698C"/>
    <w:rsid w:val="00C5207F"/>
    <w:rsid w:val="00C52D21"/>
    <w:rsid w:val="00C5543B"/>
    <w:rsid w:val="00C573B1"/>
    <w:rsid w:val="00C600EE"/>
    <w:rsid w:val="00C64192"/>
    <w:rsid w:val="00C72D39"/>
    <w:rsid w:val="00C7351D"/>
    <w:rsid w:val="00C752EB"/>
    <w:rsid w:val="00C75878"/>
    <w:rsid w:val="00C76BBB"/>
    <w:rsid w:val="00C779D4"/>
    <w:rsid w:val="00C77C0E"/>
    <w:rsid w:val="00C81430"/>
    <w:rsid w:val="00C86829"/>
    <w:rsid w:val="00C935F6"/>
    <w:rsid w:val="00C9788C"/>
    <w:rsid w:val="00C97C59"/>
    <w:rsid w:val="00CA0C2B"/>
    <w:rsid w:val="00CA418B"/>
    <w:rsid w:val="00CB1766"/>
    <w:rsid w:val="00CB1E90"/>
    <w:rsid w:val="00CB1EB4"/>
    <w:rsid w:val="00CB328F"/>
    <w:rsid w:val="00CB3B10"/>
    <w:rsid w:val="00CB4831"/>
    <w:rsid w:val="00CB5DBA"/>
    <w:rsid w:val="00CB5FBD"/>
    <w:rsid w:val="00CB6B9D"/>
    <w:rsid w:val="00CB7F2D"/>
    <w:rsid w:val="00CC21F6"/>
    <w:rsid w:val="00CC4B0F"/>
    <w:rsid w:val="00CC71C7"/>
    <w:rsid w:val="00CC759C"/>
    <w:rsid w:val="00CD0363"/>
    <w:rsid w:val="00CD171A"/>
    <w:rsid w:val="00CD2B43"/>
    <w:rsid w:val="00CD33A6"/>
    <w:rsid w:val="00CD4E01"/>
    <w:rsid w:val="00CD4F9A"/>
    <w:rsid w:val="00CD6935"/>
    <w:rsid w:val="00CD6C36"/>
    <w:rsid w:val="00CE0A6E"/>
    <w:rsid w:val="00CE113C"/>
    <w:rsid w:val="00CE42F4"/>
    <w:rsid w:val="00CE6C1C"/>
    <w:rsid w:val="00CE7B3F"/>
    <w:rsid w:val="00CF0EF2"/>
    <w:rsid w:val="00CF47E5"/>
    <w:rsid w:val="00CF732A"/>
    <w:rsid w:val="00D00533"/>
    <w:rsid w:val="00D01406"/>
    <w:rsid w:val="00D015A7"/>
    <w:rsid w:val="00D0250E"/>
    <w:rsid w:val="00D04A90"/>
    <w:rsid w:val="00D06EF2"/>
    <w:rsid w:val="00D07131"/>
    <w:rsid w:val="00D07526"/>
    <w:rsid w:val="00D07E3B"/>
    <w:rsid w:val="00D1308F"/>
    <w:rsid w:val="00D17F23"/>
    <w:rsid w:val="00D207B2"/>
    <w:rsid w:val="00D220F4"/>
    <w:rsid w:val="00D22B49"/>
    <w:rsid w:val="00D23F60"/>
    <w:rsid w:val="00D240C0"/>
    <w:rsid w:val="00D24A6C"/>
    <w:rsid w:val="00D24AC2"/>
    <w:rsid w:val="00D25A76"/>
    <w:rsid w:val="00D2692A"/>
    <w:rsid w:val="00D27E31"/>
    <w:rsid w:val="00D308D8"/>
    <w:rsid w:val="00D318AF"/>
    <w:rsid w:val="00D3344A"/>
    <w:rsid w:val="00D3355A"/>
    <w:rsid w:val="00D362BE"/>
    <w:rsid w:val="00D36BE9"/>
    <w:rsid w:val="00D3722A"/>
    <w:rsid w:val="00D43F58"/>
    <w:rsid w:val="00D4457A"/>
    <w:rsid w:val="00D45734"/>
    <w:rsid w:val="00D46172"/>
    <w:rsid w:val="00D47829"/>
    <w:rsid w:val="00D47E7C"/>
    <w:rsid w:val="00D50AD1"/>
    <w:rsid w:val="00D542A9"/>
    <w:rsid w:val="00D5501F"/>
    <w:rsid w:val="00D55807"/>
    <w:rsid w:val="00D604C4"/>
    <w:rsid w:val="00D63929"/>
    <w:rsid w:val="00D63C1C"/>
    <w:rsid w:val="00D6421D"/>
    <w:rsid w:val="00D645E0"/>
    <w:rsid w:val="00D65124"/>
    <w:rsid w:val="00D65507"/>
    <w:rsid w:val="00D6599A"/>
    <w:rsid w:val="00D669A4"/>
    <w:rsid w:val="00D66E91"/>
    <w:rsid w:val="00D7143F"/>
    <w:rsid w:val="00D73621"/>
    <w:rsid w:val="00D7507B"/>
    <w:rsid w:val="00D7557F"/>
    <w:rsid w:val="00D75794"/>
    <w:rsid w:val="00D75BC9"/>
    <w:rsid w:val="00D77153"/>
    <w:rsid w:val="00D81BB1"/>
    <w:rsid w:val="00D84F6A"/>
    <w:rsid w:val="00D8506B"/>
    <w:rsid w:val="00D86ADC"/>
    <w:rsid w:val="00D90791"/>
    <w:rsid w:val="00D90F27"/>
    <w:rsid w:val="00D90F8B"/>
    <w:rsid w:val="00D95433"/>
    <w:rsid w:val="00D95F43"/>
    <w:rsid w:val="00D9772E"/>
    <w:rsid w:val="00DA17B0"/>
    <w:rsid w:val="00DA2C00"/>
    <w:rsid w:val="00DA33EC"/>
    <w:rsid w:val="00DA3F09"/>
    <w:rsid w:val="00DA5E1F"/>
    <w:rsid w:val="00DA6D82"/>
    <w:rsid w:val="00DB169C"/>
    <w:rsid w:val="00DB180E"/>
    <w:rsid w:val="00DB21E9"/>
    <w:rsid w:val="00DB27AF"/>
    <w:rsid w:val="00DB292F"/>
    <w:rsid w:val="00DB3966"/>
    <w:rsid w:val="00DB3F0F"/>
    <w:rsid w:val="00DB5A3F"/>
    <w:rsid w:val="00DB78EC"/>
    <w:rsid w:val="00DC124A"/>
    <w:rsid w:val="00DC2AD7"/>
    <w:rsid w:val="00DC6EBF"/>
    <w:rsid w:val="00DD4D17"/>
    <w:rsid w:val="00DD5846"/>
    <w:rsid w:val="00DD620A"/>
    <w:rsid w:val="00DE11D6"/>
    <w:rsid w:val="00DE2212"/>
    <w:rsid w:val="00DE2457"/>
    <w:rsid w:val="00DE2C8D"/>
    <w:rsid w:val="00DE5E69"/>
    <w:rsid w:val="00DE610C"/>
    <w:rsid w:val="00DE7CEB"/>
    <w:rsid w:val="00DE7F13"/>
    <w:rsid w:val="00DF06C4"/>
    <w:rsid w:val="00DF2C09"/>
    <w:rsid w:val="00DF3A31"/>
    <w:rsid w:val="00DF563C"/>
    <w:rsid w:val="00DF631D"/>
    <w:rsid w:val="00DF6C2D"/>
    <w:rsid w:val="00DF6D88"/>
    <w:rsid w:val="00E010DC"/>
    <w:rsid w:val="00E02941"/>
    <w:rsid w:val="00E03081"/>
    <w:rsid w:val="00E04119"/>
    <w:rsid w:val="00E04A8B"/>
    <w:rsid w:val="00E05B90"/>
    <w:rsid w:val="00E06224"/>
    <w:rsid w:val="00E06B80"/>
    <w:rsid w:val="00E10F8D"/>
    <w:rsid w:val="00E114D9"/>
    <w:rsid w:val="00E126BB"/>
    <w:rsid w:val="00E134A9"/>
    <w:rsid w:val="00E135F9"/>
    <w:rsid w:val="00E14D31"/>
    <w:rsid w:val="00E150E0"/>
    <w:rsid w:val="00E2108D"/>
    <w:rsid w:val="00E21F9F"/>
    <w:rsid w:val="00E220EA"/>
    <w:rsid w:val="00E2262C"/>
    <w:rsid w:val="00E23054"/>
    <w:rsid w:val="00E237A8"/>
    <w:rsid w:val="00E24F7C"/>
    <w:rsid w:val="00E25852"/>
    <w:rsid w:val="00E25FDB"/>
    <w:rsid w:val="00E26DDA"/>
    <w:rsid w:val="00E30009"/>
    <w:rsid w:val="00E30FF3"/>
    <w:rsid w:val="00E31BA9"/>
    <w:rsid w:val="00E31E1C"/>
    <w:rsid w:val="00E337E8"/>
    <w:rsid w:val="00E34AA2"/>
    <w:rsid w:val="00E37FAF"/>
    <w:rsid w:val="00E41F06"/>
    <w:rsid w:val="00E42B30"/>
    <w:rsid w:val="00E42DA2"/>
    <w:rsid w:val="00E45E6B"/>
    <w:rsid w:val="00E50167"/>
    <w:rsid w:val="00E5097C"/>
    <w:rsid w:val="00E51DDA"/>
    <w:rsid w:val="00E5361B"/>
    <w:rsid w:val="00E54925"/>
    <w:rsid w:val="00E604A4"/>
    <w:rsid w:val="00E61C4E"/>
    <w:rsid w:val="00E63F87"/>
    <w:rsid w:val="00E6527E"/>
    <w:rsid w:val="00E65A41"/>
    <w:rsid w:val="00E710C9"/>
    <w:rsid w:val="00E724E4"/>
    <w:rsid w:val="00E73312"/>
    <w:rsid w:val="00E735D4"/>
    <w:rsid w:val="00E73AFD"/>
    <w:rsid w:val="00E7411D"/>
    <w:rsid w:val="00E7483A"/>
    <w:rsid w:val="00E76439"/>
    <w:rsid w:val="00E80317"/>
    <w:rsid w:val="00E80877"/>
    <w:rsid w:val="00E829FE"/>
    <w:rsid w:val="00E82B62"/>
    <w:rsid w:val="00E841D8"/>
    <w:rsid w:val="00E850A8"/>
    <w:rsid w:val="00E858D9"/>
    <w:rsid w:val="00E85DC1"/>
    <w:rsid w:val="00E862F4"/>
    <w:rsid w:val="00E9032B"/>
    <w:rsid w:val="00E90B5E"/>
    <w:rsid w:val="00E92DE1"/>
    <w:rsid w:val="00E93717"/>
    <w:rsid w:val="00E95563"/>
    <w:rsid w:val="00E97E2B"/>
    <w:rsid w:val="00EA0D5B"/>
    <w:rsid w:val="00EA3FF6"/>
    <w:rsid w:val="00EA6DC0"/>
    <w:rsid w:val="00EB2481"/>
    <w:rsid w:val="00EB257B"/>
    <w:rsid w:val="00EB2D88"/>
    <w:rsid w:val="00EB404A"/>
    <w:rsid w:val="00EB5234"/>
    <w:rsid w:val="00EB610E"/>
    <w:rsid w:val="00EB722E"/>
    <w:rsid w:val="00EC0E72"/>
    <w:rsid w:val="00EC2028"/>
    <w:rsid w:val="00EC2317"/>
    <w:rsid w:val="00EC2990"/>
    <w:rsid w:val="00EC2A4D"/>
    <w:rsid w:val="00EC43F0"/>
    <w:rsid w:val="00EC4BBD"/>
    <w:rsid w:val="00EC4FBB"/>
    <w:rsid w:val="00EC61E5"/>
    <w:rsid w:val="00ED11BA"/>
    <w:rsid w:val="00ED1764"/>
    <w:rsid w:val="00ED200B"/>
    <w:rsid w:val="00ED2E12"/>
    <w:rsid w:val="00ED4F03"/>
    <w:rsid w:val="00ED52B2"/>
    <w:rsid w:val="00ED678A"/>
    <w:rsid w:val="00EE173D"/>
    <w:rsid w:val="00EE24D6"/>
    <w:rsid w:val="00EE59C6"/>
    <w:rsid w:val="00EF1864"/>
    <w:rsid w:val="00EF26B4"/>
    <w:rsid w:val="00EF33BF"/>
    <w:rsid w:val="00EF6E6D"/>
    <w:rsid w:val="00EF775A"/>
    <w:rsid w:val="00F00020"/>
    <w:rsid w:val="00F02E36"/>
    <w:rsid w:val="00F03C00"/>
    <w:rsid w:val="00F04707"/>
    <w:rsid w:val="00F04ACD"/>
    <w:rsid w:val="00F0571B"/>
    <w:rsid w:val="00F107A8"/>
    <w:rsid w:val="00F10F01"/>
    <w:rsid w:val="00F110F6"/>
    <w:rsid w:val="00F122E7"/>
    <w:rsid w:val="00F152B2"/>
    <w:rsid w:val="00F17D2D"/>
    <w:rsid w:val="00F20894"/>
    <w:rsid w:val="00F22AFE"/>
    <w:rsid w:val="00F237A4"/>
    <w:rsid w:val="00F24087"/>
    <w:rsid w:val="00F265F6"/>
    <w:rsid w:val="00F27291"/>
    <w:rsid w:val="00F314C0"/>
    <w:rsid w:val="00F32569"/>
    <w:rsid w:val="00F33889"/>
    <w:rsid w:val="00F35C22"/>
    <w:rsid w:val="00F41337"/>
    <w:rsid w:val="00F41940"/>
    <w:rsid w:val="00F44405"/>
    <w:rsid w:val="00F46255"/>
    <w:rsid w:val="00F47DC5"/>
    <w:rsid w:val="00F50A23"/>
    <w:rsid w:val="00F518F3"/>
    <w:rsid w:val="00F5367B"/>
    <w:rsid w:val="00F54B12"/>
    <w:rsid w:val="00F5608F"/>
    <w:rsid w:val="00F6027C"/>
    <w:rsid w:val="00F60DAD"/>
    <w:rsid w:val="00F60DE0"/>
    <w:rsid w:val="00F6194D"/>
    <w:rsid w:val="00F61F8E"/>
    <w:rsid w:val="00F6251B"/>
    <w:rsid w:val="00F626C6"/>
    <w:rsid w:val="00F63405"/>
    <w:rsid w:val="00F64156"/>
    <w:rsid w:val="00F70C8A"/>
    <w:rsid w:val="00F71087"/>
    <w:rsid w:val="00F73A04"/>
    <w:rsid w:val="00F74DE7"/>
    <w:rsid w:val="00F76A83"/>
    <w:rsid w:val="00F81D96"/>
    <w:rsid w:val="00F826E7"/>
    <w:rsid w:val="00F82C6C"/>
    <w:rsid w:val="00F83978"/>
    <w:rsid w:val="00F83ED3"/>
    <w:rsid w:val="00F857B4"/>
    <w:rsid w:val="00F86C88"/>
    <w:rsid w:val="00F86D13"/>
    <w:rsid w:val="00F87535"/>
    <w:rsid w:val="00F91915"/>
    <w:rsid w:val="00F921C0"/>
    <w:rsid w:val="00F92282"/>
    <w:rsid w:val="00F9337A"/>
    <w:rsid w:val="00F962B4"/>
    <w:rsid w:val="00F972B0"/>
    <w:rsid w:val="00FA0210"/>
    <w:rsid w:val="00FA2BF8"/>
    <w:rsid w:val="00FA3AA3"/>
    <w:rsid w:val="00FA5D62"/>
    <w:rsid w:val="00FA6040"/>
    <w:rsid w:val="00FA6293"/>
    <w:rsid w:val="00FA6373"/>
    <w:rsid w:val="00FB08CC"/>
    <w:rsid w:val="00FB1304"/>
    <w:rsid w:val="00FB3686"/>
    <w:rsid w:val="00FB4545"/>
    <w:rsid w:val="00FB56BD"/>
    <w:rsid w:val="00FB578C"/>
    <w:rsid w:val="00FB58BB"/>
    <w:rsid w:val="00FB597D"/>
    <w:rsid w:val="00FC0D59"/>
    <w:rsid w:val="00FC1A5C"/>
    <w:rsid w:val="00FC2D4C"/>
    <w:rsid w:val="00FC39EA"/>
    <w:rsid w:val="00FC4943"/>
    <w:rsid w:val="00FC60B8"/>
    <w:rsid w:val="00FD15AF"/>
    <w:rsid w:val="00FD2F1A"/>
    <w:rsid w:val="00FD4EC8"/>
    <w:rsid w:val="00FD5E81"/>
    <w:rsid w:val="00FD7F01"/>
    <w:rsid w:val="00FE0F88"/>
    <w:rsid w:val="00FE3782"/>
    <w:rsid w:val="00FE3AC5"/>
    <w:rsid w:val="00FE44CF"/>
    <w:rsid w:val="00FE4721"/>
    <w:rsid w:val="00FE4D2A"/>
    <w:rsid w:val="00FE4FD0"/>
    <w:rsid w:val="00FE5839"/>
    <w:rsid w:val="00FF2F3F"/>
    <w:rsid w:val="00FF5AA4"/>
    <w:rsid w:val="00FF6251"/>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case-dossier/info/sum-som-eng.aspx?cas=36529" TargetMode="External"/><Relationship Id="rId13" Type="http://schemas.openxmlformats.org/officeDocument/2006/relationships/hyperlink" Target="http://canlii.ca/t/ghd9k" TargetMode="External"/><Relationship Id="rId18" Type="http://schemas.openxmlformats.org/officeDocument/2006/relationships/hyperlink" Target="mailto:comments-commentaires@scc-csc.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anlii.ca/t/fl610" TargetMode="External"/><Relationship Id="rId17" Type="http://schemas.openxmlformats.org/officeDocument/2006/relationships/hyperlink" Target="http://www.canlii.org/en/bc/bcca/doc/2015/2015bcca172/2015bcca172.html?autocompleteStr=2015%20BCCA%20172&amp;autocompletePos=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nlii.org/en/bc/bcsc/doc/2014/2014bcsc660/2014bcsc660.html?autocompleteStr=2014%20BCSC%20660&amp;autocompletePos=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lii.ca/t/ghd9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anlii.org/en/bc/bcca/doc/2015/2015bcca172/2015bcca172.html?autocompleteStr=2015%20BCCA%20172&amp;autocompletePos=1" TargetMode="External"/><Relationship Id="rId23" Type="http://schemas.openxmlformats.org/officeDocument/2006/relationships/header" Target="header3.xml"/><Relationship Id="rId10" Type="http://schemas.openxmlformats.org/officeDocument/2006/relationships/hyperlink" Target="http://canlii.ca/t/fl6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c-csc.ca/case-dossier/info/sum-som-eng.aspx?cas=36495" TargetMode="External"/><Relationship Id="rId14" Type="http://schemas.openxmlformats.org/officeDocument/2006/relationships/hyperlink" Target="http://www.canlii.org/en/bc/bcsc/doc/2014/2014bcsc660/2014bcsc660.html?autocompleteStr=2014%20BCSC%20660&amp;autocompletePos=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9ED96-E38D-495F-827B-E157AC65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9652</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2015-11-09T18:34:00Z</dcterms:created>
  <dcterms:modified xsi:type="dcterms:W3CDTF">2015-11-26T20:22:00Z</dcterms:modified>
</cp:coreProperties>
</file>