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340C6D" w:rsidP="00EC79B0">
      <w:pPr>
        <w:widowControl w:val="0"/>
        <w:rPr>
          <w:b/>
        </w:rPr>
      </w:pPr>
      <w:r>
        <w:rPr>
          <w:b/>
        </w:rPr>
        <w:t>December 1</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Default="00EC79B0" w:rsidP="00EC79B0">
      <w:pPr>
        <w:widowControl w:val="0"/>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087122">
        <w:t>S</w:t>
      </w:r>
      <w:r w:rsidR="00DC6C1E">
        <w:t>T</w:t>
      </w:r>
      <w:r w:rsidR="00D74667">
        <w:t xml:space="preserve"> on</w:t>
      </w:r>
      <w:r w:rsidR="00DC6C1E">
        <w:t xml:space="preserve"> </w:t>
      </w:r>
      <w:r w:rsidR="00970EDF">
        <w:t>Fri</w:t>
      </w:r>
      <w:r w:rsidR="000A7900">
        <w:t xml:space="preserve">day, </w:t>
      </w:r>
      <w:r w:rsidR="00340C6D">
        <w:t>December 4</w:t>
      </w:r>
      <w:r w:rsidR="00E63199">
        <w:t>, 2</w:t>
      </w:r>
      <w:r w:rsidR="0086609D">
        <w:t>015</w:t>
      </w:r>
      <w:r w:rsidR="00455BB9">
        <w:t>.  This</w:t>
      </w:r>
      <w:r>
        <w:t xml:space="preserve"> list is subject to change.</w:t>
      </w:r>
    </w:p>
    <w:p w:rsidR="001C4415" w:rsidRPr="001D0423" w:rsidRDefault="001C4415" w:rsidP="001C4415">
      <w:pPr>
        <w:widowControl w:val="0"/>
        <w:rPr>
          <w:szCs w:val="24"/>
        </w:rPr>
      </w:pPr>
    </w:p>
    <w:p w:rsidR="001C4415" w:rsidRDefault="001C4415" w:rsidP="001C4415">
      <w:pPr>
        <w:widowControl w:val="0"/>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340C6D">
        <w:rPr>
          <w:b/>
          <w:lang w:val="fr-CA"/>
        </w:rPr>
        <w:t>1</w:t>
      </w:r>
      <w:r w:rsidR="00340C6D" w:rsidRPr="00340C6D">
        <w:rPr>
          <w:b/>
          <w:vertAlign w:val="superscript"/>
          <w:lang w:val="fr-CA"/>
        </w:rPr>
        <w:t>er</w:t>
      </w:r>
      <w:r w:rsidR="00340C6D">
        <w:rPr>
          <w:b/>
          <w:lang w:val="fr-CA"/>
        </w:rPr>
        <w:t xml:space="preserve"> décembre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 </w:t>
      </w:r>
      <w:r w:rsidR="00970EDF">
        <w:rPr>
          <w:lang w:val="fr-CA"/>
        </w:rPr>
        <w:t xml:space="preserve">vendredi </w:t>
      </w:r>
      <w:r w:rsidR="00340C6D">
        <w:rPr>
          <w:lang w:val="fr-CA"/>
        </w:rPr>
        <w:t xml:space="preserve">4 </w:t>
      </w:r>
      <w:r w:rsidR="00340C6D" w:rsidRPr="00340C6D">
        <w:rPr>
          <w:lang w:val="fr-CA"/>
        </w:rPr>
        <w:t>décembre</w:t>
      </w:r>
      <w:r w:rsidR="00282563">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087122">
        <w:rPr>
          <w:lang w:val="fr-CA"/>
        </w:rPr>
        <w:t>N</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Default="00340C6D" w:rsidP="00340C6D">
      <w:pPr>
        <w:jc w:val="both"/>
        <w:rPr>
          <w:bCs/>
        </w:rPr>
      </w:pPr>
    </w:p>
    <w:p w:rsidR="00340C6D" w:rsidRPr="00340C6D" w:rsidRDefault="00340C6D" w:rsidP="00340C6D">
      <w:pPr>
        <w:tabs>
          <w:tab w:val="center" w:pos="4680"/>
        </w:tabs>
        <w:jc w:val="both"/>
      </w:pPr>
      <w:r w:rsidRPr="00A4022B">
        <w:rPr>
          <w:i/>
        </w:rPr>
        <w:t>Can</w:t>
      </w:r>
      <w:r>
        <w:rPr>
          <w:i/>
        </w:rPr>
        <w:t>adian Imperial Bank of Commerce et al. v. Howard Green</w:t>
      </w:r>
      <w:r w:rsidRPr="00A4022B">
        <w:rPr>
          <w:i/>
        </w:rPr>
        <w:t xml:space="preserve"> et al.</w:t>
      </w:r>
      <w:r>
        <w:t xml:space="preserve"> </w:t>
      </w:r>
      <w:r w:rsidRPr="00340C6D">
        <w:t>(Ont.) (</w:t>
      </w:r>
      <w:hyperlink r:id="rId7" w:history="1">
        <w:r w:rsidRPr="00340C6D">
          <w:rPr>
            <w:rStyle w:val="Hyperlink"/>
          </w:rPr>
          <w:t>35807</w:t>
        </w:r>
      </w:hyperlink>
      <w:r w:rsidRPr="00340C6D">
        <w:t>)</w:t>
      </w:r>
    </w:p>
    <w:p w:rsidR="00340C6D" w:rsidRPr="00340C6D" w:rsidRDefault="00340C6D" w:rsidP="00340C6D">
      <w:pPr>
        <w:tabs>
          <w:tab w:val="center" w:pos="4680"/>
        </w:tabs>
        <w:jc w:val="both"/>
      </w:pPr>
    </w:p>
    <w:p w:rsidR="00340C6D" w:rsidRPr="00C04FDC" w:rsidRDefault="00340C6D" w:rsidP="00340C6D">
      <w:pPr>
        <w:tabs>
          <w:tab w:val="center" w:pos="4680"/>
        </w:tabs>
        <w:jc w:val="both"/>
        <w:rPr>
          <w:lang w:val="en-CA"/>
        </w:rPr>
      </w:pPr>
      <w:r w:rsidRPr="00FA0FCA">
        <w:rPr>
          <w:i/>
          <w:lang w:val="fr-FR"/>
        </w:rPr>
        <w:t>IMAX Corporation</w:t>
      </w:r>
      <w:r>
        <w:rPr>
          <w:i/>
          <w:lang w:val="fr-FR"/>
        </w:rPr>
        <w:t xml:space="preserve"> et al. v. Marvin Neil </w:t>
      </w:r>
      <w:proofErr w:type="spellStart"/>
      <w:r>
        <w:rPr>
          <w:i/>
          <w:lang w:val="fr-FR"/>
        </w:rPr>
        <w:t>Silver</w:t>
      </w:r>
      <w:proofErr w:type="spellEnd"/>
      <w:r w:rsidRPr="00FA0FCA">
        <w:rPr>
          <w:i/>
          <w:lang w:val="fr-FR"/>
        </w:rPr>
        <w:t xml:space="preserve"> et al.</w:t>
      </w:r>
      <w:r w:rsidRPr="00FA0FCA">
        <w:rPr>
          <w:lang w:val="fr-FR"/>
        </w:rPr>
        <w:t xml:space="preserve"> </w:t>
      </w:r>
      <w:r w:rsidRPr="00C04FDC">
        <w:rPr>
          <w:lang w:val="en-CA"/>
        </w:rPr>
        <w:t xml:space="preserve">(Ont.) </w:t>
      </w:r>
      <w:r w:rsidRPr="00340C6D">
        <w:t>(</w:t>
      </w:r>
      <w:hyperlink r:id="rId8" w:history="1">
        <w:r w:rsidRPr="00340C6D">
          <w:rPr>
            <w:rStyle w:val="Hyperlink"/>
          </w:rPr>
          <w:t>35811</w:t>
        </w:r>
      </w:hyperlink>
      <w:r w:rsidRPr="00340C6D">
        <w:t>)</w:t>
      </w:r>
    </w:p>
    <w:p w:rsidR="00340C6D" w:rsidRPr="00C04FDC" w:rsidRDefault="00340C6D" w:rsidP="00340C6D">
      <w:pPr>
        <w:tabs>
          <w:tab w:val="center" w:pos="4680"/>
        </w:tabs>
        <w:jc w:val="both"/>
        <w:rPr>
          <w:i/>
          <w:lang w:val="en-CA"/>
        </w:rPr>
      </w:pPr>
    </w:p>
    <w:p w:rsidR="00340C6D" w:rsidRDefault="00340C6D" w:rsidP="00340C6D">
      <w:pPr>
        <w:tabs>
          <w:tab w:val="center" w:pos="4680"/>
        </w:tabs>
        <w:jc w:val="both"/>
      </w:pPr>
      <w:r>
        <w:rPr>
          <w:i/>
          <w:lang w:val="en-CA"/>
        </w:rPr>
        <w:t>Celestica Inc.</w:t>
      </w:r>
      <w:r w:rsidRPr="00A4022B">
        <w:rPr>
          <w:i/>
          <w:lang w:val="en-CA"/>
        </w:rPr>
        <w:t xml:space="preserve"> et al. v. Trustees of the Millwright Regional Council of Ontario Pension Trust Fund et al.</w:t>
      </w:r>
      <w:r>
        <w:rPr>
          <w:lang w:val="en-CA"/>
        </w:rPr>
        <w:t xml:space="preserve"> (Ont.)</w:t>
      </w:r>
      <w:r>
        <w:rPr>
          <w:lang w:val="en-CA"/>
        </w:rPr>
        <w:t xml:space="preserve"> </w:t>
      </w:r>
      <w:r w:rsidRPr="00C04FDC">
        <w:rPr>
          <w:lang w:val="en-CA"/>
        </w:rPr>
        <w:t>(</w:t>
      </w:r>
      <w:hyperlink r:id="rId9" w:history="1">
        <w:r w:rsidRPr="00340C6D">
          <w:rPr>
            <w:rStyle w:val="Hyperlink"/>
            <w:lang w:val="en-CA"/>
          </w:rPr>
          <w:t>35813</w:t>
        </w:r>
      </w:hyperlink>
      <w:r>
        <w:rPr>
          <w:lang w:val="en-CA"/>
        </w:rPr>
        <w:t>)</w:t>
      </w:r>
    </w:p>
    <w:p w:rsidR="00340C6D" w:rsidRPr="00774490" w:rsidRDefault="00340C6D" w:rsidP="00774490">
      <w:pPr>
        <w:jc w:val="both"/>
        <w:rPr>
          <w:sz w:val="20"/>
          <w:lang w:val="en-GB"/>
        </w:rPr>
      </w:pPr>
    </w:p>
    <w:p w:rsidR="00970EDF" w:rsidRPr="00774490" w:rsidRDefault="00970EDF" w:rsidP="00774490">
      <w:pPr>
        <w:jc w:val="both"/>
        <w:rPr>
          <w:sz w:val="20"/>
        </w:rPr>
      </w:pPr>
    </w:p>
    <w:p w:rsidR="00072A63" w:rsidRPr="00774490" w:rsidRDefault="00072A63" w:rsidP="00774490">
      <w:pPr>
        <w:jc w:val="both"/>
        <w:rPr>
          <w:sz w:val="20"/>
        </w:rPr>
      </w:pPr>
    </w:p>
    <w:bookmarkStart w:id="0" w:name="1"/>
    <w:bookmarkEnd w:id="0"/>
    <w:p w:rsidR="00774490" w:rsidRPr="00774490" w:rsidRDefault="00774490" w:rsidP="00774490">
      <w:pPr>
        <w:widowControl w:val="0"/>
        <w:ind w:left="720" w:hanging="720"/>
        <w:contextualSpacing/>
        <w:jc w:val="both"/>
        <w:rPr>
          <w:b/>
          <w:i/>
          <w:sz w:val="20"/>
          <w:lang w:val="en-CA"/>
        </w:rPr>
      </w:pPr>
      <w:r w:rsidRPr="00774490">
        <w:rPr>
          <w:b/>
          <w:sz w:val="20"/>
          <w:lang w:val="en-CA"/>
        </w:rPr>
        <w:fldChar w:fldCharType="begin"/>
      </w:r>
      <w:r w:rsidRPr="00774490">
        <w:rPr>
          <w:b/>
          <w:sz w:val="20"/>
        </w:rPr>
        <w:instrText xml:space="preserve"> SEQ CHAPTER \h \r 1</w:instrText>
      </w:r>
      <w:r w:rsidRPr="00774490">
        <w:rPr>
          <w:b/>
          <w:sz w:val="20"/>
        </w:rPr>
        <w:fldChar w:fldCharType="end"/>
      </w:r>
      <w:r w:rsidRPr="00774490">
        <w:rPr>
          <w:b/>
          <w:sz w:val="20"/>
          <w:lang w:val="en-CA"/>
        </w:rPr>
        <w:t>35807</w:t>
      </w:r>
      <w:r w:rsidRPr="00774490">
        <w:rPr>
          <w:sz w:val="20"/>
          <w:lang w:val="en-CA"/>
        </w:rPr>
        <w:tab/>
      </w:r>
      <w:bookmarkStart w:id="1" w:name="3"/>
      <w:bookmarkEnd w:id="1"/>
      <w:r w:rsidRPr="00774490">
        <w:rPr>
          <w:b/>
          <w:i/>
          <w:sz w:val="20"/>
        </w:rPr>
        <w:t>Canadian</w:t>
      </w:r>
      <w:r w:rsidRPr="00774490">
        <w:rPr>
          <w:b/>
          <w:i/>
          <w:sz w:val="20"/>
          <w:lang w:val="en-CA"/>
        </w:rPr>
        <w:t xml:space="preserve"> Imperial Bank of Commerce v. Howard Green and Anne Bell</w:t>
      </w:r>
    </w:p>
    <w:p w:rsidR="00774490" w:rsidRPr="00774490" w:rsidRDefault="00774490" w:rsidP="00774490">
      <w:pPr>
        <w:widowControl w:val="0"/>
        <w:ind w:left="720" w:hanging="720"/>
        <w:contextualSpacing/>
        <w:jc w:val="both"/>
        <w:rPr>
          <w:sz w:val="20"/>
          <w:lang w:val="en-CA"/>
        </w:rPr>
      </w:pPr>
      <w:r w:rsidRPr="00774490">
        <w:rPr>
          <w:b/>
          <w:i/>
          <w:sz w:val="20"/>
          <w:lang w:val="en-CA"/>
        </w:rPr>
        <w:tab/>
      </w:r>
      <w:r w:rsidRPr="00774490">
        <w:rPr>
          <w:b/>
          <w:i/>
          <w:sz w:val="20"/>
        </w:rPr>
        <w:t>Gerald</w:t>
      </w:r>
      <w:r w:rsidRPr="00774490">
        <w:rPr>
          <w:b/>
          <w:i/>
          <w:sz w:val="20"/>
          <w:lang w:val="en-CA"/>
        </w:rPr>
        <w:t xml:space="preserve"> McCaughey, Tom Woods, Brian G. Shaw and Ken Kilgour v. Howard Green and Anne Bell</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rPr>
      </w:pPr>
      <w:bookmarkStart w:id="2" w:name="QuickMark_1"/>
      <w:bookmarkEnd w:id="2"/>
      <w:r w:rsidRPr="00774490">
        <w:rPr>
          <w:sz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774490">
        <w:rPr>
          <w:i/>
          <w:sz w:val="20"/>
        </w:rPr>
        <w:t>Securities Act</w:t>
      </w:r>
      <w:r w:rsidRPr="00774490">
        <w:rPr>
          <w:sz w:val="20"/>
        </w:rPr>
        <w:t xml:space="preserve"> - Leave not obtained prior to expiry of three-year limitation period set out in s. 138.14 of </w:t>
      </w:r>
      <w:r w:rsidRPr="00774490">
        <w:rPr>
          <w:i/>
          <w:sz w:val="20"/>
        </w:rPr>
        <w:t>Securities Act</w:t>
      </w:r>
      <w:r w:rsidRPr="00774490">
        <w:rPr>
          <w:sz w:val="20"/>
        </w:rPr>
        <w:t xml:space="preserve"> - Whether the s. 138.14 limitation period was suspended by s. 28 of the </w:t>
      </w:r>
      <w:r w:rsidRPr="00774490">
        <w:rPr>
          <w:i/>
          <w:sz w:val="20"/>
        </w:rPr>
        <w:t>Class Proceedings Act</w:t>
      </w:r>
      <w:r w:rsidRPr="00774490">
        <w:rPr>
          <w:sz w:val="20"/>
        </w:rPr>
        <w:t xml:space="preserve"> prior to the grant of leave - Whether a class proceeding based on the common law cause of action can be the preferable procedure for resolving a secondary market misrepresentation claim - Whether the test for granting leave under s. 138.8 was properly interpreted and applied - </w:t>
      </w:r>
      <w:r w:rsidRPr="00774490">
        <w:rPr>
          <w:i/>
          <w:sz w:val="20"/>
        </w:rPr>
        <w:t>Securities Act</w:t>
      </w:r>
      <w:r w:rsidRPr="00774490">
        <w:rPr>
          <w:sz w:val="20"/>
        </w:rPr>
        <w:t xml:space="preserve">, R.S.O. 1990, c. S.5, ss. 138.3, 138.8, 138.14 - </w:t>
      </w:r>
      <w:r w:rsidRPr="00774490">
        <w:rPr>
          <w:i/>
          <w:sz w:val="20"/>
        </w:rPr>
        <w:t>Class Proceedings Act, 1992</w:t>
      </w:r>
      <w:r w:rsidRPr="00774490">
        <w:rPr>
          <w:sz w:val="20"/>
        </w:rPr>
        <w:t>, S.O. 1992, c. 6, s. 28.</w:t>
      </w:r>
    </w:p>
    <w:p w:rsidR="00774490" w:rsidRPr="00774490" w:rsidRDefault="00774490" w:rsidP="00774490">
      <w:pPr>
        <w:widowControl w:val="0"/>
        <w:jc w:val="both"/>
        <w:rPr>
          <w:sz w:val="20"/>
        </w:rPr>
      </w:pPr>
    </w:p>
    <w:p w:rsidR="00774490" w:rsidRPr="00774490" w:rsidRDefault="00774490" w:rsidP="00774490">
      <w:pPr>
        <w:jc w:val="both"/>
        <w:rPr>
          <w:sz w:val="20"/>
        </w:rPr>
      </w:pPr>
      <w:r w:rsidRPr="00774490">
        <w:rPr>
          <w:sz w:val="20"/>
        </w:rPr>
        <w:t xml:space="preserve">In this class action proceeding, the representative plaintiffs are claiming damages under Part XXIII.1 of the Ontario </w:t>
      </w:r>
      <w:r w:rsidRPr="00774490">
        <w:rPr>
          <w:i/>
          <w:sz w:val="20"/>
        </w:rPr>
        <w:t>Securities Act</w:t>
      </w:r>
      <w:r w:rsidRPr="00774490">
        <w:rPr>
          <w:sz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The statutory claim is also subject to a three-year limitation period, found at s. 138.14(1) of the OSA. The class action was commenced within the three-year limitation period and a motion for leave to commence the statutory claim was brought, but leave was not obtained within the limitation period. Applying the Ontario Court of Appeal’s 2012 decision in </w:t>
      </w:r>
      <w:r w:rsidRPr="00774490">
        <w:rPr>
          <w:i/>
          <w:sz w:val="20"/>
        </w:rPr>
        <w:t xml:space="preserve">Sharma v. </w:t>
      </w:r>
      <w:proofErr w:type="spellStart"/>
      <w:r w:rsidRPr="00774490">
        <w:rPr>
          <w:i/>
          <w:sz w:val="20"/>
        </w:rPr>
        <w:t>Timminco</w:t>
      </w:r>
      <w:proofErr w:type="spellEnd"/>
      <w:r w:rsidRPr="00774490">
        <w:rPr>
          <w:sz w:val="20"/>
        </w:rPr>
        <w:t xml:space="preserve">, 2012 ONCA 107, the motions judge dismissed the leave application and the statutory action as time-barred. However, on appeal, a five-judge panel of the Court of Appeal concluded that the decision in </w:t>
      </w:r>
      <w:proofErr w:type="spellStart"/>
      <w:r w:rsidRPr="00774490">
        <w:rPr>
          <w:i/>
          <w:sz w:val="20"/>
        </w:rPr>
        <w:t>Timminco</w:t>
      </w:r>
      <w:proofErr w:type="spellEnd"/>
      <w:r w:rsidRPr="00774490">
        <w:rPr>
          <w:sz w:val="20"/>
        </w:rPr>
        <w:t xml:space="preserve"> should be overturned, and therefore that the action was not statute-barred. The motions judge, had he not found that the action was time-barred, would have certified the action as a class proceeding to assert the statutory cause of action, but not the cause of action for common law misrepresentation. The Court of Appeal, after finding that the action was not time-barred, certified the action as a class proceeding to assert both causes of action.</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Origin of the case:</w:t>
      </w:r>
      <w:r w:rsidRPr="00774490">
        <w:rPr>
          <w:sz w:val="20"/>
          <w:lang w:val="en-CA"/>
        </w:rPr>
        <w:tab/>
      </w:r>
      <w:r w:rsidRPr="00774490">
        <w:rPr>
          <w:sz w:val="20"/>
          <w:lang w:val="en-CA"/>
        </w:rPr>
        <w:tab/>
      </w:r>
      <w:r w:rsidRPr="00774490">
        <w:rPr>
          <w:sz w:val="20"/>
          <w:lang w:val="en-CA"/>
        </w:rPr>
        <w:tab/>
      </w:r>
      <w:bookmarkStart w:id="3" w:name="4"/>
      <w:bookmarkEnd w:id="3"/>
      <w:r>
        <w:rPr>
          <w:sz w:val="20"/>
          <w:lang w:val="en-CA"/>
        </w:rPr>
        <w:tab/>
      </w:r>
      <w:r w:rsidRPr="00774490">
        <w:rPr>
          <w:sz w:val="20"/>
          <w:lang w:val="en-CA"/>
        </w:rPr>
        <w:t>Ontario</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File No.:</w:t>
      </w:r>
      <w:r w:rsidRPr="00774490">
        <w:rPr>
          <w:sz w:val="20"/>
          <w:lang w:val="en-CA"/>
        </w:rPr>
        <w:tab/>
      </w:r>
      <w:r w:rsidRPr="00774490">
        <w:rPr>
          <w:sz w:val="20"/>
          <w:lang w:val="en-CA"/>
        </w:rPr>
        <w:tab/>
      </w:r>
      <w:r w:rsidRPr="00774490">
        <w:rPr>
          <w:sz w:val="20"/>
          <w:lang w:val="en-CA"/>
        </w:rPr>
        <w:tab/>
      </w:r>
      <w:r w:rsidRPr="00774490">
        <w:rPr>
          <w:sz w:val="20"/>
          <w:lang w:val="en-CA"/>
        </w:rPr>
        <w:tab/>
      </w:r>
      <w:bookmarkStart w:id="4" w:name="2"/>
      <w:bookmarkEnd w:id="4"/>
      <w:r>
        <w:rPr>
          <w:sz w:val="20"/>
          <w:lang w:val="en-CA"/>
        </w:rPr>
        <w:tab/>
      </w:r>
      <w:r>
        <w:rPr>
          <w:sz w:val="20"/>
          <w:lang w:val="en-CA"/>
        </w:rPr>
        <w:tab/>
      </w:r>
      <w:r>
        <w:rPr>
          <w:sz w:val="20"/>
          <w:lang w:val="en-CA"/>
        </w:rPr>
        <w:tab/>
      </w:r>
      <w:r w:rsidRPr="00774490">
        <w:rPr>
          <w:sz w:val="20"/>
          <w:lang w:val="en-CA"/>
        </w:rPr>
        <w:t>35807</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Judgment of the Court of Appeal:</w:t>
      </w:r>
      <w:r w:rsidRPr="00774490">
        <w:rPr>
          <w:sz w:val="20"/>
          <w:lang w:val="en-CA"/>
        </w:rPr>
        <w:tab/>
      </w:r>
      <w:bookmarkStart w:id="5" w:name="5"/>
      <w:bookmarkEnd w:id="5"/>
      <w:r w:rsidRPr="00774490">
        <w:rPr>
          <w:sz w:val="20"/>
          <w:lang w:val="en-CA"/>
        </w:rPr>
        <w:t>February 3, 2014</w:t>
      </w:r>
    </w:p>
    <w:p w:rsidR="00774490" w:rsidRPr="00774490" w:rsidRDefault="00774490" w:rsidP="00774490">
      <w:pPr>
        <w:widowControl w:val="0"/>
        <w:ind w:left="2880" w:hanging="2880"/>
        <w:jc w:val="both"/>
        <w:rPr>
          <w:sz w:val="20"/>
          <w:lang w:val="en-CA"/>
        </w:rPr>
      </w:pPr>
    </w:p>
    <w:p w:rsidR="00774490" w:rsidRPr="00774490" w:rsidRDefault="00774490" w:rsidP="00774490">
      <w:pPr>
        <w:widowControl w:val="0"/>
        <w:ind w:left="2880" w:hanging="2880"/>
        <w:jc w:val="both"/>
        <w:rPr>
          <w:sz w:val="20"/>
          <w:lang w:val="en-CA"/>
        </w:rPr>
      </w:pPr>
      <w:r w:rsidRPr="00774490">
        <w:rPr>
          <w:sz w:val="20"/>
          <w:lang w:val="en-CA"/>
        </w:rPr>
        <w:t>Counsel:</w:t>
      </w:r>
      <w:r w:rsidRPr="00774490">
        <w:rPr>
          <w:sz w:val="20"/>
          <w:lang w:val="en-CA"/>
        </w:rPr>
        <w:tab/>
      </w:r>
      <w:bookmarkStart w:id="6" w:name="6"/>
      <w:bookmarkEnd w:id="6"/>
      <w:r w:rsidRPr="00774490">
        <w:rPr>
          <w:sz w:val="20"/>
          <w:lang w:val="en-CA"/>
        </w:rPr>
        <w:t>Sheila Block, James C. Tory, Crawford Smith and Andrew Gray for the appellant Canadian Imperial Bank of Commerce</w:t>
      </w:r>
    </w:p>
    <w:p w:rsidR="00774490" w:rsidRPr="00774490" w:rsidRDefault="00774490" w:rsidP="00774490">
      <w:pPr>
        <w:widowControl w:val="0"/>
        <w:ind w:left="2880" w:hanging="2880"/>
        <w:jc w:val="both"/>
        <w:rPr>
          <w:sz w:val="20"/>
          <w:lang w:val="en-CA"/>
        </w:rPr>
      </w:pPr>
      <w:r w:rsidRPr="00774490">
        <w:rPr>
          <w:sz w:val="20"/>
          <w:lang w:val="en-CA"/>
        </w:rPr>
        <w:tab/>
        <w:t xml:space="preserve">Benjamin </w:t>
      </w:r>
      <w:proofErr w:type="spellStart"/>
      <w:r w:rsidRPr="00774490">
        <w:rPr>
          <w:sz w:val="20"/>
          <w:lang w:val="en-CA"/>
        </w:rPr>
        <w:t>Zarnett</w:t>
      </w:r>
      <w:proofErr w:type="spellEnd"/>
      <w:r w:rsidRPr="00774490">
        <w:rPr>
          <w:sz w:val="20"/>
          <w:lang w:val="en-CA"/>
        </w:rPr>
        <w:t xml:space="preserve"> and David D. Conklin for the appellants Gerald McCaughey, Tom Woods, Brian G. Shaw and Ken Kilgour</w:t>
      </w:r>
    </w:p>
    <w:p w:rsidR="00774490" w:rsidRDefault="00774490" w:rsidP="00774490">
      <w:pPr>
        <w:widowControl w:val="0"/>
        <w:ind w:left="2880" w:hanging="2880"/>
        <w:jc w:val="both"/>
        <w:rPr>
          <w:sz w:val="20"/>
          <w:lang w:val="en-CA"/>
        </w:rPr>
      </w:pPr>
      <w:r w:rsidRPr="00774490">
        <w:rPr>
          <w:sz w:val="20"/>
          <w:lang w:val="en-CA"/>
        </w:rPr>
        <w:tab/>
        <w:t xml:space="preserve">Joel P. </w:t>
      </w:r>
      <w:proofErr w:type="spellStart"/>
      <w:r w:rsidRPr="00774490">
        <w:rPr>
          <w:sz w:val="20"/>
          <w:lang w:val="en-CA"/>
        </w:rPr>
        <w:t>Rochon</w:t>
      </w:r>
      <w:proofErr w:type="spellEnd"/>
      <w:r w:rsidRPr="00774490">
        <w:rPr>
          <w:sz w:val="20"/>
          <w:lang w:val="en-CA"/>
        </w:rPr>
        <w:t xml:space="preserve">, Peter R. Jervis, </w:t>
      </w:r>
      <w:proofErr w:type="spellStart"/>
      <w:r w:rsidRPr="00774490">
        <w:rPr>
          <w:sz w:val="20"/>
          <w:lang w:val="en-CA"/>
        </w:rPr>
        <w:t>Remissa</w:t>
      </w:r>
      <w:proofErr w:type="spellEnd"/>
      <w:r w:rsidRPr="00774490">
        <w:rPr>
          <w:sz w:val="20"/>
          <w:lang w:val="en-CA"/>
        </w:rPr>
        <w:t xml:space="preserve"> </w:t>
      </w:r>
      <w:proofErr w:type="spellStart"/>
      <w:r w:rsidRPr="00774490">
        <w:rPr>
          <w:sz w:val="20"/>
          <w:lang w:val="en-CA"/>
        </w:rPr>
        <w:t>Hirji</w:t>
      </w:r>
      <w:proofErr w:type="spellEnd"/>
      <w:r w:rsidRPr="00774490">
        <w:rPr>
          <w:sz w:val="20"/>
          <w:lang w:val="en-CA"/>
        </w:rPr>
        <w:t xml:space="preserve"> and </w:t>
      </w:r>
      <w:proofErr w:type="spellStart"/>
      <w:r w:rsidRPr="00774490">
        <w:rPr>
          <w:sz w:val="20"/>
          <w:lang w:val="en-CA"/>
        </w:rPr>
        <w:t>Sakie</w:t>
      </w:r>
      <w:proofErr w:type="spellEnd"/>
      <w:r w:rsidRPr="00774490">
        <w:rPr>
          <w:sz w:val="20"/>
          <w:lang w:val="en-CA"/>
        </w:rPr>
        <w:t xml:space="preserve"> </w:t>
      </w:r>
      <w:proofErr w:type="spellStart"/>
      <w:r w:rsidRPr="00774490">
        <w:rPr>
          <w:sz w:val="20"/>
          <w:lang w:val="en-CA"/>
        </w:rPr>
        <w:t>Tambakos</w:t>
      </w:r>
      <w:proofErr w:type="spellEnd"/>
      <w:r w:rsidRPr="00774490">
        <w:rPr>
          <w:sz w:val="20"/>
          <w:lang w:val="en-CA"/>
        </w:rPr>
        <w:t xml:space="preserve"> for the respondents</w:t>
      </w:r>
    </w:p>
    <w:p w:rsidR="00774490" w:rsidRDefault="00774490" w:rsidP="00774490">
      <w:pPr>
        <w:widowControl w:val="0"/>
        <w:ind w:left="3600" w:hanging="3600"/>
        <w:jc w:val="both"/>
        <w:rPr>
          <w:sz w:val="20"/>
          <w:lang w:val="en-CA"/>
        </w:rPr>
      </w:pPr>
    </w:p>
    <w:p w:rsidR="00774490" w:rsidRPr="00774490" w:rsidRDefault="00774490" w:rsidP="00774490">
      <w:pPr>
        <w:widowControl w:val="0"/>
        <w:ind w:left="3600" w:hanging="3600"/>
        <w:jc w:val="both"/>
        <w:rPr>
          <w:sz w:val="20"/>
          <w:lang w:val="en-CA"/>
        </w:rPr>
      </w:pPr>
    </w:p>
    <w:p w:rsidR="00774490" w:rsidRPr="00774490" w:rsidRDefault="00774490" w:rsidP="00774490">
      <w:pPr>
        <w:widowControl w:val="0"/>
        <w:ind w:left="720" w:hanging="720"/>
        <w:contextualSpacing/>
        <w:jc w:val="both"/>
        <w:rPr>
          <w:b/>
          <w:i/>
          <w:sz w:val="20"/>
          <w:lang w:val="fr-CA"/>
        </w:rPr>
      </w:pPr>
      <w:r w:rsidRPr="00774490">
        <w:rPr>
          <w:b/>
          <w:sz w:val="20"/>
          <w:lang w:val="fr-CA"/>
        </w:rPr>
        <w:fldChar w:fldCharType="begin"/>
      </w:r>
      <w:r w:rsidRPr="00774490">
        <w:rPr>
          <w:b/>
          <w:sz w:val="20"/>
          <w:lang w:val="fr-CA"/>
        </w:rPr>
        <w:instrText xml:space="preserve"> SEQ CHAPTER \h \r 1</w:instrText>
      </w:r>
      <w:r w:rsidRPr="00774490">
        <w:rPr>
          <w:b/>
          <w:sz w:val="20"/>
          <w:lang w:val="fr-CA"/>
        </w:rPr>
        <w:fldChar w:fldCharType="end"/>
      </w:r>
      <w:r w:rsidRPr="00774490">
        <w:rPr>
          <w:b/>
          <w:sz w:val="20"/>
          <w:lang w:val="fr-CA"/>
        </w:rPr>
        <w:t>35807</w:t>
      </w:r>
      <w:r w:rsidRPr="00774490">
        <w:rPr>
          <w:sz w:val="20"/>
          <w:lang w:val="fr-CA"/>
        </w:rPr>
        <w:tab/>
      </w:r>
      <w:r w:rsidRPr="00774490">
        <w:rPr>
          <w:b/>
          <w:i/>
          <w:sz w:val="20"/>
          <w:lang w:val="fr-CA"/>
        </w:rPr>
        <w:t>Banque Canadienne Impériale de Commerce c. Howard Green et Anne Bell</w:t>
      </w:r>
    </w:p>
    <w:p w:rsidR="00774490" w:rsidRPr="00774490" w:rsidRDefault="00774490" w:rsidP="00774490">
      <w:pPr>
        <w:widowControl w:val="0"/>
        <w:ind w:left="709" w:hanging="709"/>
        <w:jc w:val="both"/>
        <w:rPr>
          <w:sz w:val="20"/>
        </w:rPr>
      </w:pPr>
      <w:r w:rsidRPr="00774490">
        <w:rPr>
          <w:b/>
          <w:i/>
          <w:sz w:val="20"/>
          <w:lang w:val="fr-CA"/>
        </w:rPr>
        <w:tab/>
      </w:r>
      <w:r w:rsidRPr="00774490">
        <w:rPr>
          <w:b/>
          <w:i/>
          <w:sz w:val="20"/>
        </w:rPr>
        <w:t>Gerald McCaughey, Tom Woods, Brian G. Shaw et Ken Kilgour c. Howard Green et Anne Bell</w:t>
      </w:r>
    </w:p>
    <w:p w:rsidR="00774490" w:rsidRPr="00774490" w:rsidRDefault="00774490" w:rsidP="00774490">
      <w:pPr>
        <w:widowControl w:val="0"/>
        <w:jc w:val="both"/>
        <w:rPr>
          <w:sz w:val="20"/>
        </w:rPr>
      </w:pPr>
    </w:p>
    <w:p w:rsidR="00774490" w:rsidRPr="00774490" w:rsidRDefault="00774490" w:rsidP="00774490">
      <w:pPr>
        <w:widowControl w:val="0"/>
        <w:jc w:val="both"/>
        <w:rPr>
          <w:sz w:val="20"/>
          <w:lang w:val="fr-CA"/>
        </w:rPr>
      </w:pPr>
      <w:r w:rsidRPr="00774490">
        <w:rPr>
          <w:sz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774490">
        <w:rPr>
          <w:i/>
          <w:sz w:val="20"/>
          <w:lang w:val="fr-CA"/>
        </w:rPr>
        <w:t>Loi sur les valeurs mobilières</w:t>
      </w:r>
      <w:r w:rsidRPr="00774490">
        <w:rPr>
          <w:sz w:val="20"/>
          <w:lang w:val="fr-CA"/>
        </w:rPr>
        <w:t xml:space="preserve"> de l’Ontario - Autorisation non obtenue avant l’expiration du délai de prescription de trois ans prévu à l’art. 138.14 de cette loi - Le délai de prescription prévu à l’art. 138.14 avait-il été suspendu par l’effet de l’art. 28 de la </w:t>
      </w:r>
      <w:r w:rsidRPr="00774490">
        <w:rPr>
          <w:i/>
          <w:sz w:val="20"/>
          <w:lang w:val="fr-CA"/>
        </w:rPr>
        <w:t>Loi sur les recours collectifs</w:t>
      </w:r>
      <w:r w:rsidRPr="00774490">
        <w:rPr>
          <w:sz w:val="20"/>
          <w:lang w:val="fr-CA"/>
        </w:rPr>
        <w:t xml:space="preserve"> préalablement à l’autorisation? - Le recours collectif fondé sur la cause d’action en </w:t>
      </w:r>
      <w:proofErr w:type="spellStart"/>
      <w:r w:rsidRPr="00774490">
        <w:rPr>
          <w:sz w:val="20"/>
          <w:lang w:val="fr-CA"/>
        </w:rPr>
        <w:t>common</w:t>
      </w:r>
      <w:proofErr w:type="spellEnd"/>
      <w:r w:rsidRPr="00774490">
        <w:rPr>
          <w:sz w:val="20"/>
          <w:lang w:val="fr-CA"/>
        </w:rPr>
        <w:t xml:space="preserve"> </w:t>
      </w:r>
      <w:proofErr w:type="spellStart"/>
      <w:r w:rsidRPr="00774490">
        <w:rPr>
          <w:sz w:val="20"/>
          <w:lang w:val="fr-CA"/>
        </w:rPr>
        <w:t>law</w:t>
      </w:r>
      <w:proofErr w:type="spellEnd"/>
      <w:r w:rsidRPr="00774490">
        <w:rPr>
          <w:sz w:val="20"/>
          <w:lang w:val="fr-CA"/>
        </w:rPr>
        <w:t xml:space="preserve"> est-il le meilleur moyen de mener à terme l’action pour présentation inexacte des faits relativement au marché secondaire? - Le critère relatif à l’autorisation en vertu de l’art. 138.8 </w:t>
      </w:r>
      <w:proofErr w:type="spellStart"/>
      <w:r w:rsidRPr="00774490">
        <w:rPr>
          <w:sz w:val="20"/>
          <w:lang w:val="fr-CA"/>
        </w:rPr>
        <w:t>a-t-il</w:t>
      </w:r>
      <w:proofErr w:type="spellEnd"/>
      <w:r w:rsidRPr="00774490">
        <w:rPr>
          <w:sz w:val="20"/>
          <w:lang w:val="fr-CA"/>
        </w:rPr>
        <w:t xml:space="preserve"> été correctement interprété et appliqué? - </w:t>
      </w:r>
      <w:r w:rsidRPr="00774490">
        <w:rPr>
          <w:i/>
          <w:sz w:val="20"/>
          <w:lang w:val="fr-CA"/>
        </w:rPr>
        <w:t>Loi sur les valeurs mobilières</w:t>
      </w:r>
      <w:r w:rsidRPr="00774490">
        <w:rPr>
          <w:sz w:val="20"/>
          <w:lang w:val="fr-CA"/>
        </w:rPr>
        <w:t xml:space="preserve">, L.R.O. 1990, ch. S.5, art. 138.3, 138.8, 138.14 - </w:t>
      </w:r>
      <w:r w:rsidRPr="00774490">
        <w:rPr>
          <w:i/>
          <w:sz w:val="20"/>
          <w:lang w:val="fr-CA"/>
        </w:rPr>
        <w:t xml:space="preserve">Loi de 1992 sur les recours collectifs, </w:t>
      </w:r>
      <w:r w:rsidRPr="00774490">
        <w:rPr>
          <w:sz w:val="20"/>
          <w:lang w:val="fr-CA"/>
        </w:rPr>
        <w:t>L.O. 1992, ch. 6, art. 28.</w:t>
      </w:r>
    </w:p>
    <w:p w:rsidR="00774490" w:rsidRPr="00774490" w:rsidRDefault="00774490" w:rsidP="00774490">
      <w:pPr>
        <w:widowControl w:val="0"/>
        <w:jc w:val="both"/>
        <w:rPr>
          <w:sz w:val="20"/>
          <w:lang w:val="fr-CA"/>
        </w:rPr>
      </w:pPr>
    </w:p>
    <w:p w:rsidR="00774490" w:rsidRPr="00774490" w:rsidRDefault="00774490" w:rsidP="00774490">
      <w:pPr>
        <w:jc w:val="both"/>
        <w:rPr>
          <w:sz w:val="20"/>
          <w:lang w:val="fr-CA"/>
        </w:rPr>
      </w:pPr>
      <w:r w:rsidRPr="00774490">
        <w:rPr>
          <w:sz w:val="20"/>
          <w:lang w:val="fr-CA"/>
        </w:rPr>
        <w:t xml:space="preserve">Les représentants des demandeurs dans le cadre d’un recours collectif intentent une action en dommages-intérêts en vertu de la partie XXIII.1 de la </w:t>
      </w:r>
      <w:r w:rsidRPr="00774490">
        <w:rPr>
          <w:i/>
          <w:sz w:val="20"/>
          <w:lang w:val="fr-CA"/>
        </w:rPr>
        <w:t>Loi sur les valeurs mobilières</w:t>
      </w:r>
      <w:r w:rsidRPr="00774490">
        <w:rPr>
          <w:sz w:val="20"/>
          <w:lang w:val="fr-CA"/>
        </w:rPr>
        <w:t xml:space="preserve"> de l’Ontario pour présentation inexacte des faits relativement à la négociation d’actions sur le marché secondaire. Outre l’assertion inexacte et négligente, une cause d’action issue de la </w:t>
      </w:r>
      <w:proofErr w:type="spellStart"/>
      <w:r w:rsidRPr="00774490">
        <w:rPr>
          <w:sz w:val="20"/>
          <w:lang w:val="fr-CA"/>
        </w:rPr>
        <w:t>common</w:t>
      </w:r>
      <w:proofErr w:type="spellEnd"/>
      <w:r w:rsidRPr="00774490">
        <w:rPr>
          <w:sz w:val="20"/>
          <w:lang w:val="fr-CA"/>
        </w:rPr>
        <w:t xml:space="preserve"> </w:t>
      </w:r>
      <w:proofErr w:type="spellStart"/>
      <w:r w:rsidRPr="00774490">
        <w:rPr>
          <w:sz w:val="20"/>
          <w:lang w:val="fr-CA"/>
        </w:rPr>
        <w:t>law</w:t>
      </w:r>
      <w:proofErr w:type="spellEnd"/>
      <w:r w:rsidRPr="00774490">
        <w:rPr>
          <w:sz w:val="20"/>
          <w:lang w:val="fr-CA"/>
        </w:rPr>
        <w:t xml:space="preserve">, les demandeurs invoquent également la nouvelle cause d’action prévue à l’art. 138.3 de la Loi, qui ne peut être avancée que sur autorisation du tribunal. La demande fondée sur la disposition législative se prescrit par trois ans, en application du par. 138.14(1) de la Loi. Le recours collectif a été intenté avant l’expiration du délai de prescription, et une motion sollicitant l’autorisation d’invoquer la cause d’action fondée sur la disposition législative a été présentée, mais l’autorisation n’a pas été obtenue avant l’expiration du délai. Se fondant sur l’arrêt rendu en 2012 par la Cour d’appel de l’Ontario dans l’affaire </w:t>
      </w:r>
      <w:r w:rsidRPr="00774490">
        <w:rPr>
          <w:i/>
          <w:sz w:val="20"/>
          <w:lang w:val="fr-CA"/>
        </w:rPr>
        <w:t xml:space="preserve">Sharma c. </w:t>
      </w:r>
      <w:proofErr w:type="spellStart"/>
      <w:r w:rsidRPr="00774490">
        <w:rPr>
          <w:i/>
          <w:sz w:val="20"/>
          <w:lang w:val="fr-CA"/>
        </w:rPr>
        <w:t>Timminco</w:t>
      </w:r>
      <w:proofErr w:type="spellEnd"/>
      <w:r w:rsidRPr="00774490">
        <w:rPr>
          <w:sz w:val="20"/>
          <w:lang w:val="fr-CA"/>
        </w:rPr>
        <w:t xml:space="preserve">, 2012 ONCA 107, le juge des requêtes a rejeté la demande d’autorisation et l’action fondée sur la disposition législative pour cause de prescription. Cependant, la formation de cinq juges de la Cour d’appel saisie de l’appel a infirmé l’arrêt </w:t>
      </w:r>
      <w:proofErr w:type="spellStart"/>
      <w:r w:rsidRPr="00774490">
        <w:rPr>
          <w:i/>
          <w:sz w:val="20"/>
          <w:lang w:val="fr-CA"/>
        </w:rPr>
        <w:t>Timminco</w:t>
      </w:r>
      <w:proofErr w:type="spellEnd"/>
      <w:r w:rsidRPr="00774490">
        <w:rPr>
          <w:sz w:val="20"/>
          <w:lang w:val="fr-CA"/>
        </w:rPr>
        <w:t xml:space="preserve">, et par conséquent, l’action n’était plus prescrite. Le juge des requêtes, s’il n’avait pas conclu que l’action était prescrite, aurait autorisé le recours collectif pour faire valoir la cause d’action légale, mais non la cause d’action de présentation inexacte des faits en </w:t>
      </w:r>
      <w:proofErr w:type="spellStart"/>
      <w:r w:rsidRPr="00774490">
        <w:rPr>
          <w:sz w:val="20"/>
          <w:lang w:val="fr-CA"/>
        </w:rPr>
        <w:t>common</w:t>
      </w:r>
      <w:proofErr w:type="spellEnd"/>
      <w:r w:rsidRPr="00774490">
        <w:rPr>
          <w:sz w:val="20"/>
          <w:lang w:val="fr-CA"/>
        </w:rPr>
        <w:t xml:space="preserve"> </w:t>
      </w:r>
      <w:proofErr w:type="spellStart"/>
      <w:r w:rsidRPr="00774490">
        <w:rPr>
          <w:sz w:val="20"/>
          <w:lang w:val="fr-CA"/>
        </w:rPr>
        <w:t>law</w:t>
      </w:r>
      <w:proofErr w:type="spellEnd"/>
      <w:r w:rsidRPr="00774490">
        <w:rPr>
          <w:sz w:val="20"/>
          <w:lang w:val="fr-CA"/>
        </w:rPr>
        <w:t>. La Cour d’appel, après avoir conclu que l’action n’était pas prescrite, a autorisé le recours collectif pour faire valoir les deux causes d’action.</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Origine :</w:t>
      </w:r>
      <w:r w:rsidRPr="00774490">
        <w:rPr>
          <w:sz w:val="20"/>
          <w:lang w:val="fr-CA"/>
        </w:rPr>
        <w:tab/>
      </w:r>
      <w:r>
        <w:rPr>
          <w:sz w:val="20"/>
          <w:lang w:val="fr-CA"/>
        </w:rPr>
        <w:tab/>
      </w:r>
      <w:r>
        <w:rPr>
          <w:sz w:val="20"/>
          <w:lang w:val="fr-CA"/>
        </w:rPr>
        <w:tab/>
      </w:r>
      <w:r w:rsidRPr="00774490">
        <w:rPr>
          <w:sz w:val="20"/>
          <w:lang w:val="fr-CA"/>
        </w:rPr>
        <w:tab/>
      </w:r>
      <w:r w:rsidRPr="00774490">
        <w:rPr>
          <w:sz w:val="20"/>
          <w:lang w:val="fr-CA"/>
        </w:rPr>
        <w:tab/>
      </w:r>
      <w:r w:rsidRPr="00774490">
        <w:rPr>
          <w:sz w:val="20"/>
          <w:lang w:val="fr-CA"/>
        </w:rPr>
        <w:tab/>
        <w:t>Ontario</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N</w:t>
      </w:r>
      <w:r w:rsidRPr="00774490">
        <w:rPr>
          <w:sz w:val="20"/>
          <w:vertAlign w:val="superscript"/>
          <w:lang w:val="fr-CA"/>
        </w:rPr>
        <w:t>o</w:t>
      </w:r>
      <w:r w:rsidRPr="00774490">
        <w:rPr>
          <w:sz w:val="20"/>
          <w:lang w:val="fr-CA"/>
        </w:rPr>
        <w:t xml:space="preserve"> du greffe :</w:t>
      </w:r>
      <w:r w:rsidRPr="00774490">
        <w:rPr>
          <w:sz w:val="20"/>
          <w:lang w:val="fr-CA"/>
        </w:rPr>
        <w:tab/>
      </w:r>
      <w:r w:rsidRPr="00774490">
        <w:rPr>
          <w:sz w:val="20"/>
          <w:lang w:val="fr-CA"/>
        </w:rPr>
        <w:tab/>
      </w:r>
      <w:r w:rsidRPr="00774490">
        <w:rPr>
          <w:sz w:val="20"/>
          <w:lang w:val="fr-CA"/>
        </w:rPr>
        <w:tab/>
      </w:r>
      <w:r w:rsidRPr="00774490">
        <w:rPr>
          <w:sz w:val="20"/>
          <w:lang w:val="fr-CA"/>
        </w:rPr>
        <w:tab/>
        <w:t>35807</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Arrêt de la Cour d’appel :</w:t>
      </w:r>
      <w:r w:rsidRPr="00774490">
        <w:rPr>
          <w:sz w:val="20"/>
          <w:lang w:val="fr-CA"/>
        </w:rPr>
        <w:tab/>
      </w:r>
      <w:r w:rsidRPr="00774490">
        <w:rPr>
          <w:sz w:val="20"/>
          <w:lang w:val="fr-CA"/>
        </w:rPr>
        <w:tab/>
        <w:t>le 3 février 2014</w:t>
      </w:r>
    </w:p>
    <w:p w:rsidR="00774490" w:rsidRPr="00774490" w:rsidRDefault="00774490" w:rsidP="00774490">
      <w:pPr>
        <w:widowControl w:val="0"/>
        <w:jc w:val="both"/>
        <w:rPr>
          <w:sz w:val="20"/>
          <w:lang w:val="fr-CA"/>
        </w:rPr>
      </w:pPr>
    </w:p>
    <w:p w:rsidR="00774490" w:rsidRPr="00774490" w:rsidRDefault="00774490" w:rsidP="00774490">
      <w:pPr>
        <w:widowControl w:val="0"/>
        <w:ind w:left="2520" w:hanging="2520"/>
        <w:jc w:val="both"/>
        <w:rPr>
          <w:sz w:val="20"/>
          <w:lang w:val="fr-CA"/>
        </w:rPr>
      </w:pPr>
      <w:r w:rsidRPr="00774490">
        <w:rPr>
          <w:sz w:val="20"/>
          <w:lang w:val="fr-CA"/>
        </w:rPr>
        <w:t>Avocats :</w:t>
      </w:r>
      <w:r w:rsidRPr="00774490">
        <w:rPr>
          <w:sz w:val="20"/>
          <w:lang w:val="fr-CA"/>
        </w:rPr>
        <w:tab/>
        <w:t xml:space="preserve">Sheila Block, James C. Tory, Crawford Smith et Andrew Gray pour l’appelante, la Banque Canadienne Impériale de Commerce </w:t>
      </w:r>
    </w:p>
    <w:p w:rsidR="00774490" w:rsidRPr="00774490" w:rsidRDefault="00774490" w:rsidP="00774490">
      <w:pPr>
        <w:widowControl w:val="0"/>
        <w:ind w:left="2520" w:hanging="2520"/>
        <w:jc w:val="both"/>
        <w:rPr>
          <w:sz w:val="20"/>
        </w:rPr>
      </w:pPr>
      <w:r w:rsidRPr="00774490">
        <w:rPr>
          <w:sz w:val="20"/>
          <w:lang w:val="fr-CA"/>
        </w:rPr>
        <w:tab/>
      </w:r>
      <w:r w:rsidRPr="00774490">
        <w:rPr>
          <w:sz w:val="20"/>
        </w:rPr>
        <w:t xml:space="preserve">Benjamin </w:t>
      </w:r>
      <w:proofErr w:type="spellStart"/>
      <w:r w:rsidRPr="00774490">
        <w:rPr>
          <w:sz w:val="20"/>
        </w:rPr>
        <w:t>Zarnett</w:t>
      </w:r>
      <w:proofErr w:type="spellEnd"/>
      <w:r w:rsidRPr="00774490">
        <w:rPr>
          <w:sz w:val="20"/>
        </w:rPr>
        <w:t xml:space="preserve"> et David D. Conklin pour les </w:t>
      </w:r>
      <w:proofErr w:type="spellStart"/>
      <w:r w:rsidRPr="00774490">
        <w:rPr>
          <w:sz w:val="20"/>
        </w:rPr>
        <w:t>appelants</w:t>
      </w:r>
      <w:proofErr w:type="spellEnd"/>
      <w:r w:rsidRPr="00774490">
        <w:rPr>
          <w:sz w:val="20"/>
        </w:rPr>
        <w:t xml:space="preserve"> Gerald McCaughey, Tom Woods, Brian G. Shaw et Ken Kilgour</w:t>
      </w:r>
    </w:p>
    <w:p w:rsidR="00774490" w:rsidRDefault="00774490" w:rsidP="00774490">
      <w:pPr>
        <w:widowControl w:val="0"/>
        <w:ind w:left="2520" w:hanging="2520"/>
        <w:jc w:val="both"/>
        <w:rPr>
          <w:sz w:val="20"/>
          <w:lang w:val="fr-CA"/>
        </w:rPr>
      </w:pPr>
      <w:r w:rsidRPr="00774490">
        <w:rPr>
          <w:sz w:val="20"/>
        </w:rPr>
        <w:tab/>
      </w:r>
      <w:proofErr w:type="spellStart"/>
      <w:r w:rsidRPr="00774490">
        <w:rPr>
          <w:sz w:val="20"/>
          <w:lang w:val="fr-CA"/>
        </w:rPr>
        <w:t>Joel</w:t>
      </w:r>
      <w:proofErr w:type="spellEnd"/>
      <w:r w:rsidRPr="00774490">
        <w:rPr>
          <w:sz w:val="20"/>
          <w:lang w:val="fr-CA"/>
        </w:rPr>
        <w:t xml:space="preserve"> P. </w:t>
      </w:r>
      <w:proofErr w:type="spellStart"/>
      <w:r w:rsidRPr="00774490">
        <w:rPr>
          <w:sz w:val="20"/>
          <w:lang w:val="fr-CA"/>
        </w:rPr>
        <w:t>Rochon</w:t>
      </w:r>
      <w:proofErr w:type="spellEnd"/>
      <w:r w:rsidRPr="00774490">
        <w:rPr>
          <w:sz w:val="20"/>
          <w:lang w:val="fr-CA"/>
        </w:rPr>
        <w:t xml:space="preserve">, Peter R. </w:t>
      </w:r>
      <w:proofErr w:type="spellStart"/>
      <w:r w:rsidRPr="00774490">
        <w:rPr>
          <w:sz w:val="20"/>
          <w:lang w:val="fr-CA"/>
        </w:rPr>
        <w:t>Jervis</w:t>
      </w:r>
      <w:proofErr w:type="spellEnd"/>
      <w:r w:rsidRPr="00774490">
        <w:rPr>
          <w:sz w:val="20"/>
          <w:lang w:val="fr-CA"/>
        </w:rPr>
        <w:t xml:space="preserve">, </w:t>
      </w:r>
      <w:proofErr w:type="spellStart"/>
      <w:r w:rsidRPr="00774490">
        <w:rPr>
          <w:sz w:val="20"/>
          <w:lang w:val="fr-CA"/>
        </w:rPr>
        <w:t>Remissa</w:t>
      </w:r>
      <w:proofErr w:type="spellEnd"/>
      <w:r w:rsidRPr="00774490">
        <w:rPr>
          <w:sz w:val="20"/>
          <w:lang w:val="fr-CA"/>
        </w:rPr>
        <w:t xml:space="preserve"> </w:t>
      </w:r>
      <w:proofErr w:type="spellStart"/>
      <w:r w:rsidRPr="00774490">
        <w:rPr>
          <w:sz w:val="20"/>
          <w:lang w:val="fr-CA"/>
        </w:rPr>
        <w:t>Hirji</w:t>
      </w:r>
      <w:proofErr w:type="spellEnd"/>
      <w:r w:rsidRPr="00774490">
        <w:rPr>
          <w:sz w:val="20"/>
          <w:lang w:val="fr-CA"/>
        </w:rPr>
        <w:t xml:space="preserve"> et </w:t>
      </w:r>
      <w:proofErr w:type="spellStart"/>
      <w:r w:rsidRPr="00774490">
        <w:rPr>
          <w:sz w:val="20"/>
          <w:lang w:val="fr-CA"/>
        </w:rPr>
        <w:t>Sakie</w:t>
      </w:r>
      <w:proofErr w:type="spellEnd"/>
      <w:r w:rsidRPr="00774490">
        <w:rPr>
          <w:sz w:val="20"/>
          <w:lang w:val="fr-CA"/>
        </w:rPr>
        <w:t xml:space="preserve"> </w:t>
      </w:r>
      <w:proofErr w:type="spellStart"/>
      <w:r w:rsidRPr="00774490">
        <w:rPr>
          <w:sz w:val="20"/>
          <w:lang w:val="fr-CA"/>
        </w:rPr>
        <w:t>Tambakos</w:t>
      </w:r>
      <w:proofErr w:type="spellEnd"/>
      <w:r w:rsidRPr="00774490">
        <w:rPr>
          <w:sz w:val="20"/>
          <w:lang w:val="fr-CA"/>
        </w:rPr>
        <w:t xml:space="preserve"> pour les intimés</w:t>
      </w:r>
    </w:p>
    <w:p w:rsidR="00774490" w:rsidRDefault="00774490" w:rsidP="00774490">
      <w:pPr>
        <w:widowControl w:val="0"/>
        <w:ind w:left="3600" w:hanging="3600"/>
        <w:jc w:val="both"/>
        <w:rPr>
          <w:sz w:val="20"/>
          <w:lang w:val="fr-CA"/>
        </w:rPr>
      </w:pPr>
    </w:p>
    <w:p w:rsidR="00774490" w:rsidRPr="00774490" w:rsidRDefault="00774490" w:rsidP="00774490">
      <w:pPr>
        <w:widowControl w:val="0"/>
        <w:ind w:left="3600" w:hanging="3600"/>
        <w:jc w:val="both"/>
        <w:rPr>
          <w:sz w:val="20"/>
          <w:lang w:val="fr-CA"/>
        </w:rPr>
      </w:pPr>
    </w:p>
    <w:p w:rsidR="00774490" w:rsidRPr="00774490" w:rsidRDefault="00774490" w:rsidP="00774490">
      <w:pPr>
        <w:widowControl w:val="0"/>
        <w:ind w:left="720" w:hanging="720"/>
        <w:contextualSpacing/>
        <w:jc w:val="both"/>
        <w:rPr>
          <w:b/>
          <w:i/>
          <w:sz w:val="20"/>
          <w:lang w:val="en-CA"/>
        </w:rPr>
      </w:pPr>
      <w:r w:rsidRPr="00774490">
        <w:rPr>
          <w:b/>
          <w:sz w:val="20"/>
          <w:lang w:val="en-CA"/>
        </w:rPr>
        <w:fldChar w:fldCharType="begin"/>
      </w:r>
      <w:r w:rsidRPr="00774490">
        <w:rPr>
          <w:b/>
          <w:sz w:val="20"/>
        </w:rPr>
        <w:instrText xml:space="preserve"> SEQ CHAPTER \h \r 1</w:instrText>
      </w:r>
      <w:r w:rsidRPr="00774490">
        <w:rPr>
          <w:b/>
          <w:sz w:val="20"/>
        </w:rPr>
        <w:fldChar w:fldCharType="end"/>
      </w:r>
      <w:r w:rsidRPr="00774490">
        <w:rPr>
          <w:b/>
          <w:sz w:val="20"/>
          <w:lang w:val="en-CA"/>
        </w:rPr>
        <w:t>35811</w:t>
      </w:r>
      <w:r w:rsidRPr="00774490">
        <w:rPr>
          <w:sz w:val="20"/>
          <w:lang w:val="en-CA"/>
        </w:rPr>
        <w:tab/>
      </w:r>
      <w:r w:rsidRPr="00774490">
        <w:rPr>
          <w:b/>
          <w:i/>
          <w:sz w:val="20"/>
        </w:rPr>
        <w:t>Imax</w:t>
      </w:r>
      <w:r w:rsidRPr="00774490">
        <w:rPr>
          <w:b/>
          <w:i/>
          <w:sz w:val="20"/>
          <w:lang w:val="en-CA"/>
        </w:rPr>
        <w:t xml:space="preserve"> Corporation, Richard L. </w:t>
      </w:r>
      <w:proofErr w:type="spellStart"/>
      <w:r w:rsidRPr="00774490">
        <w:rPr>
          <w:b/>
          <w:i/>
          <w:sz w:val="20"/>
          <w:lang w:val="en-CA"/>
        </w:rPr>
        <w:t>Gelfond</w:t>
      </w:r>
      <w:proofErr w:type="spellEnd"/>
      <w:r w:rsidRPr="00774490">
        <w:rPr>
          <w:b/>
          <w:i/>
          <w:sz w:val="20"/>
          <w:lang w:val="en-CA"/>
        </w:rPr>
        <w:t xml:space="preserve">, Bradley J. Wechsler, Francis T. Joyce, Neil S. Braun, Kenneth G. Copland, Garth M. Girvan, David W. </w:t>
      </w:r>
      <w:proofErr w:type="spellStart"/>
      <w:r w:rsidRPr="00774490">
        <w:rPr>
          <w:b/>
          <w:i/>
          <w:sz w:val="20"/>
          <w:lang w:val="en-CA"/>
        </w:rPr>
        <w:t>Leebron</w:t>
      </w:r>
      <w:proofErr w:type="spellEnd"/>
      <w:r w:rsidRPr="00774490">
        <w:rPr>
          <w:b/>
          <w:i/>
          <w:sz w:val="20"/>
          <w:lang w:val="en-CA"/>
        </w:rPr>
        <w:t xml:space="preserve"> and Kathryn A. Gamble v. Marvin Neil Silver and Cliff Cohen</w:t>
      </w:r>
    </w:p>
    <w:p w:rsidR="00774490" w:rsidRPr="00774490" w:rsidRDefault="00774490" w:rsidP="00774490">
      <w:pPr>
        <w:widowControl w:val="0"/>
        <w:jc w:val="both"/>
        <w:rPr>
          <w:sz w:val="20"/>
          <w:lang w:val="en-CA"/>
        </w:rPr>
      </w:pPr>
    </w:p>
    <w:p w:rsidR="00774490" w:rsidRPr="00774490" w:rsidRDefault="00774490" w:rsidP="00774490">
      <w:pPr>
        <w:jc w:val="both"/>
        <w:rPr>
          <w:sz w:val="20"/>
        </w:rPr>
      </w:pPr>
      <w:r w:rsidRPr="00774490">
        <w:rPr>
          <w:sz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774490">
        <w:rPr>
          <w:i/>
          <w:sz w:val="20"/>
        </w:rPr>
        <w:t>Securities Act</w:t>
      </w:r>
      <w:r w:rsidRPr="00774490">
        <w:rPr>
          <w:sz w:val="20"/>
        </w:rPr>
        <w:t xml:space="preserve"> - Leave not obtained prior to expiry of three-year limitation period set out in s. 138.14 of </w:t>
      </w:r>
      <w:r w:rsidRPr="00774490">
        <w:rPr>
          <w:i/>
          <w:sz w:val="20"/>
        </w:rPr>
        <w:t>Securities Act</w:t>
      </w:r>
      <w:r w:rsidRPr="00774490">
        <w:rPr>
          <w:sz w:val="20"/>
        </w:rPr>
        <w:t xml:space="preserve"> - Whether the limitation period was suspended by the filing of a statement of claim pleading only common law claims while giving notice that the plaintiffs intended to assert a s. 138.3 cause of action - If not, whether the expiry of the limitation period can be cured by an order </w:t>
      </w:r>
      <w:proofErr w:type="spellStart"/>
      <w:r w:rsidRPr="00774490">
        <w:rPr>
          <w:i/>
          <w:sz w:val="20"/>
        </w:rPr>
        <w:t>nunc</w:t>
      </w:r>
      <w:proofErr w:type="spellEnd"/>
      <w:r w:rsidRPr="00774490">
        <w:rPr>
          <w:i/>
          <w:sz w:val="20"/>
        </w:rPr>
        <w:t xml:space="preserve"> pro </w:t>
      </w:r>
      <w:proofErr w:type="spellStart"/>
      <w:r w:rsidRPr="00774490">
        <w:rPr>
          <w:i/>
          <w:sz w:val="20"/>
        </w:rPr>
        <w:t>tunc</w:t>
      </w:r>
      <w:proofErr w:type="spellEnd"/>
      <w:r w:rsidRPr="00774490">
        <w:rPr>
          <w:i/>
          <w:sz w:val="20"/>
        </w:rPr>
        <w:t xml:space="preserve"> </w:t>
      </w:r>
      <w:r w:rsidRPr="00774490">
        <w:rPr>
          <w:sz w:val="20"/>
        </w:rPr>
        <w:t xml:space="preserve">-  </w:t>
      </w:r>
      <w:r w:rsidRPr="00774490">
        <w:rPr>
          <w:i/>
          <w:sz w:val="20"/>
        </w:rPr>
        <w:t>Securities Act</w:t>
      </w:r>
      <w:r w:rsidRPr="00774490">
        <w:rPr>
          <w:sz w:val="20"/>
        </w:rPr>
        <w:t xml:space="preserve">, R.S.O. 1990, c. S.5, ss. 138.3, 138.8, 138.14 - </w:t>
      </w:r>
      <w:r w:rsidRPr="00774490">
        <w:rPr>
          <w:i/>
          <w:sz w:val="20"/>
        </w:rPr>
        <w:t>Class Proceedings Act, 1992</w:t>
      </w:r>
      <w:r w:rsidRPr="00774490">
        <w:rPr>
          <w:sz w:val="20"/>
        </w:rPr>
        <w:t>, S.O. 1992, c. 6, s. 28.</w:t>
      </w:r>
    </w:p>
    <w:p w:rsidR="00774490" w:rsidRPr="00774490" w:rsidRDefault="00774490" w:rsidP="00774490">
      <w:pPr>
        <w:widowControl w:val="0"/>
        <w:jc w:val="both"/>
        <w:rPr>
          <w:sz w:val="20"/>
        </w:rPr>
      </w:pPr>
    </w:p>
    <w:p w:rsidR="00774490" w:rsidRPr="00774490" w:rsidRDefault="00774490" w:rsidP="00774490">
      <w:pPr>
        <w:jc w:val="both"/>
        <w:rPr>
          <w:sz w:val="20"/>
        </w:rPr>
      </w:pPr>
      <w:r w:rsidRPr="00774490">
        <w:rPr>
          <w:sz w:val="20"/>
        </w:rPr>
        <w:t xml:space="preserve">In this class action proceeding, the representative plaintiffs are claiming damages under Part XXIII.1 of the Ontario </w:t>
      </w:r>
      <w:r w:rsidRPr="00774490">
        <w:rPr>
          <w:i/>
          <w:sz w:val="20"/>
        </w:rPr>
        <w:t>Securities Act</w:t>
      </w:r>
      <w:r w:rsidRPr="00774490">
        <w:rPr>
          <w:sz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found at s. 138.14(1) of the OSA. The class action was commenced within the three-year limitation period and a motion for leave to commence the statutory claim was brought, but leave was granted after the expiry of the limitation period. On motion by the defendants to dismiss the statutory claim as being time-barred in view of the Ontario Court of Appeal’s 2012 decision in </w:t>
      </w:r>
      <w:r w:rsidRPr="00774490">
        <w:rPr>
          <w:i/>
          <w:sz w:val="20"/>
        </w:rPr>
        <w:t xml:space="preserve">Sharma v. </w:t>
      </w:r>
      <w:proofErr w:type="spellStart"/>
      <w:r w:rsidRPr="00774490">
        <w:rPr>
          <w:i/>
          <w:sz w:val="20"/>
        </w:rPr>
        <w:t>Timminco</w:t>
      </w:r>
      <w:proofErr w:type="spellEnd"/>
      <w:r w:rsidRPr="00774490">
        <w:rPr>
          <w:sz w:val="20"/>
        </w:rPr>
        <w:t xml:space="preserve">, 2012 ONCA 107, the motions judge ordered that leave to commence the action applied </w:t>
      </w:r>
      <w:proofErr w:type="spellStart"/>
      <w:r w:rsidRPr="00774490">
        <w:rPr>
          <w:i/>
          <w:sz w:val="20"/>
        </w:rPr>
        <w:t>nunc</w:t>
      </w:r>
      <w:proofErr w:type="spellEnd"/>
      <w:r w:rsidRPr="00774490">
        <w:rPr>
          <w:i/>
          <w:sz w:val="20"/>
        </w:rPr>
        <w:t xml:space="preserve"> pro </w:t>
      </w:r>
      <w:proofErr w:type="spellStart"/>
      <w:r w:rsidRPr="00774490">
        <w:rPr>
          <w:i/>
          <w:sz w:val="20"/>
        </w:rPr>
        <w:t>tunc</w:t>
      </w:r>
      <w:proofErr w:type="spellEnd"/>
      <w:r w:rsidRPr="00774490">
        <w:rPr>
          <w:sz w:val="20"/>
        </w:rPr>
        <w:t xml:space="preserve"> within the limitation period. On appeal by the defendants, a five-judge panel of the Court of Appeal concluded that the decision in </w:t>
      </w:r>
      <w:proofErr w:type="spellStart"/>
      <w:r w:rsidRPr="00774490">
        <w:rPr>
          <w:i/>
          <w:sz w:val="20"/>
        </w:rPr>
        <w:t>Timminco</w:t>
      </w:r>
      <w:proofErr w:type="spellEnd"/>
      <w:r w:rsidRPr="00774490">
        <w:rPr>
          <w:sz w:val="20"/>
        </w:rPr>
        <w:t xml:space="preserve"> should be overturned, and therefore that the action was not statute-barred.</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Origin of the case:</w:t>
      </w:r>
      <w:r w:rsidRPr="00774490">
        <w:rPr>
          <w:sz w:val="20"/>
          <w:lang w:val="en-CA"/>
        </w:rPr>
        <w:tab/>
      </w:r>
      <w:r w:rsidRPr="00774490">
        <w:rPr>
          <w:sz w:val="20"/>
          <w:lang w:val="en-CA"/>
        </w:rPr>
        <w:tab/>
      </w:r>
      <w:r w:rsidRPr="00774490">
        <w:rPr>
          <w:sz w:val="20"/>
          <w:lang w:val="en-CA"/>
        </w:rPr>
        <w:tab/>
      </w:r>
      <w:r>
        <w:rPr>
          <w:sz w:val="20"/>
          <w:lang w:val="en-CA"/>
        </w:rPr>
        <w:tab/>
      </w:r>
      <w:r w:rsidRPr="00774490">
        <w:rPr>
          <w:sz w:val="20"/>
          <w:lang w:val="en-CA"/>
        </w:rPr>
        <w:t>Ontario</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File No.:</w:t>
      </w:r>
      <w:r w:rsidRPr="00774490">
        <w:rPr>
          <w:sz w:val="20"/>
          <w:lang w:val="en-CA"/>
        </w:rPr>
        <w:tab/>
      </w:r>
      <w:r w:rsidRPr="00774490">
        <w:rPr>
          <w:sz w:val="20"/>
          <w:lang w:val="en-CA"/>
        </w:rPr>
        <w:tab/>
      </w:r>
      <w:r w:rsidRPr="00774490">
        <w:rPr>
          <w:sz w:val="20"/>
          <w:lang w:val="en-CA"/>
        </w:rPr>
        <w:tab/>
      </w:r>
      <w:r w:rsidRPr="00774490">
        <w:rPr>
          <w:sz w:val="20"/>
          <w:lang w:val="en-CA"/>
        </w:rPr>
        <w:tab/>
      </w:r>
      <w:r>
        <w:rPr>
          <w:sz w:val="20"/>
          <w:lang w:val="en-CA"/>
        </w:rPr>
        <w:tab/>
      </w:r>
      <w:r>
        <w:rPr>
          <w:sz w:val="20"/>
          <w:lang w:val="en-CA"/>
        </w:rPr>
        <w:tab/>
      </w:r>
      <w:r>
        <w:rPr>
          <w:sz w:val="20"/>
          <w:lang w:val="en-CA"/>
        </w:rPr>
        <w:tab/>
      </w:r>
      <w:r w:rsidRPr="00774490">
        <w:rPr>
          <w:sz w:val="20"/>
          <w:lang w:val="en-CA"/>
        </w:rPr>
        <w:t>35811</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Judgment of the Court of Appeal:</w:t>
      </w:r>
      <w:r w:rsidRPr="00774490">
        <w:rPr>
          <w:sz w:val="20"/>
          <w:lang w:val="en-CA"/>
        </w:rPr>
        <w:tab/>
        <w:t>February 3, 2014</w:t>
      </w:r>
    </w:p>
    <w:p w:rsidR="00774490" w:rsidRPr="00774490" w:rsidRDefault="00774490" w:rsidP="00774490">
      <w:pPr>
        <w:widowControl w:val="0"/>
        <w:jc w:val="both"/>
        <w:rPr>
          <w:sz w:val="20"/>
          <w:lang w:val="en-CA"/>
        </w:rPr>
      </w:pPr>
    </w:p>
    <w:p w:rsidR="00774490" w:rsidRPr="00774490" w:rsidRDefault="00774490" w:rsidP="00774490">
      <w:pPr>
        <w:widowControl w:val="0"/>
        <w:ind w:left="2880" w:hanging="2880"/>
        <w:jc w:val="both"/>
        <w:rPr>
          <w:sz w:val="20"/>
          <w:lang w:val="en-CA"/>
        </w:rPr>
      </w:pPr>
      <w:r w:rsidRPr="00774490">
        <w:rPr>
          <w:sz w:val="20"/>
          <w:lang w:val="en-CA"/>
        </w:rPr>
        <w:t>Counsel:</w:t>
      </w:r>
      <w:r w:rsidRPr="00774490">
        <w:rPr>
          <w:sz w:val="20"/>
          <w:lang w:val="en-CA"/>
        </w:rPr>
        <w:tab/>
        <w:t xml:space="preserve">R. Paul Steep, Dana M. Peebles and Brandon </w:t>
      </w:r>
      <w:proofErr w:type="spellStart"/>
      <w:r w:rsidRPr="00774490">
        <w:rPr>
          <w:sz w:val="20"/>
          <w:lang w:val="en-CA"/>
        </w:rPr>
        <w:t>Kain</w:t>
      </w:r>
      <w:proofErr w:type="spellEnd"/>
      <w:r w:rsidRPr="00774490">
        <w:rPr>
          <w:sz w:val="20"/>
          <w:lang w:val="en-CA"/>
        </w:rPr>
        <w:t xml:space="preserve"> for the appellants </w:t>
      </w:r>
    </w:p>
    <w:p w:rsidR="00774490" w:rsidRDefault="00774490" w:rsidP="00774490">
      <w:pPr>
        <w:widowControl w:val="0"/>
        <w:ind w:left="2880" w:hanging="2880"/>
        <w:jc w:val="both"/>
        <w:rPr>
          <w:sz w:val="20"/>
          <w:lang w:val="en-CA"/>
        </w:rPr>
      </w:pPr>
      <w:r w:rsidRPr="00774490">
        <w:rPr>
          <w:sz w:val="20"/>
          <w:lang w:val="en-CA"/>
        </w:rPr>
        <w:tab/>
        <w:t xml:space="preserve">Michael G. Robb, A. Dimitri </w:t>
      </w:r>
      <w:proofErr w:type="spellStart"/>
      <w:r w:rsidRPr="00774490">
        <w:rPr>
          <w:sz w:val="20"/>
          <w:lang w:val="en-CA"/>
        </w:rPr>
        <w:t>Lascaris</w:t>
      </w:r>
      <w:proofErr w:type="spellEnd"/>
      <w:r w:rsidRPr="00774490">
        <w:rPr>
          <w:sz w:val="20"/>
          <w:lang w:val="en-CA"/>
        </w:rPr>
        <w:t xml:space="preserve"> and Marie-France Major for the respondents</w:t>
      </w:r>
    </w:p>
    <w:p w:rsidR="00774490" w:rsidRDefault="00774490" w:rsidP="00774490">
      <w:pPr>
        <w:widowControl w:val="0"/>
        <w:ind w:left="3600" w:hanging="3600"/>
        <w:jc w:val="both"/>
        <w:rPr>
          <w:sz w:val="20"/>
          <w:lang w:val="en-CA"/>
        </w:rPr>
      </w:pPr>
    </w:p>
    <w:p w:rsidR="00774490" w:rsidRPr="00774490" w:rsidRDefault="00774490" w:rsidP="00774490">
      <w:pPr>
        <w:widowControl w:val="0"/>
        <w:ind w:left="3600" w:hanging="3600"/>
        <w:jc w:val="both"/>
        <w:rPr>
          <w:sz w:val="20"/>
          <w:lang w:val="en-CA"/>
        </w:rPr>
      </w:pPr>
    </w:p>
    <w:p w:rsidR="00774490" w:rsidRPr="00774490" w:rsidRDefault="00774490" w:rsidP="00774490">
      <w:pPr>
        <w:widowControl w:val="0"/>
        <w:ind w:left="720" w:hanging="720"/>
        <w:contextualSpacing/>
        <w:jc w:val="both"/>
        <w:rPr>
          <w:b/>
          <w:i/>
          <w:sz w:val="20"/>
        </w:rPr>
      </w:pPr>
      <w:r w:rsidRPr="00774490">
        <w:rPr>
          <w:b/>
          <w:sz w:val="20"/>
          <w:lang w:val="fr-CA"/>
        </w:rPr>
        <w:fldChar w:fldCharType="begin"/>
      </w:r>
      <w:r w:rsidRPr="00774490">
        <w:rPr>
          <w:b/>
          <w:sz w:val="20"/>
        </w:rPr>
        <w:instrText xml:space="preserve"> SEQ CHAPTER \h \r 1</w:instrText>
      </w:r>
      <w:r w:rsidRPr="00774490">
        <w:rPr>
          <w:b/>
          <w:sz w:val="20"/>
          <w:lang w:val="fr-CA"/>
        </w:rPr>
        <w:fldChar w:fldCharType="end"/>
      </w:r>
      <w:r w:rsidRPr="00774490">
        <w:rPr>
          <w:b/>
          <w:sz w:val="20"/>
        </w:rPr>
        <w:t>35811</w:t>
      </w:r>
      <w:r w:rsidRPr="00774490">
        <w:rPr>
          <w:sz w:val="20"/>
        </w:rPr>
        <w:tab/>
      </w:r>
      <w:r w:rsidRPr="00774490">
        <w:rPr>
          <w:b/>
          <w:i/>
          <w:sz w:val="20"/>
        </w:rPr>
        <w:t xml:space="preserve">Imax Corporation, Richard L. </w:t>
      </w:r>
      <w:proofErr w:type="spellStart"/>
      <w:r w:rsidRPr="00774490">
        <w:rPr>
          <w:b/>
          <w:i/>
          <w:sz w:val="20"/>
        </w:rPr>
        <w:t>Gelfond</w:t>
      </w:r>
      <w:proofErr w:type="spellEnd"/>
      <w:r w:rsidRPr="00774490">
        <w:rPr>
          <w:b/>
          <w:i/>
          <w:sz w:val="20"/>
        </w:rPr>
        <w:t xml:space="preserve">, Bradley J. Wechsler, Francis T. Joyce, Neil S. Braun, Kenneth G. Copland, Garth M. Girvan, David W. </w:t>
      </w:r>
      <w:proofErr w:type="spellStart"/>
      <w:r w:rsidRPr="00774490">
        <w:rPr>
          <w:b/>
          <w:i/>
          <w:sz w:val="20"/>
        </w:rPr>
        <w:t>Leebron</w:t>
      </w:r>
      <w:proofErr w:type="spellEnd"/>
      <w:r w:rsidRPr="00774490">
        <w:rPr>
          <w:b/>
          <w:i/>
          <w:sz w:val="20"/>
        </w:rPr>
        <w:t xml:space="preserve"> et Kathryn A. Gamble c. Marvin Neil Silver et Cliff Cohen</w:t>
      </w:r>
    </w:p>
    <w:p w:rsidR="00774490" w:rsidRPr="00774490" w:rsidRDefault="00774490" w:rsidP="00774490">
      <w:pPr>
        <w:widowControl w:val="0"/>
        <w:jc w:val="both"/>
        <w:rPr>
          <w:sz w:val="20"/>
        </w:rPr>
      </w:pPr>
    </w:p>
    <w:p w:rsidR="00774490" w:rsidRPr="00774490" w:rsidRDefault="00774490" w:rsidP="00774490">
      <w:pPr>
        <w:jc w:val="both"/>
        <w:rPr>
          <w:sz w:val="20"/>
          <w:lang w:val="fr-CA"/>
        </w:rPr>
      </w:pPr>
      <w:r w:rsidRPr="00774490">
        <w:rPr>
          <w:sz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774490">
        <w:rPr>
          <w:i/>
          <w:sz w:val="20"/>
          <w:lang w:val="fr-CA"/>
        </w:rPr>
        <w:t>Loi sur les valeurs mobilières</w:t>
      </w:r>
      <w:r w:rsidRPr="00774490">
        <w:rPr>
          <w:sz w:val="20"/>
          <w:lang w:val="fr-CA"/>
        </w:rPr>
        <w:t xml:space="preserve"> de l’Ontario - Autorisation non obtenue avant l’expiration du délai de prescription de trois ans prévu à l’art. 138.14 de cette loi - Le délai de prescription avait-il été suspendu par le dépôt d’une déclaration qui ne plaidait que des revendications en </w:t>
      </w:r>
      <w:proofErr w:type="spellStart"/>
      <w:r w:rsidRPr="00774490">
        <w:rPr>
          <w:sz w:val="20"/>
          <w:lang w:val="fr-CA"/>
        </w:rPr>
        <w:t>common</w:t>
      </w:r>
      <w:proofErr w:type="spellEnd"/>
      <w:r w:rsidRPr="00774490">
        <w:rPr>
          <w:sz w:val="20"/>
          <w:lang w:val="fr-CA"/>
        </w:rPr>
        <w:t xml:space="preserve"> </w:t>
      </w:r>
      <w:proofErr w:type="spellStart"/>
      <w:r w:rsidRPr="00774490">
        <w:rPr>
          <w:sz w:val="20"/>
          <w:lang w:val="fr-CA"/>
        </w:rPr>
        <w:t>law</w:t>
      </w:r>
      <w:proofErr w:type="spellEnd"/>
      <w:r w:rsidRPr="00774490">
        <w:rPr>
          <w:sz w:val="20"/>
          <w:lang w:val="fr-CA"/>
        </w:rPr>
        <w:t xml:space="preserve"> tout en donnant un avis que les demandeurs entendaient faire valoir une cause d’action fondée sur l’art. 138.3? - Dans la négative, l’expiration du délai de prescription peut-elle être corrigée par une ordonnance avec effet rétroactif (</w:t>
      </w:r>
      <w:r w:rsidRPr="00774490">
        <w:rPr>
          <w:i/>
          <w:sz w:val="20"/>
          <w:lang w:val="fr-CA"/>
        </w:rPr>
        <w:t xml:space="preserve">nunc pro </w:t>
      </w:r>
      <w:proofErr w:type="spellStart"/>
      <w:r w:rsidRPr="00774490">
        <w:rPr>
          <w:i/>
          <w:sz w:val="20"/>
          <w:lang w:val="fr-CA"/>
        </w:rPr>
        <w:t>tunc</w:t>
      </w:r>
      <w:proofErr w:type="spellEnd"/>
      <w:r w:rsidRPr="00774490">
        <w:rPr>
          <w:sz w:val="20"/>
          <w:lang w:val="fr-CA"/>
        </w:rPr>
        <w:t xml:space="preserve">)? - </w:t>
      </w:r>
      <w:r w:rsidRPr="00774490">
        <w:rPr>
          <w:i/>
          <w:sz w:val="20"/>
          <w:lang w:val="fr-CA"/>
        </w:rPr>
        <w:t>Loi sur les valeurs mobilières</w:t>
      </w:r>
      <w:r w:rsidRPr="00774490">
        <w:rPr>
          <w:sz w:val="20"/>
          <w:lang w:val="fr-CA"/>
        </w:rPr>
        <w:t xml:space="preserve">, L.R.O. 1990, ch. S.5, art. 138.3, 138.8, 138.14 - </w:t>
      </w:r>
      <w:r w:rsidRPr="00774490">
        <w:rPr>
          <w:i/>
          <w:sz w:val="20"/>
          <w:lang w:val="fr-CA"/>
        </w:rPr>
        <w:t>Loi de 1992 sur les recours collectifs</w:t>
      </w:r>
      <w:r w:rsidRPr="00774490">
        <w:rPr>
          <w:sz w:val="20"/>
          <w:lang w:val="fr-CA"/>
        </w:rPr>
        <w:t>,</w:t>
      </w:r>
      <w:r w:rsidRPr="00774490">
        <w:rPr>
          <w:i/>
          <w:sz w:val="20"/>
          <w:lang w:val="fr-CA"/>
        </w:rPr>
        <w:t xml:space="preserve"> </w:t>
      </w:r>
      <w:r w:rsidRPr="00774490">
        <w:rPr>
          <w:sz w:val="20"/>
          <w:lang w:val="fr-CA"/>
        </w:rPr>
        <w:t>L.O. 1992, ch. 6, art. 28.</w:t>
      </w:r>
    </w:p>
    <w:p w:rsidR="00774490" w:rsidRPr="00774490" w:rsidRDefault="00774490" w:rsidP="00774490">
      <w:pPr>
        <w:widowControl w:val="0"/>
        <w:jc w:val="both"/>
        <w:rPr>
          <w:sz w:val="20"/>
          <w:lang w:val="fr-CA"/>
        </w:rPr>
      </w:pPr>
    </w:p>
    <w:p w:rsidR="00774490" w:rsidRPr="00774490" w:rsidRDefault="00774490" w:rsidP="00774490">
      <w:pPr>
        <w:jc w:val="both"/>
        <w:rPr>
          <w:sz w:val="20"/>
          <w:lang w:val="fr-CA"/>
        </w:rPr>
      </w:pPr>
      <w:r w:rsidRPr="00774490">
        <w:rPr>
          <w:sz w:val="20"/>
          <w:lang w:val="fr-CA"/>
        </w:rPr>
        <w:t xml:space="preserve">Les représentants des demandeurs dans le cadre d’un recours collectif intentent une action en dommages-intérêts en vertu de la partie XXIII.1 de la </w:t>
      </w:r>
      <w:r w:rsidRPr="00774490">
        <w:rPr>
          <w:i/>
          <w:sz w:val="20"/>
          <w:lang w:val="fr-CA"/>
        </w:rPr>
        <w:t>Loi sur les valeurs mobilières</w:t>
      </w:r>
      <w:r w:rsidRPr="00774490">
        <w:rPr>
          <w:sz w:val="20"/>
          <w:lang w:val="fr-CA"/>
        </w:rPr>
        <w:t xml:space="preserve"> de l’Ontario pour présentation inexacte des faits relativement à la négociation d’actions sur le marché secondaire. Outre l’assertion inexacte et négligente, une cause d’action issue de la </w:t>
      </w:r>
      <w:proofErr w:type="spellStart"/>
      <w:r w:rsidRPr="00774490">
        <w:rPr>
          <w:sz w:val="20"/>
          <w:lang w:val="fr-CA"/>
        </w:rPr>
        <w:t>common</w:t>
      </w:r>
      <w:proofErr w:type="spellEnd"/>
      <w:r w:rsidRPr="00774490">
        <w:rPr>
          <w:sz w:val="20"/>
          <w:lang w:val="fr-CA"/>
        </w:rPr>
        <w:t xml:space="preserve"> </w:t>
      </w:r>
      <w:proofErr w:type="spellStart"/>
      <w:r w:rsidRPr="00774490">
        <w:rPr>
          <w:sz w:val="20"/>
          <w:lang w:val="fr-CA"/>
        </w:rPr>
        <w:t>law</w:t>
      </w:r>
      <w:proofErr w:type="spellEnd"/>
      <w:r w:rsidRPr="00774490">
        <w:rPr>
          <w:sz w:val="20"/>
          <w:lang w:val="fr-CA"/>
        </w:rPr>
        <w:t xml:space="preserve">, les demandeurs invoquent également la nouvelle cause d’action prévue à l’art. 138.3 de la Loi, qui ne peut être avancée que sur autorisation du tribunal et se prescrit par trois ans, en application du par. 138.14(1) de la Loi. Le recours collectif a été intenté avant l’expiration du délai de prescription de trois ans, et une motion sollicitant l’autorisation d’invoquer la cause d’action fondée sur la disposition législative a été présentée, mais l’autorisation a été obtenue après l’expiration du délai. Les défendeurs ont présenté une motion visant à faire rejeter la cause d’action fondée sur la disposition législative pour cause de prescription, suivant l’arrêt rendu en 2012 par la Cour d’appel de l’Ontario dans l’affaire </w:t>
      </w:r>
      <w:r w:rsidRPr="00774490">
        <w:rPr>
          <w:i/>
          <w:sz w:val="20"/>
          <w:lang w:val="fr-CA"/>
        </w:rPr>
        <w:t xml:space="preserve">Sharma c. </w:t>
      </w:r>
      <w:proofErr w:type="spellStart"/>
      <w:r w:rsidRPr="00774490">
        <w:rPr>
          <w:i/>
          <w:sz w:val="20"/>
          <w:lang w:val="fr-CA"/>
        </w:rPr>
        <w:t>Timminco</w:t>
      </w:r>
      <w:proofErr w:type="spellEnd"/>
      <w:r w:rsidRPr="00774490">
        <w:rPr>
          <w:sz w:val="20"/>
          <w:lang w:val="fr-CA"/>
        </w:rPr>
        <w:t>, 2012 ONCA 107. Le juge des requêtes a ordonné que l’autorisation d’intenter l’action s’applique avec effet rétroactif (</w:t>
      </w:r>
      <w:r w:rsidRPr="00774490">
        <w:rPr>
          <w:i/>
          <w:sz w:val="20"/>
          <w:lang w:val="fr-CA"/>
        </w:rPr>
        <w:t xml:space="preserve">nunc pro </w:t>
      </w:r>
      <w:proofErr w:type="spellStart"/>
      <w:r w:rsidRPr="00774490">
        <w:rPr>
          <w:i/>
          <w:sz w:val="20"/>
          <w:lang w:val="fr-CA"/>
        </w:rPr>
        <w:t>tunc</w:t>
      </w:r>
      <w:proofErr w:type="spellEnd"/>
      <w:r w:rsidRPr="00774490">
        <w:rPr>
          <w:sz w:val="20"/>
          <w:lang w:val="fr-CA"/>
        </w:rPr>
        <w:t xml:space="preserve">) à une date antérieure à l’expiration du délai de prescription. Dans le cadre de l’appel interjeté par les défendeurs, la formation de cinq juges de la Cour d’appel a infirmé l’arrêt </w:t>
      </w:r>
      <w:proofErr w:type="spellStart"/>
      <w:r w:rsidRPr="00774490">
        <w:rPr>
          <w:i/>
          <w:sz w:val="20"/>
          <w:lang w:val="fr-CA"/>
        </w:rPr>
        <w:t>Timminco</w:t>
      </w:r>
      <w:proofErr w:type="spellEnd"/>
      <w:r w:rsidRPr="00774490">
        <w:rPr>
          <w:sz w:val="20"/>
          <w:lang w:val="fr-CA"/>
        </w:rPr>
        <w:t>, et par conséquent, l’action n’était plus prescrite.</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Origine :</w:t>
      </w:r>
      <w:r w:rsidRPr="00774490">
        <w:rPr>
          <w:sz w:val="20"/>
          <w:lang w:val="fr-CA"/>
        </w:rPr>
        <w:tab/>
      </w:r>
      <w:r w:rsidRPr="00774490">
        <w:rPr>
          <w:sz w:val="20"/>
          <w:lang w:val="fr-CA"/>
        </w:rPr>
        <w:tab/>
      </w:r>
      <w:r w:rsidRPr="00774490">
        <w:rPr>
          <w:sz w:val="20"/>
          <w:lang w:val="fr-CA"/>
        </w:rPr>
        <w:tab/>
      </w:r>
      <w:r w:rsidRPr="00774490">
        <w:rPr>
          <w:sz w:val="20"/>
          <w:lang w:val="fr-CA"/>
        </w:rPr>
        <w:tab/>
      </w:r>
      <w:r>
        <w:rPr>
          <w:sz w:val="20"/>
          <w:lang w:val="fr-CA"/>
        </w:rPr>
        <w:tab/>
      </w:r>
      <w:r>
        <w:rPr>
          <w:sz w:val="20"/>
          <w:lang w:val="fr-CA"/>
        </w:rPr>
        <w:tab/>
      </w:r>
      <w:r w:rsidRPr="00774490">
        <w:rPr>
          <w:sz w:val="20"/>
          <w:lang w:val="fr-CA"/>
        </w:rPr>
        <w:t>Ontario</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N</w:t>
      </w:r>
      <w:r w:rsidRPr="00774490">
        <w:rPr>
          <w:sz w:val="20"/>
          <w:vertAlign w:val="superscript"/>
          <w:lang w:val="fr-CA"/>
        </w:rPr>
        <w:t>o</w:t>
      </w:r>
      <w:r w:rsidRPr="00774490">
        <w:rPr>
          <w:sz w:val="20"/>
          <w:lang w:val="fr-CA"/>
        </w:rPr>
        <w:t xml:space="preserve"> du greffe :</w:t>
      </w:r>
      <w:r w:rsidRPr="00774490">
        <w:rPr>
          <w:sz w:val="20"/>
          <w:lang w:val="fr-CA"/>
        </w:rPr>
        <w:tab/>
      </w:r>
      <w:r w:rsidRPr="00774490">
        <w:rPr>
          <w:sz w:val="20"/>
          <w:lang w:val="fr-CA"/>
        </w:rPr>
        <w:tab/>
      </w:r>
      <w:r w:rsidRPr="00774490">
        <w:rPr>
          <w:sz w:val="20"/>
          <w:lang w:val="fr-CA"/>
        </w:rPr>
        <w:tab/>
      </w:r>
      <w:r w:rsidRPr="00774490">
        <w:rPr>
          <w:sz w:val="20"/>
          <w:lang w:val="fr-CA"/>
        </w:rPr>
        <w:tab/>
        <w:t>35811</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Arrêt de la Cour d’appel :</w:t>
      </w:r>
      <w:r w:rsidRPr="00774490">
        <w:rPr>
          <w:sz w:val="20"/>
          <w:lang w:val="fr-CA"/>
        </w:rPr>
        <w:tab/>
      </w:r>
      <w:r w:rsidRPr="00774490">
        <w:rPr>
          <w:sz w:val="20"/>
          <w:lang w:val="fr-CA"/>
        </w:rPr>
        <w:tab/>
        <w:t>le 3 février 2014</w:t>
      </w:r>
    </w:p>
    <w:p w:rsidR="00774490" w:rsidRPr="00774490" w:rsidRDefault="00774490" w:rsidP="00774490">
      <w:pPr>
        <w:widowControl w:val="0"/>
        <w:ind w:left="2520" w:hanging="2520"/>
        <w:jc w:val="both"/>
        <w:rPr>
          <w:sz w:val="20"/>
          <w:lang w:val="fr-CA"/>
        </w:rPr>
      </w:pPr>
    </w:p>
    <w:p w:rsidR="00774490" w:rsidRPr="00774490" w:rsidRDefault="00774490" w:rsidP="00774490">
      <w:pPr>
        <w:widowControl w:val="0"/>
        <w:ind w:left="2520" w:hanging="2520"/>
        <w:jc w:val="both"/>
        <w:rPr>
          <w:sz w:val="20"/>
          <w:lang w:val="fr-CA"/>
        </w:rPr>
      </w:pPr>
      <w:r w:rsidRPr="00774490">
        <w:rPr>
          <w:sz w:val="20"/>
          <w:lang w:val="fr-CA"/>
        </w:rPr>
        <w:t>Avocats :</w:t>
      </w:r>
      <w:r w:rsidRPr="00774490">
        <w:rPr>
          <w:sz w:val="20"/>
          <w:lang w:val="fr-CA"/>
        </w:rPr>
        <w:tab/>
        <w:t xml:space="preserve">R. Paul </w:t>
      </w:r>
      <w:proofErr w:type="spellStart"/>
      <w:r w:rsidRPr="00774490">
        <w:rPr>
          <w:sz w:val="20"/>
          <w:lang w:val="fr-CA"/>
        </w:rPr>
        <w:t>Steep</w:t>
      </w:r>
      <w:proofErr w:type="spellEnd"/>
      <w:r w:rsidRPr="00774490">
        <w:rPr>
          <w:sz w:val="20"/>
          <w:lang w:val="fr-CA"/>
        </w:rPr>
        <w:t xml:space="preserve">, Dana M. Peebles et Brandon </w:t>
      </w:r>
      <w:proofErr w:type="spellStart"/>
      <w:r w:rsidRPr="00774490">
        <w:rPr>
          <w:sz w:val="20"/>
          <w:lang w:val="fr-CA"/>
        </w:rPr>
        <w:t>Kain</w:t>
      </w:r>
      <w:proofErr w:type="spellEnd"/>
      <w:r w:rsidRPr="00774490">
        <w:rPr>
          <w:sz w:val="20"/>
          <w:lang w:val="fr-CA"/>
        </w:rPr>
        <w:t xml:space="preserve"> pour les appelants </w:t>
      </w:r>
    </w:p>
    <w:p w:rsidR="00774490" w:rsidRDefault="00774490" w:rsidP="00774490">
      <w:pPr>
        <w:widowControl w:val="0"/>
        <w:ind w:left="2520" w:hanging="2520"/>
        <w:jc w:val="both"/>
        <w:rPr>
          <w:sz w:val="20"/>
          <w:lang w:val="fr-CA"/>
        </w:rPr>
      </w:pPr>
      <w:r w:rsidRPr="00774490">
        <w:rPr>
          <w:sz w:val="20"/>
          <w:lang w:val="fr-CA"/>
        </w:rPr>
        <w:tab/>
        <w:t xml:space="preserve">Michael G. </w:t>
      </w:r>
      <w:proofErr w:type="spellStart"/>
      <w:r w:rsidRPr="00774490">
        <w:rPr>
          <w:sz w:val="20"/>
          <w:lang w:val="fr-CA"/>
        </w:rPr>
        <w:t>Robb</w:t>
      </w:r>
      <w:proofErr w:type="spellEnd"/>
      <w:r w:rsidRPr="00774490">
        <w:rPr>
          <w:sz w:val="20"/>
          <w:lang w:val="fr-CA"/>
        </w:rPr>
        <w:t>, A. Dimitri Lascaris et Marie-France Major pour les intimés</w:t>
      </w:r>
    </w:p>
    <w:p w:rsidR="00774490" w:rsidRDefault="00774490" w:rsidP="00774490">
      <w:pPr>
        <w:widowControl w:val="0"/>
        <w:ind w:left="3600" w:hanging="3600"/>
        <w:jc w:val="both"/>
        <w:rPr>
          <w:sz w:val="20"/>
          <w:lang w:val="fr-CA"/>
        </w:rPr>
      </w:pPr>
    </w:p>
    <w:p w:rsidR="00774490" w:rsidRPr="00774490" w:rsidRDefault="00774490" w:rsidP="00774490">
      <w:pPr>
        <w:widowControl w:val="0"/>
        <w:ind w:left="3600" w:hanging="3600"/>
        <w:jc w:val="both"/>
        <w:rPr>
          <w:sz w:val="20"/>
          <w:lang w:val="fr-CA"/>
        </w:rPr>
      </w:pPr>
    </w:p>
    <w:p w:rsidR="00774490" w:rsidRPr="00774490" w:rsidRDefault="00774490" w:rsidP="00774490">
      <w:pPr>
        <w:widowControl w:val="0"/>
        <w:ind w:left="720" w:hanging="720"/>
        <w:contextualSpacing/>
        <w:jc w:val="both"/>
        <w:rPr>
          <w:b/>
          <w:i/>
          <w:sz w:val="20"/>
        </w:rPr>
      </w:pPr>
      <w:r w:rsidRPr="00774490">
        <w:rPr>
          <w:b/>
          <w:sz w:val="20"/>
          <w:lang w:val="en-CA"/>
        </w:rPr>
        <w:fldChar w:fldCharType="begin"/>
      </w:r>
      <w:r w:rsidRPr="00774490">
        <w:rPr>
          <w:b/>
          <w:sz w:val="20"/>
        </w:rPr>
        <w:instrText xml:space="preserve"> SEQ CHAPTER \h \r 1</w:instrText>
      </w:r>
      <w:r w:rsidRPr="00774490">
        <w:rPr>
          <w:b/>
          <w:sz w:val="20"/>
        </w:rPr>
        <w:fldChar w:fldCharType="end"/>
      </w:r>
      <w:r w:rsidRPr="00774490">
        <w:rPr>
          <w:b/>
          <w:sz w:val="20"/>
          <w:lang w:val="en-CA"/>
        </w:rPr>
        <w:t>35813</w:t>
      </w:r>
      <w:r w:rsidRPr="00774490">
        <w:rPr>
          <w:sz w:val="20"/>
          <w:lang w:val="en-CA"/>
        </w:rPr>
        <w:tab/>
      </w:r>
      <w:r w:rsidRPr="00774490">
        <w:rPr>
          <w:b/>
          <w:i/>
          <w:sz w:val="20"/>
        </w:rPr>
        <w:t xml:space="preserve">Celestica Inc., Stephen W. Delaney and Anthony P. </w:t>
      </w:r>
      <w:proofErr w:type="spellStart"/>
      <w:r w:rsidRPr="00774490">
        <w:rPr>
          <w:b/>
          <w:i/>
          <w:sz w:val="20"/>
        </w:rPr>
        <w:t>Puppi</w:t>
      </w:r>
      <w:proofErr w:type="spellEnd"/>
      <w:r w:rsidRPr="00774490">
        <w:rPr>
          <w:b/>
          <w:i/>
          <w:sz w:val="20"/>
        </w:rPr>
        <w:t xml:space="preserve"> v. Trustees of the Millwright Regional Council of Ontario Pension Trust Fund</w:t>
      </w:r>
    </w:p>
    <w:p w:rsidR="00774490" w:rsidRPr="00774490" w:rsidRDefault="00774490" w:rsidP="00774490">
      <w:pPr>
        <w:widowControl w:val="0"/>
        <w:ind w:left="720" w:hanging="720"/>
        <w:contextualSpacing/>
        <w:jc w:val="both"/>
        <w:rPr>
          <w:b/>
          <w:i/>
          <w:sz w:val="20"/>
        </w:rPr>
      </w:pPr>
      <w:r w:rsidRPr="00774490">
        <w:rPr>
          <w:b/>
          <w:i/>
          <w:sz w:val="20"/>
        </w:rPr>
        <w:tab/>
        <w:t xml:space="preserve">Celestica Inc., Stephen W. Delaney and Anthony P. </w:t>
      </w:r>
      <w:proofErr w:type="spellStart"/>
      <w:r w:rsidRPr="00774490">
        <w:rPr>
          <w:b/>
          <w:i/>
          <w:sz w:val="20"/>
        </w:rPr>
        <w:t>Puppi</w:t>
      </w:r>
      <w:proofErr w:type="spellEnd"/>
      <w:r w:rsidRPr="00774490">
        <w:rPr>
          <w:b/>
          <w:i/>
          <w:sz w:val="20"/>
        </w:rPr>
        <w:t xml:space="preserve"> v.</w:t>
      </w:r>
      <w:r w:rsidRPr="00774490">
        <w:rPr>
          <w:sz w:val="20"/>
        </w:rPr>
        <w:t xml:space="preserve"> </w:t>
      </w:r>
      <w:r w:rsidRPr="00774490">
        <w:rPr>
          <w:b/>
          <w:i/>
          <w:sz w:val="20"/>
        </w:rPr>
        <w:t xml:space="preserve">Nabil </w:t>
      </w:r>
      <w:proofErr w:type="spellStart"/>
      <w:r w:rsidRPr="00774490">
        <w:rPr>
          <w:b/>
          <w:i/>
          <w:sz w:val="20"/>
        </w:rPr>
        <w:t>Berzi</w:t>
      </w:r>
      <w:proofErr w:type="spellEnd"/>
    </w:p>
    <w:p w:rsidR="00774490" w:rsidRPr="00774490" w:rsidRDefault="00774490" w:rsidP="00774490">
      <w:pPr>
        <w:widowControl w:val="0"/>
        <w:ind w:left="720" w:hanging="720"/>
        <w:contextualSpacing/>
        <w:jc w:val="both"/>
        <w:rPr>
          <w:b/>
          <w:i/>
          <w:sz w:val="20"/>
          <w:lang w:val="en-CA"/>
        </w:rPr>
      </w:pPr>
      <w:r w:rsidRPr="00774490">
        <w:rPr>
          <w:b/>
          <w:i/>
          <w:sz w:val="20"/>
        </w:rPr>
        <w:tab/>
        <w:t xml:space="preserve">Celestica Inc., Stephen W. Delaney and Anthony P. </w:t>
      </w:r>
      <w:proofErr w:type="spellStart"/>
      <w:r w:rsidRPr="00774490">
        <w:rPr>
          <w:b/>
          <w:i/>
          <w:sz w:val="20"/>
        </w:rPr>
        <w:t>Puppi</w:t>
      </w:r>
      <w:proofErr w:type="spellEnd"/>
      <w:r w:rsidRPr="00774490">
        <w:rPr>
          <w:b/>
          <w:i/>
          <w:sz w:val="20"/>
        </w:rPr>
        <w:t xml:space="preserve"> v. </w:t>
      </w:r>
      <w:proofErr w:type="spellStart"/>
      <w:r w:rsidRPr="00774490">
        <w:rPr>
          <w:b/>
          <w:i/>
          <w:sz w:val="20"/>
        </w:rPr>
        <w:t>Huacheng</w:t>
      </w:r>
      <w:proofErr w:type="spellEnd"/>
      <w:r w:rsidRPr="00774490">
        <w:rPr>
          <w:b/>
          <w:i/>
          <w:sz w:val="20"/>
        </w:rPr>
        <w:t xml:space="preserve"> Xing</w:t>
      </w:r>
    </w:p>
    <w:p w:rsidR="00774490" w:rsidRPr="00774490" w:rsidRDefault="00774490" w:rsidP="00774490">
      <w:pPr>
        <w:widowControl w:val="0"/>
        <w:ind w:left="1440" w:hanging="1440"/>
        <w:jc w:val="both"/>
        <w:rPr>
          <w:sz w:val="20"/>
          <w:lang w:val="en-CA"/>
        </w:rPr>
      </w:pPr>
    </w:p>
    <w:p w:rsidR="00774490" w:rsidRPr="00774490" w:rsidRDefault="00774490" w:rsidP="00774490">
      <w:pPr>
        <w:jc w:val="both"/>
        <w:rPr>
          <w:sz w:val="20"/>
        </w:rPr>
      </w:pPr>
      <w:r w:rsidRPr="00774490">
        <w:rPr>
          <w:sz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774490">
        <w:rPr>
          <w:i/>
          <w:sz w:val="20"/>
        </w:rPr>
        <w:t>Securities Act</w:t>
      </w:r>
      <w:r w:rsidRPr="00774490">
        <w:rPr>
          <w:sz w:val="20"/>
        </w:rPr>
        <w:t xml:space="preserve"> - Leave motion brought after expiry of three-year limitation period set out in s. 138.14 of </w:t>
      </w:r>
      <w:r w:rsidRPr="00774490">
        <w:rPr>
          <w:i/>
          <w:sz w:val="20"/>
        </w:rPr>
        <w:t>Securities Act</w:t>
      </w:r>
      <w:r w:rsidRPr="00774490">
        <w:rPr>
          <w:sz w:val="20"/>
        </w:rPr>
        <w:t xml:space="preserve"> - Whether Court of Appeal erred in concluding that the test for overturning </w:t>
      </w:r>
      <w:r w:rsidRPr="00774490">
        <w:rPr>
          <w:i/>
          <w:sz w:val="20"/>
        </w:rPr>
        <w:t xml:space="preserve">Sharma v. </w:t>
      </w:r>
      <w:proofErr w:type="spellStart"/>
      <w:r w:rsidRPr="00774490">
        <w:rPr>
          <w:i/>
          <w:sz w:val="20"/>
        </w:rPr>
        <w:t>Timminco</w:t>
      </w:r>
      <w:proofErr w:type="spellEnd"/>
      <w:r w:rsidRPr="00774490">
        <w:rPr>
          <w:sz w:val="20"/>
        </w:rPr>
        <w:t xml:space="preserve">, 2012 ONCA 107, had been satisfied - Whether Court of Appeal erred in its determination as to when the statutory limitation period under Part XXIII.1 stopped running - Whether the special circumstances doctrine is available to relieve the plaintiffs from compliance with the Part XXIII.1 limitation period - </w:t>
      </w:r>
      <w:r w:rsidRPr="00774490">
        <w:rPr>
          <w:i/>
          <w:sz w:val="20"/>
        </w:rPr>
        <w:t>Securities Act</w:t>
      </w:r>
      <w:r w:rsidRPr="00774490">
        <w:rPr>
          <w:sz w:val="20"/>
        </w:rPr>
        <w:t xml:space="preserve">, R.S.O. 1990, c. S.5, ss. 138.3, 138.8, 138.14 - </w:t>
      </w:r>
      <w:r w:rsidRPr="00774490">
        <w:rPr>
          <w:i/>
          <w:sz w:val="20"/>
        </w:rPr>
        <w:t>Class Proceedings Act, 1992</w:t>
      </w:r>
      <w:r w:rsidRPr="00774490">
        <w:rPr>
          <w:sz w:val="20"/>
        </w:rPr>
        <w:t>, S.O. 1992, c. 6, s. 28.</w:t>
      </w:r>
    </w:p>
    <w:p w:rsidR="00774490" w:rsidRPr="00774490" w:rsidRDefault="00774490" w:rsidP="00774490">
      <w:pPr>
        <w:widowControl w:val="0"/>
        <w:jc w:val="both"/>
        <w:rPr>
          <w:sz w:val="20"/>
        </w:rPr>
      </w:pPr>
    </w:p>
    <w:p w:rsidR="00774490" w:rsidRPr="00774490" w:rsidRDefault="00774490" w:rsidP="00774490">
      <w:pPr>
        <w:jc w:val="both"/>
        <w:rPr>
          <w:sz w:val="20"/>
        </w:rPr>
      </w:pPr>
      <w:r w:rsidRPr="00774490">
        <w:rPr>
          <w:sz w:val="20"/>
        </w:rPr>
        <w:t xml:space="preserve">In this class action proceeding, the representative plaintiffs are claiming damages under Part XXIII.1 of the Ontario </w:t>
      </w:r>
      <w:r w:rsidRPr="00774490">
        <w:rPr>
          <w:i/>
          <w:sz w:val="20"/>
        </w:rPr>
        <w:t>Securities Act</w:t>
      </w:r>
      <w:r w:rsidRPr="00774490">
        <w:rPr>
          <w:sz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The plaintiffs brought a motion seeking leave beyond the three-year limitation period. On motion by the defendants to strike the statutory claims as being time-barred in view of the Ontario Court of Appeal’s 2012 decision in </w:t>
      </w:r>
      <w:r w:rsidRPr="00774490">
        <w:rPr>
          <w:i/>
          <w:sz w:val="20"/>
        </w:rPr>
        <w:t xml:space="preserve">Sharma v. </w:t>
      </w:r>
      <w:proofErr w:type="spellStart"/>
      <w:r w:rsidRPr="00774490">
        <w:rPr>
          <w:i/>
          <w:sz w:val="20"/>
        </w:rPr>
        <w:t>Timminco</w:t>
      </w:r>
      <w:proofErr w:type="spellEnd"/>
      <w:r w:rsidRPr="00774490">
        <w:rPr>
          <w:sz w:val="20"/>
        </w:rPr>
        <w:t xml:space="preserve">, 2012 ONCA 107, the motions judge held that there were special circumstances justifying an order granting leave </w:t>
      </w:r>
      <w:proofErr w:type="spellStart"/>
      <w:r w:rsidRPr="00774490">
        <w:rPr>
          <w:i/>
          <w:sz w:val="20"/>
        </w:rPr>
        <w:t>nunc</w:t>
      </w:r>
      <w:proofErr w:type="spellEnd"/>
      <w:r w:rsidRPr="00774490">
        <w:rPr>
          <w:i/>
          <w:sz w:val="20"/>
        </w:rPr>
        <w:t xml:space="preserve"> pro </w:t>
      </w:r>
      <w:proofErr w:type="spellStart"/>
      <w:r w:rsidRPr="00774490">
        <w:rPr>
          <w:i/>
          <w:sz w:val="20"/>
        </w:rPr>
        <w:t>tunc</w:t>
      </w:r>
      <w:proofErr w:type="spellEnd"/>
      <w:r w:rsidRPr="00774490">
        <w:rPr>
          <w:sz w:val="20"/>
        </w:rPr>
        <w:t xml:space="preserve"> despite the expiry of the limitation period. On appeal by the defendants, a five-judge panel of the Court of Appeal concluded that the decision in </w:t>
      </w:r>
      <w:proofErr w:type="spellStart"/>
      <w:r w:rsidRPr="00774490">
        <w:rPr>
          <w:i/>
          <w:sz w:val="20"/>
        </w:rPr>
        <w:t>Timminco</w:t>
      </w:r>
      <w:proofErr w:type="spellEnd"/>
      <w:r w:rsidRPr="00774490">
        <w:rPr>
          <w:sz w:val="20"/>
        </w:rPr>
        <w:t xml:space="preserve"> should be overturned, and therefore that the action was not statute-barred.</w:t>
      </w:r>
    </w:p>
    <w:p w:rsidR="00774490" w:rsidRPr="00774490" w:rsidRDefault="00774490" w:rsidP="00774490">
      <w:pPr>
        <w:widowControl w:val="0"/>
        <w:jc w:val="both"/>
        <w:rPr>
          <w:sz w:val="20"/>
        </w:rPr>
      </w:pPr>
    </w:p>
    <w:p w:rsidR="00774490" w:rsidRPr="00774490" w:rsidRDefault="00774490" w:rsidP="00774490">
      <w:pPr>
        <w:widowControl w:val="0"/>
        <w:jc w:val="both"/>
        <w:rPr>
          <w:sz w:val="20"/>
        </w:rPr>
      </w:pPr>
    </w:p>
    <w:p w:rsidR="00774490" w:rsidRPr="00774490" w:rsidRDefault="00774490" w:rsidP="00774490">
      <w:pPr>
        <w:widowControl w:val="0"/>
        <w:jc w:val="both"/>
        <w:rPr>
          <w:sz w:val="20"/>
          <w:lang w:val="en-CA"/>
        </w:rPr>
      </w:pPr>
      <w:r w:rsidRPr="00774490">
        <w:rPr>
          <w:sz w:val="20"/>
          <w:lang w:val="en-CA"/>
        </w:rPr>
        <w:t>Origin of the case:</w:t>
      </w:r>
      <w:r w:rsidRPr="00774490">
        <w:rPr>
          <w:sz w:val="20"/>
          <w:lang w:val="en-CA"/>
        </w:rPr>
        <w:tab/>
      </w:r>
      <w:r w:rsidRPr="00774490">
        <w:rPr>
          <w:sz w:val="20"/>
          <w:lang w:val="en-CA"/>
        </w:rPr>
        <w:tab/>
      </w:r>
      <w:r>
        <w:rPr>
          <w:sz w:val="20"/>
          <w:lang w:val="en-CA"/>
        </w:rPr>
        <w:tab/>
      </w:r>
      <w:r w:rsidRPr="00774490">
        <w:rPr>
          <w:sz w:val="20"/>
          <w:lang w:val="en-CA"/>
        </w:rPr>
        <w:tab/>
        <w:t>Ontario</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File No.:</w:t>
      </w:r>
      <w:r w:rsidRPr="00774490">
        <w:rPr>
          <w:sz w:val="20"/>
          <w:lang w:val="en-CA"/>
        </w:rPr>
        <w:tab/>
      </w:r>
      <w:r w:rsidRPr="00774490">
        <w:rPr>
          <w:sz w:val="20"/>
          <w:lang w:val="en-CA"/>
        </w:rPr>
        <w:tab/>
      </w:r>
      <w:r w:rsidRPr="00774490">
        <w:rPr>
          <w:sz w:val="20"/>
          <w:lang w:val="en-CA"/>
        </w:rPr>
        <w:tab/>
      </w:r>
      <w:r>
        <w:rPr>
          <w:sz w:val="20"/>
          <w:lang w:val="en-CA"/>
        </w:rPr>
        <w:tab/>
      </w:r>
      <w:r>
        <w:rPr>
          <w:sz w:val="20"/>
          <w:lang w:val="en-CA"/>
        </w:rPr>
        <w:tab/>
      </w:r>
      <w:r>
        <w:rPr>
          <w:sz w:val="20"/>
          <w:lang w:val="en-CA"/>
        </w:rPr>
        <w:tab/>
      </w:r>
      <w:r w:rsidRPr="00774490">
        <w:rPr>
          <w:sz w:val="20"/>
          <w:lang w:val="en-CA"/>
        </w:rPr>
        <w:tab/>
        <w:t>35813</w:t>
      </w:r>
    </w:p>
    <w:p w:rsidR="00774490" w:rsidRPr="00774490" w:rsidRDefault="00774490" w:rsidP="00774490">
      <w:pPr>
        <w:widowControl w:val="0"/>
        <w:jc w:val="both"/>
        <w:rPr>
          <w:sz w:val="20"/>
          <w:lang w:val="en-CA"/>
        </w:rPr>
      </w:pPr>
    </w:p>
    <w:p w:rsidR="00774490" w:rsidRPr="00774490" w:rsidRDefault="00774490" w:rsidP="00774490">
      <w:pPr>
        <w:widowControl w:val="0"/>
        <w:jc w:val="both"/>
        <w:rPr>
          <w:sz w:val="20"/>
          <w:lang w:val="en-CA"/>
        </w:rPr>
      </w:pPr>
      <w:r w:rsidRPr="00774490">
        <w:rPr>
          <w:sz w:val="20"/>
          <w:lang w:val="en-CA"/>
        </w:rPr>
        <w:t>Judgment of the Court of Appeal:</w:t>
      </w:r>
      <w:r w:rsidRPr="00774490">
        <w:rPr>
          <w:sz w:val="20"/>
          <w:lang w:val="en-CA"/>
        </w:rPr>
        <w:tab/>
        <w:t>February 3, 2014</w:t>
      </w:r>
    </w:p>
    <w:p w:rsidR="00774490" w:rsidRPr="00774490" w:rsidRDefault="00774490" w:rsidP="00774490">
      <w:pPr>
        <w:widowControl w:val="0"/>
        <w:jc w:val="both"/>
        <w:rPr>
          <w:sz w:val="20"/>
          <w:lang w:val="en-CA"/>
        </w:rPr>
      </w:pPr>
    </w:p>
    <w:p w:rsidR="00774490" w:rsidRPr="00774490" w:rsidRDefault="00774490" w:rsidP="00774490">
      <w:pPr>
        <w:widowControl w:val="0"/>
        <w:ind w:left="2880" w:hanging="2880"/>
        <w:jc w:val="both"/>
        <w:rPr>
          <w:sz w:val="20"/>
          <w:lang w:val="en-CA"/>
        </w:rPr>
      </w:pPr>
      <w:r w:rsidRPr="00774490">
        <w:rPr>
          <w:sz w:val="20"/>
          <w:lang w:val="en-CA"/>
        </w:rPr>
        <w:t>Counsel:</w:t>
      </w:r>
      <w:r w:rsidRPr="00774490">
        <w:rPr>
          <w:sz w:val="20"/>
          <w:lang w:val="en-CA"/>
        </w:rPr>
        <w:tab/>
        <w:t xml:space="preserve">Nigel Campbell, Andrea Laing and Ryan A. Morris for the appellants </w:t>
      </w:r>
    </w:p>
    <w:p w:rsidR="00774490" w:rsidRDefault="00774490" w:rsidP="00774490">
      <w:pPr>
        <w:widowControl w:val="0"/>
        <w:ind w:left="2880" w:hanging="2880"/>
        <w:jc w:val="both"/>
        <w:rPr>
          <w:sz w:val="20"/>
          <w:lang w:val="en-CA"/>
        </w:rPr>
      </w:pPr>
      <w:r w:rsidRPr="00774490">
        <w:rPr>
          <w:sz w:val="20"/>
          <w:lang w:val="en-CA"/>
        </w:rPr>
        <w:tab/>
        <w:t xml:space="preserve">Kirk M. </w:t>
      </w:r>
      <w:proofErr w:type="spellStart"/>
      <w:r w:rsidRPr="00774490">
        <w:rPr>
          <w:sz w:val="20"/>
          <w:lang w:val="en-CA"/>
        </w:rPr>
        <w:t>Baert</w:t>
      </w:r>
      <w:proofErr w:type="spellEnd"/>
      <w:r w:rsidRPr="00774490">
        <w:rPr>
          <w:sz w:val="20"/>
          <w:lang w:val="en-CA"/>
        </w:rPr>
        <w:t xml:space="preserve"> and Michael </w:t>
      </w:r>
      <w:proofErr w:type="spellStart"/>
      <w:r w:rsidRPr="00774490">
        <w:rPr>
          <w:sz w:val="20"/>
          <w:lang w:val="en-CA"/>
        </w:rPr>
        <w:t>Mazzuca</w:t>
      </w:r>
      <w:proofErr w:type="spellEnd"/>
      <w:r w:rsidRPr="00774490">
        <w:rPr>
          <w:sz w:val="20"/>
          <w:lang w:val="en-CA"/>
        </w:rPr>
        <w:t xml:space="preserve"> for the respondents</w:t>
      </w:r>
    </w:p>
    <w:p w:rsidR="00774490" w:rsidRDefault="00774490" w:rsidP="00774490">
      <w:pPr>
        <w:widowControl w:val="0"/>
        <w:ind w:left="3600" w:hanging="3600"/>
        <w:jc w:val="both"/>
        <w:rPr>
          <w:sz w:val="20"/>
          <w:lang w:val="en-CA"/>
        </w:rPr>
      </w:pPr>
    </w:p>
    <w:p w:rsidR="00774490" w:rsidRPr="00774490" w:rsidRDefault="00774490" w:rsidP="00774490">
      <w:pPr>
        <w:widowControl w:val="0"/>
        <w:ind w:left="3600" w:hanging="3600"/>
        <w:jc w:val="both"/>
        <w:rPr>
          <w:sz w:val="20"/>
          <w:lang w:val="en-CA"/>
        </w:rPr>
      </w:pPr>
    </w:p>
    <w:p w:rsidR="00774490" w:rsidRPr="00774490" w:rsidRDefault="00774490" w:rsidP="00774490">
      <w:pPr>
        <w:widowControl w:val="0"/>
        <w:ind w:left="720" w:hanging="720"/>
        <w:contextualSpacing/>
        <w:jc w:val="both"/>
        <w:rPr>
          <w:b/>
          <w:i/>
          <w:sz w:val="20"/>
        </w:rPr>
      </w:pPr>
      <w:r w:rsidRPr="00774490">
        <w:rPr>
          <w:b/>
          <w:sz w:val="20"/>
          <w:lang w:val="fr-CA"/>
        </w:rPr>
        <w:fldChar w:fldCharType="begin"/>
      </w:r>
      <w:r w:rsidRPr="00774490">
        <w:rPr>
          <w:b/>
          <w:sz w:val="20"/>
        </w:rPr>
        <w:instrText xml:space="preserve"> SEQ CHAPTER \h \r 1</w:instrText>
      </w:r>
      <w:r w:rsidRPr="00774490">
        <w:rPr>
          <w:b/>
          <w:sz w:val="20"/>
          <w:lang w:val="fr-CA"/>
        </w:rPr>
        <w:fldChar w:fldCharType="end"/>
      </w:r>
      <w:r w:rsidRPr="00774490">
        <w:rPr>
          <w:b/>
          <w:sz w:val="20"/>
        </w:rPr>
        <w:t>35813</w:t>
      </w:r>
      <w:r w:rsidRPr="00774490">
        <w:rPr>
          <w:sz w:val="20"/>
        </w:rPr>
        <w:tab/>
      </w:r>
      <w:r w:rsidRPr="00774490">
        <w:rPr>
          <w:b/>
          <w:i/>
          <w:sz w:val="20"/>
        </w:rPr>
        <w:t xml:space="preserve">Celestica Inc., Stephen W. Delaney et Anthony P. </w:t>
      </w:r>
      <w:proofErr w:type="spellStart"/>
      <w:r w:rsidRPr="00774490">
        <w:rPr>
          <w:b/>
          <w:i/>
          <w:sz w:val="20"/>
        </w:rPr>
        <w:t>Puppi</w:t>
      </w:r>
      <w:proofErr w:type="spellEnd"/>
      <w:r w:rsidRPr="00774490">
        <w:rPr>
          <w:b/>
          <w:i/>
          <w:sz w:val="20"/>
        </w:rPr>
        <w:t xml:space="preserve"> c. Trustees of the Millwright Regional Council </w:t>
      </w:r>
      <w:r w:rsidRPr="00774490">
        <w:rPr>
          <w:b/>
          <w:i/>
          <w:sz w:val="20"/>
        </w:rPr>
        <w:lastRenderedPageBreak/>
        <w:t>of Ontario Pension Trust Fund</w:t>
      </w:r>
    </w:p>
    <w:p w:rsidR="00774490" w:rsidRPr="00774490" w:rsidRDefault="00774490" w:rsidP="00774490">
      <w:pPr>
        <w:widowControl w:val="0"/>
        <w:ind w:left="720" w:hanging="720"/>
        <w:contextualSpacing/>
        <w:jc w:val="both"/>
        <w:rPr>
          <w:b/>
          <w:i/>
          <w:sz w:val="20"/>
        </w:rPr>
      </w:pPr>
      <w:r w:rsidRPr="00774490">
        <w:rPr>
          <w:b/>
          <w:i/>
          <w:sz w:val="20"/>
        </w:rPr>
        <w:tab/>
        <w:t xml:space="preserve">Celestica Inc., Stephen W. Delaney et Anthony P. </w:t>
      </w:r>
      <w:proofErr w:type="spellStart"/>
      <w:r w:rsidRPr="00774490">
        <w:rPr>
          <w:b/>
          <w:i/>
          <w:sz w:val="20"/>
        </w:rPr>
        <w:t>Puppi</w:t>
      </w:r>
      <w:proofErr w:type="spellEnd"/>
      <w:r w:rsidRPr="00774490">
        <w:rPr>
          <w:b/>
          <w:i/>
          <w:sz w:val="20"/>
        </w:rPr>
        <w:t xml:space="preserve"> c. Nabil </w:t>
      </w:r>
      <w:proofErr w:type="spellStart"/>
      <w:r w:rsidRPr="00774490">
        <w:rPr>
          <w:b/>
          <w:i/>
          <w:sz w:val="20"/>
        </w:rPr>
        <w:t>Berzi</w:t>
      </w:r>
      <w:proofErr w:type="spellEnd"/>
    </w:p>
    <w:p w:rsidR="00774490" w:rsidRPr="00774490" w:rsidRDefault="00774490" w:rsidP="00774490">
      <w:pPr>
        <w:widowControl w:val="0"/>
        <w:ind w:left="720" w:hanging="720"/>
        <w:contextualSpacing/>
        <w:jc w:val="both"/>
        <w:rPr>
          <w:b/>
          <w:i/>
          <w:sz w:val="20"/>
        </w:rPr>
      </w:pPr>
      <w:r w:rsidRPr="00774490">
        <w:rPr>
          <w:b/>
          <w:i/>
          <w:sz w:val="20"/>
        </w:rPr>
        <w:tab/>
        <w:t xml:space="preserve">Celestica Inc., Stephen W. Delaney et Anthony P. </w:t>
      </w:r>
      <w:proofErr w:type="spellStart"/>
      <w:r w:rsidRPr="00774490">
        <w:rPr>
          <w:b/>
          <w:i/>
          <w:sz w:val="20"/>
        </w:rPr>
        <w:t>Puppi</w:t>
      </w:r>
      <w:proofErr w:type="spellEnd"/>
      <w:r w:rsidRPr="00774490">
        <w:rPr>
          <w:b/>
          <w:i/>
          <w:sz w:val="20"/>
        </w:rPr>
        <w:t xml:space="preserve"> c. </w:t>
      </w:r>
      <w:proofErr w:type="spellStart"/>
      <w:r w:rsidRPr="00774490">
        <w:rPr>
          <w:b/>
          <w:i/>
          <w:sz w:val="20"/>
        </w:rPr>
        <w:t>Huacheng</w:t>
      </w:r>
      <w:proofErr w:type="spellEnd"/>
      <w:r w:rsidRPr="00774490">
        <w:rPr>
          <w:b/>
          <w:i/>
          <w:sz w:val="20"/>
        </w:rPr>
        <w:t xml:space="preserve"> Xing</w:t>
      </w:r>
    </w:p>
    <w:p w:rsidR="00774490" w:rsidRPr="00774490" w:rsidRDefault="00774490" w:rsidP="00774490">
      <w:pPr>
        <w:widowControl w:val="0"/>
        <w:ind w:left="1440" w:hanging="1440"/>
        <w:jc w:val="both"/>
        <w:rPr>
          <w:sz w:val="20"/>
        </w:rPr>
      </w:pPr>
    </w:p>
    <w:p w:rsidR="00774490" w:rsidRPr="00774490" w:rsidRDefault="00774490" w:rsidP="00774490">
      <w:pPr>
        <w:jc w:val="both"/>
        <w:rPr>
          <w:sz w:val="20"/>
          <w:lang w:val="fr-CA"/>
        </w:rPr>
      </w:pPr>
      <w:r w:rsidRPr="00774490">
        <w:rPr>
          <w:sz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774490">
        <w:rPr>
          <w:i/>
          <w:sz w:val="20"/>
          <w:lang w:val="fr-CA"/>
        </w:rPr>
        <w:t>Loi sur les valeurs mobilières</w:t>
      </w:r>
      <w:r w:rsidRPr="00774490">
        <w:rPr>
          <w:sz w:val="20"/>
          <w:lang w:val="fr-CA"/>
        </w:rPr>
        <w:t xml:space="preserve"> de l’Ontario - Motion en autorisation présentée après l’expiration du délai de prescription de trois ans prévu à l’art. 138.14 de cette loi - La Cour d’appel a-t-elle eu tort de conclure que le critère qui permet d’infirmer </w:t>
      </w:r>
      <w:r w:rsidRPr="00774490">
        <w:rPr>
          <w:i/>
          <w:sz w:val="20"/>
          <w:lang w:val="fr-CA"/>
        </w:rPr>
        <w:t>Sharma c. Timminco</w:t>
      </w:r>
      <w:r w:rsidRPr="00774490">
        <w:rPr>
          <w:sz w:val="20"/>
          <w:lang w:val="fr-CA"/>
        </w:rPr>
        <w:t xml:space="preserve">, 2012 ONCA 107 avait été rempli? - La Cour d’appel a-t-elle commis une erreur dans sa détermination du moment où le délai de prescription en application de la partie XXIII.1 cessait de courir? - La doctrine des circonstances spéciales peut-elle être invoquée pour soustraire les demandeurs de l’obligation de se conformer au délai la prescription de la partie XXIII.1? - </w:t>
      </w:r>
      <w:r w:rsidRPr="00774490">
        <w:rPr>
          <w:i/>
          <w:sz w:val="20"/>
          <w:lang w:val="fr-CA"/>
        </w:rPr>
        <w:t>Loi sur les valeurs mobilières</w:t>
      </w:r>
      <w:r w:rsidRPr="00774490">
        <w:rPr>
          <w:sz w:val="20"/>
          <w:lang w:val="fr-CA"/>
        </w:rPr>
        <w:t xml:space="preserve">, L.R.O. 1990, ch. S.5, art. 138.3, 138.8, 138.14 - </w:t>
      </w:r>
      <w:r w:rsidRPr="00774490">
        <w:rPr>
          <w:i/>
          <w:sz w:val="20"/>
          <w:lang w:val="fr-CA"/>
        </w:rPr>
        <w:t>Loi de 1992 sur les recours collectifs</w:t>
      </w:r>
      <w:r w:rsidRPr="00774490">
        <w:rPr>
          <w:sz w:val="20"/>
          <w:lang w:val="fr-CA"/>
        </w:rPr>
        <w:t>,</w:t>
      </w:r>
      <w:r w:rsidRPr="00774490">
        <w:rPr>
          <w:i/>
          <w:sz w:val="20"/>
          <w:lang w:val="fr-CA"/>
        </w:rPr>
        <w:t xml:space="preserve"> </w:t>
      </w:r>
      <w:r w:rsidRPr="00774490">
        <w:rPr>
          <w:sz w:val="20"/>
          <w:lang w:val="fr-CA"/>
        </w:rPr>
        <w:t>L.O. 1992, ch. 6, art. 28.</w:t>
      </w:r>
    </w:p>
    <w:p w:rsidR="00774490" w:rsidRPr="00774490" w:rsidRDefault="00774490" w:rsidP="00774490">
      <w:pPr>
        <w:widowControl w:val="0"/>
        <w:jc w:val="both"/>
        <w:rPr>
          <w:sz w:val="20"/>
          <w:lang w:val="fr-CA"/>
        </w:rPr>
      </w:pPr>
    </w:p>
    <w:p w:rsidR="00774490" w:rsidRPr="00774490" w:rsidRDefault="00774490" w:rsidP="00774490">
      <w:pPr>
        <w:jc w:val="both"/>
        <w:rPr>
          <w:sz w:val="20"/>
          <w:lang w:val="fr-CA"/>
        </w:rPr>
      </w:pPr>
      <w:r w:rsidRPr="00774490">
        <w:rPr>
          <w:sz w:val="20"/>
          <w:lang w:val="fr-CA"/>
        </w:rPr>
        <w:t xml:space="preserve">Les représentants des demandeurs dans le cadre d’un recours collectif intentent une action en dommages-intérêts en vertu de la partie XXIII.1 de la </w:t>
      </w:r>
      <w:r w:rsidRPr="00774490">
        <w:rPr>
          <w:i/>
          <w:sz w:val="20"/>
          <w:lang w:val="fr-CA"/>
        </w:rPr>
        <w:t>Loi sur les valeurs mobilières</w:t>
      </w:r>
      <w:r w:rsidRPr="00774490">
        <w:rPr>
          <w:sz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Les demandeurs ont présenté une motion en autorisation après l’expiration du délai de prescription de trois ans. Les défendeurs ont présenté une motion visant à faire rejeter la cause d’action fondée sur la disposition législative pour cause de prescription, suivant l’arrêt rendu en 2012 par la Cour d’appel de l’Ontario dans l’affaire </w:t>
      </w:r>
      <w:r w:rsidRPr="00774490">
        <w:rPr>
          <w:i/>
          <w:sz w:val="20"/>
          <w:lang w:val="fr-CA"/>
        </w:rPr>
        <w:t xml:space="preserve">Sharma c. </w:t>
      </w:r>
      <w:proofErr w:type="spellStart"/>
      <w:r w:rsidRPr="00774490">
        <w:rPr>
          <w:i/>
          <w:sz w:val="20"/>
          <w:lang w:val="fr-CA"/>
        </w:rPr>
        <w:t>Timminco</w:t>
      </w:r>
      <w:proofErr w:type="spellEnd"/>
      <w:r w:rsidRPr="00774490">
        <w:rPr>
          <w:sz w:val="20"/>
          <w:lang w:val="fr-CA"/>
        </w:rPr>
        <w:t>, 2012 ONCA 107. Le juge des requêtes a indiqué que des circonstances spéciales justifiaient l’autorisation avec effet rétroactif (</w:t>
      </w:r>
      <w:r w:rsidRPr="00774490">
        <w:rPr>
          <w:i/>
          <w:sz w:val="20"/>
          <w:lang w:val="fr-CA"/>
        </w:rPr>
        <w:t>nunc pro tunc</w:t>
      </w:r>
      <w:r w:rsidRPr="00774490">
        <w:rPr>
          <w:sz w:val="20"/>
          <w:lang w:val="fr-CA"/>
        </w:rPr>
        <w:t xml:space="preserve">), en dépit de l’expiration du délai de prescription. Dans le cadre de l’appel interjeté par les défendeurs, la formation de cinq juges de la Cour d’appel a infirmé l’arrêt </w:t>
      </w:r>
      <w:r w:rsidRPr="00774490">
        <w:rPr>
          <w:i/>
          <w:sz w:val="20"/>
          <w:lang w:val="fr-CA"/>
        </w:rPr>
        <w:t>Timminco</w:t>
      </w:r>
      <w:r w:rsidRPr="00774490">
        <w:rPr>
          <w:sz w:val="20"/>
          <w:lang w:val="fr-CA"/>
        </w:rPr>
        <w:t>, et par conséquent, l’action n’était plus prescrite.</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Origine :</w:t>
      </w:r>
      <w:r w:rsidRPr="00774490">
        <w:rPr>
          <w:sz w:val="20"/>
          <w:lang w:val="fr-CA"/>
        </w:rPr>
        <w:tab/>
      </w:r>
      <w:r w:rsidRPr="00774490">
        <w:rPr>
          <w:sz w:val="20"/>
          <w:lang w:val="fr-CA"/>
        </w:rPr>
        <w:tab/>
      </w:r>
      <w:r w:rsidRPr="00774490">
        <w:rPr>
          <w:sz w:val="20"/>
          <w:lang w:val="fr-CA"/>
        </w:rPr>
        <w:tab/>
      </w:r>
      <w:r w:rsidRPr="00774490">
        <w:rPr>
          <w:sz w:val="20"/>
          <w:lang w:val="fr-CA"/>
        </w:rPr>
        <w:tab/>
      </w:r>
      <w:r w:rsidR="00E92203">
        <w:rPr>
          <w:sz w:val="20"/>
          <w:lang w:val="fr-CA"/>
        </w:rPr>
        <w:tab/>
      </w:r>
      <w:r w:rsidR="00E92203">
        <w:rPr>
          <w:sz w:val="20"/>
          <w:lang w:val="fr-CA"/>
        </w:rPr>
        <w:tab/>
      </w:r>
      <w:r w:rsidRPr="00774490">
        <w:rPr>
          <w:sz w:val="20"/>
          <w:lang w:val="fr-CA"/>
        </w:rPr>
        <w:t>Ontario</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N</w:t>
      </w:r>
      <w:r w:rsidRPr="00774490">
        <w:rPr>
          <w:sz w:val="20"/>
          <w:vertAlign w:val="superscript"/>
          <w:lang w:val="fr-CA"/>
        </w:rPr>
        <w:t>o</w:t>
      </w:r>
      <w:r w:rsidRPr="00774490">
        <w:rPr>
          <w:sz w:val="20"/>
          <w:lang w:val="fr-CA"/>
        </w:rPr>
        <w:t xml:space="preserve"> du greffe :</w:t>
      </w:r>
      <w:r w:rsidRPr="00774490">
        <w:rPr>
          <w:sz w:val="20"/>
          <w:lang w:val="fr-CA"/>
        </w:rPr>
        <w:tab/>
      </w:r>
      <w:r w:rsidRPr="00774490">
        <w:rPr>
          <w:sz w:val="20"/>
          <w:lang w:val="fr-CA"/>
        </w:rPr>
        <w:tab/>
      </w:r>
      <w:r w:rsidRPr="00774490">
        <w:rPr>
          <w:sz w:val="20"/>
          <w:lang w:val="fr-CA"/>
        </w:rPr>
        <w:tab/>
      </w:r>
      <w:r w:rsidRPr="00774490">
        <w:rPr>
          <w:sz w:val="20"/>
          <w:lang w:val="fr-CA"/>
        </w:rPr>
        <w:tab/>
        <w:t>35813</w:t>
      </w:r>
    </w:p>
    <w:p w:rsidR="00774490" w:rsidRPr="00774490" w:rsidRDefault="00774490" w:rsidP="00774490">
      <w:pPr>
        <w:widowControl w:val="0"/>
        <w:jc w:val="both"/>
        <w:rPr>
          <w:sz w:val="20"/>
          <w:lang w:val="fr-CA"/>
        </w:rPr>
      </w:pPr>
    </w:p>
    <w:p w:rsidR="00774490" w:rsidRPr="00774490" w:rsidRDefault="00774490" w:rsidP="00774490">
      <w:pPr>
        <w:widowControl w:val="0"/>
        <w:jc w:val="both"/>
        <w:rPr>
          <w:sz w:val="20"/>
          <w:lang w:val="fr-CA"/>
        </w:rPr>
      </w:pPr>
      <w:r w:rsidRPr="00774490">
        <w:rPr>
          <w:sz w:val="20"/>
          <w:lang w:val="fr-CA"/>
        </w:rPr>
        <w:t>Arrêt de la Cour d’appel :</w:t>
      </w:r>
      <w:r w:rsidRPr="00774490">
        <w:rPr>
          <w:sz w:val="20"/>
          <w:lang w:val="fr-CA"/>
        </w:rPr>
        <w:tab/>
      </w:r>
      <w:r w:rsidRPr="00774490">
        <w:rPr>
          <w:sz w:val="20"/>
          <w:lang w:val="fr-CA"/>
        </w:rPr>
        <w:tab/>
        <w:t>le 3 février 2014</w:t>
      </w:r>
    </w:p>
    <w:p w:rsidR="00774490" w:rsidRPr="00774490" w:rsidRDefault="00774490" w:rsidP="00774490">
      <w:pPr>
        <w:widowControl w:val="0"/>
        <w:jc w:val="both"/>
        <w:rPr>
          <w:sz w:val="20"/>
          <w:lang w:val="fr-CA"/>
        </w:rPr>
      </w:pPr>
    </w:p>
    <w:p w:rsidR="00774490" w:rsidRPr="00774490" w:rsidRDefault="00774490" w:rsidP="00774490">
      <w:pPr>
        <w:widowControl w:val="0"/>
        <w:ind w:left="2520" w:hanging="2520"/>
        <w:jc w:val="both"/>
        <w:rPr>
          <w:sz w:val="20"/>
          <w:lang w:val="fr-CA"/>
        </w:rPr>
      </w:pPr>
      <w:r w:rsidRPr="00774490">
        <w:rPr>
          <w:sz w:val="20"/>
          <w:lang w:val="fr-CA"/>
        </w:rPr>
        <w:t>Avocats :</w:t>
      </w:r>
      <w:r w:rsidRPr="00774490">
        <w:rPr>
          <w:sz w:val="20"/>
          <w:lang w:val="fr-CA"/>
        </w:rPr>
        <w:tab/>
      </w:r>
      <w:bookmarkStart w:id="7" w:name="_GoBack"/>
      <w:r w:rsidRPr="00774490">
        <w:rPr>
          <w:sz w:val="20"/>
          <w:lang w:val="fr-CA"/>
        </w:rPr>
        <w:t xml:space="preserve">Nigel Campbell, Andrea Laing et Ryan A. Morris pour les appelants </w:t>
      </w:r>
    </w:p>
    <w:p w:rsidR="00774490" w:rsidRPr="00774490" w:rsidRDefault="00774490" w:rsidP="00774490">
      <w:pPr>
        <w:widowControl w:val="0"/>
        <w:ind w:left="2520" w:hanging="2520"/>
        <w:jc w:val="both"/>
        <w:rPr>
          <w:sz w:val="20"/>
          <w:lang w:val="fr-CA"/>
        </w:rPr>
      </w:pPr>
      <w:r w:rsidRPr="00774490">
        <w:rPr>
          <w:sz w:val="20"/>
          <w:lang w:val="fr-CA"/>
        </w:rPr>
        <w:tab/>
        <w:t>Kirk M. Baert et Michael Mazzuca pour les intimés</w:t>
      </w:r>
    </w:p>
    <w:bookmarkEnd w:id="7"/>
    <w:p w:rsidR="00774490" w:rsidRPr="00774490" w:rsidRDefault="00774490" w:rsidP="00774490">
      <w:pPr>
        <w:jc w:val="both"/>
        <w:rPr>
          <w:sz w:val="20"/>
          <w:lang w:val="fr-CA"/>
        </w:rPr>
      </w:pPr>
    </w:p>
    <w:p w:rsidR="00774490" w:rsidRPr="00774490" w:rsidRDefault="00774490" w:rsidP="00340C6D">
      <w:pPr>
        <w:jc w:val="both"/>
        <w:rPr>
          <w:szCs w:val="24"/>
          <w:lang w:val="fr-CA"/>
        </w:rPr>
      </w:pPr>
    </w:p>
    <w:p w:rsidR="00774490" w:rsidRPr="00774490" w:rsidRDefault="00774490" w:rsidP="00340C6D">
      <w:pPr>
        <w:jc w:val="both"/>
        <w:rPr>
          <w:szCs w:val="24"/>
          <w:lang w:val="fr-CA"/>
        </w:rPr>
      </w:pPr>
    </w:p>
    <w:p w:rsidR="00072A63" w:rsidRPr="00774490" w:rsidRDefault="00072A63" w:rsidP="00EC79B0">
      <w:pPr>
        <w:jc w:val="both"/>
        <w:rPr>
          <w:szCs w:val="24"/>
          <w:lang w:val="fr-CA"/>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112938" w:rsidP="001C4415">
      <w:pPr>
        <w:widowControl w:val="0"/>
        <w:outlineLvl w:val="0"/>
        <w:rPr>
          <w:color w:val="0000FF"/>
          <w:u w:val="single"/>
        </w:rPr>
      </w:pPr>
      <w:hyperlink r:id="rId10"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774490">
        <w:t>-</w:t>
      </w:r>
    </w:p>
    <w:sectPr w:rsidR="0036476C"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2938"/>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A6C0C"/>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74490"/>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62B2"/>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2203"/>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E92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8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csc.ca/case-dossier/info/sum-som-eng.aspx?cas=3580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581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3016</Words>
  <Characters>16185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2015-12-01T16:39:00Z</dcterms:created>
  <dcterms:modified xsi:type="dcterms:W3CDTF">2015-12-01T16:49:00Z</dcterms:modified>
</cp:coreProperties>
</file>