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415" w:rsidRPr="00E76439" w:rsidRDefault="001C4415" w:rsidP="001C4415">
      <w:pPr>
        <w:pStyle w:val="Header"/>
        <w:jc w:val="center"/>
        <w:rPr>
          <w:b/>
          <w:sz w:val="32"/>
        </w:rPr>
      </w:pPr>
      <w:r w:rsidRPr="00E76439">
        <w:rPr>
          <w:b/>
          <w:sz w:val="32"/>
        </w:rPr>
        <w:t xml:space="preserve">Supreme Court of Canada / Cour </w:t>
      </w:r>
      <w:proofErr w:type="spellStart"/>
      <w:r w:rsidRPr="00E76439">
        <w:rPr>
          <w:b/>
          <w:sz w:val="32"/>
        </w:rPr>
        <w:t>supr</w:t>
      </w:r>
      <w:r w:rsidRPr="00D3344A">
        <w:rPr>
          <w:b/>
          <w:sz w:val="32"/>
        </w:rPr>
        <w:t>ê</w:t>
      </w:r>
      <w:r w:rsidRPr="00E76439">
        <w:rPr>
          <w:b/>
          <w:sz w:val="32"/>
        </w:rPr>
        <w:t>me</w:t>
      </w:r>
      <w:proofErr w:type="spellEnd"/>
      <w:r w:rsidRPr="00E76439">
        <w:rPr>
          <w:b/>
          <w:sz w:val="32"/>
        </w:rPr>
        <w:t xml:space="preserve"> du Canada</w:t>
      </w:r>
    </w:p>
    <w:p w:rsidR="001C4415" w:rsidRDefault="001C4415" w:rsidP="001C4415">
      <w:pPr>
        <w:widowControl w:val="0"/>
        <w:rPr>
          <w:i/>
        </w:rPr>
      </w:pPr>
    </w:p>
    <w:p w:rsidR="001C4415" w:rsidRDefault="001C4415" w:rsidP="001C4415">
      <w:pPr>
        <w:widowControl w:val="0"/>
        <w:rPr>
          <w:i/>
        </w:rPr>
      </w:pPr>
    </w:p>
    <w:p w:rsidR="001C4415" w:rsidRPr="006F2579" w:rsidRDefault="001C4415" w:rsidP="001C4415">
      <w:pPr>
        <w:widowControl w:val="0"/>
        <w:rPr>
          <w:i/>
        </w:rPr>
      </w:pPr>
      <w:r w:rsidRPr="0041251E">
        <w:rPr>
          <w:i/>
        </w:rPr>
        <w:t xml:space="preserve">(le </w:t>
      </w:r>
      <w:proofErr w:type="spellStart"/>
      <w:r w:rsidRPr="0041251E">
        <w:rPr>
          <w:i/>
        </w:rPr>
        <w:t>fran</w:t>
      </w:r>
      <w:r w:rsidRPr="006F2579">
        <w:rPr>
          <w:i/>
        </w:rPr>
        <w:t>çais</w:t>
      </w:r>
      <w:proofErr w:type="spellEnd"/>
      <w:r w:rsidRPr="006F2579">
        <w:rPr>
          <w:i/>
        </w:rPr>
        <w:t xml:space="preserve"> suit)</w:t>
      </w:r>
    </w:p>
    <w:p w:rsidR="001C4415" w:rsidRDefault="001C4415" w:rsidP="001C4415">
      <w:pPr>
        <w:widowControl w:val="0"/>
      </w:pPr>
    </w:p>
    <w:p w:rsidR="001C4415" w:rsidRDefault="000347C1" w:rsidP="00214729">
      <w:pPr>
        <w:widowControl w:val="0"/>
        <w:jc w:val="center"/>
        <w:rPr>
          <w:b/>
        </w:rPr>
      </w:pPr>
      <w:r>
        <w:fldChar w:fldCharType="begin"/>
      </w:r>
      <w:r w:rsidR="00FA7412">
        <w:instrText xml:space="preserve"> SEQ CHAPTER \h \r 1</w:instrText>
      </w:r>
      <w:r>
        <w:fldChar w:fldCharType="end"/>
      </w:r>
      <w:r w:rsidR="00455BB9">
        <w:rPr>
          <w:b/>
        </w:rPr>
        <w:t>JUDGMENT</w:t>
      </w:r>
      <w:r w:rsidR="00072A63">
        <w:rPr>
          <w:b/>
        </w:rPr>
        <w:t>S</w:t>
      </w:r>
      <w:r w:rsidR="00FA7412">
        <w:rPr>
          <w:b/>
        </w:rPr>
        <w:t xml:space="preserve"> TO BE RENDERED IN APPEAL</w:t>
      </w:r>
      <w:r w:rsidR="00072A63">
        <w:rPr>
          <w:b/>
        </w:rPr>
        <w:t>S</w:t>
      </w:r>
    </w:p>
    <w:p w:rsidR="005A7C1B" w:rsidRDefault="005A7C1B" w:rsidP="005A7C1B">
      <w:pPr>
        <w:widowControl w:val="0"/>
        <w:rPr>
          <w:b/>
        </w:rPr>
      </w:pPr>
    </w:p>
    <w:p w:rsidR="00EC79B0" w:rsidRPr="00497B5E" w:rsidRDefault="003508A9" w:rsidP="00EC79B0">
      <w:pPr>
        <w:widowControl w:val="0"/>
        <w:rPr>
          <w:b/>
        </w:rPr>
      </w:pPr>
      <w:r>
        <w:rPr>
          <w:b/>
        </w:rPr>
        <w:t xml:space="preserve">December </w:t>
      </w:r>
      <w:r w:rsidR="00114393">
        <w:rPr>
          <w:b/>
        </w:rPr>
        <w:t>14</w:t>
      </w:r>
      <w:r w:rsidR="00EC79B0" w:rsidRPr="00497B5E">
        <w:rPr>
          <w:b/>
        </w:rPr>
        <w:t>, 201</w:t>
      </w:r>
      <w:r w:rsidR="0086609D">
        <w:rPr>
          <w:b/>
        </w:rPr>
        <w:t>5</w:t>
      </w:r>
    </w:p>
    <w:p w:rsidR="00EC79B0" w:rsidRPr="00497B5E" w:rsidRDefault="00EC79B0" w:rsidP="00EC79B0">
      <w:pPr>
        <w:widowControl w:val="0"/>
        <w:rPr>
          <w:b/>
        </w:rPr>
      </w:pPr>
      <w:r w:rsidRPr="00497B5E">
        <w:rPr>
          <w:b/>
        </w:rPr>
        <w:t>For immediate release</w:t>
      </w:r>
    </w:p>
    <w:p w:rsidR="00EC79B0" w:rsidRDefault="00EC79B0" w:rsidP="00EC79B0">
      <w:pPr>
        <w:widowControl w:val="0"/>
      </w:pPr>
    </w:p>
    <w:p w:rsidR="00EC79B0" w:rsidRDefault="00EC79B0" w:rsidP="00EC79B0">
      <w:pPr>
        <w:widowControl w:val="0"/>
      </w:pPr>
      <w:r w:rsidRPr="00497B5E">
        <w:rPr>
          <w:b/>
        </w:rPr>
        <w:t>OTTAWA</w:t>
      </w:r>
      <w:r w:rsidRPr="00497B5E">
        <w:t xml:space="preserve"> – </w:t>
      </w:r>
      <w:r>
        <w:t>The Supreme Court of Canad</w:t>
      </w:r>
      <w:r w:rsidR="00455BB9">
        <w:t>a announced today that judgment</w:t>
      </w:r>
      <w:r w:rsidR="009A0D84">
        <w:t>s</w:t>
      </w:r>
      <w:r>
        <w:t xml:space="preserve"> in the following appeal</w:t>
      </w:r>
      <w:r w:rsidR="00072A63">
        <w:t>s</w:t>
      </w:r>
      <w:r>
        <w:t xml:space="preserve"> will be delivered at 9:45 a.m. E</w:t>
      </w:r>
      <w:r w:rsidR="00087122">
        <w:t>S</w:t>
      </w:r>
      <w:r w:rsidR="00DC6C1E">
        <w:t>T</w:t>
      </w:r>
      <w:r w:rsidR="00D74667">
        <w:t xml:space="preserve"> on</w:t>
      </w:r>
      <w:r w:rsidR="00DC6C1E">
        <w:t xml:space="preserve"> </w:t>
      </w:r>
      <w:r w:rsidR="003508A9">
        <w:t>Thursday</w:t>
      </w:r>
      <w:r w:rsidR="000A7900">
        <w:t xml:space="preserve">, </w:t>
      </w:r>
      <w:r w:rsidR="00340C6D">
        <w:t xml:space="preserve">December </w:t>
      </w:r>
      <w:r w:rsidR="00114393">
        <w:t>17 and Friday, December 18</w:t>
      </w:r>
      <w:r w:rsidR="00E63199">
        <w:t>, 2</w:t>
      </w:r>
      <w:r w:rsidR="0086609D">
        <w:t>015</w:t>
      </w:r>
      <w:r w:rsidR="00455BB9">
        <w:t>.  This</w:t>
      </w:r>
      <w:r>
        <w:t xml:space="preserve"> list is subject to change.</w:t>
      </w:r>
    </w:p>
    <w:p w:rsidR="001C4415" w:rsidRPr="001D0423" w:rsidRDefault="001C4415" w:rsidP="001C4415">
      <w:pPr>
        <w:widowControl w:val="0"/>
        <w:rPr>
          <w:szCs w:val="24"/>
        </w:rPr>
      </w:pPr>
    </w:p>
    <w:p w:rsidR="001C4415" w:rsidRDefault="001C4415" w:rsidP="001C4415">
      <w:pPr>
        <w:widowControl w:val="0"/>
      </w:pPr>
    </w:p>
    <w:p w:rsidR="001335A1" w:rsidRDefault="001335A1" w:rsidP="001335A1">
      <w:pPr>
        <w:widowControl w:val="0"/>
        <w:jc w:val="center"/>
        <w:rPr>
          <w:b/>
          <w:lang w:val="fr-CA"/>
        </w:rPr>
      </w:pPr>
      <w:r w:rsidRPr="00E2187E">
        <w:rPr>
          <w:b/>
          <w:lang w:val="fr-CA"/>
        </w:rPr>
        <w:t>PROCHAIN</w:t>
      </w:r>
      <w:r w:rsidR="00072A63">
        <w:rPr>
          <w:b/>
          <w:lang w:val="fr-CA"/>
        </w:rPr>
        <w:t>S</w:t>
      </w:r>
      <w:r w:rsidRPr="00E2187E">
        <w:rPr>
          <w:b/>
          <w:lang w:val="fr-CA"/>
        </w:rPr>
        <w:t xml:space="preserve"> JUGEMENT</w:t>
      </w:r>
      <w:r w:rsidR="00072A63">
        <w:rPr>
          <w:b/>
          <w:lang w:val="fr-CA"/>
        </w:rPr>
        <w:t>S</w:t>
      </w:r>
      <w:r w:rsidR="00455BB9">
        <w:rPr>
          <w:b/>
          <w:lang w:val="fr-CA"/>
        </w:rPr>
        <w:t xml:space="preserve"> SUR APPEL</w:t>
      </w:r>
      <w:r w:rsidR="00131418">
        <w:rPr>
          <w:b/>
          <w:lang w:val="fr-CA"/>
        </w:rPr>
        <w:t>S</w:t>
      </w:r>
    </w:p>
    <w:p w:rsidR="001335A1" w:rsidRPr="00497B5E" w:rsidRDefault="001335A1" w:rsidP="001335A1">
      <w:pPr>
        <w:widowControl w:val="0"/>
        <w:rPr>
          <w:lang w:val="fr-CA"/>
        </w:rPr>
      </w:pPr>
    </w:p>
    <w:p w:rsidR="00EC79B0" w:rsidRPr="00497B5E" w:rsidRDefault="00EC79B0" w:rsidP="00EC79B0">
      <w:pPr>
        <w:widowControl w:val="0"/>
        <w:rPr>
          <w:b/>
          <w:lang w:val="fr-CA"/>
        </w:rPr>
      </w:pPr>
      <w:r w:rsidRPr="00497B5E">
        <w:rPr>
          <w:b/>
          <w:lang w:val="fr-CA"/>
        </w:rPr>
        <w:t xml:space="preserve">Le </w:t>
      </w:r>
      <w:r w:rsidR="00114393">
        <w:rPr>
          <w:b/>
          <w:lang w:val="fr-CA"/>
        </w:rPr>
        <w:t>14</w:t>
      </w:r>
      <w:r w:rsidR="00340C6D">
        <w:rPr>
          <w:b/>
          <w:lang w:val="fr-CA"/>
        </w:rPr>
        <w:t xml:space="preserve"> décembre</w:t>
      </w:r>
      <w:r w:rsidR="000A7900">
        <w:rPr>
          <w:b/>
          <w:lang w:val="fr-CA"/>
        </w:rPr>
        <w:t xml:space="preserve"> </w:t>
      </w:r>
      <w:r w:rsidR="0086609D">
        <w:rPr>
          <w:b/>
          <w:lang w:val="fr-CA"/>
        </w:rPr>
        <w:t>2015</w:t>
      </w:r>
    </w:p>
    <w:p w:rsidR="00EC79B0" w:rsidRDefault="00EC79B0" w:rsidP="00EC79B0">
      <w:pPr>
        <w:widowControl w:val="0"/>
        <w:rPr>
          <w:b/>
          <w:lang w:val="fr-CA"/>
        </w:rPr>
      </w:pPr>
      <w:r w:rsidRPr="00497B5E">
        <w:rPr>
          <w:b/>
          <w:lang w:val="fr-CA"/>
        </w:rPr>
        <w:t>Pour diffusion immédiate</w:t>
      </w:r>
    </w:p>
    <w:p w:rsidR="00EC79B0" w:rsidRDefault="00EC79B0" w:rsidP="00EC79B0">
      <w:pPr>
        <w:widowControl w:val="0"/>
        <w:rPr>
          <w:b/>
          <w:lang w:val="fr-CA"/>
        </w:rPr>
      </w:pPr>
    </w:p>
    <w:p w:rsidR="00EC79B0" w:rsidRPr="00E2187E" w:rsidRDefault="00EC79B0" w:rsidP="00EC79B0">
      <w:pPr>
        <w:widowControl w:val="0"/>
        <w:rPr>
          <w:lang w:val="fr-CA"/>
        </w:rPr>
      </w:pPr>
      <w:r w:rsidRPr="00497B5E">
        <w:rPr>
          <w:b/>
          <w:lang w:val="fr-CA"/>
        </w:rPr>
        <w:t>OTTAWA</w:t>
      </w:r>
      <w:r>
        <w:rPr>
          <w:lang w:val="fr-CA"/>
        </w:rPr>
        <w:t xml:space="preserve"> – L</w:t>
      </w:r>
      <w:r w:rsidRPr="00E2187E">
        <w:rPr>
          <w:lang w:val="fr-CA"/>
        </w:rPr>
        <w:t xml:space="preserve">a </w:t>
      </w:r>
      <w:r>
        <w:rPr>
          <w:lang w:val="fr-CA"/>
        </w:rPr>
        <w:t>C</w:t>
      </w:r>
      <w:r w:rsidRPr="00E2187E">
        <w:rPr>
          <w:lang w:val="fr-CA"/>
        </w:rPr>
        <w:t xml:space="preserve">our suprême du </w:t>
      </w:r>
      <w:r>
        <w:rPr>
          <w:lang w:val="fr-CA"/>
        </w:rPr>
        <w:t>C</w:t>
      </w:r>
      <w:r w:rsidRPr="00E2187E">
        <w:rPr>
          <w:lang w:val="fr-CA"/>
        </w:rPr>
        <w:t>anada annonce que jugement sera rendu dans l</w:t>
      </w:r>
      <w:r w:rsidR="00072A63">
        <w:rPr>
          <w:lang w:val="fr-CA"/>
        </w:rPr>
        <w:t xml:space="preserve">es </w:t>
      </w:r>
      <w:r>
        <w:rPr>
          <w:lang w:val="fr-CA"/>
        </w:rPr>
        <w:t>appel</w:t>
      </w:r>
      <w:r w:rsidR="00072A63">
        <w:rPr>
          <w:lang w:val="fr-CA"/>
        </w:rPr>
        <w:t>s</w:t>
      </w:r>
      <w:r>
        <w:rPr>
          <w:lang w:val="fr-CA"/>
        </w:rPr>
        <w:t xml:space="preserve"> suivant</w:t>
      </w:r>
      <w:r w:rsidR="00072A63">
        <w:rPr>
          <w:lang w:val="fr-CA"/>
        </w:rPr>
        <w:t>s</w:t>
      </w:r>
      <w:r w:rsidRPr="00E2187E">
        <w:rPr>
          <w:lang w:val="fr-CA"/>
        </w:rPr>
        <w:t xml:space="preserve"> le</w:t>
      </w:r>
      <w:r w:rsidR="00114393">
        <w:rPr>
          <w:lang w:val="fr-CA"/>
        </w:rPr>
        <w:t xml:space="preserve"> jeudi 17</w:t>
      </w:r>
      <w:r w:rsidR="003508A9">
        <w:rPr>
          <w:lang w:val="fr-CA"/>
        </w:rPr>
        <w:t xml:space="preserve"> décembre et le vendredi 1</w:t>
      </w:r>
      <w:r w:rsidR="00114393">
        <w:rPr>
          <w:lang w:val="fr-CA"/>
        </w:rPr>
        <w:t>8</w:t>
      </w:r>
      <w:r w:rsidR="003508A9">
        <w:rPr>
          <w:lang w:val="fr-CA"/>
        </w:rPr>
        <w:t xml:space="preserve"> </w:t>
      </w:r>
      <w:r w:rsidR="00340C6D" w:rsidRPr="00340C6D">
        <w:rPr>
          <w:lang w:val="fr-CA"/>
        </w:rPr>
        <w:t>décembre</w:t>
      </w:r>
      <w:r w:rsidR="00282563">
        <w:rPr>
          <w:lang w:val="fr-CA"/>
        </w:rPr>
        <w:t xml:space="preserve"> </w:t>
      </w:r>
      <w:r>
        <w:rPr>
          <w:lang w:val="fr-CA"/>
        </w:rPr>
        <w:t>201</w:t>
      </w:r>
      <w:r w:rsidR="0086609D">
        <w:rPr>
          <w:lang w:val="fr-CA"/>
        </w:rPr>
        <w:t>5</w:t>
      </w:r>
      <w:r>
        <w:rPr>
          <w:lang w:val="fr-CA"/>
        </w:rPr>
        <w:t>,</w:t>
      </w:r>
      <w:r w:rsidRPr="00E2187E">
        <w:rPr>
          <w:lang w:val="fr-CA"/>
        </w:rPr>
        <w:t xml:space="preserve"> à 9 h 45 </w:t>
      </w:r>
      <w:r>
        <w:rPr>
          <w:lang w:val="fr-CA"/>
        </w:rPr>
        <w:t>H</w:t>
      </w:r>
      <w:r w:rsidR="00087122">
        <w:rPr>
          <w:lang w:val="fr-CA"/>
        </w:rPr>
        <w:t>N</w:t>
      </w:r>
      <w:r>
        <w:rPr>
          <w:lang w:val="fr-CA"/>
        </w:rPr>
        <w:t>E.  C</w:t>
      </w:r>
      <w:r w:rsidRPr="00E2187E">
        <w:rPr>
          <w:lang w:val="fr-CA"/>
        </w:rPr>
        <w:t>ette liste est</w:t>
      </w:r>
      <w:r>
        <w:rPr>
          <w:lang w:val="fr-CA"/>
        </w:rPr>
        <w:t xml:space="preserve"> sujette </w:t>
      </w:r>
      <w:r w:rsidRPr="00E2187E">
        <w:rPr>
          <w:lang w:val="fr-CA"/>
        </w:rPr>
        <w:t>à modifications.</w:t>
      </w:r>
    </w:p>
    <w:p w:rsidR="001335A1" w:rsidRDefault="001335A1" w:rsidP="001335A1">
      <w:pPr>
        <w:widowControl w:val="0"/>
        <w:rPr>
          <w:sz w:val="20"/>
          <w:lang w:val="fr-CA"/>
        </w:rPr>
      </w:pPr>
    </w:p>
    <w:p w:rsidR="001335A1" w:rsidRDefault="005C7A4F" w:rsidP="001335A1">
      <w:pPr>
        <w:widowControl w:val="0"/>
        <w:rPr>
          <w:sz w:val="20"/>
          <w:lang w:val="fr-CA"/>
        </w:rPr>
      </w:pPr>
      <w:r>
        <w:rPr>
          <w:noProof/>
          <w:sz w:val="20"/>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92075</wp:posOffset>
                </wp:positionV>
                <wp:extent cx="3136265" cy="0"/>
                <wp:effectExtent l="5080" t="6985" r="1143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A13DAE" id="_x0000_t32" coordsize="21600,21600" o:spt="32" o:oned="t" path="m,l21600,21600e" filled="f">
                <v:path arrowok="t" fillok="f" o:connecttype="none"/>
                <o:lock v:ext="edit" shapetype="t"/>
              </v:shapetype>
              <v:shape id="AutoShape 7" o:spid="_x0000_s1026" type="#_x0000_t32" style="position:absolute;margin-left:0;margin-top:7.25pt;width:246.9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Q1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fQYxjMYV0BUpbY2NEiP6tW8aPrdIaWrjqiWx+C3k4HcLGQk71LCxRkoshs+awYxBPDj&#10;rI6N7QMkTAEdoySnmyT86BGFj5NsMhvPphjRqy8hxTXRWOc/cd2jYJTYeUtE2/lKKwXCa5vFMuTw&#10;4nygRYprQqiq9EZIGfWXCg0lXkzH05jgtBQsOEOYs+2ukhYdSNig+Is9guc+zOq9YhGs44StL7Yn&#10;Qp5tKC5VwIPGgM7FOq/Ij0W6WM/X83yUj2frUZ7W9eh5U+Wj2SZ7nNaTuqrq7GegluVFJxjjKrC7&#10;rmuW/906XB7OedFuC3sbQ/IePc4LyF7/I+mobBDzvBY7zU5be1UcNjQGX15TeAL3d7Dv3/zqFwAA&#10;AP//AwBQSwMEFAAGAAgAAAAhACPIuObbAAAABgEAAA8AAABkcnMvZG93bnJldi54bWxMj8FOwzAQ&#10;RO9I/IO1SFxQ67S0qAlxqgqJA0faSly38ZIE4nUUO03o17OIAxxnZjXzNt9OrlVn6kPj2cBinoAi&#10;Lr1tuDJwPDzPNqBCRLbYeiYDXxRgW1xf5ZhZP/IrnfexUlLCIUMDdYxdpnUoa3IY5r4jluzd9w6j&#10;yL7StsdRyl2rl0nyoB02LAs1dvRUU/m5H5wBCsN6kexSVx1fLuPd2/LyMXYHY25vpt0jqEhT/DuG&#10;H3xBh0KYTn5gG1RrQB6J4q7WoCRdpfcpqNOvoYtc/8cvvgEAAP//AwBQSwECLQAUAAYACAAAACEA&#10;toM4kv4AAADhAQAAEwAAAAAAAAAAAAAAAAAAAAAAW0NvbnRlbnRfVHlwZXNdLnhtbFBLAQItABQA&#10;BgAIAAAAIQA4/SH/1gAAAJQBAAALAAAAAAAAAAAAAAAAAC8BAABfcmVscy8ucmVsc1BLAQItABQA&#10;BgAIAAAAIQASTnQ1HwIAADsEAAAOAAAAAAAAAAAAAAAAAC4CAABkcnMvZTJvRG9jLnhtbFBLAQIt&#10;ABQABgAIAAAAIQAjyLjm2wAAAAYBAAAPAAAAAAAAAAAAAAAAAHkEAABkcnMvZG93bnJldi54bWxQ&#10;SwUGAAAAAAQABADzAAAAgQUAAAAA&#10;">
                <w10:wrap anchorx="margin"/>
              </v:shape>
            </w:pict>
          </mc:Fallback>
        </mc:AlternateContent>
      </w:r>
    </w:p>
    <w:p w:rsidR="00340C6D" w:rsidRPr="004A017B" w:rsidRDefault="00340C6D" w:rsidP="00340C6D">
      <w:pPr>
        <w:jc w:val="both"/>
        <w:rPr>
          <w:bCs/>
          <w:lang w:val="fr-CA"/>
        </w:rPr>
      </w:pPr>
    </w:p>
    <w:p w:rsidR="003508A9" w:rsidRPr="00114393" w:rsidRDefault="003508A9" w:rsidP="00340C6D">
      <w:pPr>
        <w:tabs>
          <w:tab w:val="center" w:pos="4680"/>
        </w:tabs>
        <w:jc w:val="both"/>
        <w:rPr>
          <w:b/>
          <w:lang w:val="fr-CA"/>
        </w:rPr>
      </w:pPr>
      <w:r w:rsidRPr="00114393">
        <w:rPr>
          <w:b/>
          <w:lang w:val="fr-CA"/>
        </w:rPr>
        <w:t>1</w:t>
      </w:r>
      <w:r w:rsidR="00114393" w:rsidRPr="00114393">
        <w:rPr>
          <w:b/>
          <w:lang w:val="fr-CA"/>
        </w:rPr>
        <w:t>7</w:t>
      </w:r>
      <w:r w:rsidRPr="00114393">
        <w:rPr>
          <w:b/>
          <w:lang w:val="fr-CA"/>
        </w:rPr>
        <w:t>/12/2015</w:t>
      </w:r>
    </w:p>
    <w:p w:rsidR="00114393" w:rsidRPr="00E15077" w:rsidRDefault="00114393" w:rsidP="00114393">
      <w:pPr>
        <w:tabs>
          <w:tab w:val="center" w:pos="4680"/>
        </w:tabs>
        <w:jc w:val="both"/>
        <w:rPr>
          <w:lang w:val="fr-FR"/>
        </w:rPr>
      </w:pPr>
      <w:r w:rsidRPr="00E15077">
        <w:rPr>
          <w:i/>
          <w:lang w:val="fr-CA"/>
        </w:rPr>
        <w:t xml:space="preserve">Sa Majesté la Reine c. Tommy </w:t>
      </w:r>
      <w:proofErr w:type="spellStart"/>
      <w:r w:rsidRPr="00E15077">
        <w:rPr>
          <w:i/>
          <w:lang w:val="fr-CA"/>
        </w:rPr>
        <w:t>Lacasse</w:t>
      </w:r>
      <w:proofErr w:type="spellEnd"/>
      <w:r w:rsidRPr="00E15077">
        <w:rPr>
          <w:i/>
          <w:lang w:val="fr-CA"/>
        </w:rPr>
        <w:t xml:space="preserve"> </w:t>
      </w:r>
      <w:r w:rsidRPr="00E15077">
        <w:rPr>
          <w:lang w:val="fr-CA"/>
        </w:rPr>
        <w:t>(</w:t>
      </w:r>
      <w:proofErr w:type="spellStart"/>
      <w:r w:rsidRPr="00E15077">
        <w:rPr>
          <w:lang w:val="fr-CA"/>
        </w:rPr>
        <w:t>Qc</w:t>
      </w:r>
      <w:proofErr w:type="spellEnd"/>
      <w:r w:rsidRPr="00E15077">
        <w:rPr>
          <w:lang w:val="fr-CA"/>
        </w:rPr>
        <w:t>)</w:t>
      </w:r>
      <w:r>
        <w:rPr>
          <w:lang w:val="fr-CA"/>
        </w:rPr>
        <w:t xml:space="preserve"> (</w:t>
      </w:r>
      <w:hyperlink r:id="rId7" w:history="1">
        <w:r w:rsidRPr="009A0D84">
          <w:rPr>
            <w:rStyle w:val="Hyperlink"/>
            <w:lang w:val="fr-FR"/>
          </w:rPr>
          <w:t>36001</w:t>
        </w:r>
      </w:hyperlink>
      <w:r>
        <w:rPr>
          <w:lang w:val="fr-FR"/>
        </w:rPr>
        <w:t>)</w:t>
      </w:r>
    </w:p>
    <w:p w:rsidR="009A0D84" w:rsidRDefault="009A0D84" w:rsidP="00340C6D">
      <w:pPr>
        <w:tabs>
          <w:tab w:val="center" w:pos="4680"/>
        </w:tabs>
        <w:jc w:val="both"/>
      </w:pPr>
    </w:p>
    <w:p w:rsidR="003508A9" w:rsidRPr="003508A9" w:rsidRDefault="003508A9" w:rsidP="00340C6D">
      <w:pPr>
        <w:tabs>
          <w:tab w:val="center" w:pos="4680"/>
        </w:tabs>
        <w:jc w:val="both"/>
        <w:rPr>
          <w:b/>
        </w:rPr>
      </w:pPr>
      <w:r w:rsidRPr="003508A9">
        <w:rPr>
          <w:b/>
        </w:rPr>
        <w:t>1</w:t>
      </w:r>
      <w:r w:rsidR="00114393">
        <w:rPr>
          <w:b/>
        </w:rPr>
        <w:t>8</w:t>
      </w:r>
      <w:r w:rsidRPr="003508A9">
        <w:rPr>
          <w:b/>
        </w:rPr>
        <w:t>/12/2015</w:t>
      </w:r>
    </w:p>
    <w:p w:rsidR="00114393" w:rsidRPr="003A244C" w:rsidRDefault="00114393" w:rsidP="00114393">
      <w:pPr>
        <w:tabs>
          <w:tab w:val="center" w:pos="4680"/>
        </w:tabs>
        <w:jc w:val="both"/>
        <w:rPr>
          <w:lang w:val="en-CA"/>
        </w:rPr>
      </w:pPr>
      <w:r w:rsidRPr="003A244C">
        <w:rPr>
          <w:i/>
          <w:lang w:val="en-CA"/>
        </w:rPr>
        <w:t xml:space="preserve">Derek </w:t>
      </w:r>
      <w:proofErr w:type="spellStart"/>
      <w:r w:rsidRPr="003A244C">
        <w:rPr>
          <w:i/>
          <w:lang w:val="en-CA"/>
        </w:rPr>
        <w:t>Riesberry</w:t>
      </w:r>
      <w:proofErr w:type="spellEnd"/>
      <w:r w:rsidRPr="003A244C">
        <w:rPr>
          <w:i/>
          <w:lang w:val="en-CA"/>
        </w:rPr>
        <w:t xml:space="preserve"> v. Her Majesty the Queen</w:t>
      </w:r>
      <w:r>
        <w:rPr>
          <w:b/>
          <w:i/>
          <w:lang w:val="en-CA"/>
        </w:rPr>
        <w:t xml:space="preserve"> </w:t>
      </w:r>
      <w:r w:rsidRPr="003A244C">
        <w:rPr>
          <w:lang w:val="en-CA"/>
        </w:rPr>
        <w:t>(Ont.)</w:t>
      </w:r>
      <w:r>
        <w:rPr>
          <w:lang w:val="en-CA"/>
        </w:rPr>
        <w:t xml:space="preserve"> (</w:t>
      </w:r>
      <w:hyperlink r:id="rId8" w:history="1">
        <w:r w:rsidRPr="009A0D84">
          <w:rPr>
            <w:rStyle w:val="Hyperlink"/>
            <w:lang w:val="en-CA"/>
          </w:rPr>
          <w:t>36179</w:t>
        </w:r>
      </w:hyperlink>
      <w:r>
        <w:rPr>
          <w:lang w:val="en-CA"/>
        </w:rPr>
        <w:t>)</w:t>
      </w:r>
    </w:p>
    <w:p w:rsidR="00340C6D" w:rsidRPr="00B619AF" w:rsidRDefault="00340C6D" w:rsidP="00B619AF">
      <w:pPr>
        <w:tabs>
          <w:tab w:val="center" w:pos="4680"/>
        </w:tabs>
        <w:jc w:val="both"/>
        <w:rPr>
          <w:i/>
          <w:sz w:val="20"/>
          <w:lang w:val="en-CA"/>
        </w:rPr>
      </w:pPr>
    </w:p>
    <w:p w:rsidR="00072A63" w:rsidRPr="00B619AF" w:rsidRDefault="00072A63" w:rsidP="00B619AF">
      <w:pPr>
        <w:jc w:val="both"/>
        <w:rPr>
          <w:sz w:val="20"/>
        </w:rPr>
      </w:pPr>
    </w:p>
    <w:p w:rsidR="00B619AF" w:rsidRPr="00B619AF" w:rsidRDefault="00B619AF" w:rsidP="00B619AF">
      <w:pPr>
        <w:jc w:val="both"/>
        <w:rPr>
          <w:sz w:val="20"/>
        </w:rPr>
      </w:pPr>
    </w:p>
    <w:p w:rsidR="00B619AF" w:rsidRPr="00B619AF" w:rsidRDefault="00B619AF" w:rsidP="00B619AF">
      <w:pPr>
        <w:widowControl w:val="0"/>
        <w:ind w:left="720" w:hanging="720"/>
        <w:jc w:val="both"/>
        <w:rPr>
          <w:sz w:val="20"/>
          <w:lang w:val="en-CA"/>
        </w:rPr>
      </w:pPr>
      <w:bookmarkStart w:id="0" w:name="1"/>
      <w:bookmarkStart w:id="1" w:name="QuickMark_1"/>
      <w:bookmarkEnd w:id="0"/>
      <w:bookmarkEnd w:id="1"/>
      <w:r w:rsidRPr="00B619AF">
        <w:rPr>
          <w:b/>
          <w:sz w:val="20"/>
          <w:lang w:val="en-CA"/>
        </w:rPr>
        <w:t>36001</w:t>
      </w:r>
      <w:r w:rsidRPr="00B619AF">
        <w:rPr>
          <w:sz w:val="20"/>
          <w:lang w:val="en-CA"/>
        </w:rPr>
        <w:fldChar w:fldCharType="begin"/>
      </w:r>
      <w:r w:rsidRPr="00B619AF">
        <w:rPr>
          <w:sz w:val="20"/>
          <w:lang w:val="en-CA"/>
        </w:rPr>
        <w:instrText xml:space="preserve"> SEQ CHAPTER \h \r 1</w:instrText>
      </w:r>
      <w:r w:rsidRPr="00B619AF">
        <w:rPr>
          <w:sz w:val="20"/>
          <w:lang w:val="en-CA"/>
        </w:rPr>
        <w:fldChar w:fldCharType="end"/>
      </w:r>
      <w:r w:rsidRPr="00B619AF">
        <w:rPr>
          <w:sz w:val="20"/>
          <w:lang w:val="en-CA"/>
        </w:rPr>
        <w:tab/>
      </w:r>
      <w:bookmarkStart w:id="2" w:name="3"/>
      <w:bookmarkEnd w:id="2"/>
      <w:r w:rsidRPr="00B619AF">
        <w:rPr>
          <w:b/>
          <w:i/>
          <w:sz w:val="20"/>
          <w:lang w:val="en-CA"/>
        </w:rPr>
        <w:t>Her Majesty the Queen v. Tommy Lacasse</w:t>
      </w:r>
    </w:p>
    <w:p w:rsidR="00B619AF" w:rsidRPr="00B619AF" w:rsidRDefault="00B619AF" w:rsidP="00B619AF">
      <w:pPr>
        <w:widowControl w:val="0"/>
        <w:tabs>
          <w:tab w:val="left" w:pos="720"/>
        </w:tabs>
        <w:jc w:val="both"/>
        <w:rPr>
          <w:sz w:val="20"/>
          <w:lang w:val="en-CA"/>
        </w:rPr>
      </w:pPr>
      <w:r w:rsidRPr="00B619AF">
        <w:rPr>
          <w:b/>
          <w:i/>
          <w:sz w:val="20"/>
          <w:lang w:val="fr-CA"/>
        </w:rPr>
        <w:tab/>
      </w:r>
      <w:r w:rsidRPr="00B619AF">
        <w:rPr>
          <w:b/>
          <w:sz w:val="20"/>
        </w:rPr>
        <w:t>(</w:t>
      </w:r>
      <w:r>
        <w:rPr>
          <w:b/>
          <w:sz w:val="20"/>
        </w:rPr>
        <w:t>Que.</w:t>
      </w:r>
      <w:r w:rsidRPr="00B619AF">
        <w:rPr>
          <w:b/>
          <w:sz w:val="20"/>
        </w:rPr>
        <w:t>) (Criminal) (By Leave</w:t>
      </w:r>
      <w:r>
        <w:rPr>
          <w:b/>
          <w:sz w:val="20"/>
        </w:rPr>
        <w:t>)</w:t>
      </w:r>
    </w:p>
    <w:p w:rsidR="00B619AF" w:rsidRDefault="00B619AF" w:rsidP="00B619AF">
      <w:pPr>
        <w:jc w:val="both"/>
        <w:rPr>
          <w:sz w:val="20"/>
          <w:lang w:val="en-CA"/>
        </w:rPr>
      </w:pPr>
    </w:p>
    <w:p w:rsidR="00B619AF" w:rsidRPr="00B619AF" w:rsidRDefault="00B619AF" w:rsidP="00B619AF">
      <w:pPr>
        <w:jc w:val="both"/>
        <w:rPr>
          <w:sz w:val="20"/>
          <w:lang w:val="en-CA"/>
        </w:rPr>
      </w:pPr>
      <w:r w:rsidRPr="00B619AF">
        <w:rPr>
          <w:sz w:val="20"/>
          <w:lang w:val="en-CA"/>
        </w:rPr>
        <w:t>Criminal law - Sentencing - Considerations - Impaired driving causing death - Whether Court of Appeal erred in adopting inflexible range of sentences based on strict categories, one that if departed from in any way would result in non-deferential intervention - Whether Court of Appeal erred in giving precedence to principle that sentence should be similar to sentences imposed on similar offenders rather than considering local situation in Beauce region, which is affected more than others by impaired driving offences - Whether Court of Appeal erred in refusing to admit fresh evidence filed by appellant.</w:t>
      </w:r>
    </w:p>
    <w:p w:rsidR="00B619AF" w:rsidRPr="00B619AF" w:rsidRDefault="00B619AF" w:rsidP="00B619AF">
      <w:pPr>
        <w:widowControl w:val="0"/>
        <w:jc w:val="both"/>
        <w:rPr>
          <w:sz w:val="20"/>
          <w:lang w:val="en-CA"/>
        </w:rPr>
      </w:pPr>
    </w:p>
    <w:p w:rsidR="00B619AF" w:rsidRPr="00B619AF" w:rsidRDefault="00B619AF" w:rsidP="00B619AF">
      <w:pPr>
        <w:jc w:val="both"/>
        <w:rPr>
          <w:sz w:val="20"/>
          <w:lang w:val="en-CA"/>
        </w:rPr>
      </w:pPr>
      <w:r w:rsidRPr="00B619AF">
        <w:rPr>
          <w:sz w:val="20"/>
          <w:lang w:val="en-CA"/>
        </w:rPr>
        <w:t>The respondent, Tommy Lacasse, pleaded guilty to two counts of impaired driving causing death. On June 17, 2011, at about 4:00 a.m., the respondent, who was then 18 years old, was driving his car when it veered off the roadway on a curve at Sainte-Aurélie in the Beauce region. Two passengers in the back seat, Nadia Pruneau, who was celebrating her 18th birthday that night, and Caroline Fortier, 17, died instantly. An agreed statement of facts filed for sentencing purposes showed that the respondent had drunk several beers as well as vodka that night before taking the wheel. The collision investigation report showed that the respondent’s vehicle was travelling at 130 km/h when it entered the curve, whereas the recommended speed was 75 km/h. The vehicle skidded, then spun in the air several times before striking the ground three times.</w:t>
      </w:r>
    </w:p>
    <w:p w:rsidR="00B619AF" w:rsidRPr="00B619AF" w:rsidRDefault="00B619AF" w:rsidP="00B619AF">
      <w:pPr>
        <w:jc w:val="both"/>
        <w:rPr>
          <w:sz w:val="20"/>
          <w:lang w:val="en-CA"/>
        </w:rPr>
      </w:pPr>
    </w:p>
    <w:p w:rsidR="00B619AF" w:rsidRPr="00B619AF" w:rsidRDefault="00B619AF" w:rsidP="00B619AF">
      <w:pPr>
        <w:jc w:val="both"/>
        <w:rPr>
          <w:sz w:val="20"/>
          <w:lang w:val="en-CA"/>
        </w:rPr>
      </w:pPr>
      <w:r w:rsidRPr="00B619AF">
        <w:rPr>
          <w:sz w:val="20"/>
          <w:lang w:val="en-CA"/>
        </w:rPr>
        <w:lastRenderedPageBreak/>
        <w:t xml:space="preserve">The respondent was sentenced to imprisonment for six years and six months, and to a prohibition from operating any motor vehicle in Canada for a period of eleven years. The Court of Appeal allowed the respondent’s appeal, reducing the sentence to imprisonment for four years and a prohibition from operating a motor vehicle for four years after the period of imprisonment. </w:t>
      </w:r>
    </w:p>
    <w:p w:rsidR="00B619AF" w:rsidRPr="00B619AF" w:rsidRDefault="00B619AF" w:rsidP="00B619AF">
      <w:pPr>
        <w:widowControl w:val="0"/>
        <w:ind w:left="720" w:hanging="720"/>
        <w:jc w:val="both"/>
        <w:rPr>
          <w:b/>
          <w:sz w:val="20"/>
        </w:rPr>
      </w:pPr>
    </w:p>
    <w:p w:rsidR="00B619AF" w:rsidRPr="00B619AF" w:rsidRDefault="00B619AF" w:rsidP="00B619AF">
      <w:pPr>
        <w:widowControl w:val="0"/>
        <w:ind w:left="720" w:hanging="720"/>
        <w:jc w:val="both"/>
        <w:rPr>
          <w:b/>
          <w:sz w:val="20"/>
        </w:rPr>
      </w:pPr>
    </w:p>
    <w:p w:rsidR="00B619AF" w:rsidRPr="00B619AF" w:rsidRDefault="00B619AF" w:rsidP="00B619AF">
      <w:pPr>
        <w:widowControl w:val="0"/>
        <w:ind w:left="720" w:hanging="720"/>
        <w:jc w:val="both"/>
        <w:rPr>
          <w:sz w:val="20"/>
          <w:lang w:val="fr-CA"/>
        </w:rPr>
      </w:pPr>
      <w:r w:rsidRPr="00B619AF">
        <w:rPr>
          <w:b/>
          <w:sz w:val="20"/>
          <w:lang w:val="fr-CA"/>
        </w:rPr>
        <w:t>36001</w:t>
      </w:r>
      <w:r w:rsidRPr="00B619AF">
        <w:rPr>
          <w:sz w:val="20"/>
          <w:lang w:val="fr-CA"/>
        </w:rPr>
        <w:fldChar w:fldCharType="begin"/>
      </w:r>
      <w:r w:rsidRPr="00B619AF">
        <w:rPr>
          <w:sz w:val="20"/>
          <w:lang w:val="fr-CA"/>
        </w:rPr>
        <w:instrText xml:space="preserve"> SEQ CHAPTER \h \r 1</w:instrText>
      </w:r>
      <w:r w:rsidRPr="00B619AF">
        <w:rPr>
          <w:sz w:val="20"/>
        </w:rPr>
        <w:fldChar w:fldCharType="end"/>
      </w:r>
      <w:r w:rsidRPr="00B619AF">
        <w:rPr>
          <w:sz w:val="20"/>
          <w:lang w:val="fr-CA"/>
        </w:rPr>
        <w:tab/>
      </w:r>
      <w:r w:rsidRPr="00B619AF">
        <w:rPr>
          <w:b/>
          <w:i/>
          <w:sz w:val="20"/>
          <w:lang w:val="fr-CA"/>
        </w:rPr>
        <w:t xml:space="preserve">Sa Majesté la Reine c. Tommy </w:t>
      </w:r>
      <w:proofErr w:type="spellStart"/>
      <w:r w:rsidRPr="00B619AF">
        <w:rPr>
          <w:b/>
          <w:i/>
          <w:sz w:val="20"/>
          <w:lang w:val="fr-CA"/>
        </w:rPr>
        <w:t>Lacasse</w:t>
      </w:r>
      <w:proofErr w:type="spellEnd"/>
    </w:p>
    <w:p w:rsidR="00B619AF" w:rsidRPr="00B619AF" w:rsidRDefault="00B619AF" w:rsidP="00B619AF">
      <w:pPr>
        <w:widowControl w:val="0"/>
        <w:ind w:left="720" w:hanging="720"/>
        <w:jc w:val="both"/>
        <w:rPr>
          <w:sz w:val="20"/>
          <w:lang w:val="fr-CA"/>
        </w:rPr>
      </w:pPr>
      <w:r w:rsidRPr="00B619AF">
        <w:rPr>
          <w:b/>
          <w:i/>
          <w:sz w:val="20"/>
          <w:lang w:val="fr-CA"/>
        </w:rPr>
        <w:tab/>
      </w:r>
      <w:r w:rsidRPr="00B619AF">
        <w:rPr>
          <w:b/>
          <w:sz w:val="20"/>
          <w:lang w:val="fr-CA"/>
        </w:rPr>
        <w:t>(</w:t>
      </w:r>
      <w:proofErr w:type="spellStart"/>
      <w:r>
        <w:rPr>
          <w:b/>
          <w:sz w:val="20"/>
          <w:lang w:val="fr-CA"/>
        </w:rPr>
        <w:t>Qc</w:t>
      </w:r>
      <w:proofErr w:type="spellEnd"/>
      <w:r w:rsidRPr="00B619AF">
        <w:rPr>
          <w:b/>
          <w:sz w:val="20"/>
          <w:lang w:val="fr-CA"/>
        </w:rPr>
        <w:t>) (Criminelle) (Sur autorisation)</w:t>
      </w:r>
    </w:p>
    <w:p w:rsidR="00B619AF" w:rsidRPr="00B619AF" w:rsidRDefault="00B619AF" w:rsidP="00B619AF">
      <w:pPr>
        <w:widowControl w:val="0"/>
        <w:jc w:val="both"/>
        <w:rPr>
          <w:sz w:val="20"/>
          <w:lang w:val="fr-CA"/>
        </w:rPr>
      </w:pPr>
    </w:p>
    <w:p w:rsidR="00B619AF" w:rsidRPr="00B619AF" w:rsidRDefault="00B619AF" w:rsidP="00B619AF">
      <w:pPr>
        <w:jc w:val="both"/>
        <w:rPr>
          <w:sz w:val="20"/>
          <w:lang w:val="fr-CA"/>
        </w:rPr>
      </w:pPr>
      <w:r w:rsidRPr="00B619AF">
        <w:rPr>
          <w:sz w:val="20"/>
          <w:lang w:val="fr-CA"/>
        </w:rPr>
        <w:t>Droit criminel - Détermination de la peine - Facteurs devant être pris en considération - Conduite avec facultés affaiblies causant la mort - La Cour d’appel a-t-elle erré en consacrant une fourchette de peines rigide comprenant des catégories strictes, pour laquelle toute dérogation entraînerait une intervention sans retenue? - La Cour d’appel a-t-elle erré en faisant primer l’harmonisation des peines au détriment de la situation locale de la Beauce, qui est particulièrement touchée par les crimes de conduite avec capacités affaiblies? - La Cour d’appel a-t-elle erré en refusant de recevoir la preuve nouvelle déposée par l’appelante?</w:t>
      </w:r>
    </w:p>
    <w:p w:rsidR="00B619AF" w:rsidRPr="00B619AF" w:rsidRDefault="00B619AF" w:rsidP="00B619AF">
      <w:pPr>
        <w:widowControl w:val="0"/>
        <w:jc w:val="both"/>
        <w:rPr>
          <w:sz w:val="20"/>
          <w:lang w:val="fr-CA"/>
        </w:rPr>
      </w:pPr>
    </w:p>
    <w:p w:rsidR="00B619AF" w:rsidRPr="00B619AF" w:rsidRDefault="00B619AF" w:rsidP="00B619AF">
      <w:pPr>
        <w:jc w:val="both"/>
        <w:rPr>
          <w:sz w:val="20"/>
          <w:lang w:val="fr-CA"/>
        </w:rPr>
      </w:pPr>
      <w:r w:rsidRPr="00B619AF">
        <w:rPr>
          <w:sz w:val="20"/>
          <w:lang w:val="fr-CA"/>
        </w:rPr>
        <w:t xml:space="preserve">L’intimé Tommy </w:t>
      </w:r>
      <w:proofErr w:type="spellStart"/>
      <w:r w:rsidRPr="00B619AF">
        <w:rPr>
          <w:sz w:val="20"/>
          <w:lang w:val="fr-CA"/>
        </w:rPr>
        <w:t>Lacasse</w:t>
      </w:r>
      <w:proofErr w:type="spellEnd"/>
      <w:r w:rsidRPr="00B619AF">
        <w:rPr>
          <w:sz w:val="20"/>
          <w:lang w:val="fr-CA"/>
        </w:rPr>
        <w:t xml:space="preserve"> a plaidé coupable à deux accusations de conduite avec capacités affaiblies par l’alcool causant la mort. Le 17 juin 2011 vers 4h du matin, l’intimé, alors âgé de 18 ans, est au volant de sa voiture lorsque celle-ci quitte la route dans une courbe, à Sainte-Aurélie en Beauce. Les deux passagères assises à l’arrière, Nadia Pruneau, qui célèbre cette nuit-là son 18</w:t>
      </w:r>
      <w:r w:rsidRPr="00B619AF">
        <w:rPr>
          <w:sz w:val="20"/>
          <w:vertAlign w:val="superscript"/>
          <w:lang w:val="fr-CA"/>
        </w:rPr>
        <w:t>e</w:t>
      </w:r>
      <w:r w:rsidRPr="00B619AF">
        <w:rPr>
          <w:sz w:val="20"/>
          <w:lang w:val="fr-CA"/>
        </w:rPr>
        <w:t xml:space="preserve"> anniversaire, et Caroline Fortier, 17 ans, sont tuées sur le coup. L’énoncé conjoint des faits déposé pour les fins de la détermination de la peine révèle que l’intimé a consommé plusieurs bières et de la vodka durant la soirée avant de conduire. Le rapport d’enquête de collision révèle que la voiture de l’intimé a abordé la courbe à une vitesse de 130 km/h alors que la vitesse recommandée était de 75 km/h. La voiture a dérapé, puis a fait plusieurs tonneaux dans les airs avant de heurter le sol, et ce, à trois reprises.</w:t>
      </w:r>
    </w:p>
    <w:p w:rsidR="00B619AF" w:rsidRPr="00B619AF" w:rsidRDefault="00B619AF" w:rsidP="00B619AF">
      <w:pPr>
        <w:jc w:val="both"/>
        <w:rPr>
          <w:sz w:val="20"/>
          <w:lang w:val="fr-CA"/>
        </w:rPr>
      </w:pPr>
    </w:p>
    <w:p w:rsidR="00B619AF" w:rsidRPr="00B619AF" w:rsidRDefault="00B619AF" w:rsidP="00B619AF">
      <w:pPr>
        <w:jc w:val="both"/>
        <w:rPr>
          <w:sz w:val="20"/>
          <w:lang w:val="fr-CA"/>
        </w:rPr>
      </w:pPr>
      <w:r w:rsidRPr="00B619AF">
        <w:rPr>
          <w:sz w:val="20"/>
          <w:lang w:val="fr-CA"/>
        </w:rPr>
        <w:t>L’intimé est condamné à une peine d’emprisonnement de six ans et six mois ainsi qu’à une interdiction de conduire tout véhicule à moteur au Canada pendant une période de onze ans. La Cour d’appel accueille l’appel de l’intimé et réduit la sentence à une peine d’emprisonnement de quatre ans et à une interdiction de conduire de quatre ans suivant la période d’emprisonnement.</w:t>
      </w:r>
    </w:p>
    <w:p w:rsidR="00B619AF" w:rsidRDefault="00B619AF" w:rsidP="00B619AF">
      <w:pPr>
        <w:widowControl w:val="0"/>
        <w:jc w:val="both"/>
        <w:rPr>
          <w:sz w:val="20"/>
          <w:lang w:val="fr-CA"/>
        </w:rPr>
      </w:pPr>
      <w:bookmarkStart w:id="3" w:name="_GoBack"/>
      <w:bookmarkEnd w:id="3"/>
    </w:p>
    <w:p w:rsidR="00B619AF" w:rsidRPr="00B619AF" w:rsidRDefault="00B619AF" w:rsidP="00B619AF">
      <w:pPr>
        <w:widowControl w:val="0"/>
        <w:jc w:val="both"/>
        <w:rPr>
          <w:sz w:val="20"/>
          <w:lang w:val="fr-CA"/>
        </w:rPr>
      </w:pPr>
    </w:p>
    <w:p w:rsidR="00B619AF" w:rsidRPr="00B619AF" w:rsidRDefault="00B619AF" w:rsidP="00B619AF">
      <w:pPr>
        <w:widowControl w:val="0"/>
        <w:ind w:left="720" w:hanging="720"/>
        <w:jc w:val="both"/>
        <w:rPr>
          <w:sz w:val="20"/>
          <w:lang w:val="en-CA"/>
        </w:rPr>
      </w:pPr>
      <w:r w:rsidRPr="00B619AF">
        <w:rPr>
          <w:b/>
          <w:sz w:val="20"/>
          <w:lang w:val="en-CA"/>
        </w:rPr>
        <w:fldChar w:fldCharType="begin"/>
      </w:r>
      <w:r w:rsidRPr="00B619AF">
        <w:rPr>
          <w:b/>
          <w:sz w:val="20"/>
        </w:rPr>
        <w:instrText xml:space="preserve"> SEQ CHAPTER \h \r 1</w:instrText>
      </w:r>
      <w:r w:rsidRPr="00B619AF">
        <w:rPr>
          <w:b/>
          <w:sz w:val="20"/>
        </w:rPr>
        <w:fldChar w:fldCharType="end"/>
      </w:r>
      <w:r w:rsidRPr="00B619AF">
        <w:rPr>
          <w:b/>
          <w:sz w:val="20"/>
          <w:lang w:val="en-CA"/>
        </w:rPr>
        <w:t>36179</w:t>
      </w:r>
      <w:r w:rsidRPr="00B619AF">
        <w:rPr>
          <w:sz w:val="20"/>
          <w:lang w:val="en-CA"/>
        </w:rPr>
        <w:tab/>
      </w:r>
      <w:r w:rsidRPr="00B619AF">
        <w:rPr>
          <w:b/>
          <w:i/>
          <w:sz w:val="20"/>
          <w:lang w:val="en-CA"/>
        </w:rPr>
        <w:t xml:space="preserve">Derek </w:t>
      </w:r>
      <w:proofErr w:type="spellStart"/>
      <w:r w:rsidRPr="00B619AF">
        <w:rPr>
          <w:b/>
          <w:i/>
          <w:sz w:val="20"/>
          <w:lang w:val="en-CA"/>
        </w:rPr>
        <w:t>Riesberry</w:t>
      </w:r>
      <w:proofErr w:type="spellEnd"/>
      <w:r w:rsidRPr="00B619AF">
        <w:rPr>
          <w:b/>
          <w:i/>
          <w:sz w:val="20"/>
          <w:lang w:val="en-CA"/>
        </w:rPr>
        <w:t xml:space="preserve"> v. Her Majesty the Queen</w:t>
      </w:r>
    </w:p>
    <w:p w:rsidR="00B619AF" w:rsidRPr="00B619AF" w:rsidRDefault="00B619AF" w:rsidP="00B619AF">
      <w:pPr>
        <w:widowControl w:val="0"/>
        <w:ind w:left="720" w:hanging="720"/>
        <w:jc w:val="both"/>
        <w:rPr>
          <w:sz w:val="20"/>
        </w:rPr>
      </w:pPr>
      <w:r w:rsidRPr="00B619AF">
        <w:rPr>
          <w:b/>
          <w:i/>
          <w:sz w:val="20"/>
          <w:lang w:val="fr-CA"/>
        </w:rPr>
        <w:tab/>
      </w:r>
      <w:r w:rsidRPr="00B619AF">
        <w:rPr>
          <w:b/>
          <w:sz w:val="20"/>
        </w:rPr>
        <w:t>(Ont.) (Crimin</w:t>
      </w:r>
      <w:r w:rsidRPr="00B619AF">
        <w:rPr>
          <w:b/>
          <w:sz w:val="20"/>
        </w:rPr>
        <w:t>a</w:t>
      </w:r>
      <w:r w:rsidRPr="00B619AF">
        <w:rPr>
          <w:b/>
          <w:sz w:val="20"/>
        </w:rPr>
        <w:t>l) (</w:t>
      </w:r>
      <w:r w:rsidRPr="00B619AF">
        <w:rPr>
          <w:b/>
          <w:sz w:val="20"/>
        </w:rPr>
        <w:t>As of Right</w:t>
      </w:r>
      <w:r w:rsidRPr="00B619AF">
        <w:rPr>
          <w:b/>
          <w:sz w:val="20"/>
        </w:rPr>
        <w:t xml:space="preserve">/ </w:t>
      </w:r>
      <w:r w:rsidRPr="00B619AF">
        <w:rPr>
          <w:b/>
          <w:sz w:val="20"/>
        </w:rPr>
        <w:t>By Leave</w:t>
      </w:r>
      <w:r w:rsidRPr="00B619AF">
        <w:rPr>
          <w:b/>
          <w:sz w:val="20"/>
        </w:rPr>
        <w:t>)</w:t>
      </w:r>
    </w:p>
    <w:p w:rsidR="00B619AF" w:rsidRPr="00B619AF" w:rsidRDefault="00B619AF" w:rsidP="00B619AF">
      <w:pPr>
        <w:widowControl w:val="0"/>
        <w:jc w:val="both"/>
        <w:rPr>
          <w:sz w:val="20"/>
        </w:rPr>
      </w:pPr>
    </w:p>
    <w:p w:rsidR="00B619AF" w:rsidRPr="00B619AF" w:rsidRDefault="00B619AF" w:rsidP="00B619AF">
      <w:pPr>
        <w:widowControl w:val="0"/>
        <w:jc w:val="both"/>
        <w:rPr>
          <w:sz w:val="20"/>
          <w:lang w:val="en-CA"/>
        </w:rPr>
      </w:pPr>
      <w:r w:rsidRPr="00B619AF">
        <w:rPr>
          <w:sz w:val="20"/>
          <w:lang w:val="en-CA"/>
        </w:rPr>
        <w:t>Criminal law - Fraud and attempted fraud - Whether the trial judge erred in law by concluding that the betting public was not put at risk of deprivation by the appellant’s actions and that the risk of deprivation was too remote.</w:t>
      </w:r>
    </w:p>
    <w:p w:rsidR="00B619AF" w:rsidRPr="00B619AF" w:rsidRDefault="00B619AF" w:rsidP="00B619AF">
      <w:pPr>
        <w:widowControl w:val="0"/>
        <w:jc w:val="both"/>
        <w:rPr>
          <w:sz w:val="20"/>
          <w:lang w:val="en-CA"/>
        </w:rPr>
      </w:pPr>
    </w:p>
    <w:p w:rsidR="00B619AF" w:rsidRPr="00B619AF" w:rsidRDefault="00B619AF" w:rsidP="00B619AF">
      <w:pPr>
        <w:widowControl w:val="0"/>
        <w:jc w:val="both"/>
        <w:rPr>
          <w:sz w:val="20"/>
          <w:lang w:val="en-CA"/>
        </w:rPr>
      </w:pPr>
      <w:r w:rsidRPr="00B619AF">
        <w:rPr>
          <w:sz w:val="20"/>
          <w:lang w:val="en-CA"/>
        </w:rPr>
        <w:t xml:space="preserve">The appellant was acquitted on charges of defrauding the public of money wagered on the outcome of a horserace exceeding $5,000, cheating while playing a game with the intent to defraud members of the public engaged in wagering money on the outcome of a horserace, attempting to defraud the public of money to be wagered on the outcome of a horserace exceeding $5,000, and attempting to cheat while playing a game with the intent to defraud members of the public who would be engaged in the wagering of money on the outcome of a horserace.  The appellant is a licensed trainer of </w:t>
      </w:r>
      <w:proofErr w:type="spellStart"/>
      <w:r w:rsidRPr="00B619AF">
        <w:rPr>
          <w:sz w:val="20"/>
          <w:lang w:val="en-CA"/>
        </w:rPr>
        <w:t>standardbred</w:t>
      </w:r>
      <w:proofErr w:type="spellEnd"/>
      <w:r w:rsidRPr="00B619AF">
        <w:rPr>
          <w:sz w:val="20"/>
          <w:lang w:val="en-CA"/>
        </w:rPr>
        <w:t xml:space="preserve"> horses under the </w:t>
      </w:r>
      <w:r w:rsidRPr="00B619AF">
        <w:rPr>
          <w:i/>
          <w:sz w:val="20"/>
          <w:lang w:val="en-CA"/>
        </w:rPr>
        <w:t>Racing Commission Act, 2000</w:t>
      </w:r>
      <w:r w:rsidRPr="00B619AF">
        <w:rPr>
          <w:sz w:val="20"/>
          <w:lang w:val="en-CA"/>
        </w:rPr>
        <w:t xml:space="preserve">, S.O. 2000, c. 20, and is subject to the Ontario Racing Commission’s </w:t>
      </w:r>
      <w:r w:rsidRPr="00B619AF">
        <w:rPr>
          <w:i/>
          <w:sz w:val="20"/>
          <w:lang w:val="en-CA"/>
        </w:rPr>
        <w:t>Rules of Standardbred Racing</w:t>
      </w:r>
      <w:r w:rsidRPr="00B619AF">
        <w:rPr>
          <w:sz w:val="20"/>
          <w:lang w:val="en-CA"/>
        </w:rPr>
        <w:t xml:space="preserve">.  He was videotaped injecting a substance into the trachea of a horse at a raceway and a syringe containing performance-enhancing drugs was discovered in his truck. On the fraud and attempted fraud charges, the trial judge found that the Crown had not proven deprivation beyond a reasonable doubt.  On the cheating charges, the trial judge concluded that horseracing is not a game within the meaning of s. 197 of the </w:t>
      </w:r>
      <w:r w:rsidRPr="00B619AF">
        <w:rPr>
          <w:i/>
          <w:sz w:val="20"/>
          <w:lang w:val="en-CA"/>
        </w:rPr>
        <w:t>Criminal Code</w:t>
      </w:r>
      <w:r w:rsidRPr="00B619AF">
        <w:rPr>
          <w:sz w:val="20"/>
          <w:lang w:val="en-CA"/>
        </w:rPr>
        <w:t>, that the betting public was too remote from the appellant’s act of cheating, and that the betting public was not deceived by the appellant’s cheating because there was no evidence that anybody placed any bet in reliance or non-reliance on the fact that the horse may have been injected with a performance-enhancing drug.  The Court of Appeal allowed the appeal, ordered a new trial on the cheating and attempted cheating charges, and entered convictions on the charges of fraud and attempted fraud.</w:t>
      </w:r>
    </w:p>
    <w:p w:rsidR="00B619AF" w:rsidRDefault="00B619AF" w:rsidP="00B619AF">
      <w:pPr>
        <w:widowControl w:val="0"/>
        <w:ind w:left="720" w:hanging="720"/>
        <w:jc w:val="both"/>
        <w:rPr>
          <w:b/>
          <w:sz w:val="20"/>
          <w:lang w:val="en-CA"/>
        </w:rPr>
      </w:pPr>
    </w:p>
    <w:p w:rsidR="00B619AF" w:rsidRDefault="00B619AF" w:rsidP="00B619AF">
      <w:pPr>
        <w:widowControl w:val="0"/>
        <w:ind w:left="720" w:hanging="720"/>
        <w:jc w:val="both"/>
        <w:rPr>
          <w:b/>
          <w:sz w:val="20"/>
          <w:lang w:val="en-CA"/>
        </w:rPr>
      </w:pPr>
    </w:p>
    <w:p w:rsidR="00B619AF" w:rsidRPr="00B619AF" w:rsidRDefault="00B619AF" w:rsidP="00B619AF">
      <w:pPr>
        <w:widowControl w:val="0"/>
        <w:ind w:left="720" w:hanging="720"/>
        <w:jc w:val="both"/>
        <w:rPr>
          <w:b/>
          <w:i/>
          <w:sz w:val="20"/>
          <w:lang w:val="fr-CA"/>
        </w:rPr>
      </w:pPr>
      <w:r w:rsidRPr="00B619AF">
        <w:rPr>
          <w:b/>
          <w:sz w:val="20"/>
          <w:lang w:val="en-CA"/>
        </w:rPr>
        <w:fldChar w:fldCharType="begin"/>
      </w:r>
      <w:r w:rsidRPr="00B619AF">
        <w:rPr>
          <w:b/>
          <w:sz w:val="20"/>
          <w:lang w:val="fr-CA"/>
        </w:rPr>
        <w:instrText xml:space="preserve"> SEQ CHAPTER \h \r 1</w:instrText>
      </w:r>
      <w:r w:rsidRPr="00B619AF">
        <w:rPr>
          <w:b/>
          <w:sz w:val="20"/>
        </w:rPr>
        <w:fldChar w:fldCharType="end"/>
      </w:r>
      <w:r w:rsidRPr="00B619AF">
        <w:rPr>
          <w:b/>
          <w:sz w:val="20"/>
          <w:lang w:val="fr-CA"/>
        </w:rPr>
        <w:t>36179</w:t>
      </w:r>
      <w:r w:rsidRPr="00B619AF">
        <w:rPr>
          <w:sz w:val="20"/>
          <w:lang w:val="fr-CA"/>
        </w:rPr>
        <w:tab/>
      </w:r>
      <w:r w:rsidRPr="00B619AF">
        <w:rPr>
          <w:b/>
          <w:i/>
          <w:sz w:val="20"/>
          <w:lang w:val="fr-CA"/>
        </w:rPr>
        <w:t xml:space="preserve">Derek </w:t>
      </w:r>
      <w:proofErr w:type="spellStart"/>
      <w:r w:rsidRPr="00B619AF">
        <w:rPr>
          <w:b/>
          <w:i/>
          <w:sz w:val="20"/>
          <w:lang w:val="fr-CA"/>
        </w:rPr>
        <w:t>Riesberry</w:t>
      </w:r>
      <w:proofErr w:type="spellEnd"/>
      <w:r w:rsidRPr="00B619AF">
        <w:rPr>
          <w:b/>
          <w:i/>
          <w:sz w:val="20"/>
          <w:lang w:val="fr-CA"/>
        </w:rPr>
        <w:t xml:space="preserve"> c. Sa Majesté la Reine</w:t>
      </w:r>
    </w:p>
    <w:p w:rsidR="00B619AF" w:rsidRPr="00B619AF" w:rsidRDefault="00B619AF" w:rsidP="00B619AF">
      <w:pPr>
        <w:widowControl w:val="0"/>
        <w:ind w:left="720" w:hanging="720"/>
        <w:jc w:val="both"/>
        <w:rPr>
          <w:sz w:val="20"/>
          <w:lang w:val="fr-CA"/>
        </w:rPr>
      </w:pPr>
      <w:r w:rsidRPr="00B619AF">
        <w:rPr>
          <w:b/>
          <w:i/>
          <w:sz w:val="20"/>
          <w:lang w:val="fr-CA"/>
        </w:rPr>
        <w:tab/>
      </w:r>
      <w:r w:rsidRPr="00B619AF">
        <w:rPr>
          <w:b/>
          <w:sz w:val="20"/>
          <w:lang w:val="fr-CA"/>
        </w:rPr>
        <w:t>(Ont.) (Criminelle) (De plein droit / Sur autorisation)</w:t>
      </w:r>
    </w:p>
    <w:p w:rsidR="00B619AF" w:rsidRPr="00B619AF" w:rsidRDefault="00B619AF" w:rsidP="00B619AF">
      <w:pPr>
        <w:widowControl w:val="0"/>
        <w:jc w:val="both"/>
        <w:rPr>
          <w:sz w:val="20"/>
          <w:lang w:val="fr-CA"/>
        </w:rPr>
      </w:pPr>
    </w:p>
    <w:p w:rsidR="00B619AF" w:rsidRPr="00B619AF" w:rsidRDefault="00B619AF" w:rsidP="00B619AF">
      <w:pPr>
        <w:jc w:val="both"/>
        <w:rPr>
          <w:sz w:val="20"/>
          <w:lang w:val="fr-CA"/>
        </w:rPr>
      </w:pPr>
      <w:r w:rsidRPr="00B619AF">
        <w:rPr>
          <w:sz w:val="20"/>
          <w:lang w:val="fr-CA"/>
        </w:rPr>
        <w:t xml:space="preserve">Droit criminel - Fraude et tentative de fraude - Tricher et tenter de tricher en pratiquant un jeu - Le juge du procès a-t-il commis une erreur de droit en concluant que les actes de l’appelant ne posaient pas de risque de privation pour le </w:t>
      </w:r>
      <w:r w:rsidRPr="00B619AF">
        <w:rPr>
          <w:sz w:val="20"/>
          <w:lang w:val="fr-CA"/>
        </w:rPr>
        <w:lastRenderedPageBreak/>
        <w:t xml:space="preserve">public parieur et que le risque de privation était trop éloigné - La Cour d’appel a-t-elle eu tort de substituer des verdicts de culpabilité plutôt que d’ordonner un nouveau procès? - Le juge du procès s’est-il trompé dans son interprétation du mot « jeu », défini aux art. 197 et 209 du </w:t>
      </w:r>
      <w:r w:rsidRPr="00B619AF">
        <w:rPr>
          <w:i/>
          <w:sz w:val="20"/>
          <w:lang w:val="fr-CA"/>
        </w:rPr>
        <w:t>Code criminel</w:t>
      </w:r>
      <w:r w:rsidRPr="00B619AF">
        <w:rPr>
          <w:sz w:val="20"/>
          <w:lang w:val="fr-CA"/>
        </w:rPr>
        <w:t>, L.R.C. 1985, ch. C-46?</w:t>
      </w:r>
    </w:p>
    <w:p w:rsidR="00B619AF" w:rsidRPr="00B619AF" w:rsidRDefault="00B619AF" w:rsidP="00B619AF">
      <w:pPr>
        <w:widowControl w:val="0"/>
        <w:jc w:val="both"/>
        <w:rPr>
          <w:sz w:val="20"/>
          <w:lang w:val="fr-CA"/>
        </w:rPr>
      </w:pPr>
    </w:p>
    <w:p w:rsidR="00B619AF" w:rsidRPr="00B619AF" w:rsidRDefault="00B619AF" w:rsidP="00B619AF">
      <w:pPr>
        <w:widowControl w:val="0"/>
        <w:jc w:val="both"/>
        <w:rPr>
          <w:sz w:val="20"/>
          <w:lang w:val="fr-CA"/>
        </w:rPr>
      </w:pPr>
      <w:r w:rsidRPr="00B619AF">
        <w:rPr>
          <w:sz w:val="20"/>
          <w:lang w:val="fr-CA"/>
        </w:rPr>
        <w:t xml:space="preserve">L’appelant a été acquitté d’accusations d’avoir fraudé le public d’argent parié sur le résultat d’une course de chevaux pour un montant supérieur à 5 000 $, d’avoir triché en pratiquant un jeu avec l’intention de frauder des membres du public qui ont parié de l’argent sur le résultat d’une course de chevaux, d’avoir tenté de frauder le public d’argent à parier sur le résultat d’une course de chevaux pour un montant supérieur à 5 000 $ et d’avoir tenté de tricher en pratiquant un jeu avec l’intention de frauder des membres du public qui allaient parier de l’argent sur le résultat d’une course de chevaux. L’appelant est un entraîneur titulaire de licence pour chevaux de race Standardbred sous le régime de la </w:t>
      </w:r>
      <w:r w:rsidRPr="00B619AF">
        <w:rPr>
          <w:i/>
          <w:sz w:val="20"/>
          <w:lang w:val="fr-CA"/>
        </w:rPr>
        <w:t>Loi de 2000 sur la Commission des courses de chevaux</w:t>
      </w:r>
      <w:r w:rsidRPr="00B619AF">
        <w:rPr>
          <w:sz w:val="20"/>
          <w:lang w:val="fr-CA"/>
        </w:rPr>
        <w:t xml:space="preserve">, L.O. 2000, ch. 20, et il est soumis au </w:t>
      </w:r>
      <w:r w:rsidRPr="00B619AF">
        <w:rPr>
          <w:i/>
          <w:sz w:val="20"/>
          <w:lang w:val="fr-CA"/>
        </w:rPr>
        <w:t>Règlement établissant les règles sur les courses de chevaux de race Standardbred</w:t>
      </w:r>
      <w:r w:rsidRPr="00B619AF">
        <w:rPr>
          <w:sz w:val="20"/>
          <w:lang w:val="fr-CA"/>
        </w:rPr>
        <w:t xml:space="preserve"> de la Commission des courses de chevaux. Il a été filmé sur bande vidéo en train d’injecter une substance dans la trachée d’un cheval à un hippodrome et une seringue renfermant des drogues visant à augmenter la performance a été découverte dans son camion. Relativement aux accusations de fraude et de tentative de fraude, le juge du procès a conclu que le ministère public n’avait pas prouvé la privation hors de tout doute raisonnable. Relativement aux accusations de tricherie, le juge du procès a conclu que les courses de chevaux n’étaient pas un jeu au sens de l’art. 197 du </w:t>
      </w:r>
      <w:r w:rsidRPr="00B619AF">
        <w:rPr>
          <w:i/>
          <w:sz w:val="20"/>
          <w:lang w:val="fr-CA"/>
        </w:rPr>
        <w:t>Code criminel</w:t>
      </w:r>
      <w:r w:rsidRPr="00B619AF">
        <w:rPr>
          <w:sz w:val="20"/>
          <w:lang w:val="fr-CA"/>
        </w:rPr>
        <w:t>, que le public parieur était trop éloigné de l’acte de tricherie de l’appelant, que le public parieur n’avait pas été trompé par la tricherie de l’appelant parce qu’il n’y avait aucune preuve selon laquelle quiconque avait fait un pari en s’appuyant ou en ne s’appuyant pas sur le fait que le cheval ait pu recevoir une injection de drogue visant à augmenter la performance. La Cour d’appel a accueilli l’appel, ordonné la tenue d’un nouveau procès relativement aux accusations de tricherie et de tentative de tricherie et a prononcé des verdicts de culpabilité relativement aux accusations de fraude et de tentative de fraude.</w:t>
      </w:r>
    </w:p>
    <w:p w:rsidR="00B619AF" w:rsidRPr="00B619AF" w:rsidRDefault="00B619AF" w:rsidP="00340C6D">
      <w:pPr>
        <w:jc w:val="both"/>
        <w:rPr>
          <w:szCs w:val="24"/>
          <w:lang w:val="fr-CA"/>
        </w:rPr>
      </w:pPr>
    </w:p>
    <w:p w:rsidR="00B619AF" w:rsidRPr="00B619AF" w:rsidRDefault="00B619AF" w:rsidP="00340C6D">
      <w:pPr>
        <w:jc w:val="both"/>
        <w:rPr>
          <w:szCs w:val="24"/>
          <w:lang w:val="fr-CA"/>
        </w:rPr>
      </w:pPr>
    </w:p>
    <w:p w:rsidR="00072A63" w:rsidRPr="00B619AF" w:rsidRDefault="00072A63" w:rsidP="00EC79B0">
      <w:pPr>
        <w:jc w:val="both"/>
        <w:rPr>
          <w:szCs w:val="24"/>
          <w:lang w:val="fr-CA"/>
        </w:rPr>
      </w:pPr>
    </w:p>
    <w:p w:rsidR="001C4415" w:rsidRPr="00C65E58" w:rsidRDefault="001C4415" w:rsidP="001C4415">
      <w:pPr>
        <w:widowControl w:val="0"/>
        <w:outlineLvl w:val="0"/>
      </w:pPr>
      <w:r w:rsidRPr="00C65E58">
        <w:t xml:space="preserve">Supreme Court of Canada / Cour </w:t>
      </w:r>
      <w:proofErr w:type="spellStart"/>
      <w:r w:rsidRPr="00C65E58">
        <w:t>suprême</w:t>
      </w:r>
      <w:proofErr w:type="spellEnd"/>
      <w:r w:rsidRPr="00C65E58">
        <w:t xml:space="preserve"> du Canada : </w:t>
      </w:r>
    </w:p>
    <w:p w:rsidR="001C4415" w:rsidRPr="00A83C7E" w:rsidRDefault="00B24CCB" w:rsidP="001C4415">
      <w:pPr>
        <w:widowControl w:val="0"/>
        <w:outlineLvl w:val="0"/>
        <w:rPr>
          <w:color w:val="0000FF"/>
          <w:u w:val="single"/>
        </w:rPr>
      </w:pPr>
      <w:hyperlink r:id="rId9" w:history="1">
        <w:r w:rsidR="001C4415" w:rsidRPr="00C65E58">
          <w:rPr>
            <w:rStyle w:val="Hyperlink"/>
          </w:rPr>
          <w:t>comments-commentaire</w:t>
        </w:r>
        <w:r w:rsidR="001C4415" w:rsidRPr="00A83C7E">
          <w:rPr>
            <w:rStyle w:val="Hyperlink"/>
          </w:rPr>
          <w:t>s@scc-csc.ca</w:t>
        </w:r>
      </w:hyperlink>
    </w:p>
    <w:p w:rsidR="001C4415" w:rsidRPr="00B653B3" w:rsidRDefault="001C4415" w:rsidP="001C4415">
      <w:pPr>
        <w:widowControl w:val="0"/>
        <w:outlineLvl w:val="0"/>
      </w:pPr>
      <w:r w:rsidRPr="00B653B3">
        <w:t>(613) 995-4330</w:t>
      </w:r>
    </w:p>
    <w:p w:rsidR="001C4415" w:rsidRDefault="001C4415" w:rsidP="001C4415">
      <w:pPr>
        <w:widowControl w:val="0"/>
        <w:rPr>
          <w:sz w:val="20"/>
        </w:rPr>
      </w:pPr>
    </w:p>
    <w:p w:rsidR="0036476C" w:rsidRDefault="001C4415" w:rsidP="0036476C">
      <w:pPr>
        <w:pStyle w:val="Footer"/>
        <w:jc w:val="center"/>
      </w:pPr>
      <w:r>
        <w:t xml:space="preserve">- 30 </w:t>
      </w:r>
      <w:r w:rsidR="0016139A">
        <w:t>-</w:t>
      </w:r>
      <w:r w:rsidR="0036476C" w:rsidRPr="0036476C">
        <w:t xml:space="preserve"> </w:t>
      </w:r>
    </w:p>
    <w:sectPr w:rsidR="0036476C" w:rsidSect="00D362A2">
      <w:headerReference w:type="even" r:id="rId10"/>
      <w:headerReference w:type="default" r:id="rId11"/>
      <w:footerReference w:type="even" r:id="rId12"/>
      <w:footerReference w:type="default" r:id="rId13"/>
      <w:headerReference w:type="first" r:id="rId14"/>
      <w:footerReference w:type="first" r:id="rId15"/>
      <w:pgSz w:w="12240" w:h="15840"/>
      <w:pgMar w:top="900" w:right="1440" w:bottom="806" w:left="1440" w:header="108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AD" w:rsidRDefault="00FF3CAD">
      <w:r>
        <w:separator/>
      </w:r>
    </w:p>
  </w:endnote>
  <w:endnote w:type="continuationSeparator" w:id="0">
    <w:p w:rsidR="00FF3CAD" w:rsidRDefault="00FF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spacing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AD" w:rsidRDefault="00FF3CAD">
      <w:r>
        <w:separator/>
      </w:r>
    </w:p>
  </w:footnote>
  <w:footnote w:type="continuationSeparator" w:id="0">
    <w:p w:rsidR="00FF3CAD" w:rsidRDefault="00FF3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00" w:rsidRDefault="000A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3274A"/>
    <w:multiLevelType w:val="hybridMultilevel"/>
    <w:tmpl w:val="EF6A5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25C16"/>
    <w:multiLevelType w:val="hybridMultilevel"/>
    <w:tmpl w:val="0D664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4E6CDB"/>
    <w:multiLevelType w:val="hybridMultilevel"/>
    <w:tmpl w:val="C3006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defaultTabStop w:val="36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86C"/>
    <w:rsid w:val="000100BA"/>
    <w:rsid w:val="00010D78"/>
    <w:rsid w:val="0001212E"/>
    <w:rsid w:val="0001605B"/>
    <w:rsid w:val="0001634B"/>
    <w:rsid w:val="0002161B"/>
    <w:rsid w:val="00021901"/>
    <w:rsid w:val="000347C1"/>
    <w:rsid w:val="00035555"/>
    <w:rsid w:val="00035B99"/>
    <w:rsid w:val="0003611D"/>
    <w:rsid w:val="0003620E"/>
    <w:rsid w:val="00042B21"/>
    <w:rsid w:val="000446D3"/>
    <w:rsid w:val="000454BF"/>
    <w:rsid w:val="00050813"/>
    <w:rsid w:val="00060140"/>
    <w:rsid w:val="00060B39"/>
    <w:rsid w:val="00061A14"/>
    <w:rsid w:val="00072A63"/>
    <w:rsid w:val="0008116D"/>
    <w:rsid w:val="000855FD"/>
    <w:rsid w:val="00087122"/>
    <w:rsid w:val="000927DB"/>
    <w:rsid w:val="0009615F"/>
    <w:rsid w:val="000A33B2"/>
    <w:rsid w:val="000A401F"/>
    <w:rsid w:val="000A7900"/>
    <w:rsid w:val="000B0E38"/>
    <w:rsid w:val="000B216A"/>
    <w:rsid w:val="000C1225"/>
    <w:rsid w:val="000C466B"/>
    <w:rsid w:val="000C7C9D"/>
    <w:rsid w:val="000D25C5"/>
    <w:rsid w:val="000D413D"/>
    <w:rsid w:val="000D682D"/>
    <w:rsid w:val="000E1FA5"/>
    <w:rsid w:val="000E33A8"/>
    <w:rsid w:val="000E457A"/>
    <w:rsid w:val="000F2225"/>
    <w:rsid w:val="000F2F73"/>
    <w:rsid w:val="000F5730"/>
    <w:rsid w:val="000F7714"/>
    <w:rsid w:val="001002A7"/>
    <w:rsid w:val="00102783"/>
    <w:rsid w:val="00103400"/>
    <w:rsid w:val="00105085"/>
    <w:rsid w:val="001065AF"/>
    <w:rsid w:val="00114393"/>
    <w:rsid w:val="00114B52"/>
    <w:rsid w:val="00116CE5"/>
    <w:rsid w:val="001170D1"/>
    <w:rsid w:val="00127E76"/>
    <w:rsid w:val="00131418"/>
    <w:rsid w:val="001335A1"/>
    <w:rsid w:val="001364D9"/>
    <w:rsid w:val="0013792F"/>
    <w:rsid w:val="001439C6"/>
    <w:rsid w:val="00143A58"/>
    <w:rsid w:val="001448DF"/>
    <w:rsid w:val="00145925"/>
    <w:rsid w:val="00145B5B"/>
    <w:rsid w:val="001476BD"/>
    <w:rsid w:val="00150BC6"/>
    <w:rsid w:val="001563FF"/>
    <w:rsid w:val="0016139A"/>
    <w:rsid w:val="001642A1"/>
    <w:rsid w:val="00165E2A"/>
    <w:rsid w:val="00167E17"/>
    <w:rsid w:val="001710E4"/>
    <w:rsid w:val="001714EA"/>
    <w:rsid w:val="00172FC0"/>
    <w:rsid w:val="0017395A"/>
    <w:rsid w:val="00175566"/>
    <w:rsid w:val="00177C9B"/>
    <w:rsid w:val="001801D4"/>
    <w:rsid w:val="0018124A"/>
    <w:rsid w:val="00191F98"/>
    <w:rsid w:val="001936BC"/>
    <w:rsid w:val="00194B53"/>
    <w:rsid w:val="001A1632"/>
    <w:rsid w:val="001A24F4"/>
    <w:rsid w:val="001A29BA"/>
    <w:rsid w:val="001A4A73"/>
    <w:rsid w:val="001B092D"/>
    <w:rsid w:val="001B0D7E"/>
    <w:rsid w:val="001B4934"/>
    <w:rsid w:val="001B599A"/>
    <w:rsid w:val="001B71AA"/>
    <w:rsid w:val="001C0462"/>
    <w:rsid w:val="001C3E08"/>
    <w:rsid w:val="001C4415"/>
    <w:rsid w:val="001C6FEC"/>
    <w:rsid w:val="001E4A60"/>
    <w:rsid w:val="001E5E23"/>
    <w:rsid w:val="001E70CD"/>
    <w:rsid w:val="001F27D7"/>
    <w:rsid w:val="001F57C9"/>
    <w:rsid w:val="001F7F62"/>
    <w:rsid w:val="002029F5"/>
    <w:rsid w:val="00203714"/>
    <w:rsid w:val="00205278"/>
    <w:rsid w:val="00207BC4"/>
    <w:rsid w:val="00211F62"/>
    <w:rsid w:val="00214729"/>
    <w:rsid w:val="002160B0"/>
    <w:rsid w:val="00221703"/>
    <w:rsid w:val="00226AE8"/>
    <w:rsid w:val="00234B46"/>
    <w:rsid w:val="002404C4"/>
    <w:rsid w:val="00241C35"/>
    <w:rsid w:val="00241F69"/>
    <w:rsid w:val="00242EC8"/>
    <w:rsid w:val="00243B49"/>
    <w:rsid w:val="00244461"/>
    <w:rsid w:val="00244D04"/>
    <w:rsid w:val="00245FBD"/>
    <w:rsid w:val="0024634F"/>
    <w:rsid w:val="002511EB"/>
    <w:rsid w:val="00251D1B"/>
    <w:rsid w:val="0025452B"/>
    <w:rsid w:val="002617BB"/>
    <w:rsid w:val="0026289A"/>
    <w:rsid w:val="00264AA1"/>
    <w:rsid w:val="002667BA"/>
    <w:rsid w:val="002667ED"/>
    <w:rsid w:val="00266A8B"/>
    <w:rsid w:val="002723AE"/>
    <w:rsid w:val="00272EAB"/>
    <w:rsid w:val="002768F6"/>
    <w:rsid w:val="00282563"/>
    <w:rsid w:val="0028630C"/>
    <w:rsid w:val="00290F21"/>
    <w:rsid w:val="00291F84"/>
    <w:rsid w:val="00297E1D"/>
    <w:rsid w:val="002A2F5A"/>
    <w:rsid w:val="002A3DD8"/>
    <w:rsid w:val="002A4252"/>
    <w:rsid w:val="002A5496"/>
    <w:rsid w:val="002A6BD5"/>
    <w:rsid w:val="002A7752"/>
    <w:rsid w:val="002B06A9"/>
    <w:rsid w:val="002B4D23"/>
    <w:rsid w:val="002B4F4E"/>
    <w:rsid w:val="002C23CB"/>
    <w:rsid w:val="002C5CA9"/>
    <w:rsid w:val="002C5FAF"/>
    <w:rsid w:val="002D631B"/>
    <w:rsid w:val="002D6424"/>
    <w:rsid w:val="002E3F05"/>
    <w:rsid w:val="002E5644"/>
    <w:rsid w:val="002F2E89"/>
    <w:rsid w:val="002F4212"/>
    <w:rsid w:val="003054B8"/>
    <w:rsid w:val="003078A0"/>
    <w:rsid w:val="003112E4"/>
    <w:rsid w:val="00311F53"/>
    <w:rsid w:val="00317C58"/>
    <w:rsid w:val="00321B31"/>
    <w:rsid w:val="00324B83"/>
    <w:rsid w:val="003255C3"/>
    <w:rsid w:val="00334E40"/>
    <w:rsid w:val="00337D5F"/>
    <w:rsid w:val="00340C6D"/>
    <w:rsid w:val="00346B6F"/>
    <w:rsid w:val="00346F0D"/>
    <w:rsid w:val="003508A9"/>
    <w:rsid w:val="00350C6A"/>
    <w:rsid w:val="00350CE0"/>
    <w:rsid w:val="00352B94"/>
    <w:rsid w:val="00353AB0"/>
    <w:rsid w:val="00362484"/>
    <w:rsid w:val="0036476C"/>
    <w:rsid w:val="00365867"/>
    <w:rsid w:val="0037261F"/>
    <w:rsid w:val="00374148"/>
    <w:rsid w:val="0037569E"/>
    <w:rsid w:val="00380CC3"/>
    <w:rsid w:val="003835A6"/>
    <w:rsid w:val="00387EA2"/>
    <w:rsid w:val="0039248C"/>
    <w:rsid w:val="003932EE"/>
    <w:rsid w:val="00393419"/>
    <w:rsid w:val="003959D2"/>
    <w:rsid w:val="0039607F"/>
    <w:rsid w:val="003A1FB4"/>
    <w:rsid w:val="003A2267"/>
    <w:rsid w:val="003B3AD5"/>
    <w:rsid w:val="003B4E7E"/>
    <w:rsid w:val="003C381F"/>
    <w:rsid w:val="003D4D2A"/>
    <w:rsid w:val="003D74E7"/>
    <w:rsid w:val="003E0326"/>
    <w:rsid w:val="003E1BBF"/>
    <w:rsid w:val="003E222C"/>
    <w:rsid w:val="003E31F8"/>
    <w:rsid w:val="003E5C8D"/>
    <w:rsid w:val="003F127B"/>
    <w:rsid w:val="003F2710"/>
    <w:rsid w:val="003F7920"/>
    <w:rsid w:val="004005FE"/>
    <w:rsid w:val="004016BB"/>
    <w:rsid w:val="00405F0F"/>
    <w:rsid w:val="004115B2"/>
    <w:rsid w:val="0041533E"/>
    <w:rsid w:val="00421CC7"/>
    <w:rsid w:val="0042330C"/>
    <w:rsid w:val="00424E50"/>
    <w:rsid w:val="00425FF3"/>
    <w:rsid w:val="00426675"/>
    <w:rsid w:val="00426798"/>
    <w:rsid w:val="00426F87"/>
    <w:rsid w:val="00427239"/>
    <w:rsid w:val="00432DE1"/>
    <w:rsid w:val="00442F1A"/>
    <w:rsid w:val="0045070D"/>
    <w:rsid w:val="00452E96"/>
    <w:rsid w:val="0045409A"/>
    <w:rsid w:val="00455BB9"/>
    <w:rsid w:val="00460580"/>
    <w:rsid w:val="00464E71"/>
    <w:rsid w:val="0046531B"/>
    <w:rsid w:val="00467AE4"/>
    <w:rsid w:val="004824D8"/>
    <w:rsid w:val="0048671C"/>
    <w:rsid w:val="0048741E"/>
    <w:rsid w:val="00491284"/>
    <w:rsid w:val="004927D1"/>
    <w:rsid w:val="004A017B"/>
    <w:rsid w:val="004A40E1"/>
    <w:rsid w:val="004A56AC"/>
    <w:rsid w:val="004A6F06"/>
    <w:rsid w:val="004B4821"/>
    <w:rsid w:val="004B6E20"/>
    <w:rsid w:val="004B6F3A"/>
    <w:rsid w:val="004D4322"/>
    <w:rsid w:val="004D465A"/>
    <w:rsid w:val="004D488A"/>
    <w:rsid w:val="004E5455"/>
    <w:rsid w:val="004F0A44"/>
    <w:rsid w:val="004F215A"/>
    <w:rsid w:val="004F3FB9"/>
    <w:rsid w:val="00504582"/>
    <w:rsid w:val="0051320D"/>
    <w:rsid w:val="00520A3C"/>
    <w:rsid w:val="00525362"/>
    <w:rsid w:val="00525B8E"/>
    <w:rsid w:val="00531567"/>
    <w:rsid w:val="005400BA"/>
    <w:rsid w:val="0054378D"/>
    <w:rsid w:val="005511F1"/>
    <w:rsid w:val="00552278"/>
    <w:rsid w:val="0055520C"/>
    <w:rsid w:val="00560D32"/>
    <w:rsid w:val="00563EF8"/>
    <w:rsid w:val="005717F4"/>
    <w:rsid w:val="00572E24"/>
    <w:rsid w:val="00575FA2"/>
    <w:rsid w:val="00580897"/>
    <w:rsid w:val="00580EBF"/>
    <w:rsid w:val="00591F70"/>
    <w:rsid w:val="005932DF"/>
    <w:rsid w:val="00595150"/>
    <w:rsid w:val="00595922"/>
    <w:rsid w:val="005A0FB1"/>
    <w:rsid w:val="005A5B16"/>
    <w:rsid w:val="005A5D20"/>
    <w:rsid w:val="005A7C1B"/>
    <w:rsid w:val="005B10FA"/>
    <w:rsid w:val="005B4F58"/>
    <w:rsid w:val="005B7E1A"/>
    <w:rsid w:val="005C3F3D"/>
    <w:rsid w:val="005C571B"/>
    <w:rsid w:val="005C7767"/>
    <w:rsid w:val="005C7A4F"/>
    <w:rsid w:val="005D1FAA"/>
    <w:rsid w:val="005D4151"/>
    <w:rsid w:val="005E1617"/>
    <w:rsid w:val="005E1FA2"/>
    <w:rsid w:val="005E3E02"/>
    <w:rsid w:val="005E696E"/>
    <w:rsid w:val="005E74B7"/>
    <w:rsid w:val="005F3B17"/>
    <w:rsid w:val="005F6821"/>
    <w:rsid w:val="006004E2"/>
    <w:rsid w:val="00600C43"/>
    <w:rsid w:val="00615DA3"/>
    <w:rsid w:val="006219EE"/>
    <w:rsid w:val="00622F54"/>
    <w:rsid w:val="006256B4"/>
    <w:rsid w:val="006268A3"/>
    <w:rsid w:val="006269C3"/>
    <w:rsid w:val="006306BF"/>
    <w:rsid w:val="0063116A"/>
    <w:rsid w:val="0063254B"/>
    <w:rsid w:val="00632844"/>
    <w:rsid w:val="0063679E"/>
    <w:rsid w:val="0063766F"/>
    <w:rsid w:val="00640A4E"/>
    <w:rsid w:val="006429EF"/>
    <w:rsid w:val="00650518"/>
    <w:rsid w:val="00651F3A"/>
    <w:rsid w:val="006630E5"/>
    <w:rsid w:val="00666E0D"/>
    <w:rsid w:val="0067017D"/>
    <w:rsid w:val="00676709"/>
    <w:rsid w:val="00680968"/>
    <w:rsid w:val="00682A71"/>
    <w:rsid w:val="00685A30"/>
    <w:rsid w:val="006942C4"/>
    <w:rsid w:val="006A58E0"/>
    <w:rsid w:val="006A6C0C"/>
    <w:rsid w:val="006B4B4E"/>
    <w:rsid w:val="006B5529"/>
    <w:rsid w:val="006C4A8F"/>
    <w:rsid w:val="006C7633"/>
    <w:rsid w:val="006D2DF8"/>
    <w:rsid w:val="006E1781"/>
    <w:rsid w:val="006E3A6A"/>
    <w:rsid w:val="006E6156"/>
    <w:rsid w:val="006E7CC3"/>
    <w:rsid w:val="006E7FD1"/>
    <w:rsid w:val="006F1899"/>
    <w:rsid w:val="006F1A6D"/>
    <w:rsid w:val="006F202E"/>
    <w:rsid w:val="006F636B"/>
    <w:rsid w:val="006F7FC8"/>
    <w:rsid w:val="00711DBC"/>
    <w:rsid w:val="0071224C"/>
    <w:rsid w:val="00724998"/>
    <w:rsid w:val="00727681"/>
    <w:rsid w:val="00731F00"/>
    <w:rsid w:val="00732616"/>
    <w:rsid w:val="00743AB2"/>
    <w:rsid w:val="00743CD0"/>
    <w:rsid w:val="007464AD"/>
    <w:rsid w:val="007505FE"/>
    <w:rsid w:val="00753E0D"/>
    <w:rsid w:val="00762239"/>
    <w:rsid w:val="00767B87"/>
    <w:rsid w:val="00777C18"/>
    <w:rsid w:val="0078318A"/>
    <w:rsid w:val="00793134"/>
    <w:rsid w:val="0079370B"/>
    <w:rsid w:val="00794A43"/>
    <w:rsid w:val="0079562F"/>
    <w:rsid w:val="00795926"/>
    <w:rsid w:val="007A0A44"/>
    <w:rsid w:val="007A2100"/>
    <w:rsid w:val="007A4A45"/>
    <w:rsid w:val="007A6290"/>
    <w:rsid w:val="007A6330"/>
    <w:rsid w:val="007A71C4"/>
    <w:rsid w:val="007A7383"/>
    <w:rsid w:val="007B1B40"/>
    <w:rsid w:val="007B2E91"/>
    <w:rsid w:val="007B47FB"/>
    <w:rsid w:val="007C288F"/>
    <w:rsid w:val="007C30F2"/>
    <w:rsid w:val="007D20F6"/>
    <w:rsid w:val="007D4862"/>
    <w:rsid w:val="007D6B10"/>
    <w:rsid w:val="007E7DF1"/>
    <w:rsid w:val="007F29FE"/>
    <w:rsid w:val="00800066"/>
    <w:rsid w:val="00807EAE"/>
    <w:rsid w:val="00811E14"/>
    <w:rsid w:val="00815E69"/>
    <w:rsid w:val="008203B9"/>
    <w:rsid w:val="00820A00"/>
    <w:rsid w:val="008227A7"/>
    <w:rsid w:val="0083044B"/>
    <w:rsid w:val="008313A9"/>
    <w:rsid w:val="00831AFC"/>
    <w:rsid w:val="00843914"/>
    <w:rsid w:val="00844A0C"/>
    <w:rsid w:val="00845B97"/>
    <w:rsid w:val="00851B24"/>
    <w:rsid w:val="00857775"/>
    <w:rsid w:val="00861E1D"/>
    <w:rsid w:val="0086609D"/>
    <w:rsid w:val="00870608"/>
    <w:rsid w:val="008709FF"/>
    <w:rsid w:val="008716D8"/>
    <w:rsid w:val="00875923"/>
    <w:rsid w:val="008766B1"/>
    <w:rsid w:val="00893647"/>
    <w:rsid w:val="008B305D"/>
    <w:rsid w:val="008B5FA3"/>
    <w:rsid w:val="008B5FDB"/>
    <w:rsid w:val="008B6308"/>
    <w:rsid w:val="008C5D03"/>
    <w:rsid w:val="008D2829"/>
    <w:rsid w:val="008D3DE1"/>
    <w:rsid w:val="008D557C"/>
    <w:rsid w:val="008D5B1F"/>
    <w:rsid w:val="008D6BC4"/>
    <w:rsid w:val="008E5108"/>
    <w:rsid w:val="008E7015"/>
    <w:rsid w:val="008F15CD"/>
    <w:rsid w:val="008F246A"/>
    <w:rsid w:val="008F6C55"/>
    <w:rsid w:val="0090380F"/>
    <w:rsid w:val="009062BF"/>
    <w:rsid w:val="009079AF"/>
    <w:rsid w:val="00911071"/>
    <w:rsid w:val="00916404"/>
    <w:rsid w:val="00916B9F"/>
    <w:rsid w:val="00921102"/>
    <w:rsid w:val="009246D2"/>
    <w:rsid w:val="00931A3C"/>
    <w:rsid w:val="009408A3"/>
    <w:rsid w:val="009421D0"/>
    <w:rsid w:val="00945199"/>
    <w:rsid w:val="00946EC7"/>
    <w:rsid w:val="00955BCE"/>
    <w:rsid w:val="009603A2"/>
    <w:rsid w:val="00962301"/>
    <w:rsid w:val="00970CA2"/>
    <w:rsid w:val="00970EDF"/>
    <w:rsid w:val="00972F05"/>
    <w:rsid w:val="00975F1B"/>
    <w:rsid w:val="0097705F"/>
    <w:rsid w:val="009773EE"/>
    <w:rsid w:val="009813C5"/>
    <w:rsid w:val="009907CD"/>
    <w:rsid w:val="0099092D"/>
    <w:rsid w:val="009927A8"/>
    <w:rsid w:val="00992E03"/>
    <w:rsid w:val="00993EF1"/>
    <w:rsid w:val="00995BAC"/>
    <w:rsid w:val="009A0D84"/>
    <w:rsid w:val="009A229C"/>
    <w:rsid w:val="009A7FCE"/>
    <w:rsid w:val="009B06DD"/>
    <w:rsid w:val="009B72F4"/>
    <w:rsid w:val="009C2A17"/>
    <w:rsid w:val="009C643F"/>
    <w:rsid w:val="009C7B71"/>
    <w:rsid w:val="009D109B"/>
    <w:rsid w:val="009D30BC"/>
    <w:rsid w:val="009D786D"/>
    <w:rsid w:val="009E23BF"/>
    <w:rsid w:val="009E478A"/>
    <w:rsid w:val="009E6E2B"/>
    <w:rsid w:val="009E7F8F"/>
    <w:rsid w:val="009F1E2B"/>
    <w:rsid w:val="009F5F96"/>
    <w:rsid w:val="00A06BFF"/>
    <w:rsid w:val="00A129AE"/>
    <w:rsid w:val="00A12B84"/>
    <w:rsid w:val="00A13112"/>
    <w:rsid w:val="00A17FF7"/>
    <w:rsid w:val="00A20D09"/>
    <w:rsid w:val="00A21A0F"/>
    <w:rsid w:val="00A253E7"/>
    <w:rsid w:val="00A2764E"/>
    <w:rsid w:val="00A40505"/>
    <w:rsid w:val="00A45E77"/>
    <w:rsid w:val="00A47417"/>
    <w:rsid w:val="00A52FC3"/>
    <w:rsid w:val="00A539FF"/>
    <w:rsid w:val="00A60F48"/>
    <w:rsid w:val="00A64DFD"/>
    <w:rsid w:val="00A709E8"/>
    <w:rsid w:val="00A86D9C"/>
    <w:rsid w:val="00A9462E"/>
    <w:rsid w:val="00A96F68"/>
    <w:rsid w:val="00AB4EFD"/>
    <w:rsid w:val="00AB6E49"/>
    <w:rsid w:val="00AB6FF1"/>
    <w:rsid w:val="00AB76F5"/>
    <w:rsid w:val="00AC1EBB"/>
    <w:rsid w:val="00AC29C3"/>
    <w:rsid w:val="00AD28E3"/>
    <w:rsid w:val="00AE57A4"/>
    <w:rsid w:val="00AE77AE"/>
    <w:rsid w:val="00AF291D"/>
    <w:rsid w:val="00AF51A0"/>
    <w:rsid w:val="00AF5D67"/>
    <w:rsid w:val="00B00765"/>
    <w:rsid w:val="00B0252F"/>
    <w:rsid w:val="00B02858"/>
    <w:rsid w:val="00B10539"/>
    <w:rsid w:val="00B10F2E"/>
    <w:rsid w:val="00B11D20"/>
    <w:rsid w:val="00B11D74"/>
    <w:rsid w:val="00B15276"/>
    <w:rsid w:val="00B17303"/>
    <w:rsid w:val="00B24CCB"/>
    <w:rsid w:val="00B26A2D"/>
    <w:rsid w:val="00B348B0"/>
    <w:rsid w:val="00B435C2"/>
    <w:rsid w:val="00B46448"/>
    <w:rsid w:val="00B46917"/>
    <w:rsid w:val="00B50803"/>
    <w:rsid w:val="00B57CEE"/>
    <w:rsid w:val="00B619AF"/>
    <w:rsid w:val="00B622BC"/>
    <w:rsid w:val="00B67B8C"/>
    <w:rsid w:val="00B7734D"/>
    <w:rsid w:val="00B80672"/>
    <w:rsid w:val="00B8086C"/>
    <w:rsid w:val="00B809D3"/>
    <w:rsid w:val="00B80A40"/>
    <w:rsid w:val="00B90B28"/>
    <w:rsid w:val="00B92053"/>
    <w:rsid w:val="00BA5D3E"/>
    <w:rsid w:val="00BB4305"/>
    <w:rsid w:val="00BB4CC8"/>
    <w:rsid w:val="00BB5F43"/>
    <w:rsid w:val="00BC097C"/>
    <w:rsid w:val="00BC4F13"/>
    <w:rsid w:val="00BD0BD6"/>
    <w:rsid w:val="00BD2EF8"/>
    <w:rsid w:val="00BD4D56"/>
    <w:rsid w:val="00BD762D"/>
    <w:rsid w:val="00BF00CF"/>
    <w:rsid w:val="00BF07B1"/>
    <w:rsid w:val="00BF1E18"/>
    <w:rsid w:val="00BF5E12"/>
    <w:rsid w:val="00C02565"/>
    <w:rsid w:val="00C02A35"/>
    <w:rsid w:val="00C05DB6"/>
    <w:rsid w:val="00C06CDF"/>
    <w:rsid w:val="00C07181"/>
    <w:rsid w:val="00C07D18"/>
    <w:rsid w:val="00C103A9"/>
    <w:rsid w:val="00C14970"/>
    <w:rsid w:val="00C173E2"/>
    <w:rsid w:val="00C210C3"/>
    <w:rsid w:val="00C26855"/>
    <w:rsid w:val="00C26ED7"/>
    <w:rsid w:val="00C343BF"/>
    <w:rsid w:val="00C34DBC"/>
    <w:rsid w:val="00C3754A"/>
    <w:rsid w:val="00C51144"/>
    <w:rsid w:val="00C54C7F"/>
    <w:rsid w:val="00C55365"/>
    <w:rsid w:val="00C56B06"/>
    <w:rsid w:val="00C65E58"/>
    <w:rsid w:val="00C724D2"/>
    <w:rsid w:val="00C7692E"/>
    <w:rsid w:val="00C76C3D"/>
    <w:rsid w:val="00C77D60"/>
    <w:rsid w:val="00C80CEE"/>
    <w:rsid w:val="00C92D07"/>
    <w:rsid w:val="00C9499A"/>
    <w:rsid w:val="00C96187"/>
    <w:rsid w:val="00C96700"/>
    <w:rsid w:val="00CA0D0B"/>
    <w:rsid w:val="00CA425B"/>
    <w:rsid w:val="00CA4B10"/>
    <w:rsid w:val="00CB05B1"/>
    <w:rsid w:val="00CB0F26"/>
    <w:rsid w:val="00CB3AE2"/>
    <w:rsid w:val="00CB3FBB"/>
    <w:rsid w:val="00CB5906"/>
    <w:rsid w:val="00CB65F1"/>
    <w:rsid w:val="00CC2CF7"/>
    <w:rsid w:val="00CC59ED"/>
    <w:rsid w:val="00CD2A1C"/>
    <w:rsid w:val="00CD2EFD"/>
    <w:rsid w:val="00CD4BC4"/>
    <w:rsid w:val="00CD75D2"/>
    <w:rsid w:val="00CD77BC"/>
    <w:rsid w:val="00D00632"/>
    <w:rsid w:val="00D01F37"/>
    <w:rsid w:val="00D03A26"/>
    <w:rsid w:val="00D05D59"/>
    <w:rsid w:val="00D17D39"/>
    <w:rsid w:val="00D17D8F"/>
    <w:rsid w:val="00D22031"/>
    <w:rsid w:val="00D303D6"/>
    <w:rsid w:val="00D32687"/>
    <w:rsid w:val="00D3314A"/>
    <w:rsid w:val="00D362A2"/>
    <w:rsid w:val="00D37B27"/>
    <w:rsid w:val="00D424D2"/>
    <w:rsid w:val="00D51791"/>
    <w:rsid w:val="00D5468E"/>
    <w:rsid w:val="00D61701"/>
    <w:rsid w:val="00D63A7D"/>
    <w:rsid w:val="00D641AC"/>
    <w:rsid w:val="00D64BC8"/>
    <w:rsid w:val="00D65268"/>
    <w:rsid w:val="00D70C1C"/>
    <w:rsid w:val="00D710A9"/>
    <w:rsid w:val="00D715E9"/>
    <w:rsid w:val="00D74667"/>
    <w:rsid w:val="00D75A2B"/>
    <w:rsid w:val="00D8474E"/>
    <w:rsid w:val="00D86814"/>
    <w:rsid w:val="00D93AE3"/>
    <w:rsid w:val="00D94FA0"/>
    <w:rsid w:val="00DA1A84"/>
    <w:rsid w:val="00DA2EAA"/>
    <w:rsid w:val="00DA6A86"/>
    <w:rsid w:val="00DB2F91"/>
    <w:rsid w:val="00DB531C"/>
    <w:rsid w:val="00DC32EB"/>
    <w:rsid w:val="00DC4734"/>
    <w:rsid w:val="00DC4E25"/>
    <w:rsid w:val="00DC6C1E"/>
    <w:rsid w:val="00DD4383"/>
    <w:rsid w:val="00DE04BB"/>
    <w:rsid w:val="00DE3506"/>
    <w:rsid w:val="00DE746A"/>
    <w:rsid w:val="00DF349B"/>
    <w:rsid w:val="00DF42A7"/>
    <w:rsid w:val="00DF44C2"/>
    <w:rsid w:val="00DF4A3F"/>
    <w:rsid w:val="00DF54E7"/>
    <w:rsid w:val="00DF614F"/>
    <w:rsid w:val="00E046A3"/>
    <w:rsid w:val="00E07FAA"/>
    <w:rsid w:val="00E128DB"/>
    <w:rsid w:val="00E12E0B"/>
    <w:rsid w:val="00E14E68"/>
    <w:rsid w:val="00E16926"/>
    <w:rsid w:val="00E228C8"/>
    <w:rsid w:val="00E363C5"/>
    <w:rsid w:val="00E36DE8"/>
    <w:rsid w:val="00E40153"/>
    <w:rsid w:val="00E41DF4"/>
    <w:rsid w:val="00E450FF"/>
    <w:rsid w:val="00E47A93"/>
    <w:rsid w:val="00E51DCC"/>
    <w:rsid w:val="00E575D4"/>
    <w:rsid w:val="00E602CC"/>
    <w:rsid w:val="00E60BCF"/>
    <w:rsid w:val="00E63199"/>
    <w:rsid w:val="00E631BB"/>
    <w:rsid w:val="00E66FC2"/>
    <w:rsid w:val="00E701AC"/>
    <w:rsid w:val="00E71B6C"/>
    <w:rsid w:val="00E71F47"/>
    <w:rsid w:val="00E75EDC"/>
    <w:rsid w:val="00E76F19"/>
    <w:rsid w:val="00E77DF7"/>
    <w:rsid w:val="00E802FE"/>
    <w:rsid w:val="00E82DB5"/>
    <w:rsid w:val="00E8450A"/>
    <w:rsid w:val="00E93DBE"/>
    <w:rsid w:val="00E9584F"/>
    <w:rsid w:val="00EA2FA7"/>
    <w:rsid w:val="00EA389B"/>
    <w:rsid w:val="00EB1B1D"/>
    <w:rsid w:val="00EB6CB3"/>
    <w:rsid w:val="00EC0B90"/>
    <w:rsid w:val="00EC103C"/>
    <w:rsid w:val="00EC79B0"/>
    <w:rsid w:val="00ED1C3A"/>
    <w:rsid w:val="00ED2D18"/>
    <w:rsid w:val="00ED4D5F"/>
    <w:rsid w:val="00ED67B7"/>
    <w:rsid w:val="00EE1079"/>
    <w:rsid w:val="00EE1D6B"/>
    <w:rsid w:val="00EE77E0"/>
    <w:rsid w:val="00EF0BD7"/>
    <w:rsid w:val="00EF778F"/>
    <w:rsid w:val="00EF7999"/>
    <w:rsid w:val="00F006DA"/>
    <w:rsid w:val="00F020DF"/>
    <w:rsid w:val="00F118D3"/>
    <w:rsid w:val="00F1242C"/>
    <w:rsid w:val="00F128C3"/>
    <w:rsid w:val="00F1711D"/>
    <w:rsid w:val="00F223F4"/>
    <w:rsid w:val="00F23EAF"/>
    <w:rsid w:val="00F269BB"/>
    <w:rsid w:val="00F317F9"/>
    <w:rsid w:val="00F33A4A"/>
    <w:rsid w:val="00F353AE"/>
    <w:rsid w:val="00F43DC9"/>
    <w:rsid w:val="00F441EF"/>
    <w:rsid w:val="00F443E2"/>
    <w:rsid w:val="00F52595"/>
    <w:rsid w:val="00F530EE"/>
    <w:rsid w:val="00F57324"/>
    <w:rsid w:val="00F64A4F"/>
    <w:rsid w:val="00F71933"/>
    <w:rsid w:val="00F74DE7"/>
    <w:rsid w:val="00F7795B"/>
    <w:rsid w:val="00F803D9"/>
    <w:rsid w:val="00F823B0"/>
    <w:rsid w:val="00F82D1B"/>
    <w:rsid w:val="00F85483"/>
    <w:rsid w:val="00F950E6"/>
    <w:rsid w:val="00F960F5"/>
    <w:rsid w:val="00F97939"/>
    <w:rsid w:val="00FA3210"/>
    <w:rsid w:val="00FA62A2"/>
    <w:rsid w:val="00FA7412"/>
    <w:rsid w:val="00FB0F59"/>
    <w:rsid w:val="00FB3BF9"/>
    <w:rsid w:val="00FB55B6"/>
    <w:rsid w:val="00FB5B7E"/>
    <w:rsid w:val="00FB709E"/>
    <w:rsid w:val="00FC57AE"/>
    <w:rsid w:val="00FC6C27"/>
    <w:rsid w:val="00FE3585"/>
    <w:rsid w:val="00FF330A"/>
    <w:rsid w:val="00FF3CAD"/>
    <w:rsid w:val="00FF483D"/>
    <w:rsid w:val="00FF49A5"/>
    <w:rsid w:val="00FF6B2B"/>
    <w:rsid w:val="00FF6CAF"/>
    <w:rsid w:val="00FF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C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B87"/>
    <w:rPr>
      <w:color w:val="0000FF"/>
      <w:u w:val="single"/>
    </w:rPr>
  </w:style>
  <w:style w:type="character" w:customStyle="1" w:styleId="SYSHYPERTEXT">
    <w:name w:val="SYS_HYPERTEXT"/>
    <w:basedOn w:val="DefaultParagraphFont"/>
    <w:rsid w:val="000347C1"/>
    <w:rPr>
      <w:color w:val="0000FF"/>
      <w:u w:val="single"/>
    </w:rPr>
  </w:style>
  <w:style w:type="character" w:styleId="FollowedHyperlink">
    <w:name w:val="FollowedHyperlink"/>
    <w:basedOn w:val="DefaultParagraphFont"/>
    <w:uiPriority w:val="99"/>
    <w:semiHidden/>
    <w:unhideWhenUsed/>
    <w:rsid w:val="008709FF"/>
    <w:rPr>
      <w:color w:val="800080"/>
      <w:u w:val="single"/>
    </w:rPr>
  </w:style>
  <w:style w:type="paragraph" w:styleId="Header">
    <w:name w:val="header"/>
    <w:basedOn w:val="Normal"/>
    <w:link w:val="HeaderChar"/>
    <w:uiPriority w:val="99"/>
    <w:unhideWhenUsed/>
    <w:rsid w:val="00FA62A2"/>
    <w:pPr>
      <w:tabs>
        <w:tab w:val="center" w:pos="4680"/>
        <w:tab w:val="right" w:pos="9360"/>
      </w:tabs>
    </w:pPr>
  </w:style>
  <w:style w:type="character" w:customStyle="1" w:styleId="HeaderChar">
    <w:name w:val="Header Char"/>
    <w:basedOn w:val="DefaultParagraphFont"/>
    <w:link w:val="Header"/>
    <w:uiPriority w:val="99"/>
    <w:rsid w:val="00FA62A2"/>
    <w:rPr>
      <w:sz w:val="24"/>
    </w:rPr>
  </w:style>
  <w:style w:type="paragraph" w:styleId="Footer">
    <w:name w:val="footer"/>
    <w:basedOn w:val="Normal"/>
    <w:link w:val="FooterChar"/>
    <w:uiPriority w:val="99"/>
    <w:unhideWhenUsed/>
    <w:rsid w:val="00FA62A2"/>
    <w:pPr>
      <w:tabs>
        <w:tab w:val="center" w:pos="4680"/>
        <w:tab w:val="right" w:pos="9360"/>
      </w:tabs>
    </w:pPr>
  </w:style>
  <w:style w:type="character" w:customStyle="1" w:styleId="FooterChar">
    <w:name w:val="Footer Char"/>
    <w:basedOn w:val="DefaultParagraphFont"/>
    <w:link w:val="Footer"/>
    <w:uiPriority w:val="99"/>
    <w:rsid w:val="00FA62A2"/>
    <w:rPr>
      <w:sz w:val="24"/>
    </w:rPr>
  </w:style>
  <w:style w:type="character" w:styleId="Strong">
    <w:name w:val="Strong"/>
    <w:basedOn w:val="DefaultParagraphFont"/>
    <w:uiPriority w:val="22"/>
    <w:qFormat/>
    <w:rsid w:val="0079562F"/>
    <w:rPr>
      <w:b/>
      <w:bCs/>
    </w:rPr>
  </w:style>
  <w:style w:type="paragraph" w:customStyle="1" w:styleId="SCCLsocParty">
    <w:name w:val="SCC.Lsoc.Party"/>
    <w:basedOn w:val="Normal"/>
    <w:next w:val="Normal"/>
    <w:link w:val="SCCLsocPartyChar"/>
    <w:rsid w:val="0079562F"/>
    <w:pPr>
      <w:jc w:val="both"/>
    </w:pPr>
    <w:rPr>
      <w:rFonts w:eastAsia="Calibri"/>
      <w:i/>
      <w:szCs w:val="22"/>
      <w:lang w:val="fr-CA"/>
    </w:rPr>
  </w:style>
  <w:style w:type="character" w:customStyle="1" w:styleId="SCCLsocPartyChar">
    <w:name w:val="SCC.Lsoc.Party Char"/>
    <w:basedOn w:val="DefaultParagraphFont"/>
    <w:link w:val="SCCLsocParty"/>
    <w:rsid w:val="0079562F"/>
    <w:rPr>
      <w:rFonts w:eastAsia="Calibri" w:cs="Times New Roman"/>
      <w:i/>
      <w:sz w:val="24"/>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468">
      <w:bodyDiv w:val="1"/>
      <w:marLeft w:val="0"/>
      <w:marRight w:val="0"/>
      <w:marTop w:val="0"/>
      <w:marBottom w:val="0"/>
      <w:divBdr>
        <w:top w:val="none" w:sz="0" w:space="0" w:color="auto"/>
        <w:left w:val="none" w:sz="0" w:space="0" w:color="auto"/>
        <w:bottom w:val="none" w:sz="0" w:space="0" w:color="auto"/>
        <w:right w:val="none" w:sz="0" w:space="0" w:color="auto"/>
      </w:divBdr>
    </w:div>
    <w:div w:id="155541300">
      <w:bodyDiv w:val="1"/>
      <w:marLeft w:val="0"/>
      <w:marRight w:val="0"/>
      <w:marTop w:val="0"/>
      <w:marBottom w:val="0"/>
      <w:divBdr>
        <w:top w:val="none" w:sz="0" w:space="0" w:color="auto"/>
        <w:left w:val="none" w:sz="0" w:space="0" w:color="auto"/>
        <w:bottom w:val="none" w:sz="0" w:space="0" w:color="auto"/>
        <w:right w:val="none" w:sz="0" w:space="0" w:color="auto"/>
      </w:divBdr>
    </w:div>
    <w:div w:id="434251522">
      <w:bodyDiv w:val="1"/>
      <w:marLeft w:val="0"/>
      <w:marRight w:val="0"/>
      <w:marTop w:val="0"/>
      <w:marBottom w:val="0"/>
      <w:divBdr>
        <w:top w:val="none" w:sz="0" w:space="0" w:color="auto"/>
        <w:left w:val="none" w:sz="0" w:space="0" w:color="auto"/>
        <w:bottom w:val="none" w:sz="0" w:space="0" w:color="auto"/>
        <w:right w:val="none" w:sz="0" w:space="0" w:color="auto"/>
      </w:divBdr>
    </w:div>
    <w:div w:id="470638163">
      <w:bodyDiv w:val="1"/>
      <w:marLeft w:val="0"/>
      <w:marRight w:val="0"/>
      <w:marTop w:val="0"/>
      <w:marBottom w:val="0"/>
      <w:divBdr>
        <w:top w:val="none" w:sz="0" w:space="0" w:color="auto"/>
        <w:left w:val="none" w:sz="0" w:space="0" w:color="auto"/>
        <w:bottom w:val="none" w:sz="0" w:space="0" w:color="auto"/>
        <w:right w:val="none" w:sz="0" w:space="0" w:color="auto"/>
      </w:divBdr>
    </w:div>
    <w:div w:id="563030962">
      <w:bodyDiv w:val="1"/>
      <w:marLeft w:val="0"/>
      <w:marRight w:val="0"/>
      <w:marTop w:val="0"/>
      <w:marBottom w:val="0"/>
      <w:divBdr>
        <w:top w:val="none" w:sz="0" w:space="0" w:color="auto"/>
        <w:left w:val="none" w:sz="0" w:space="0" w:color="auto"/>
        <w:bottom w:val="none" w:sz="0" w:space="0" w:color="auto"/>
        <w:right w:val="none" w:sz="0" w:space="0" w:color="auto"/>
      </w:divBdr>
    </w:div>
    <w:div w:id="585531170">
      <w:bodyDiv w:val="1"/>
      <w:marLeft w:val="0"/>
      <w:marRight w:val="0"/>
      <w:marTop w:val="0"/>
      <w:marBottom w:val="0"/>
      <w:divBdr>
        <w:top w:val="none" w:sz="0" w:space="0" w:color="auto"/>
        <w:left w:val="none" w:sz="0" w:space="0" w:color="auto"/>
        <w:bottom w:val="none" w:sz="0" w:space="0" w:color="auto"/>
        <w:right w:val="none" w:sz="0" w:space="0" w:color="auto"/>
      </w:divBdr>
    </w:div>
    <w:div w:id="848062956">
      <w:bodyDiv w:val="1"/>
      <w:marLeft w:val="0"/>
      <w:marRight w:val="0"/>
      <w:marTop w:val="0"/>
      <w:marBottom w:val="0"/>
      <w:divBdr>
        <w:top w:val="none" w:sz="0" w:space="0" w:color="auto"/>
        <w:left w:val="none" w:sz="0" w:space="0" w:color="auto"/>
        <w:bottom w:val="none" w:sz="0" w:space="0" w:color="auto"/>
        <w:right w:val="none" w:sz="0" w:space="0" w:color="auto"/>
      </w:divBdr>
    </w:div>
    <w:div w:id="850292782">
      <w:bodyDiv w:val="1"/>
      <w:marLeft w:val="0"/>
      <w:marRight w:val="0"/>
      <w:marTop w:val="0"/>
      <w:marBottom w:val="0"/>
      <w:divBdr>
        <w:top w:val="none" w:sz="0" w:space="0" w:color="auto"/>
        <w:left w:val="none" w:sz="0" w:space="0" w:color="auto"/>
        <w:bottom w:val="none" w:sz="0" w:space="0" w:color="auto"/>
        <w:right w:val="none" w:sz="0" w:space="0" w:color="auto"/>
      </w:divBdr>
    </w:div>
    <w:div w:id="868831822">
      <w:bodyDiv w:val="1"/>
      <w:marLeft w:val="0"/>
      <w:marRight w:val="0"/>
      <w:marTop w:val="0"/>
      <w:marBottom w:val="0"/>
      <w:divBdr>
        <w:top w:val="none" w:sz="0" w:space="0" w:color="auto"/>
        <w:left w:val="none" w:sz="0" w:space="0" w:color="auto"/>
        <w:bottom w:val="none" w:sz="0" w:space="0" w:color="auto"/>
        <w:right w:val="none" w:sz="0" w:space="0" w:color="auto"/>
      </w:divBdr>
    </w:div>
    <w:div w:id="888108128">
      <w:bodyDiv w:val="1"/>
      <w:marLeft w:val="0"/>
      <w:marRight w:val="0"/>
      <w:marTop w:val="0"/>
      <w:marBottom w:val="0"/>
      <w:divBdr>
        <w:top w:val="none" w:sz="0" w:space="0" w:color="auto"/>
        <w:left w:val="none" w:sz="0" w:space="0" w:color="auto"/>
        <w:bottom w:val="none" w:sz="0" w:space="0" w:color="auto"/>
        <w:right w:val="none" w:sz="0" w:space="0" w:color="auto"/>
      </w:divBdr>
    </w:div>
    <w:div w:id="1044868879">
      <w:bodyDiv w:val="1"/>
      <w:marLeft w:val="0"/>
      <w:marRight w:val="0"/>
      <w:marTop w:val="0"/>
      <w:marBottom w:val="0"/>
      <w:divBdr>
        <w:top w:val="none" w:sz="0" w:space="0" w:color="auto"/>
        <w:left w:val="none" w:sz="0" w:space="0" w:color="auto"/>
        <w:bottom w:val="none" w:sz="0" w:space="0" w:color="auto"/>
        <w:right w:val="none" w:sz="0" w:space="0" w:color="auto"/>
      </w:divBdr>
    </w:div>
    <w:div w:id="1098332106">
      <w:bodyDiv w:val="1"/>
      <w:marLeft w:val="0"/>
      <w:marRight w:val="0"/>
      <w:marTop w:val="0"/>
      <w:marBottom w:val="0"/>
      <w:divBdr>
        <w:top w:val="none" w:sz="0" w:space="0" w:color="auto"/>
        <w:left w:val="none" w:sz="0" w:space="0" w:color="auto"/>
        <w:bottom w:val="none" w:sz="0" w:space="0" w:color="auto"/>
        <w:right w:val="none" w:sz="0" w:space="0" w:color="auto"/>
      </w:divBdr>
    </w:div>
    <w:div w:id="1195773862">
      <w:bodyDiv w:val="1"/>
      <w:marLeft w:val="0"/>
      <w:marRight w:val="0"/>
      <w:marTop w:val="0"/>
      <w:marBottom w:val="0"/>
      <w:divBdr>
        <w:top w:val="none" w:sz="0" w:space="0" w:color="auto"/>
        <w:left w:val="none" w:sz="0" w:space="0" w:color="auto"/>
        <w:bottom w:val="none" w:sz="0" w:space="0" w:color="auto"/>
        <w:right w:val="none" w:sz="0" w:space="0" w:color="auto"/>
      </w:divBdr>
    </w:div>
    <w:div w:id="1203446659">
      <w:bodyDiv w:val="1"/>
      <w:marLeft w:val="0"/>
      <w:marRight w:val="0"/>
      <w:marTop w:val="0"/>
      <w:marBottom w:val="0"/>
      <w:divBdr>
        <w:top w:val="none" w:sz="0" w:space="0" w:color="auto"/>
        <w:left w:val="none" w:sz="0" w:space="0" w:color="auto"/>
        <w:bottom w:val="none" w:sz="0" w:space="0" w:color="auto"/>
        <w:right w:val="none" w:sz="0" w:space="0" w:color="auto"/>
      </w:divBdr>
    </w:div>
    <w:div w:id="1261792763">
      <w:bodyDiv w:val="1"/>
      <w:marLeft w:val="0"/>
      <w:marRight w:val="0"/>
      <w:marTop w:val="0"/>
      <w:marBottom w:val="0"/>
      <w:divBdr>
        <w:top w:val="none" w:sz="0" w:space="0" w:color="auto"/>
        <w:left w:val="none" w:sz="0" w:space="0" w:color="auto"/>
        <w:bottom w:val="none" w:sz="0" w:space="0" w:color="auto"/>
        <w:right w:val="none" w:sz="0" w:space="0" w:color="auto"/>
      </w:divBdr>
    </w:div>
    <w:div w:id="1288120850">
      <w:bodyDiv w:val="1"/>
      <w:marLeft w:val="0"/>
      <w:marRight w:val="0"/>
      <w:marTop w:val="0"/>
      <w:marBottom w:val="0"/>
      <w:divBdr>
        <w:top w:val="none" w:sz="0" w:space="0" w:color="auto"/>
        <w:left w:val="none" w:sz="0" w:space="0" w:color="auto"/>
        <w:bottom w:val="none" w:sz="0" w:space="0" w:color="auto"/>
        <w:right w:val="none" w:sz="0" w:space="0" w:color="auto"/>
      </w:divBdr>
    </w:div>
    <w:div w:id="1302808878">
      <w:bodyDiv w:val="1"/>
      <w:marLeft w:val="0"/>
      <w:marRight w:val="0"/>
      <w:marTop w:val="0"/>
      <w:marBottom w:val="0"/>
      <w:divBdr>
        <w:top w:val="none" w:sz="0" w:space="0" w:color="auto"/>
        <w:left w:val="none" w:sz="0" w:space="0" w:color="auto"/>
        <w:bottom w:val="none" w:sz="0" w:space="0" w:color="auto"/>
        <w:right w:val="none" w:sz="0" w:space="0" w:color="auto"/>
      </w:divBdr>
    </w:div>
    <w:div w:id="1315262274">
      <w:bodyDiv w:val="1"/>
      <w:marLeft w:val="0"/>
      <w:marRight w:val="0"/>
      <w:marTop w:val="0"/>
      <w:marBottom w:val="0"/>
      <w:divBdr>
        <w:top w:val="none" w:sz="0" w:space="0" w:color="auto"/>
        <w:left w:val="none" w:sz="0" w:space="0" w:color="auto"/>
        <w:bottom w:val="none" w:sz="0" w:space="0" w:color="auto"/>
        <w:right w:val="none" w:sz="0" w:space="0" w:color="auto"/>
      </w:divBdr>
    </w:div>
    <w:div w:id="1404916155">
      <w:bodyDiv w:val="1"/>
      <w:marLeft w:val="0"/>
      <w:marRight w:val="0"/>
      <w:marTop w:val="0"/>
      <w:marBottom w:val="0"/>
      <w:divBdr>
        <w:top w:val="none" w:sz="0" w:space="0" w:color="auto"/>
        <w:left w:val="none" w:sz="0" w:space="0" w:color="auto"/>
        <w:bottom w:val="none" w:sz="0" w:space="0" w:color="auto"/>
        <w:right w:val="none" w:sz="0" w:space="0" w:color="auto"/>
      </w:divBdr>
    </w:div>
    <w:div w:id="1426224100">
      <w:bodyDiv w:val="1"/>
      <w:marLeft w:val="0"/>
      <w:marRight w:val="0"/>
      <w:marTop w:val="0"/>
      <w:marBottom w:val="0"/>
      <w:divBdr>
        <w:top w:val="none" w:sz="0" w:space="0" w:color="auto"/>
        <w:left w:val="none" w:sz="0" w:space="0" w:color="auto"/>
        <w:bottom w:val="none" w:sz="0" w:space="0" w:color="auto"/>
        <w:right w:val="none" w:sz="0" w:space="0" w:color="auto"/>
      </w:divBdr>
    </w:div>
    <w:div w:id="1442187160">
      <w:bodyDiv w:val="1"/>
      <w:marLeft w:val="0"/>
      <w:marRight w:val="0"/>
      <w:marTop w:val="0"/>
      <w:marBottom w:val="0"/>
      <w:divBdr>
        <w:top w:val="none" w:sz="0" w:space="0" w:color="auto"/>
        <w:left w:val="none" w:sz="0" w:space="0" w:color="auto"/>
        <w:bottom w:val="none" w:sz="0" w:space="0" w:color="auto"/>
        <w:right w:val="none" w:sz="0" w:space="0" w:color="auto"/>
      </w:divBdr>
    </w:div>
    <w:div w:id="1467426635">
      <w:bodyDiv w:val="1"/>
      <w:marLeft w:val="0"/>
      <w:marRight w:val="0"/>
      <w:marTop w:val="0"/>
      <w:marBottom w:val="0"/>
      <w:divBdr>
        <w:top w:val="none" w:sz="0" w:space="0" w:color="auto"/>
        <w:left w:val="none" w:sz="0" w:space="0" w:color="auto"/>
        <w:bottom w:val="none" w:sz="0" w:space="0" w:color="auto"/>
        <w:right w:val="none" w:sz="0" w:space="0" w:color="auto"/>
      </w:divBdr>
    </w:div>
    <w:div w:id="1633704952">
      <w:bodyDiv w:val="1"/>
      <w:marLeft w:val="0"/>
      <w:marRight w:val="0"/>
      <w:marTop w:val="0"/>
      <w:marBottom w:val="0"/>
      <w:divBdr>
        <w:top w:val="none" w:sz="0" w:space="0" w:color="auto"/>
        <w:left w:val="none" w:sz="0" w:space="0" w:color="auto"/>
        <w:bottom w:val="none" w:sz="0" w:space="0" w:color="auto"/>
        <w:right w:val="none" w:sz="0" w:space="0" w:color="auto"/>
      </w:divBdr>
    </w:div>
    <w:div w:id="1663897148">
      <w:bodyDiv w:val="1"/>
      <w:marLeft w:val="0"/>
      <w:marRight w:val="0"/>
      <w:marTop w:val="0"/>
      <w:marBottom w:val="0"/>
      <w:divBdr>
        <w:top w:val="none" w:sz="0" w:space="0" w:color="auto"/>
        <w:left w:val="none" w:sz="0" w:space="0" w:color="auto"/>
        <w:bottom w:val="none" w:sz="0" w:space="0" w:color="auto"/>
        <w:right w:val="none" w:sz="0" w:space="0" w:color="auto"/>
      </w:divBdr>
    </w:div>
    <w:div w:id="1794329043">
      <w:bodyDiv w:val="1"/>
      <w:marLeft w:val="0"/>
      <w:marRight w:val="0"/>
      <w:marTop w:val="0"/>
      <w:marBottom w:val="0"/>
      <w:divBdr>
        <w:top w:val="none" w:sz="0" w:space="0" w:color="auto"/>
        <w:left w:val="none" w:sz="0" w:space="0" w:color="auto"/>
        <w:bottom w:val="none" w:sz="0" w:space="0" w:color="auto"/>
        <w:right w:val="none" w:sz="0" w:space="0" w:color="auto"/>
      </w:divBdr>
    </w:div>
    <w:div w:id="1824928011">
      <w:bodyDiv w:val="1"/>
      <w:marLeft w:val="0"/>
      <w:marRight w:val="0"/>
      <w:marTop w:val="0"/>
      <w:marBottom w:val="0"/>
      <w:divBdr>
        <w:top w:val="none" w:sz="0" w:space="0" w:color="auto"/>
        <w:left w:val="none" w:sz="0" w:space="0" w:color="auto"/>
        <w:bottom w:val="none" w:sz="0" w:space="0" w:color="auto"/>
        <w:right w:val="none" w:sz="0" w:space="0" w:color="auto"/>
      </w:divBdr>
    </w:div>
    <w:div w:id="2017027245">
      <w:bodyDiv w:val="1"/>
      <w:marLeft w:val="0"/>
      <w:marRight w:val="0"/>
      <w:marTop w:val="0"/>
      <w:marBottom w:val="0"/>
      <w:divBdr>
        <w:top w:val="none" w:sz="0" w:space="0" w:color="auto"/>
        <w:left w:val="none" w:sz="0" w:space="0" w:color="auto"/>
        <w:bottom w:val="none" w:sz="0" w:space="0" w:color="auto"/>
        <w:right w:val="none" w:sz="0" w:space="0" w:color="auto"/>
      </w:divBdr>
    </w:div>
    <w:div w:id="2065331188">
      <w:bodyDiv w:val="1"/>
      <w:marLeft w:val="0"/>
      <w:marRight w:val="0"/>
      <w:marTop w:val="0"/>
      <w:marBottom w:val="0"/>
      <w:divBdr>
        <w:top w:val="none" w:sz="0" w:space="0" w:color="auto"/>
        <w:left w:val="none" w:sz="0" w:space="0" w:color="auto"/>
        <w:bottom w:val="none" w:sz="0" w:space="0" w:color="auto"/>
        <w:right w:val="none" w:sz="0" w:space="0" w:color="auto"/>
      </w:divBdr>
    </w:div>
    <w:div w:id="21451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csc.ca/case-dossier/info/sum-som-eng.aspx?cas=3617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cc-csc.ca/case-dossier/info/sum-som-fra.aspx?cas=3600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ents-commentaires@scc-cs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1594</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9916</CharactersWithSpaces>
  <SharedDoc>false</SharedDoc>
  <HLinks>
    <vt:vector size="48" baseType="variant">
      <vt:variant>
        <vt:i4>524364</vt:i4>
      </vt:variant>
      <vt:variant>
        <vt:i4>23</vt:i4>
      </vt:variant>
      <vt:variant>
        <vt:i4>0</vt:i4>
      </vt:variant>
      <vt:variant>
        <vt:i4>5</vt:i4>
      </vt:variant>
      <vt:variant>
        <vt:lpwstr>http://www.scc-csc.gc.ca/news-nouv/rel-com/subs-abon-fra.aspx</vt:lpwstr>
      </vt:variant>
      <vt:variant>
        <vt:lpwstr/>
      </vt:variant>
      <vt:variant>
        <vt:i4>852048</vt:i4>
      </vt:variant>
      <vt:variant>
        <vt:i4>20</vt:i4>
      </vt:variant>
      <vt:variant>
        <vt:i4>0</vt:i4>
      </vt:variant>
      <vt:variant>
        <vt:i4>5</vt:i4>
      </vt:variant>
      <vt:variant>
        <vt:lpwstr>http://www.scc-csc.gc.ca/news-nouv/rel-com/subs-abon-eng.aspx</vt:lpwstr>
      </vt:variant>
      <vt:variant>
        <vt:lpwstr/>
      </vt:variant>
      <vt:variant>
        <vt:i4>3080213</vt:i4>
      </vt:variant>
      <vt:variant>
        <vt:i4>17</vt:i4>
      </vt:variant>
      <vt:variant>
        <vt:i4>0</vt:i4>
      </vt:variant>
      <vt:variant>
        <vt:i4>5</vt:i4>
      </vt:variant>
      <vt:variant>
        <vt:lpwstr>mailto:comments-commentaires@scc-csc.ca</vt:lpwstr>
      </vt:variant>
      <vt:variant>
        <vt:lpwstr/>
      </vt:variant>
      <vt:variant>
        <vt:i4>589830</vt:i4>
      </vt:variant>
      <vt:variant>
        <vt:i4>14</vt:i4>
      </vt:variant>
      <vt:variant>
        <vt:i4>0</vt:i4>
      </vt:variant>
      <vt:variant>
        <vt:i4>5</vt:i4>
      </vt:variant>
      <vt:variant>
        <vt:lpwstr>http://www.scc-csc.gc.ca/case-dossier/info/sum-som-eng.aspx?cas=36064</vt:lpwstr>
      </vt:variant>
      <vt:variant>
        <vt:lpwstr/>
      </vt:variant>
      <vt:variant>
        <vt:i4>720911</vt:i4>
      </vt:variant>
      <vt:variant>
        <vt:i4>11</vt:i4>
      </vt:variant>
      <vt:variant>
        <vt:i4>0</vt:i4>
      </vt:variant>
      <vt:variant>
        <vt:i4>5</vt:i4>
      </vt:variant>
      <vt:variant>
        <vt:lpwstr>http://www.scc-csc.gc.ca/case-dossier/info/sum-som-eng.aspx?cas=35977</vt:lpwstr>
      </vt:variant>
      <vt:variant>
        <vt:lpwstr/>
      </vt:variant>
      <vt:variant>
        <vt:i4>720898</vt:i4>
      </vt:variant>
      <vt:variant>
        <vt:i4>8</vt:i4>
      </vt:variant>
      <vt:variant>
        <vt:i4>0</vt:i4>
      </vt:variant>
      <vt:variant>
        <vt:i4>5</vt:i4>
      </vt:variant>
      <vt:variant>
        <vt:lpwstr>http://www.scc-csc.gc.ca/case-dossier/info/sum-som-eng.aspx?cas=35475</vt:lpwstr>
      </vt:variant>
      <vt:variant>
        <vt:lpwstr/>
      </vt:variant>
      <vt:variant>
        <vt:i4>2424895</vt:i4>
      </vt:variant>
      <vt:variant>
        <vt:i4>5</vt:i4>
      </vt:variant>
      <vt:variant>
        <vt:i4>0</vt:i4>
      </vt:variant>
      <vt:variant>
        <vt:i4>5</vt:i4>
      </vt:variant>
      <vt:variant>
        <vt:lpwstr>http://scc-csc.lexum.com/scc-csc/news/fr/item/4916/index.do</vt:lpwstr>
      </vt:variant>
      <vt:variant>
        <vt:lpwstr/>
      </vt:variant>
      <vt:variant>
        <vt:i4>3735612</vt:i4>
      </vt:variant>
      <vt:variant>
        <vt:i4>2</vt:i4>
      </vt:variant>
      <vt:variant>
        <vt:i4>0</vt:i4>
      </vt:variant>
      <vt:variant>
        <vt:i4>5</vt:i4>
      </vt:variant>
      <vt:variant>
        <vt:lpwstr>http://scc-csc.lexum.com/scc-csc/news/en/item/4916/index.do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2015-12-14T20:14:00Z</dcterms:created>
  <dcterms:modified xsi:type="dcterms:W3CDTF">2015-12-14T20:19:00Z</dcterms:modified>
</cp:coreProperties>
</file>