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D01D61"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B81143" w:rsidP="006F2579">
      <w:pPr>
        <w:widowControl w:val="0"/>
        <w:rPr>
          <w:b/>
        </w:rPr>
      </w:pPr>
      <w:r>
        <w:rPr>
          <w:b/>
        </w:rPr>
        <w:t>December 1</w:t>
      </w:r>
      <w:r w:rsidR="00296ACF">
        <w:rPr>
          <w:b/>
        </w:rPr>
        <w:t>7</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B81143">
        <w:rPr>
          <w:b/>
          <w:lang w:val="fr-CA"/>
        </w:rPr>
        <w:t>1</w:t>
      </w:r>
      <w:r w:rsidR="00296ACF">
        <w:rPr>
          <w:b/>
          <w:lang w:val="fr-CA"/>
        </w:rPr>
        <w:t>7</w:t>
      </w:r>
      <w:r w:rsidR="00B81143">
        <w:rPr>
          <w:b/>
          <w:lang w:val="fr-CA"/>
        </w:rPr>
        <w:t xml:space="preserve"> décembre</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w:t>
      </w:r>
      <w:r w:rsidR="00521EC3">
        <w:rPr>
          <w:lang w:val="fr-CA"/>
        </w:rPr>
        <w:t>’</w:t>
      </w:r>
      <w:r>
        <w:rPr>
          <w:lang w:val="fr-CA"/>
        </w:rPr>
        <w:t>appel et</w:t>
      </w:r>
      <w:r w:rsidR="00521EC3">
        <w:rPr>
          <w:lang w:val="fr-CA"/>
        </w:rPr>
        <w:t xml:space="preserve"> les</w:t>
      </w:r>
      <w:r w:rsidR="00CC044F">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CC43A4"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623896" w:rsidP="002767DF">
      <w:pPr>
        <w:tabs>
          <w:tab w:val="left" w:pos="720"/>
          <w:tab w:val="left" w:pos="1296"/>
          <w:tab w:val="left" w:pos="2160"/>
          <w:tab w:val="left" w:pos="2880"/>
          <w:tab w:val="left" w:pos="4320"/>
          <w:tab w:val="left" w:pos="10224"/>
          <w:tab w:val="left" w:pos="11376"/>
        </w:tabs>
        <w:jc w:val="both"/>
        <w:rPr>
          <w:lang w:val="fr-CA"/>
        </w:rPr>
      </w:pPr>
      <w:proofErr w:type="spellStart"/>
      <w:r>
        <w:rPr>
          <w:lang w:val="fr-CA"/>
        </w:rPr>
        <w:t>Reasons</w:t>
      </w:r>
      <w:proofErr w:type="spellEnd"/>
      <w:r>
        <w:rPr>
          <w:lang w:val="fr-CA"/>
        </w:rPr>
        <w:t xml:space="preserve"> for</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sidRPr="00623896">
        <w:rPr>
          <w:lang w:val="fr-CA"/>
        </w:rPr>
        <w:t>Motifs de jugement</w:t>
      </w:r>
      <w:r>
        <w:rPr>
          <w:lang w:val="fr-CA"/>
        </w:rPr>
        <w:t xml:space="preserve"> </w:t>
      </w:r>
      <w:r w:rsidR="003413DF">
        <w:rPr>
          <w:lang w:val="fr-CA"/>
        </w:rPr>
        <w:t>disponible</w:t>
      </w:r>
      <w:r>
        <w:rPr>
          <w:lang w:val="fr-CA"/>
        </w:rPr>
        <w:t>s</w:t>
      </w:r>
      <w:r w:rsidR="002767DF" w:rsidRPr="009D2AD9">
        <w:rPr>
          <w:lang w:val="fr-CA"/>
        </w:rPr>
        <w:t xml:space="preserve"> sous peu à: </w:t>
      </w:r>
    </w:p>
    <w:p w:rsidR="00B1256C" w:rsidRDefault="006A7703"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D438D5">
          <w:rPr>
            <w:rStyle w:val="Hyperlink"/>
            <w:lang w:val="fr-CA"/>
          </w:rPr>
          <w:t>http://scc-csc.lexum.com/scc-csc/en/nav.do</w:t>
        </w:r>
      </w:hyperlink>
    </w:p>
    <w:p w:rsidR="00B1256C" w:rsidRDefault="006A7703"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296ACF" w:rsidRDefault="00D01D61" w:rsidP="00EF7C06">
      <w:pPr>
        <w:ind w:left="1440" w:hanging="1440"/>
        <w:jc w:val="both"/>
        <w:rPr>
          <w:rFonts w:eastAsia="Calibri"/>
          <w:sz w:val="20"/>
          <w:szCs w:val="22"/>
          <w:lang w:val="fr-CA"/>
        </w:rPr>
      </w:pPr>
      <w:r w:rsidRPr="00EF7C06">
        <w:rPr>
          <w:rFonts w:eastAsia="Calibri"/>
          <w:b/>
          <w:sz w:val="20"/>
          <w:szCs w:val="22"/>
          <w:lang w:val="en-CA"/>
        </w:rPr>
        <w:fldChar w:fldCharType="begin"/>
      </w:r>
      <w:r w:rsidR="00EF7C06" w:rsidRPr="00296ACF">
        <w:rPr>
          <w:rFonts w:eastAsia="Calibri"/>
          <w:b/>
          <w:sz w:val="20"/>
          <w:szCs w:val="22"/>
          <w:lang w:val="fr-CA"/>
        </w:rPr>
        <w:instrText xml:space="preserve"> SEQ CHAPTER \h \r 1</w:instrText>
      </w:r>
      <w:r w:rsidRPr="00EF7C06">
        <w:rPr>
          <w:rFonts w:eastAsia="Calibri"/>
          <w:b/>
          <w:sz w:val="20"/>
          <w:szCs w:val="22"/>
          <w:lang w:val="en-CA"/>
        </w:rPr>
        <w:fldChar w:fldCharType="end"/>
      </w:r>
      <w:r w:rsidR="00EF7C06" w:rsidRPr="00296ACF">
        <w:rPr>
          <w:rFonts w:eastAsia="Calibri"/>
          <w:b/>
          <w:sz w:val="20"/>
          <w:szCs w:val="22"/>
          <w:lang w:val="fr-CA"/>
        </w:rPr>
        <w:t>3</w:t>
      </w:r>
      <w:r w:rsidR="00296ACF" w:rsidRPr="00296ACF">
        <w:rPr>
          <w:rFonts w:eastAsia="Calibri"/>
          <w:b/>
          <w:sz w:val="20"/>
          <w:szCs w:val="22"/>
          <w:lang w:val="fr-CA"/>
        </w:rPr>
        <w:t>6001</w:t>
      </w:r>
      <w:r w:rsidR="00EF7C06" w:rsidRPr="00296ACF">
        <w:rPr>
          <w:rFonts w:eastAsia="Calibri"/>
          <w:sz w:val="20"/>
          <w:szCs w:val="22"/>
          <w:lang w:val="fr-CA"/>
        </w:rPr>
        <w:tab/>
      </w:r>
      <w:r w:rsidR="00296ACF" w:rsidRPr="00296ACF">
        <w:rPr>
          <w:rFonts w:eastAsia="Calibri"/>
          <w:b/>
          <w:sz w:val="20"/>
          <w:szCs w:val="22"/>
          <w:u w:val="single"/>
          <w:lang w:val="fr-CA"/>
        </w:rPr>
        <w:t>Sa Majesté la Reine</w:t>
      </w:r>
      <w:r w:rsidR="00164911" w:rsidRPr="00296ACF">
        <w:rPr>
          <w:rFonts w:eastAsia="Calibri"/>
          <w:b/>
          <w:sz w:val="20"/>
          <w:szCs w:val="22"/>
          <w:u w:val="single"/>
          <w:lang w:val="fr-CA"/>
        </w:rPr>
        <w:t xml:space="preserve"> </w:t>
      </w:r>
      <w:r w:rsidR="00296ACF" w:rsidRPr="00296ACF">
        <w:rPr>
          <w:rFonts w:eastAsia="Calibri"/>
          <w:b/>
          <w:sz w:val="20"/>
          <w:szCs w:val="22"/>
          <w:u w:val="single"/>
          <w:lang w:val="fr-CA"/>
        </w:rPr>
        <w:t xml:space="preserve">c. Tommy </w:t>
      </w:r>
      <w:proofErr w:type="spellStart"/>
      <w:r w:rsidR="00296ACF" w:rsidRPr="00296ACF">
        <w:rPr>
          <w:rFonts w:eastAsia="Calibri"/>
          <w:b/>
          <w:sz w:val="20"/>
          <w:szCs w:val="22"/>
          <w:u w:val="single"/>
          <w:lang w:val="fr-CA"/>
        </w:rPr>
        <w:t>Lacasse</w:t>
      </w:r>
      <w:proofErr w:type="spellEnd"/>
      <w:r w:rsidR="00164911" w:rsidRPr="00296ACF">
        <w:rPr>
          <w:rFonts w:eastAsia="Calibri"/>
          <w:b/>
          <w:sz w:val="20"/>
          <w:szCs w:val="22"/>
          <w:u w:val="single"/>
          <w:lang w:val="fr-CA"/>
        </w:rPr>
        <w:t xml:space="preserve"> - </w:t>
      </w:r>
      <w:r w:rsidR="00296ACF" w:rsidRPr="00296ACF">
        <w:rPr>
          <w:rFonts w:eastAsia="Calibri"/>
          <w:b/>
          <w:sz w:val="20"/>
          <w:szCs w:val="22"/>
          <w:u w:val="single"/>
          <w:lang w:val="fr-CA"/>
        </w:rPr>
        <w:t>et</w:t>
      </w:r>
      <w:r w:rsidR="00164911" w:rsidRPr="00296ACF">
        <w:rPr>
          <w:rFonts w:eastAsia="Calibri"/>
          <w:b/>
          <w:sz w:val="20"/>
          <w:szCs w:val="22"/>
          <w:u w:val="single"/>
          <w:lang w:val="fr-CA"/>
        </w:rPr>
        <w:t xml:space="preserve"> - </w:t>
      </w:r>
      <w:r w:rsidR="00296ACF" w:rsidRPr="00296ACF">
        <w:rPr>
          <w:rFonts w:eastAsia="Calibri"/>
          <w:b/>
          <w:sz w:val="20"/>
          <w:szCs w:val="22"/>
          <w:u w:val="single"/>
          <w:lang w:val="fr-CA"/>
        </w:rPr>
        <w:t>Procureur général de l’Alberta</w:t>
      </w:r>
      <w:r w:rsidR="00AD4DCC" w:rsidRPr="00296ACF">
        <w:rPr>
          <w:rFonts w:eastAsia="Calibri"/>
          <w:b/>
          <w:sz w:val="20"/>
          <w:szCs w:val="22"/>
          <w:lang w:val="fr-CA"/>
        </w:rPr>
        <w:t xml:space="preserve"> </w:t>
      </w:r>
      <w:r w:rsidR="00EF7C06" w:rsidRPr="00296ACF">
        <w:rPr>
          <w:rFonts w:eastAsia="Calibri"/>
          <w:iCs/>
          <w:sz w:val="20"/>
          <w:szCs w:val="22"/>
          <w:lang w:val="fr-CA"/>
        </w:rPr>
        <w:t>(</w:t>
      </w:r>
      <w:proofErr w:type="spellStart"/>
      <w:r w:rsidR="00296ACF" w:rsidRPr="00296ACF">
        <w:rPr>
          <w:rFonts w:eastAsia="Calibri"/>
          <w:iCs/>
          <w:sz w:val="20"/>
          <w:szCs w:val="22"/>
          <w:lang w:val="fr-CA"/>
        </w:rPr>
        <w:t>Qc</w:t>
      </w:r>
      <w:proofErr w:type="spellEnd"/>
      <w:r w:rsidR="00EF7C06" w:rsidRPr="00296ACF">
        <w:rPr>
          <w:rFonts w:eastAsia="Calibri"/>
          <w:iCs/>
          <w:sz w:val="20"/>
          <w:szCs w:val="22"/>
          <w:lang w:val="fr-CA"/>
        </w:rPr>
        <w:t>)</w:t>
      </w:r>
    </w:p>
    <w:p w:rsidR="00EF7C06" w:rsidRPr="007727B5"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7727B5">
        <w:rPr>
          <w:rFonts w:eastAsia="Calibri"/>
          <w:b/>
          <w:sz w:val="20"/>
          <w:szCs w:val="22"/>
          <w:lang w:val="fr-CA"/>
        </w:rPr>
        <w:t xml:space="preserve">2015 SCC </w:t>
      </w:r>
      <w:r w:rsidR="004B0C68" w:rsidRPr="007727B5">
        <w:rPr>
          <w:rFonts w:eastAsia="Calibri"/>
          <w:b/>
          <w:sz w:val="20"/>
          <w:szCs w:val="22"/>
          <w:lang w:val="fr-CA"/>
        </w:rPr>
        <w:t>6</w:t>
      </w:r>
      <w:r w:rsidR="00296ACF" w:rsidRPr="007727B5">
        <w:rPr>
          <w:rFonts w:eastAsia="Calibri"/>
          <w:b/>
          <w:sz w:val="20"/>
          <w:szCs w:val="22"/>
          <w:lang w:val="fr-CA"/>
        </w:rPr>
        <w:t>4</w:t>
      </w:r>
      <w:r w:rsidR="00EF7C06" w:rsidRPr="007727B5">
        <w:rPr>
          <w:rFonts w:eastAsia="Calibri"/>
          <w:b/>
          <w:sz w:val="20"/>
          <w:szCs w:val="22"/>
          <w:lang w:val="fr-CA"/>
        </w:rPr>
        <w:t xml:space="preserve"> / 2015 CSC </w:t>
      </w:r>
      <w:r w:rsidR="004B0C68" w:rsidRPr="007727B5">
        <w:rPr>
          <w:rFonts w:eastAsia="Calibri"/>
          <w:b/>
          <w:sz w:val="20"/>
          <w:szCs w:val="22"/>
          <w:lang w:val="fr-CA"/>
        </w:rPr>
        <w:t>6</w:t>
      </w:r>
      <w:r w:rsidR="00296ACF" w:rsidRPr="007727B5">
        <w:rPr>
          <w:rFonts w:eastAsia="Calibri"/>
          <w:b/>
          <w:sz w:val="20"/>
          <w:szCs w:val="22"/>
          <w:lang w:val="fr-CA"/>
        </w:rPr>
        <w:t>4</w:t>
      </w:r>
    </w:p>
    <w:p w:rsidR="00EF7C06" w:rsidRPr="007727B5"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296ACF" w:rsidRDefault="00EF7C06" w:rsidP="00EF7C06">
      <w:pPr>
        <w:ind w:left="1440" w:hanging="1440"/>
        <w:rPr>
          <w:rFonts w:eastAsia="Calibri"/>
          <w:sz w:val="20"/>
          <w:szCs w:val="22"/>
          <w:u w:val="single"/>
          <w:lang w:val="fr-CA"/>
        </w:rPr>
      </w:pPr>
      <w:r w:rsidRPr="00296ACF">
        <w:rPr>
          <w:rFonts w:eastAsia="Calibri"/>
          <w:sz w:val="20"/>
          <w:szCs w:val="22"/>
          <w:lang w:val="fr-CA"/>
        </w:rPr>
        <w:t>Coram:</w:t>
      </w:r>
      <w:r w:rsidRPr="00296ACF">
        <w:rPr>
          <w:rFonts w:eastAsia="Calibri"/>
          <w:sz w:val="20"/>
          <w:szCs w:val="22"/>
          <w:lang w:val="fr-CA"/>
        </w:rPr>
        <w:tab/>
      </w:r>
      <w:r w:rsidR="00296ACF" w:rsidRPr="00296ACF">
        <w:rPr>
          <w:rFonts w:eastAsia="Calibri"/>
          <w:sz w:val="20"/>
          <w:szCs w:val="22"/>
          <w:u w:val="single"/>
          <w:lang w:val="fr-CA"/>
        </w:rPr>
        <w:t>La juge en chef McLachlin et les juges Abella, Moldaver, Karakatsanis, Wagner, Gascon et Côté</w:t>
      </w:r>
      <w:r w:rsidR="00164911" w:rsidRPr="00296ACF">
        <w:rPr>
          <w:rFonts w:eastAsia="Calibri"/>
          <w:sz w:val="20"/>
          <w:szCs w:val="22"/>
          <w:u w:val="single"/>
          <w:lang w:val="fr-CA"/>
        </w:rPr>
        <w:t xml:space="preserve"> </w:t>
      </w:r>
    </w:p>
    <w:p w:rsidR="005D29DE" w:rsidRPr="00296ACF" w:rsidRDefault="005D29DE" w:rsidP="00296ACF">
      <w:pPr>
        <w:jc w:val="both"/>
        <w:rPr>
          <w:sz w:val="16"/>
          <w:lang w:val="fr-CA"/>
        </w:rPr>
      </w:pPr>
    </w:p>
    <w:p w:rsidR="00296ACF" w:rsidRPr="00296ACF" w:rsidRDefault="00296ACF" w:rsidP="00296ACF">
      <w:pPr>
        <w:jc w:val="both"/>
        <w:rPr>
          <w:rFonts w:eastAsiaTheme="minorHAnsi" w:cstheme="minorBidi"/>
          <w:sz w:val="20"/>
          <w:szCs w:val="22"/>
          <w:lang w:val="fr-CA"/>
        </w:rPr>
      </w:pPr>
      <w:r w:rsidRPr="00296ACF">
        <w:rPr>
          <w:rFonts w:eastAsiaTheme="minorHAnsi" w:cstheme="minorBidi"/>
          <w:sz w:val="20"/>
          <w:szCs w:val="22"/>
          <w:lang w:val="fr-CA"/>
        </w:rPr>
        <w:t>L’appel interjeté contre l’arrêt de la Cour d’appel du Québec (Québec), numéro 200-10-002992-134, 2014 QCCA 1061, en date du 15 mai 2014, entendu le 15 mai 2015, est accueilli. La peine prononcée par le juge de première instance est rétablie, sauf en ce qui concerne l’interdiction de conduire, laquelle est réduite à une période de deux ans et quatre mois commençant au terme de l’incarcération. La juge en chef McLachlin et le juge Gascon sont dissidents.</w:t>
      </w:r>
    </w:p>
    <w:p w:rsidR="00296ACF" w:rsidRPr="00296ACF" w:rsidRDefault="00296ACF" w:rsidP="00296ACF">
      <w:pPr>
        <w:jc w:val="both"/>
        <w:rPr>
          <w:rFonts w:eastAsiaTheme="minorHAnsi" w:cstheme="minorBidi"/>
          <w:sz w:val="20"/>
          <w:szCs w:val="22"/>
          <w:lang w:val="fr-CA"/>
        </w:rPr>
      </w:pPr>
    </w:p>
    <w:p w:rsidR="00296ACF" w:rsidRPr="007727B5" w:rsidRDefault="00296ACF" w:rsidP="00296ACF">
      <w:pPr>
        <w:jc w:val="both"/>
        <w:rPr>
          <w:rFonts w:eastAsiaTheme="minorHAnsi" w:cstheme="minorBidi"/>
          <w:sz w:val="20"/>
          <w:szCs w:val="22"/>
        </w:rPr>
      </w:pPr>
      <w:r w:rsidRPr="00296ACF">
        <w:rPr>
          <w:rFonts w:eastAsiaTheme="minorHAnsi" w:cstheme="minorBidi"/>
          <w:sz w:val="20"/>
          <w:szCs w:val="22"/>
          <w:lang w:val="en-CA"/>
        </w:rPr>
        <w:t xml:space="preserve">The appeal from the judgment </w:t>
      </w:r>
      <w:bookmarkStart w:id="0" w:name="BM_1_"/>
      <w:bookmarkEnd w:id="0"/>
      <w:r w:rsidRPr="00296ACF">
        <w:rPr>
          <w:rFonts w:eastAsiaTheme="minorHAnsi" w:cstheme="minorBidi"/>
          <w:sz w:val="20"/>
          <w:szCs w:val="22"/>
          <w:lang w:val="en-CA"/>
        </w:rPr>
        <w:t>of the Court of Appeal of Quebec (Québec), Number 200-10-002992-134, 2014 QCCA 1061, dated May 15, 2014, heard on May 15, 2015, is allowed. T</w:t>
      </w:r>
      <w:r w:rsidRPr="00296ACF">
        <w:rPr>
          <w:rFonts w:eastAsiaTheme="minorHAnsi"/>
          <w:sz w:val="20"/>
          <w:szCs w:val="22"/>
          <w:lang w:val="en-CA"/>
        </w:rPr>
        <w:t>he sentence imposed by the trial judge is restored except as regards the driving prohibition, which is reduced to two years and four months commencing at the end of the respondent’s incarceration.</w:t>
      </w:r>
      <w:r w:rsidRPr="00296ACF">
        <w:rPr>
          <w:rFonts w:eastAsiaTheme="minorHAnsi" w:cstheme="minorBidi"/>
          <w:sz w:val="20"/>
          <w:szCs w:val="22"/>
          <w:lang w:val="en-CA"/>
        </w:rPr>
        <w:t xml:space="preserve"> McLachlin C.J. and </w:t>
      </w:r>
      <w:proofErr w:type="spellStart"/>
      <w:r w:rsidRPr="00296ACF">
        <w:rPr>
          <w:rFonts w:eastAsiaTheme="minorHAnsi" w:cstheme="minorBidi"/>
          <w:sz w:val="20"/>
          <w:szCs w:val="22"/>
          <w:lang w:val="en-CA"/>
        </w:rPr>
        <w:t>Gascon</w:t>
      </w:r>
      <w:proofErr w:type="spellEnd"/>
      <w:r w:rsidRPr="00296ACF">
        <w:rPr>
          <w:rFonts w:eastAsiaTheme="minorHAnsi" w:cstheme="minorBidi"/>
          <w:sz w:val="20"/>
          <w:szCs w:val="22"/>
          <w:lang w:val="en-CA"/>
        </w:rPr>
        <w:t xml:space="preserve"> J. are dissenting.</w:t>
      </w:r>
    </w:p>
    <w:p w:rsidR="003E7268" w:rsidRPr="007727B5" w:rsidRDefault="003E7268" w:rsidP="003E7268">
      <w:pPr>
        <w:jc w:val="both"/>
        <w:rPr>
          <w:rFonts w:eastAsiaTheme="minorHAnsi"/>
          <w:sz w:val="20"/>
        </w:rPr>
      </w:pPr>
    </w:p>
    <w:p w:rsidR="00E21F53" w:rsidRPr="007727B5" w:rsidRDefault="005D29DE" w:rsidP="00D714D3">
      <w:pPr>
        <w:widowControl w:val="0"/>
        <w:rPr>
          <w:sz w:val="20"/>
        </w:rPr>
      </w:pPr>
      <w:r>
        <w:rPr>
          <w:noProof/>
          <w:sz w:val="20"/>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7727B5" w:rsidRDefault="00C6146D" w:rsidP="00FC4ECC">
      <w:pPr>
        <w:ind w:left="1440" w:hanging="1440"/>
        <w:rPr>
          <w:sz w:val="20"/>
        </w:rPr>
      </w:pPr>
    </w:p>
    <w:p w:rsidR="009D2AD9" w:rsidRPr="007727B5" w:rsidRDefault="00D01D61" w:rsidP="009D2AD9">
      <w:pPr>
        <w:rPr>
          <w:lang w:val="fr-CA"/>
        </w:rPr>
      </w:pPr>
      <w:r w:rsidRPr="00D41E15">
        <w:rPr>
          <w:szCs w:val="24"/>
        </w:rPr>
        <w:fldChar w:fldCharType="begin"/>
      </w:r>
      <w:r w:rsidR="009D2AD9" w:rsidRPr="007727B5">
        <w:rPr>
          <w:szCs w:val="24"/>
          <w:lang w:val="fr-CA"/>
        </w:rPr>
        <w:instrText xml:space="preserve"> SEQ CHAPTER \h \r 1</w:instrText>
      </w:r>
      <w:r w:rsidRPr="00D41E15">
        <w:rPr>
          <w:szCs w:val="24"/>
        </w:rPr>
        <w:fldChar w:fldCharType="end"/>
      </w:r>
      <w:r w:rsidR="009D2AD9" w:rsidRPr="007727B5">
        <w:rPr>
          <w:b/>
          <w:bCs/>
          <w:szCs w:val="24"/>
          <w:lang w:val="fr-CA"/>
        </w:rPr>
        <w:t>APPLICATION</w:t>
      </w:r>
      <w:r w:rsidR="0044099A" w:rsidRPr="007727B5">
        <w:rPr>
          <w:b/>
          <w:bCs/>
          <w:szCs w:val="24"/>
          <w:lang w:val="fr-CA"/>
        </w:rPr>
        <w:t>S</w:t>
      </w:r>
      <w:r w:rsidR="009D2AD9" w:rsidRPr="007727B5">
        <w:rPr>
          <w:b/>
          <w:bCs/>
          <w:szCs w:val="24"/>
          <w:lang w:val="fr-CA"/>
        </w:rPr>
        <w:t xml:space="preserve"> FOR LEAVE / DEMANDE</w:t>
      </w:r>
      <w:r w:rsidR="0044099A" w:rsidRPr="007727B5">
        <w:rPr>
          <w:b/>
          <w:bCs/>
          <w:szCs w:val="24"/>
          <w:lang w:val="fr-CA"/>
        </w:rPr>
        <w:t>S</w:t>
      </w:r>
      <w:r w:rsidR="009D2AD9" w:rsidRPr="007727B5">
        <w:rPr>
          <w:b/>
          <w:bCs/>
          <w:szCs w:val="24"/>
          <w:lang w:val="fr-CA"/>
        </w:rPr>
        <w:t xml:space="preserve"> D’AUTORISATION :</w:t>
      </w:r>
    </w:p>
    <w:p w:rsidR="009D2AD9" w:rsidRPr="007727B5"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9" w:history="1">
        <w:r w:rsidR="00B81473" w:rsidRPr="00FF08D1">
          <w:rPr>
            <w:rStyle w:val="Hyperlink"/>
            <w:szCs w:val="24"/>
          </w:rPr>
          <w:t>http://scc-csc.lexum.com/scc-csc/news/en/item/5120/index.do</w:t>
        </w:r>
      </w:hyperlink>
      <w:r w:rsidR="00463D03">
        <w:rPr>
          <w:szCs w:val="24"/>
        </w:rPr>
        <w:t>.</w:t>
      </w:r>
    </w:p>
    <w:p w:rsid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10" w:history="1">
        <w:r w:rsidR="00B81473" w:rsidRPr="00FF08D1">
          <w:rPr>
            <w:rStyle w:val="Hyperlink"/>
            <w:szCs w:val="24"/>
            <w:lang w:val="fr-CA"/>
          </w:rPr>
          <w:t>http://scc-csc.lexum.com/scc-csc/news/fr/item/5120/index.do</w:t>
        </w:r>
      </w:hyperlink>
      <w:r w:rsidR="00B81143">
        <w:rPr>
          <w:szCs w:val="24"/>
          <w:lang w:val="fr-CA"/>
        </w:rPr>
        <w:t>.</w:t>
      </w:r>
    </w:p>
    <w:p w:rsidR="000011BB" w:rsidRPr="00840C10" w:rsidRDefault="000011BB" w:rsidP="009571E4">
      <w:pPr>
        <w:jc w:val="both"/>
        <w:rPr>
          <w:b/>
          <w:lang w:val="fr-CA"/>
        </w:rPr>
      </w:pPr>
    </w:p>
    <w:p w:rsidR="000011BB" w:rsidRPr="00840C10" w:rsidRDefault="000011BB" w:rsidP="009571E4">
      <w:pPr>
        <w:jc w:val="both"/>
        <w:rPr>
          <w:b/>
          <w:lang w:val="fr-CA"/>
        </w:rPr>
      </w:pPr>
    </w:p>
    <w:p w:rsidR="000011BB" w:rsidRPr="007727B5" w:rsidRDefault="000011BB" w:rsidP="009571E4">
      <w:pPr>
        <w:jc w:val="both"/>
        <w:rPr>
          <w:b/>
          <w:lang w:val="fr-CA"/>
        </w:rPr>
      </w:pPr>
      <w:r w:rsidRPr="007727B5">
        <w:rPr>
          <w:b/>
          <w:lang w:val="fr-CA"/>
        </w:rPr>
        <w:t>GRANTED WITH COSTS / ACCORDÉE AVEC DÉPENS</w:t>
      </w:r>
    </w:p>
    <w:p w:rsidR="000011BB" w:rsidRPr="007727B5" w:rsidRDefault="000011BB" w:rsidP="009571E4">
      <w:pPr>
        <w:jc w:val="both"/>
        <w:rPr>
          <w:sz w:val="20"/>
          <w:lang w:val="fr-CA"/>
        </w:rPr>
      </w:pPr>
    </w:p>
    <w:p w:rsidR="00B81473" w:rsidRPr="007727B5" w:rsidRDefault="00B81473" w:rsidP="00ED0435">
      <w:pPr>
        <w:jc w:val="both"/>
        <w:rPr>
          <w:sz w:val="20"/>
          <w:lang w:val="fr-CA"/>
        </w:rPr>
      </w:pPr>
      <w:r w:rsidRPr="00ED0435">
        <w:rPr>
          <w:i/>
          <w:sz w:val="20"/>
          <w:lang w:val="fr-CA" w:eastAsia="en-CA"/>
        </w:rPr>
        <w:t xml:space="preserve">Andrew </w:t>
      </w:r>
      <w:proofErr w:type="spellStart"/>
      <w:r w:rsidRPr="00ED0435">
        <w:rPr>
          <w:i/>
          <w:sz w:val="20"/>
          <w:lang w:val="fr-CA" w:eastAsia="en-CA"/>
        </w:rPr>
        <w:t>Sabean</w:t>
      </w:r>
      <w:proofErr w:type="spellEnd"/>
      <w:r w:rsidRPr="00ED0435">
        <w:rPr>
          <w:i/>
          <w:sz w:val="20"/>
          <w:lang w:val="fr-CA" w:eastAsia="en-CA"/>
        </w:rPr>
        <w:t xml:space="preserve"> v. Portage La Prairie </w:t>
      </w:r>
      <w:proofErr w:type="spellStart"/>
      <w:r w:rsidRPr="00ED0435">
        <w:rPr>
          <w:i/>
          <w:sz w:val="20"/>
          <w:lang w:val="fr-CA" w:eastAsia="en-CA"/>
        </w:rPr>
        <w:t>Mutual</w:t>
      </w:r>
      <w:proofErr w:type="spellEnd"/>
      <w:r w:rsidRPr="00ED0435">
        <w:rPr>
          <w:i/>
          <w:sz w:val="20"/>
          <w:lang w:val="fr-CA" w:eastAsia="en-CA"/>
        </w:rPr>
        <w:t xml:space="preserve"> </w:t>
      </w:r>
      <w:proofErr w:type="spellStart"/>
      <w:r w:rsidRPr="00ED0435">
        <w:rPr>
          <w:i/>
          <w:sz w:val="20"/>
          <w:lang w:val="fr-CA" w:eastAsia="en-CA"/>
        </w:rPr>
        <w:t>Insurance</w:t>
      </w:r>
      <w:proofErr w:type="spellEnd"/>
      <w:r w:rsidRPr="00ED0435">
        <w:rPr>
          <w:i/>
          <w:sz w:val="20"/>
          <w:lang w:val="fr-CA" w:eastAsia="en-CA"/>
        </w:rPr>
        <w:t xml:space="preserve"> </w:t>
      </w:r>
      <w:proofErr w:type="spellStart"/>
      <w:r w:rsidRPr="00ED0435">
        <w:rPr>
          <w:i/>
          <w:sz w:val="20"/>
          <w:lang w:val="fr-CA" w:eastAsia="en-CA"/>
        </w:rPr>
        <w:t>Company</w:t>
      </w:r>
      <w:proofErr w:type="spellEnd"/>
      <w:r w:rsidRPr="00ED0435">
        <w:rPr>
          <w:sz w:val="20"/>
          <w:lang w:val="fr-CA" w:eastAsia="en-CA"/>
        </w:rPr>
        <w:t xml:space="preserve"> (N.S.) </w:t>
      </w:r>
      <w:r w:rsidRPr="007727B5">
        <w:rPr>
          <w:sz w:val="20"/>
          <w:lang w:val="fr-CA" w:eastAsia="en-CA"/>
        </w:rPr>
        <w:t xml:space="preserve">(Civil) (By </w:t>
      </w:r>
      <w:proofErr w:type="spellStart"/>
      <w:r w:rsidRPr="007727B5">
        <w:rPr>
          <w:sz w:val="20"/>
          <w:lang w:val="fr-CA" w:eastAsia="en-CA"/>
        </w:rPr>
        <w:t>Leave</w:t>
      </w:r>
      <w:proofErr w:type="spellEnd"/>
      <w:r w:rsidRPr="007727B5">
        <w:rPr>
          <w:sz w:val="20"/>
          <w:lang w:val="fr-CA" w:eastAsia="en-CA"/>
        </w:rPr>
        <w:t>) (</w:t>
      </w:r>
      <w:hyperlink r:id="rId11" w:history="1">
        <w:r w:rsidRPr="007727B5">
          <w:rPr>
            <w:rStyle w:val="Hyperlink"/>
            <w:sz w:val="20"/>
            <w:lang w:val="fr-CA" w:eastAsia="en-CA"/>
          </w:rPr>
          <w:t>36575</w:t>
        </w:r>
      </w:hyperlink>
      <w:r w:rsidRPr="007727B5">
        <w:rPr>
          <w:sz w:val="20"/>
          <w:lang w:val="fr-CA" w:eastAsia="en-CA"/>
        </w:rPr>
        <w:t>)</w:t>
      </w:r>
    </w:p>
    <w:p w:rsidR="00B81473" w:rsidRPr="00ED0435" w:rsidRDefault="00B81473" w:rsidP="00ED0435">
      <w:pPr>
        <w:jc w:val="both"/>
        <w:rPr>
          <w:sz w:val="20"/>
        </w:rPr>
      </w:pPr>
      <w:r w:rsidRPr="00ED0435">
        <w:rPr>
          <w:sz w:val="20"/>
          <w:lang w:val="en-CA"/>
        </w:rPr>
        <w:t>(</w:t>
      </w:r>
      <w:r w:rsidRPr="00ED0435">
        <w:rPr>
          <w:sz w:val="20"/>
        </w:rPr>
        <w:t xml:space="preserve">The application for leave to appeal is granted with costs in the cause. / </w:t>
      </w:r>
    </w:p>
    <w:p w:rsidR="00B81473" w:rsidRPr="00ED0435" w:rsidRDefault="00B81473" w:rsidP="00ED0435">
      <w:pPr>
        <w:jc w:val="both"/>
        <w:rPr>
          <w:sz w:val="20"/>
          <w:lang w:val="fr-CA"/>
        </w:rPr>
      </w:pPr>
      <w:r w:rsidRPr="00ED0435">
        <w:rPr>
          <w:sz w:val="20"/>
          <w:lang w:val="fr-CA"/>
        </w:rPr>
        <w:t>La demande d’autorisation d’appel est accueillie avec dépens selon l’issue de la cause.)</w:t>
      </w:r>
    </w:p>
    <w:p w:rsidR="00B81473" w:rsidRPr="00ED0435" w:rsidRDefault="00B81473" w:rsidP="00ED0435">
      <w:pPr>
        <w:jc w:val="both"/>
        <w:rPr>
          <w:sz w:val="20"/>
        </w:rPr>
      </w:pPr>
      <w:r w:rsidRPr="00ED0435">
        <w:rPr>
          <w:sz w:val="20"/>
        </w:rPr>
        <w:t xml:space="preserve">Coram: Cromwell / Wagner / </w:t>
      </w:r>
      <w:proofErr w:type="spellStart"/>
      <w:r w:rsidRPr="00ED0435">
        <w:rPr>
          <w:sz w:val="20"/>
        </w:rPr>
        <w:t>Côté</w:t>
      </w:r>
      <w:proofErr w:type="spellEnd"/>
    </w:p>
    <w:p w:rsidR="00B81473" w:rsidRPr="00ED0435" w:rsidRDefault="00B81473" w:rsidP="00ED0435">
      <w:pPr>
        <w:jc w:val="both"/>
        <w:rPr>
          <w:sz w:val="20"/>
        </w:rPr>
      </w:pPr>
    </w:p>
    <w:p w:rsidR="00B81473" w:rsidRPr="00ED0435" w:rsidRDefault="00B81473" w:rsidP="00ED0435">
      <w:pPr>
        <w:jc w:val="both"/>
        <w:rPr>
          <w:sz w:val="20"/>
        </w:rPr>
      </w:pPr>
      <w:r w:rsidRPr="00ED0435">
        <w:rPr>
          <w:sz w:val="20"/>
        </w:rPr>
        <w:t>****</w:t>
      </w:r>
    </w:p>
    <w:p w:rsidR="00B81473" w:rsidRPr="00B81473" w:rsidRDefault="00B81473" w:rsidP="00B81473">
      <w:pPr>
        <w:jc w:val="both"/>
        <w:rPr>
          <w:sz w:val="20"/>
        </w:rPr>
      </w:pPr>
    </w:p>
    <w:p w:rsidR="00106965" w:rsidRDefault="00106965" w:rsidP="00106965">
      <w:pPr>
        <w:jc w:val="both"/>
        <w:rPr>
          <w:b/>
        </w:rPr>
      </w:pPr>
      <w:r w:rsidRPr="0084156A">
        <w:rPr>
          <w:b/>
        </w:rPr>
        <w:t xml:space="preserve">DISMISSED / REJETÉES </w:t>
      </w:r>
    </w:p>
    <w:p w:rsidR="00106965" w:rsidRPr="00ED0435" w:rsidRDefault="00106965" w:rsidP="00ED0435">
      <w:pPr>
        <w:jc w:val="both"/>
        <w:rPr>
          <w:sz w:val="20"/>
        </w:rPr>
      </w:pPr>
    </w:p>
    <w:p w:rsidR="00B81473" w:rsidRPr="00ED0435" w:rsidRDefault="00B81473" w:rsidP="00ED0435">
      <w:pPr>
        <w:pStyle w:val="NoSpacing"/>
        <w:jc w:val="both"/>
        <w:rPr>
          <w:sz w:val="20"/>
          <w:szCs w:val="20"/>
          <w:lang w:val="en-CA"/>
        </w:rPr>
      </w:pPr>
      <w:r w:rsidRPr="00ED0435">
        <w:rPr>
          <w:i/>
          <w:sz w:val="20"/>
          <w:szCs w:val="20"/>
          <w:lang w:val="en-CA"/>
        </w:rPr>
        <w:t>Martin Green v. Her Majesty the Queen</w:t>
      </w:r>
      <w:r w:rsidRPr="00ED0435">
        <w:rPr>
          <w:sz w:val="20"/>
          <w:szCs w:val="20"/>
          <w:lang w:val="en-CA"/>
        </w:rPr>
        <w:t xml:space="preserve"> (Man.) (Criminal) (By Leave) (</w:t>
      </w:r>
      <w:hyperlink r:id="rId12" w:history="1">
        <w:r w:rsidRPr="00ED0435">
          <w:rPr>
            <w:rStyle w:val="Hyperlink"/>
            <w:sz w:val="20"/>
            <w:szCs w:val="20"/>
            <w:lang w:val="en-CA"/>
          </w:rPr>
          <w:t>36558</w:t>
        </w:r>
      </w:hyperlink>
      <w:r w:rsidRPr="00ED0435">
        <w:rPr>
          <w:sz w:val="20"/>
          <w:szCs w:val="20"/>
          <w:lang w:val="en-CA"/>
        </w:rPr>
        <w:t>)</w:t>
      </w:r>
    </w:p>
    <w:p w:rsidR="00106965" w:rsidRPr="00ED0435" w:rsidRDefault="00106965" w:rsidP="00ED0435">
      <w:pPr>
        <w:jc w:val="both"/>
        <w:rPr>
          <w:sz w:val="20"/>
        </w:rPr>
      </w:pPr>
      <w:r w:rsidRPr="00ED0435">
        <w:rPr>
          <w:sz w:val="20"/>
        </w:rPr>
        <w:t xml:space="preserve">Coram: McLachlin / Moldaver / </w:t>
      </w:r>
      <w:proofErr w:type="spellStart"/>
      <w:r w:rsidRPr="00ED0435">
        <w:rPr>
          <w:sz w:val="20"/>
        </w:rPr>
        <w:t>Gascon</w:t>
      </w:r>
      <w:proofErr w:type="spellEnd"/>
    </w:p>
    <w:p w:rsidR="00106965" w:rsidRPr="00ED0435" w:rsidRDefault="00106965" w:rsidP="00ED0435">
      <w:pPr>
        <w:jc w:val="both"/>
        <w:rPr>
          <w:sz w:val="20"/>
        </w:rPr>
      </w:pPr>
    </w:p>
    <w:p w:rsidR="00106965" w:rsidRPr="007727B5" w:rsidRDefault="00106965" w:rsidP="00ED0435">
      <w:pPr>
        <w:jc w:val="both"/>
        <w:rPr>
          <w:sz w:val="20"/>
        </w:rPr>
      </w:pPr>
      <w:r w:rsidRPr="007727B5">
        <w:rPr>
          <w:sz w:val="20"/>
        </w:rPr>
        <w:t>****</w:t>
      </w:r>
    </w:p>
    <w:p w:rsidR="00106965" w:rsidRPr="007727B5" w:rsidRDefault="00106965" w:rsidP="00ED0435">
      <w:pPr>
        <w:jc w:val="both"/>
        <w:rPr>
          <w:sz w:val="20"/>
        </w:rPr>
      </w:pPr>
    </w:p>
    <w:p w:rsidR="00B81473" w:rsidRPr="00ED0435" w:rsidRDefault="00B81473" w:rsidP="00ED0435">
      <w:pPr>
        <w:pStyle w:val="NoSpacing"/>
        <w:jc w:val="both"/>
        <w:rPr>
          <w:sz w:val="20"/>
          <w:szCs w:val="20"/>
          <w:lang w:val="en-CA"/>
        </w:rPr>
      </w:pPr>
      <w:r w:rsidRPr="00ED0435">
        <w:rPr>
          <w:i/>
          <w:sz w:val="20"/>
          <w:szCs w:val="20"/>
          <w:lang w:val="en-CA"/>
        </w:rPr>
        <w:t xml:space="preserve">Marco </w:t>
      </w:r>
      <w:proofErr w:type="spellStart"/>
      <w:r w:rsidRPr="00ED0435">
        <w:rPr>
          <w:i/>
          <w:sz w:val="20"/>
          <w:szCs w:val="20"/>
          <w:lang w:val="en-CA"/>
        </w:rPr>
        <w:t>Viscomi</w:t>
      </w:r>
      <w:proofErr w:type="spellEnd"/>
      <w:r w:rsidRPr="00ED0435">
        <w:rPr>
          <w:i/>
          <w:sz w:val="20"/>
          <w:szCs w:val="20"/>
          <w:lang w:val="en-CA"/>
        </w:rPr>
        <w:t xml:space="preserve"> v. Attorney General of Canada et al.</w:t>
      </w:r>
      <w:r w:rsidRPr="00ED0435">
        <w:rPr>
          <w:sz w:val="20"/>
          <w:szCs w:val="20"/>
          <w:lang w:val="en-CA"/>
        </w:rPr>
        <w:t xml:space="preserve"> (Ont.) (Criminal) (By Leave) (</w:t>
      </w:r>
      <w:hyperlink r:id="rId13" w:history="1">
        <w:r w:rsidRPr="00ED0435">
          <w:rPr>
            <w:rStyle w:val="Hyperlink"/>
            <w:sz w:val="20"/>
            <w:szCs w:val="20"/>
            <w:lang w:val="en-CA"/>
          </w:rPr>
          <w:t>36648</w:t>
        </w:r>
      </w:hyperlink>
      <w:r w:rsidRPr="00ED0435">
        <w:rPr>
          <w:sz w:val="20"/>
          <w:szCs w:val="20"/>
          <w:lang w:val="en-CA"/>
        </w:rPr>
        <w:t>)</w:t>
      </w:r>
    </w:p>
    <w:p w:rsidR="00B81473" w:rsidRPr="00ED0435" w:rsidRDefault="00B81473" w:rsidP="00ED0435">
      <w:pPr>
        <w:jc w:val="both"/>
        <w:rPr>
          <w:sz w:val="20"/>
        </w:rPr>
      </w:pPr>
      <w:r w:rsidRPr="00ED0435">
        <w:rPr>
          <w:sz w:val="20"/>
        </w:rPr>
        <w:t xml:space="preserve">Coram: McLachlin / Moldaver / </w:t>
      </w:r>
      <w:proofErr w:type="spellStart"/>
      <w:r w:rsidRPr="00ED0435">
        <w:rPr>
          <w:sz w:val="20"/>
        </w:rPr>
        <w:t>Gascon</w:t>
      </w:r>
      <w:proofErr w:type="spellEnd"/>
    </w:p>
    <w:p w:rsidR="00B81473" w:rsidRPr="00ED0435" w:rsidRDefault="00B81473" w:rsidP="00ED0435">
      <w:pPr>
        <w:jc w:val="both"/>
        <w:rPr>
          <w:sz w:val="20"/>
        </w:rPr>
      </w:pPr>
    </w:p>
    <w:p w:rsidR="00B81473" w:rsidRPr="00ED0435" w:rsidRDefault="00B81473" w:rsidP="00ED0435">
      <w:pPr>
        <w:jc w:val="both"/>
        <w:rPr>
          <w:sz w:val="20"/>
        </w:rPr>
      </w:pPr>
      <w:r w:rsidRPr="00ED0435">
        <w:rPr>
          <w:sz w:val="20"/>
        </w:rPr>
        <w:t>****</w:t>
      </w:r>
    </w:p>
    <w:p w:rsidR="00B81473" w:rsidRPr="00ED0435" w:rsidRDefault="00B81473" w:rsidP="00ED0435">
      <w:pPr>
        <w:jc w:val="both"/>
        <w:rPr>
          <w:sz w:val="20"/>
        </w:rPr>
      </w:pPr>
    </w:p>
    <w:p w:rsidR="00B81473" w:rsidRPr="00ED0435" w:rsidRDefault="00B81473" w:rsidP="00ED0435">
      <w:pPr>
        <w:pStyle w:val="NoSpacing"/>
        <w:jc w:val="both"/>
        <w:rPr>
          <w:sz w:val="20"/>
          <w:szCs w:val="20"/>
          <w:lang w:val="en-CA"/>
        </w:rPr>
      </w:pPr>
      <w:r w:rsidRPr="00ED0435">
        <w:rPr>
          <w:i/>
          <w:sz w:val="20"/>
          <w:szCs w:val="20"/>
          <w:lang w:val="en-CA"/>
        </w:rPr>
        <w:t xml:space="preserve">Nirmala Devi Arjun v. Her Majesty the Queen </w:t>
      </w:r>
      <w:r w:rsidRPr="00ED0435">
        <w:rPr>
          <w:sz w:val="20"/>
          <w:szCs w:val="20"/>
          <w:lang w:val="en-CA"/>
        </w:rPr>
        <w:t>(B.C.) (Criminal) (By Leave) (</w:t>
      </w:r>
      <w:hyperlink r:id="rId14" w:history="1">
        <w:r w:rsidRPr="00ED0435">
          <w:rPr>
            <w:rStyle w:val="Hyperlink"/>
            <w:sz w:val="20"/>
            <w:szCs w:val="20"/>
            <w:lang w:val="en-CA"/>
          </w:rPr>
          <w:t>36568</w:t>
        </w:r>
      </w:hyperlink>
      <w:r w:rsidRPr="00ED0435">
        <w:rPr>
          <w:sz w:val="20"/>
          <w:szCs w:val="20"/>
          <w:lang w:val="en-CA"/>
        </w:rPr>
        <w:t>)</w:t>
      </w:r>
    </w:p>
    <w:p w:rsidR="00B81473" w:rsidRPr="00ED0435" w:rsidRDefault="00B81473" w:rsidP="00ED0435">
      <w:pPr>
        <w:jc w:val="both"/>
        <w:rPr>
          <w:sz w:val="20"/>
        </w:rPr>
      </w:pPr>
      <w:r w:rsidRPr="00ED0435">
        <w:rPr>
          <w:sz w:val="20"/>
        </w:rPr>
        <w:t xml:space="preserve">Coram: McLachlin / Moldaver / </w:t>
      </w:r>
      <w:proofErr w:type="spellStart"/>
      <w:r w:rsidRPr="00ED0435">
        <w:rPr>
          <w:sz w:val="20"/>
        </w:rPr>
        <w:t>Gascon</w:t>
      </w:r>
      <w:proofErr w:type="spellEnd"/>
    </w:p>
    <w:p w:rsidR="00B81473" w:rsidRPr="00ED0435" w:rsidRDefault="00B81473" w:rsidP="00ED0435">
      <w:pPr>
        <w:jc w:val="both"/>
        <w:rPr>
          <w:sz w:val="20"/>
        </w:rPr>
      </w:pPr>
    </w:p>
    <w:p w:rsidR="00B81473" w:rsidRPr="00ED0435" w:rsidRDefault="00B81473" w:rsidP="00ED0435">
      <w:pPr>
        <w:jc w:val="both"/>
        <w:rPr>
          <w:sz w:val="20"/>
        </w:rPr>
      </w:pPr>
      <w:r w:rsidRPr="00ED0435">
        <w:rPr>
          <w:sz w:val="20"/>
        </w:rPr>
        <w:t>****</w:t>
      </w:r>
    </w:p>
    <w:p w:rsidR="00B81473" w:rsidRPr="00ED0435" w:rsidRDefault="00B81473" w:rsidP="00ED0435">
      <w:pPr>
        <w:jc w:val="both"/>
        <w:rPr>
          <w:sz w:val="20"/>
        </w:rPr>
      </w:pPr>
    </w:p>
    <w:p w:rsidR="00B81473" w:rsidRPr="00ED0435" w:rsidRDefault="00B81473" w:rsidP="00ED0435">
      <w:pPr>
        <w:pStyle w:val="NoSpacing"/>
        <w:jc w:val="both"/>
        <w:rPr>
          <w:sz w:val="20"/>
          <w:szCs w:val="20"/>
        </w:rPr>
      </w:pPr>
      <w:r w:rsidRPr="00ED0435">
        <w:rPr>
          <w:i/>
          <w:sz w:val="20"/>
          <w:szCs w:val="20"/>
          <w:lang w:val="en-CA"/>
        </w:rPr>
        <w:t xml:space="preserve">Brother </w:t>
      </w:r>
      <w:proofErr w:type="spellStart"/>
      <w:r w:rsidRPr="00ED0435">
        <w:rPr>
          <w:i/>
          <w:sz w:val="20"/>
          <w:szCs w:val="20"/>
          <w:lang w:val="en-CA"/>
        </w:rPr>
        <w:t>Kornelis</w:t>
      </w:r>
      <w:proofErr w:type="spellEnd"/>
      <w:r w:rsidRPr="00ED0435">
        <w:rPr>
          <w:i/>
          <w:sz w:val="20"/>
          <w:szCs w:val="20"/>
          <w:lang w:val="en-CA"/>
        </w:rPr>
        <w:t xml:space="preserve"> </w:t>
      </w:r>
      <w:proofErr w:type="spellStart"/>
      <w:r w:rsidRPr="00ED0435">
        <w:rPr>
          <w:i/>
          <w:sz w:val="20"/>
          <w:szCs w:val="20"/>
          <w:lang w:val="en-CA"/>
        </w:rPr>
        <w:t>Klevering</w:t>
      </w:r>
      <w:proofErr w:type="spellEnd"/>
      <w:r w:rsidRPr="00ED0435">
        <w:rPr>
          <w:i/>
          <w:sz w:val="20"/>
          <w:szCs w:val="20"/>
          <w:lang w:val="en-CA"/>
        </w:rPr>
        <w:t xml:space="preserve"> v. Attorney General of Canada et al. </w:t>
      </w:r>
      <w:r w:rsidRPr="00ED0435">
        <w:rPr>
          <w:sz w:val="20"/>
          <w:szCs w:val="20"/>
        </w:rPr>
        <w:t>(F.C.) (Civil) (By Leave) (</w:t>
      </w:r>
      <w:hyperlink r:id="rId15" w:history="1">
        <w:r w:rsidRPr="00ED0435">
          <w:rPr>
            <w:rStyle w:val="Hyperlink"/>
            <w:sz w:val="20"/>
            <w:szCs w:val="20"/>
          </w:rPr>
          <w:t>35620</w:t>
        </w:r>
      </w:hyperlink>
      <w:r w:rsidRPr="00ED0435">
        <w:rPr>
          <w:sz w:val="20"/>
          <w:szCs w:val="20"/>
        </w:rPr>
        <w:t>)</w:t>
      </w:r>
    </w:p>
    <w:p w:rsidR="00B81473" w:rsidRPr="00ED0435" w:rsidRDefault="00B81473" w:rsidP="00ED0435">
      <w:pPr>
        <w:jc w:val="both"/>
        <w:rPr>
          <w:sz w:val="20"/>
        </w:rPr>
      </w:pPr>
      <w:r w:rsidRPr="00ED0435">
        <w:rPr>
          <w:sz w:val="20"/>
        </w:rPr>
        <w:t xml:space="preserve">(The application for leave to appeal is dismissed with no order as to costs. / </w:t>
      </w:r>
    </w:p>
    <w:p w:rsidR="00B81473" w:rsidRPr="00ED0435" w:rsidRDefault="00B81473" w:rsidP="00ED0435">
      <w:pPr>
        <w:jc w:val="both"/>
        <w:rPr>
          <w:sz w:val="20"/>
          <w:lang w:val="fr-CA"/>
        </w:rPr>
      </w:pPr>
      <w:r w:rsidRPr="00ED0435">
        <w:rPr>
          <w:sz w:val="20"/>
          <w:lang w:val="fr-CA"/>
        </w:rPr>
        <w:t>La demande d’autorisation d’appel est rejetée sans ordonnance quant aux dépens.)</w:t>
      </w:r>
    </w:p>
    <w:p w:rsidR="00B81473" w:rsidRPr="00ED0435" w:rsidRDefault="00B81473" w:rsidP="00ED0435">
      <w:pPr>
        <w:jc w:val="both"/>
        <w:rPr>
          <w:sz w:val="20"/>
        </w:rPr>
      </w:pPr>
      <w:r w:rsidRPr="00ED0435">
        <w:rPr>
          <w:sz w:val="20"/>
        </w:rPr>
        <w:t xml:space="preserve">Coram: McLachlin / Moldaver / </w:t>
      </w:r>
      <w:proofErr w:type="spellStart"/>
      <w:r w:rsidRPr="00ED0435">
        <w:rPr>
          <w:sz w:val="20"/>
        </w:rPr>
        <w:t>Gascon</w:t>
      </w:r>
      <w:proofErr w:type="spellEnd"/>
    </w:p>
    <w:p w:rsidR="00B81473" w:rsidRPr="00ED0435" w:rsidRDefault="00B81473" w:rsidP="00ED0435">
      <w:pPr>
        <w:jc w:val="both"/>
        <w:rPr>
          <w:sz w:val="20"/>
        </w:rPr>
      </w:pPr>
    </w:p>
    <w:p w:rsidR="00B81473" w:rsidRPr="00ED0435" w:rsidRDefault="00B81473" w:rsidP="00ED0435">
      <w:pPr>
        <w:jc w:val="both"/>
        <w:rPr>
          <w:sz w:val="20"/>
        </w:rPr>
      </w:pPr>
      <w:r w:rsidRPr="00ED0435">
        <w:rPr>
          <w:sz w:val="20"/>
        </w:rPr>
        <w:t>****</w:t>
      </w:r>
    </w:p>
    <w:p w:rsidR="00B81473" w:rsidRPr="00ED0435" w:rsidRDefault="00B81473" w:rsidP="00ED0435">
      <w:pPr>
        <w:jc w:val="both"/>
        <w:rPr>
          <w:sz w:val="20"/>
        </w:rPr>
      </w:pPr>
    </w:p>
    <w:p w:rsidR="00B81473" w:rsidRPr="00ED0435" w:rsidRDefault="00B81473" w:rsidP="00ED0435">
      <w:pPr>
        <w:jc w:val="both"/>
        <w:rPr>
          <w:sz w:val="20"/>
        </w:rPr>
      </w:pPr>
      <w:r w:rsidRPr="00ED0435">
        <w:rPr>
          <w:i/>
          <w:sz w:val="20"/>
        </w:rPr>
        <w:t>Marlon Richards v. Her Majesty the Queen</w:t>
      </w:r>
      <w:r w:rsidRPr="00ED0435">
        <w:rPr>
          <w:sz w:val="20"/>
        </w:rPr>
        <w:t xml:space="preserve"> (Ont.) (Criminal) (By Leave) (</w:t>
      </w:r>
      <w:hyperlink r:id="rId16" w:history="1">
        <w:r w:rsidRPr="00ED0435">
          <w:rPr>
            <w:rStyle w:val="Hyperlink"/>
            <w:sz w:val="20"/>
          </w:rPr>
          <w:t>36550</w:t>
        </w:r>
      </w:hyperlink>
      <w:r w:rsidRPr="00ED0435">
        <w:rPr>
          <w:sz w:val="20"/>
        </w:rPr>
        <w:t>)</w:t>
      </w:r>
    </w:p>
    <w:p w:rsidR="00B81473" w:rsidRPr="00ED0435" w:rsidRDefault="00B81473" w:rsidP="00ED0435">
      <w:pPr>
        <w:jc w:val="both"/>
        <w:rPr>
          <w:sz w:val="20"/>
        </w:rPr>
      </w:pPr>
      <w:r w:rsidRPr="00ED0435">
        <w:rPr>
          <w:sz w:val="20"/>
        </w:rPr>
        <w:t xml:space="preserve">Coram: Cromwell / Wagner / </w:t>
      </w:r>
      <w:proofErr w:type="spellStart"/>
      <w:r w:rsidRPr="00ED0435">
        <w:rPr>
          <w:sz w:val="20"/>
        </w:rPr>
        <w:t>Côté</w:t>
      </w:r>
      <w:proofErr w:type="spellEnd"/>
    </w:p>
    <w:p w:rsidR="00B81473" w:rsidRPr="00ED0435" w:rsidRDefault="00B81473" w:rsidP="00ED0435">
      <w:pPr>
        <w:jc w:val="both"/>
        <w:rPr>
          <w:sz w:val="20"/>
        </w:rPr>
      </w:pPr>
    </w:p>
    <w:p w:rsidR="00B81473" w:rsidRPr="007727B5" w:rsidRDefault="00B81473" w:rsidP="00ED0435">
      <w:pPr>
        <w:jc w:val="both"/>
        <w:rPr>
          <w:sz w:val="20"/>
          <w:lang w:val="fr-CA"/>
        </w:rPr>
      </w:pPr>
      <w:r w:rsidRPr="007727B5">
        <w:rPr>
          <w:sz w:val="20"/>
          <w:lang w:val="fr-CA"/>
        </w:rPr>
        <w:t>****</w:t>
      </w:r>
    </w:p>
    <w:p w:rsidR="00840C10" w:rsidRPr="00ED0435" w:rsidRDefault="00840C10" w:rsidP="00ED0435">
      <w:pPr>
        <w:jc w:val="both"/>
        <w:rPr>
          <w:sz w:val="20"/>
          <w:lang w:val="fr-CA"/>
        </w:rPr>
      </w:pPr>
    </w:p>
    <w:p w:rsidR="00840C10" w:rsidRPr="00840C10" w:rsidRDefault="00840C10" w:rsidP="00840C10">
      <w:pPr>
        <w:jc w:val="both"/>
        <w:rPr>
          <w:b/>
          <w:lang w:val="fr-CA"/>
        </w:rPr>
      </w:pPr>
      <w:r w:rsidRPr="00840C10">
        <w:rPr>
          <w:b/>
          <w:lang w:val="fr-CA"/>
        </w:rPr>
        <w:t>DISMISSED WITH COSTS / REJETÉES AVEC DÉPENS</w:t>
      </w:r>
    </w:p>
    <w:p w:rsidR="00840C10" w:rsidRPr="00ED0435" w:rsidRDefault="00840C10" w:rsidP="00ED0435">
      <w:pPr>
        <w:jc w:val="both"/>
        <w:rPr>
          <w:sz w:val="20"/>
          <w:lang w:val="fr-CA"/>
        </w:rPr>
      </w:pPr>
    </w:p>
    <w:p w:rsidR="00B81473" w:rsidRPr="00ED0435" w:rsidRDefault="00B81473" w:rsidP="00ED0435">
      <w:pPr>
        <w:jc w:val="both"/>
        <w:rPr>
          <w:sz w:val="20"/>
        </w:rPr>
      </w:pPr>
      <w:r w:rsidRPr="00ED0435">
        <w:rPr>
          <w:i/>
          <w:sz w:val="20"/>
          <w:lang w:val="fr-CA"/>
        </w:rPr>
        <w:t xml:space="preserve">Fédération des producteurs acéricoles du Québec c. S.K. Export Inc. et autre </w:t>
      </w:r>
      <w:r w:rsidRPr="00ED0435">
        <w:rPr>
          <w:sz w:val="20"/>
          <w:lang w:val="fr-CA"/>
        </w:rPr>
        <w:t>(N.</w:t>
      </w:r>
      <w:r w:rsidRPr="00ED0435">
        <w:rPr>
          <w:sz w:val="20"/>
          <w:lang w:val="fr-CA"/>
        </w:rPr>
        <w:noBreakHyphen/>
        <w:t xml:space="preserve">B.) </w:t>
      </w:r>
      <w:r w:rsidRPr="00ED0435">
        <w:rPr>
          <w:sz w:val="20"/>
        </w:rPr>
        <w:t>(</w:t>
      </w:r>
      <w:proofErr w:type="spellStart"/>
      <w:r w:rsidRPr="00ED0435">
        <w:rPr>
          <w:sz w:val="20"/>
        </w:rPr>
        <w:t>Civile</w:t>
      </w:r>
      <w:proofErr w:type="spellEnd"/>
      <w:r w:rsidRPr="00ED0435">
        <w:rPr>
          <w:sz w:val="20"/>
        </w:rPr>
        <w:t>) (</w:t>
      </w:r>
      <w:proofErr w:type="spellStart"/>
      <w:r w:rsidRPr="00ED0435">
        <w:rPr>
          <w:sz w:val="20"/>
        </w:rPr>
        <w:t>Autorisation</w:t>
      </w:r>
      <w:proofErr w:type="spellEnd"/>
      <w:r w:rsidRPr="00ED0435">
        <w:rPr>
          <w:sz w:val="20"/>
        </w:rPr>
        <w:t>) (</w:t>
      </w:r>
      <w:hyperlink r:id="rId17" w:history="1">
        <w:r w:rsidRPr="00ED0435">
          <w:rPr>
            <w:rStyle w:val="Hyperlink"/>
            <w:sz w:val="20"/>
          </w:rPr>
          <w:t>36551</w:t>
        </w:r>
      </w:hyperlink>
      <w:r w:rsidRPr="00ED0435">
        <w:rPr>
          <w:sz w:val="20"/>
        </w:rPr>
        <w:t>)</w:t>
      </w:r>
    </w:p>
    <w:p w:rsidR="00B81473" w:rsidRPr="00ED0435" w:rsidRDefault="00B81473" w:rsidP="00ED0435">
      <w:pPr>
        <w:jc w:val="both"/>
        <w:rPr>
          <w:sz w:val="20"/>
        </w:rPr>
      </w:pPr>
      <w:r w:rsidRPr="00ED0435">
        <w:rPr>
          <w:sz w:val="20"/>
        </w:rPr>
        <w:t xml:space="preserve">Coram: Cromwell / Wagner / </w:t>
      </w:r>
      <w:proofErr w:type="spellStart"/>
      <w:r w:rsidRPr="00ED0435">
        <w:rPr>
          <w:sz w:val="20"/>
        </w:rPr>
        <w:t>Côté</w:t>
      </w:r>
      <w:proofErr w:type="spellEnd"/>
    </w:p>
    <w:p w:rsidR="00B81473" w:rsidRPr="00ED0435" w:rsidRDefault="00B81473" w:rsidP="00ED0435">
      <w:pPr>
        <w:jc w:val="both"/>
        <w:rPr>
          <w:sz w:val="20"/>
        </w:rPr>
      </w:pPr>
    </w:p>
    <w:p w:rsidR="00B81473" w:rsidRPr="00ED0435" w:rsidRDefault="00B81473" w:rsidP="00ED0435">
      <w:pPr>
        <w:jc w:val="both"/>
        <w:rPr>
          <w:sz w:val="20"/>
        </w:rPr>
      </w:pPr>
      <w:r w:rsidRPr="00ED0435">
        <w:rPr>
          <w:sz w:val="20"/>
        </w:rPr>
        <w:t>****</w:t>
      </w:r>
    </w:p>
    <w:p w:rsidR="00B81473" w:rsidRPr="00ED0435" w:rsidRDefault="00B81473" w:rsidP="00ED0435">
      <w:pPr>
        <w:jc w:val="both"/>
        <w:rPr>
          <w:sz w:val="20"/>
        </w:rPr>
      </w:pPr>
    </w:p>
    <w:p w:rsidR="00ED0435" w:rsidRPr="00ED0435" w:rsidRDefault="00ED0435" w:rsidP="00ED0435">
      <w:pPr>
        <w:tabs>
          <w:tab w:val="left" w:pos="394"/>
        </w:tabs>
        <w:jc w:val="both"/>
        <w:rPr>
          <w:sz w:val="20"/>
          <w:lang w:val="en-CA"/>
        </w:rPr>
      </w:pPr>
      <w:r w:rsidRPr="00ED0435">
        <w:rPr>
          <w:i/>
          <w:sz w:val="20"/>
        </w:rPr>
        <w:t>Robert Glen Harrison v. British Columbia (Law Society) et al.</w:t>
      </w:r>
      <w:r w:rsidRPr="00ED0435">
        <w:rPr>
          <w:sz w:val="20"/>
        </w:rPr>
        <w:t xml:space="preserve"> (B.C.) (Civil) (By Leave) (</w:t>
      </w:r>
      <w:hyperlink r:id="rId18" w:history="1">
        <w:r w:rsidRPr="00ED0435">
          <w:rPr>
            <w:rStyle w:val="Hyperlink"/>
            <w:sz w:val="20"/>
          </w:rPr>
          <w:t>36588</w:t>
        </w:r>
      </w:hyperlink>
      <w:r w:rsidRPr="00ED0435">
        <w:rPr>
          <w:sz w:val="20"/>
        </w:rPr>
        <w:t>)</w:t>
      </w:r>
    </w:p>
    <w:p w:rsidR="00ED0435" w:rsidRPr="00ED0435" w:rsidRDefault="00ED0435" w:rsidP="00ED0435">
      <w:pPr>
        <w:jc w:val="both"/>
        <w:rPr>
          <w:sz w:val="20"/>
        </w:rPr>
      </w:pPr>
      <w:r w:rsidRPr="00ED0435">
        <w:rPr>
          <w:sz w:val="20"/>
        </w:rPr>
        <w:t xml:space="preserve">Coram: Cromwell / Wagner / </w:t>
      </w:r>
      <w:proofErr w:type="spellStart"/>
      <w:r w:rsidRPr="00ED0435">
        <w:rPr>
          <w:sz w:val="20"/>
        </w:rPr>
        <w:t>Côté</w:t>
      </w:r>
      <w:proofErr w:type="spellEnd"/>
    </w:p>
    <w:p w:rsidR="00ED0435" w:rsidRPr="00ED0435" w:rsidRDefault="00ED0435" w:rsidP="00ED0435">
      <w:pPr>
        <w:jc w:val="both"/>
        <w:rPr>
          <w:sz w:val="20"/>
        </w:rPr>
      </w:pPr>
    </w:p>
    <w:p w:rsidR="00ED0435" w:rsidRPr="00ED0435" w:rsidRDefault="00ED0435" w:rsidP="00ED0435">
      <w:pPr>
        <w:jc w:val="both"/>
        <w:rPr>
          <w:sz w:val="20"/>
        </w:rPr>
      </w:pPr>
      <w:r w:rsidRPr="00ED0435">
        <w:rPr>
          <w:sz w:val="20"/>
        </w:rPr>
        <w:t>****</w:t>
      </w:r>
    </w:p>
    <w:p w:rsidR="00ED0435" w:rsidRDefault="00ED0435" w:rsidP="00ED0435">
      <w:pPr>
        <w:jc w:val="both"/>
        <w:rPr>
          <w:sz w:val="20"/>
        </w:rPr>
      </w:pPr>
    </w:p>
    <w:p w:rsidR="005A18BB" w:rsidRDefault="005A18BB" w:rsidP="005A18BB">
      <w:pPr>
        <w:jc w:val="both"/>
        <w:rPr>
          <w:b/>
        </w:rPr>
      </w:pPr>
      <w:r w:rsidRPr="005A18BB">
        <w:rPr>
          <w:b/>
        </w:rPr>
        <w:t>DISMISSED WITHOUT COSTS / REJETÉE SANS DÉPENS</w:t>
      </w:r>
    </w:p>
    <w:p w:rsidR="005A18BB" w:rsidRPr="00ED0435" w:rsidRDefault="005A18BB" w:rsidP="00ED0435">
      <w:pPr>
        <w:jc w:val="both"/>
        <w:rPr>
          <w:sz w:val="20"/>
        </w:rPr>
      </w:pPr>
    </w:p>
    <w:p w:rsidR="00B81473" w:rsidRPr="00ED0435" w:rsidRDefault="00B81473" w:rsidP="00ED0435">
      <w:pPr>
        <w:jc w:val="both"/>
        <w:rPr>
          <w:sz w:val="20"/>
        </w:rPr>
      </w:pPr>
      <w:r w:rsidRPr="00ED0435">
        <w:rPr>
          <w:i/>
          <w:sz w:val="20"/>
        </w:rPr>
        <w:lastRenderedPageBreak/>
        <w:t>Peter Andrew Webster v. Her Majesty the Queen</w:t>
      </w:r>
      <w:r w:rsidRPr="00ED0435">
        <w:rPr>
          <w:sz w:val="20"/>
        </w:rPr>
        <w:t xml:space="preserve"> (B.C.) (Criminal) (By Leave) (</w:t>
      </w:r>
      <w:hyperlink r:id="rId19" w:history="1">
        <w:r w:rsidRPr="00ED0435">
          <w:rPr>
            <w:rStyle w:val="Hyperlink"/>
            <w:sz w:val="20"/>
          </w:rPr>
          <w:t>36635</w:t>
        </w:r>
      </w:hyperlink>
      <w:r w:rsidRPr="00ED0435">
        <w:rPr>
          <w:sz w:val="20"/>
        </w:rPr>
        <w:t>)</w:t>
      </w:r>
    </w:p>
    <w:p w:rsidR="00B81473" w:rsidRPr="00ED0435" w:rsidRDefault="00B81473" w:rsidP="00ED0435">
      <w:pPr>
        <w:jc w:val="both"/>
        <w:rPr>
          <w:sz w:val="20"/>
        </w:rPr>
      </w:pPr>
      <w:r w:rsidRPr="00ED0435">
        <w:rPr>
          <w:sz w:val="20"/>
        </w:rPr>
        <w:t>(The motion for an oral hearing of the application for leave to appeal is dismissed. The application for leave to appeal is dismissed without costs. /</w:t>
      </w:r>
    </w:p>
    <w:p w:rsidR="00B81473" w:rsidRPr="00ED0435" w:rsidRDefault="00B81473" w:rsidP="00ED0435">
      <w:pPr>
        <w:jc w:val="both"/>
        <w:rPr>
          <w:sz w:val="20"/>
          <w:lang w:val="fr-CA"/>
        </w:rPr>
      </w:pPr>
      <w:r w:rsidRPr="00ED0435">
        <w:rPr>
          <w:sz w:val="20"/>
          <w:lang w:val="fr-CA"/>
        </w:rPr>
        <w:t>La requête pour la tenue d’une audience de la demande d’autorisation d’appel est rejetée. La demande d’autorisation d’appel est rejetée sans dépens.)</w:t>
      </w:r>
    </w:p>
    <w:p w:rsidR="00B81473" w:rsidRPr="00ED0435" w:rsidRDefault="00B81473" w:rsidP="00ED0435">
      <w:pPr>
        <w:jc w:val="both"/>
        <w:rPr>
          <w:sz w:val="20"/>
          <w:lang w:val="fr-CA"/>
        </w:rPr>
      </w:pPr>
      <w:r w:rsidRPr="00ED0435">
        <w:rPr>
          <w:sz w:val="20"/>
          <w:lang w:val="fr-CA"/>
        </w:rPr>
        <w:t>Coram: Cromwell / Wagner / Côté</w:t>
      </w:r>
    </w:p>
    <w:p w:rsidR="00B81473" w:rsidRPr="00ED0435" w:rsidRDefault="00B81473" w:rsidP="00ED0435">
      <w:pPr>
        <w:jc w:val="both"/>
        <w:rPr>
          <w:sz w:val="20"/>
          <w:lang w:val="fr-CA"/>
        </w:rPr>
      </w:pPr>
    </w:p>
    <w:p w:rsidR="00B81473" w:rsidRPr="00ED0435" w:rsidRDefault="00B81473" w:rsidP="00ED0435">
      <w:pPr>
        <w:jc w:val="both"/>
        <w:rPr>
          <w:sz w:val="20"/>
        </w:rPr>
      </w:pPr>
      <w:r w:rsidRPr="00ED0435">
        <w:rPr>
          <w:sz w:val="20"/>
        </w:rPr>
        <w:t>****</w:t>
      </w:r>
    </w:p>
    <w:p w:rsidR="00B81473" w:rsidRPr="00ED0435" w:rsidRDefault="00B81473" w:rsidP="00ED0435">
      <w:pPr>
        <w:jc w:val="both"/>
        <w:rPr>
          <w:sz w:val="20"/>
        </w:rPr>
      </w:pPr>
    </w:p>
    <w:p w:rsidR="00BA0E16" w:rsidRPr="000011BB" w:rsidRDefault="00BA0E16" w:rsidP="003B434B">
      <w:pPr>
        <w:jc w:val="both"/>
        <w:rPr>
          <w:sz w:val="20"/>
        </w:rPr>
      </w:pPr>
    </w:p>
    <w:p w:rsidR="00494283" w:rsidRPr="000011BB" w:rsidRDefault="00494283"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7C6C79" w:rsidRDefault="006A7703" w:rsidP="002E4682">
      <w:pPr>
        <w:widowControl w:val="0"/>
        <w:outlineLvl w:val="0"/>
        <w:rPr>
          <w:color w:val="0000FF"/>
          <w:u w:val="single"/>
        </w:rPr>
      </w:pPr>
      <w:hyperlink r:id="rId20"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2E4682" w:rsidRPr="007C6C79" w:rsidRDefault="002E4682" w:rsidP="002E4682">
      <w:pPr>
        <w:pStyle w:val="Footer"/>
        <w:jc w:val="center"/>
      </w:pPr>
      <w:r w:rsidRPr="007C6C79">
        <w:t>- 30 -</w:t>
      </w:r>
    </w:p>
    <w:p w:rsidR="003F43E6" w:rsidRPr="002E4682" w:rsidRDefault="003F43E6" w:rsidP="002E4682">
      <w:pPr>
        <w:widowControl w:val="0"/>
        <w:outlineLvl w:val="0"/>
        <w:rPr>
          <w:sz w:val="20"/>
          <w:lang w:val="fr-CA"/>
        </w:rPr>
      </w:pPr>
      <w:bookmarkStart w:id="1" w:name="_GoBack"/>
      <w:bookmarkEnd w:id="1"/>
    </w:p>
    <w:sectPr w:rsidR="003F43E6" w:rsidRPr="002E4682" w:rsidSect="007C3E99">
      <w:footerReference w:type="defaul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60602"/>
      <w:docPartObj>
        <w:docPartGallery w:val="Page Numbers (Bottom of Page)"/>
        <w:docPartUnique/>
      </w:docPartObj>
    </w:sdtPr>
    <w:sdtEndPr>
      <w:rPr>
        <w:noProof/>
      </w:rPr>
    </w:sdtEndPr>
    <w:sdtContent>
      <w:p w:rsidR="007727B5" w:rsidRDefault="007727B5">
        <w:pPr>
          <w:pStyle w:val="Footer"/>
          <w:jc w:val="center"/>
        </w:pPr>
        <w:r>
          <w:fldChar w:fldCharType="begin"/>
        </w:r>
        <w:r>
          <w:instrText xml:space="preserve"> PAGE   \* MERGEFORMAT </w:instrText>
        </w:r>
        <w:r>
          <w:fldChar w:fldCharType="separate"/>
        </w:r>
        <w:r w:rsidR="006A7703">
          <w:rPr>
            <w:noProof/>
          </w:rPr>
          <w:t>3</w:t>
        </w:r>
        <w:r>
          <w:rPr>
            <w:noProof/>
          </w:rPr>
          <w:fldChar w:fldCharType="end"/>
        </w:r>
      </w:p>
    </w:sdtContent>
  </w:sdt>
  <w:p w:rsidR="007727B5" w:rsidRDefault="0077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6"/>
  </w:num>
  <w:num w:numId="6">
    <w:abstractNumId w:val="12"/>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4"/>
  </w:num>
  <w:num w:numId="13">
    <w:abstractNumId w:val="5"/>
  </w:num>
  <w:num w:numId="14">
    <w:abstractNumId w:val="3"/>
  </w:num>
  <w:num w:numId="15">
    <w:abstractNumId w:val="15"/>
  </w:num>
  <w:num w:numId="16">
    <w:abstractNumId w:val="9"/>
  </w:num>
  <w:num w:numId="17">
    <w:abstractNumId w:val="17"/>
  </w:num>
  <w:num w:numId="18">
    <w:abstractNumId w:val="10"/>
  </w:num>
  <w:num w:numId="19">
    <w:abstractNumId w:val="0"/>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1FD3"/>
    <w:rsid w:val="000E3305"/>
    <w:rsid w:val="000E35CD"/>
    <w:rsid w:val="000E50F2"/>
    <w:rsid w:val="000E5407"/>
    <w:rsid w:val="000F22D3"/>
    <w:rsid w:val="000F3B4D"/>
    <w:rsid w:val="000F525E"/>
    <w:rsid w:val="00100CEE"/>
    <w:rsid w:val="00101E4B"/>
    <w:rsid w:val="001027F9"/>
    <w:rsid w:val="00102C52"/>
    <w:rsid w:val="00102F8F"/>
    <w:rsid w:val="001068F5"/>
    <w:rsid w:val="0010696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4911"/>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542"/>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96ACF"/>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704"/>
    <w:rsid w:val="00372FD5"/>
    <w:rsid w:val="00376958"/>
    <w:rsid w:val="003770DF"/>
    <w:rsid w:val="00377868"/>
    <w:rsid w:val="00377C17"/>
    <w:rsid w:val="0038173F"/>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E7118"/>
    <w:rsid w:val="003E7268"/>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146E"/>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5B79"/>
    <w:rsid w:val="00532EB0"/>
    <w:rsid w:val="00532EEF"/>
    <w:rsid w:val="00535069"/>
    <w:rsid w:val="00535A60"/>
    <w:rsid w:val="00544481"/>
    <w:rsid w:val="00545F3F"/>
    <w:rsid w:val="00546DAD"/>
    <w:rsid w:val="00547C0E"/>
    <w:rsid w:val="00550A35"/>
    <w:rsid w:val="005539F7"/>
    <w:rsid w:val="005542A1"/>
    <w:rsid w:val="00557DCC"/>
    <w:rsid w:val="005617DA"/>
    <w:rsid w:val="00561B18"/>
    <w:rsid w:val="00566C79"/>
    <w:rsid w:val="00570169"/>
    <w:rsid w:val="005812EF"/>
    <w:rsid w:val="00587914"/>
    <w:rsid w:val="005925EC"/>
    <w:rsid w:val="0059611F"/>
    <w:rsid w:val="00597224"/>
    <w:rsid w:val="0059795B"/>
    <w:rsid w:val="005A18BB"/>
    <w:rsid w:val="005A1B7D"/>
    <w:rsid w:val="005A3592"/>
    <w:rsid w:val="005A4082"/>
    <w:rsid w:val="005A7109"/>
    <w:rsid w:val="005B0AAB"/>
    <w:rsid w:val="005B0D9E"/>
    <w:rsid w:val="005B4EB8"/>
    <w:rsid w:val="005C179F"/>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3896"/>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A7703"/>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7CB"/>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A02"/>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0C10"/>
    <w:rsid w:val="0084156A"/>
    <w:rsid w:val="0084161A"/>
    <w:rsid w:val="00841962"/>
    <w:rsid w:val="008453C8"/>
    <w:rsid w:val="0085127E"/>
    <w:rsid w:val="00853C98"/>
    <w:rsid w:val="0085543E"/>
    <w:rsid w:val="008612D3"/>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5DE"/>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702"/>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1178"/>
    <w:rsid w:val="00AC21C6"/>
    <w:rsid w:val="00AC3779"/>
    <w:rsid w:val="00AC5AEC"/>
    <w:rsid w:val="00AD0097"/>
    <w:rsid w:val="00AD020B"/>
    <w:rsid w:val="00AD4DCC"/>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2C4"/>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1143"/>
    <w:rsid w:val="00B81473"/>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0E16"/>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1C9"/>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14D3"/>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170A2"/>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648" TargetMode="External"/><Relationship Id="rId18" Type="http://schemas.openxmlformats.org/officeDocument/2006/relationships/hyperlink" Target="http://www.scc-csc.ca/case-dossier/info/sum-som-eng.aspx?cas=3658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558" TargetMode="External"/><Relationship Id="rId17" Type="http://schemas.openxmlformats.org/officeDocument/2006/relationships/hyperlink" Target="http://www.scc-csc.ca/case-dossier/info/sum-som-fra.aspx?cas=36551" TargetMode="External"/><Relationship Id="rId2" Type="http://schemas.openxmlformats.org/officeDocument/2006/relationships/styles" Target="styles.xml"/><Relationship Id="rId16" Type="http://schemas.openxmlformats.org/officeDocument/2006/relationships/hyperlink" Target="http://www.scc-csc.ca/case-dossier/info/sum-som-eng.aspx?cas=36550"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575" TargetMode="External"/><Relationship Id="rId5" Type="http://schemas.openxmlformats.org/officeDocument/2006/relationships/footnotes" Target="footnotes.xml"/><Relationship Id="rId15" Type="http://schemas.openxmlformats.org/officeDocument/2006/relationships/hyperlink" Target="http://www.scc-csc.ca/case-dossier/info/sum-som-eng.aspx?cas=35620" TargetMode="External"/><Relationship Id="rId23" Type="http://schemas.openxmlformats.org/officeDocument/2006/relationships/theme" Target="theme/theme1.xml"/><Relationship Id="rId10" Type="http://schemas.openxmlformats.org/officeDocument/2006/relationships/hyperlink" Target="http://scc-csc.lexum.com/scc-csc/news/fr/item/5120/index.do" TargetMode="External"/><Relationship Id="rId19" Type="http://schemas.openxmlformats.org/officeDocument/2006/relationships/hyperlink" Target="http://www.scc-csc.ca/case-dossier/info/sum-som-eng.aspx?cas=36635" TargetMode="External"/><Relationship Id="rId4" Type="http://schemas.openxmlformats.org/officeDocument/2006/relationships/webSettings" Target="webSettings.xml"/><Relationship Id="rId9" Type="http://schemas.openxmlformats.org/officeDocument/2006/relationships/hyperlink" Target="http://scc-csc.lexum.com/scc-csc/news/en/item/5120/index.do" TargetMode="External"/><Relationship Id="rId14" Type="http://schemas.openxmlformats.org/officeDocument/2006/relationships/hyperlink" Target="http://www.scc-csc.ca/case-dossier/info/sum-som-eng.aspx?cas=365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2015-12-17T14:42:00Z</dcterms:created>
  <dcterms:modified xsi:type="dcterms:W3CDTF">2015-12-17T14:42:00Z</dcterms:modified>
</cp:coreProperties>
</file>