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674329" w:rsidP="006F2579">
      <w:pPr>
        <w:widowControl w:val="0"/>
        <w:rPr>
          <w:b/>
        </w:rPr>
      </w:pPr>
      <w:r>
        <w:rPr>
          <w:b/>
        </w:rPr>
        <w:t>January 1</w:t>
      </w:r>
      <w:r w:rsidR="00E71666">
        <w:rPr>
          <w:b/>
        </w:rPr>
        <w:t>8</w:t>
      </w:r>
      <w:r w:rsidR="00406755">
        <w:rPr>
          <w:b/>
        </w:rPr>
        <w:t>,</w:t>
      </w:r>
      <w:r w:rsidR="006F2579" w:rsidRPr="004B4D42">
        <w:rPr>
          <w:b/>
        </w:rPr>
        <w:t xml:space="preserve"> </w:t>
      </w:r>
      <w:r w:rsidR="0054689F">
        <w:rPr>
          <w:b/>
        </w:rPr>
        <w:t>201</w:t>
      </w:r>
      <w:r>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674329">
        <w:t xml:space="preserve">January </w:t>
      </w:r>
      <w:r w:rsidR="00E71666">
        <w:t>21</w:t>
      </w:r>
      <w:r w:rsidR="002F38D7" w:rsidRPr="004B4D42">
        <w:t xml:space="preserve"> </w:t>
      </w:r>
      <w:r w:rsidR="006648D1" w:rsidRPr="004B4D42">
        <w:t>201</w:t>
      </w:r>
      <w:r w:rsidR="00674329">
        <w:t>6</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674329">
        <w:rPr>
          <w:b/>
          <w:lang w:val="fr-CA"/>
        </w:rPr>
        <w:t>1</w:t>
      </w:r>
      <w:r w:rsidR="00E71666">
        <w:rPr>
          <w:b/>
          <w:lang w:val="fr-CA"/>
        </w:rPr>
        <w:t>8</w:t>
      </w:r>
      <w:r w:rsidR="00406755">
        <w:rPr>
          <w:b/>
          <w:lang w:val="fr-CA"/>
        </w:rPr>
        <w:t xml:space="preserve"> </w:t>
      </w:r>
      <w:r w:rsidR="00674329">
        <w:rPr>
          <w:b/>
          <w:lang w:val="fr-CA"/>
        </w:rPr>
        <w:t>janvier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E71666">
        <w:rPr>
          <w:lang w:val="fr-CA"/>
        </w:rPr>
        <w:t>2</w:t>
      </w:r>
      <w:r w:rsidR="00674329">
        <w:rPr>
          <w:lang w:val="fr-CA"/>
        </w:rPr>
        <w:t>1</w:t>
      </w:r>
      <w:r w:rsidR="0042648D">
        <w:rPr>
          <w:lang w:val="fr-CA"/>
        </w:rPr>
        <w:t xml:space="preserve"> </w:t>
      </w:r>
      <w:r w:rsidR="00674329">
        <w:rPr>
          <w:lang w:val="fr-CA"/>
        </w:rPr>
        <w:t xml:space="preserve">janvier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C41898" w:rsidRDefault="00C41898" w:rsidP="009B14F4">
      <w:pPr>
        <w:widowControl w:val="0"/>
        <w:jc w:val="both"/>
        <w:rPr>
          <w:sz w:val="20"/>
          <w:lang w:val="fr-CA"/>
        </w:rPr>
      </w:pPr>
    </w:p>
    <w:p w:rsidR="001838E0"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CB3A38" w:rsidRPr="00CB3A38" w:rsidRDefault="00CB3A38" w:rsidP="00CB3A38">
      <w:pPr>
        <w:jc w:val="both"/>
        <w:rPr>
          <w:sz w:val="20"/>
          <w:lang w:val="fr-CA"/>
        </w:rPr>
      </w:pPr>
    </w:p>
    <w:p w:rsidR="00E71666" w:rsidRPr="00E71666" w:rsidRDefault="00E71666" w:rsidP="00E71666">
      <w:pPr>
        <w:pStyle w:val="ListParagraph"/>
        <w:numPr>
          <w:ilvl w:val="0"/>
          <w:numId w:val="42"/>
        </w:numPr>
        <w:ind w:left="360"/>
        <w:jc w:val="both"/>
        <w:rPr>
          <w:rFonts w:eastAsia="Calibri"/>
          <w:sz w:val="20"/>
          <w:lang w:val="en-CA"/>
        </w:rPr>
      </w:pPr>
      <w:r w:rsidRPr="00E71666">
        <w:rPr>
          <w:rFonts w:eastAsia="Calibri"/>
          <w:bCs/>
          <w:i/>
          <w:iCs/>
          <w:sz w:val="20"/>
          <w:lang w:val="en-CA"/>
        </w:rPr>
        <w:t>Michele Ashley et al. v. Robin Welsh</w:t>
      </w:r>
      <w:r w:rsidRPr="00E71666">
        <w:rPr>
          <w:rFonts w:eastAsia="Calibri"/>
          <w:sz w:val="20"/>
          <w:lang w:val="en-CA"/>
        </w:rPr>
        <w:t xml:space="preserve"> (Ont.) (Civil) (By Leave) (</w:t>
      </w:r>
      <w:hyperlink r:id="rId8" w:history="1">
        <w:r w:rsidRPr="00E71666">
          <w:rPr>
            <w:rStyle w:val="Hyperlink"/>
            <w:rFonts w:eastAsia="Calibri"/>
            <w:sz w:val="20"/>
            <w:lang w:val="en-CA"/>
          </w:rPr>
          <w:t>36580</w:t>
        </w:r>
      </w:hyperlink>
      <w:r w:rsidRPr="00E71666">
        <w:rPr>
          <w:rFonts w:eastAsia="Calibri"/>
          <w:sz w:val="20"/>
          <w:lang w:val="en-CA"/>
        </w:rPr>
        <w:t>)</w:t>
      </w:r>
    </w:p>
    <w:p w:rsidR="00E71666" w:rsidRPr="00E71666" w:rsidRDefault="00E71666" w:rsidP="00E71666">
      <w:pPr>
        <w:ind w:left="360" w:hanging="360"/>
        <w:jc w:val="both"/>
        <w:rPr>
          <w:rFonts w:eastAsia="Calibri"/>
          <w:sz w:val="20"/>
          <w:lang w:val="en-CA"/>
        </w:rPr>
      </w:pPr>
    </w:p>
    <w:p w:rsidR="00E71666" w:rsidRPr="00E71666" w:rsidRDefault="00E71666" w:rsidP="00E71666">
      <w:pPr>
        <w:pStyle w:val="ListParagraph"/>
        <w:numPr>
          <w:ilvl w:val="0"/>
          <w:numId w:val="42"/>
        </w:numPr>
        <w:ind w:left="360"/>
        <w:jc w:val="both"/>
        <w:rPr>
          <w:rFonts w:eastAsia="Calibri"/>
          <w:sz w:val="20"/>
          <w:lang w:val="en-CA"/>
        </w:rPr>
      </w:pPr>
      <w:r w:rsidRPr="00E71666">
        <w:rPr>
          <w:rFonts w:eastAsia="Calibri"/>
          <w:bCs/>
          <w:i/>
          <w:iCs/>
          <w:sz w:val="20"/>
          <w:lang w:val="fr-FR"/>
        </w:rPr>
        <w:t xml:space="preserve">Bao Duc Nguyen v. </w:t>
      </w:r>
      <w:proofErr w:type="spellStart"/>
      <w:r w:rsidRPr="00E71666">
        <w:rPr>
          <w:rFonts w:eastAsia="Calibri"/>
          <w:bCs/>
          <w:i/>
          <w:iCs/>
          <w:sz w:val="20"/>
          <w:lang w:val="fr-FR"/>
        </w:rPr>
        <w:t>Iwin</w:t>
      </w:r>
      <w:proofErr w:type="spellEnd"/>
      <w:r w:rsidRPr="00E71666">
        <w:rPr>
          <w:rFonts w:eastAsia="Calibri"/>
          <w:bCs/>
          <w:i/>
          <w:iCs/>
          <w:sz w:val="20"/>
          <w:lang w:val="fr-FR"/>
        </w:rPr>
        <w:t xml:space="preserve"> Lee et al.</w:t>
      </w:r>
      <w:r w:rsidRPr="00E71666">
        <w:rPr>
          <w:rFonts w:eastAsia="Calibri"/>
          <w:sz w:val="20"/>
          <w:lang w:val="fr-FR"/>
        </w:rPr>
        <w:t xml:space="preserve"> </w:t>
      </w:r>
      <w:r w:rsidRPr="00E71666">
        <w:rPr>
          <w:rFonts w:eastAsia="Calibri"/>
          <w:sz w:val="20"/>
          <w:lang w:val="en-CA"/>
        </w:rPr>
        <w:t>(Ont.) (Civil) (By Leave) (</w:t>
      </w:r>
      <w:hyperlink r:id="rId9" w:history="1">
        <w:r w:rsidRPr="00E71666">
          <w:rPr>
            <w:rStyle w:val="Hyperlink"/>
            <w:rFonts w:eastAsia="Calibri"/>
            <w:sz w:val="20"/>
            <w:lang w:val="en-CA"/>
          </w:rPr>
          <w:t>36528</w:t>
        </w:r>
      </w:hyperlink>
      <w:r w:rsidRPr="00E71666">
        <w:rPr>
          <w:rFonts w:eastAsia="Calibri"/>
          <w:sz w:val="20"/>
          <w:lang w:val="en-CA"/>
        </w:rPr>
        <w:t>)</w:t>
      </w:r>
    </w:p>
    <w:p w:rsidR="00E71666" w:rsidRPr="00E71666" w:rsidRDefault="00E71666" w:rsidP="00E71666">
      <w:pPr>
        <w:ind w:left="360" w:hanging="360"/>
        <w:jc w:val="both"/>
        <w:rPr>
          <w:sz w:val="20"/>
          <w:lang w:val="en-CA"/>
        </w:rPr>
      </w:pPr>
    </w:p>
    <w:p w:rsidR="00E71666" w:rsidRPr="00E71666" w:rsidRDefault="00E71666" w:rsidP="00E71666">
      <w:pPr>
        <w:pStyle w:val="ListParagraph"/>
        <w:numPr>
          <w:ilvl w:val="0"/>
          <w:numId w:val="42"/>
        </w:numPr>
        <w:ind w:left="360"/>
        <w:jc w:val="both"/>
        <w:rPr>
          <w:rFonts w:eastAsia="Calibri"/>
          <w:sz w:val="20"/>
          <w:lang w:val="en-CA"/>
        </w:rPr>
      </w:pPr>
      <w:r w:rsidRPr="00E71666">
        <w:rPr>
          <w:rFonts w:eastAsia="Calibri"/>
          <w:bCs/>
          <w:i/>
          <w:iCs/>
          <w:sz w:val="20"/>
          <w:lang w:val="fr-FR"/>
        </w:rPr>
        <w:t>Sanofi Pasteur Limited v. UPS SCS, Inc. et al.</w:t>
      </w:r>
      <w:r w:rsidRPr="00E71666">
        <w:rPr>
          <w:rFonts w:eastAsia="Calibri"/>
          <w:sz w:val="20"/>
          <w:lang w:val="fr-FR"/>
        </w:rPr>
        <w:t xml:space="preserve"> </w:t>
      </w:r>
      <w:r w:rsidRPr="00E71666">
        <w:rPr>
          <w:rFonts w:eastAsia="Calibri"/>
          <w:sz w:val="20"/>
          <w:lang w:val="en-CA"/>
        </w:rPr>
        <w:t>(Ont.) (Civil) (By Leave) (</w:t>
      </w:r>
      <w:hyperlink r:id="rId10" w:history="1">
        <w:r w:rsidRPr="00E71666">
          <w:rPr>
            <w:rStyle w:val="Hyperlink"/>
            <w:rFonts w:eastAsia="Calibri"/>
            <w:sz w:val="20"/>
            <w:lang w:val="en-CA"/>
          </w:rPr>
          <w:t>36386</w:t>
        </w:r>
      </w:hyperlink>
      <w:r w:rsidRPr="00E71666">
        <w:rPr>
          <w:rFonts w:eastAsia="Calibri"/>
          <w:sz w:val="20"/>
          <w:lang w:val="en-CA"/>
        </w:rPr>
        <w:t>)</w:t>
      </w:r>
    </w:p>
    <w:p w:rsidR="00E71666" w:rsidRPr="00E71666" w:rsidRDefault="00E71666" w:rsidP="00E71666">
      <w:pPr>
        <w:widowControl w:val="0"/>
        <w:autoSpaceDE w:val="0"/>
        <w:autoSpaceDN w:val="0"/>
        <w:adjustRightInd w:val="0"/>
        <w:ind w:left="360" w:hanging="360"/>
        <w:jc w:val="both"/>
        <w:rPr>
          <w:sz w:val="20"/>
        </w:rPr>
      </w:pPr>
    </w:p>
    <w:p w:rsidR="00E71666" w:rsidRPr="00E71666" w:rsidRDefault="00E71666" w:rsidP="00E71666">
      <w:pPr>
        <w:pStyle w:val="ListParagraph"/>
        <w:numPr>
          <w:ilvl w:val="0"/>
          <w:numId w:val="42"/>
        </w:numPr>
        <w:ind w:left="360"/>
        <w:jc w:val="both"/>
        <w:rPr>
          <w:rFonts w:eastAsia="Calibri"/>
          <w:sz w:val="20"/>
          <w:lang w:val="en-CA"/>
        </w:rPr>
      </w:pPr>
      <w:r w:rsidRPr="00E71666">
        <w:rPr>
          <w:rFonts w:eastAsia="Calibri"/>
          <w:bCs/>
          <w:i/>
          <w:iCs/>
          <w:sz w:val="20"/>
          <w:lang w:val="en-CA"/>
        </w:rPr>
        <w:t xml:space="preserve">Society of Notaries Public of British Columbia v. Lawrence Brian </w:t>
      </w:r>
      <w:proofErr w:type="spellStart"/>
      <w:r w:rsidRPr="00E71666">
        <w:rPr>
          <w:rFonts w:eastAsia="Calibri"/>
          <w:bCs/>
          <w:i/>
          <w:iCs/>
          <w:sz w:val="20"/>
          <w:lang w:val="en-CA"/>
        </w:rPr>
        <w:t>Jer</w:t>
      </w:r>
      <w:proofErr w:type="spellEnd"/>
      <w:r w:rsidRPr="00E71666">
        <w:rPr>
          <w:rFonts w:eastAsia="Calibri"/>
          <w:bCs/>
          <w:i/>
          <w:iCs/>
          <w:sz w:val="20"/>
          <w:lang w:val="en-CA"/>
        </w:rPr>
        <w:t xml:space="preserve"> et al.</w:t>
      </w:r>
      <w:r w:rsidRPr="00E71666">
        <w:rPr>
          <w:rFonts w:eastAsia="Calibri"/>
          <w:sz w:val="20"/>
          <w:lang w:val="en-CA"/>
        </w:rPr>
        <w:t xml:space="preserve"> (B.C.) (Civil) (By Leave) (</w:t>
      </w:r>
      <w:hyperlink r:id="rId11" w:history="1">
        <w:r w:rsidRPr="00E71666">
          <w:rPr>
            <w:rStyle w:val="Hyperlink"/>
            <w:rFonts w:eastAsia="Calibri"/>
            <w:sz w:val="20"/>
            <w:lang w:val="en-CA"/>
          </w:rPr>
          <w:t>36592</w:t>
        </w:r>
      </w:hyperlink>
      <w:r w:rsidRPr="00E71666">
        <w:rPr>
          <w:rFonts w:eastAsia="Calibri"/>
          <w:sz w:val="20"/>
          <w:lang w:val="en-CA"/>
        </w:rPr>
        <w:t>)</w:t>
      </w:r>
    </w:p>
    <w:p w:rsidR="00CB3A38" w:rsidRPr="00C41898" w:rsidRDefault="00CB3A38" w:rsidP="00C41898">
      <w:pPr>
        <w:ind w:left="360" w:hanging="360"/>
        <w:jc w:val="both"/>
        <w:rPr>
          <w:sz w:val="20"/>
        </w:rPr>
      </w:pPr>
    </w:p>
    <w:p w:rsidR="00CB3A38" w:rsidRPr="00C41898" w:rsidRDefault="00CB3A38" w:rsidP="00C41898">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1898" w:rsidRPr="00C41898" w:rsidTr="00E95A6A">
        <w:tc>
          <w:tcPr>
            <w:tcW w:w="543" w:type="pct"/>
          </w:tcPr>
          <w:p w:rsidR="00C41898" w:rsidRPr="00C41898" w:rsidRDefault="00C41898" w:rsidP="00C41898">
            <w:pPr>
              <w:jc w:val="both"/>
              <w:rPr>
                <w:sz w:val="20"/>
              </w:rPr>
            </w:pPr>
            <w:r w:rsidRPr="00C41898">
              <w:rPr>
                <w:rStyle w:val="SCCFileNumberChar"/>
                <w:sz w:val="20"/>
                <w:szCs w:val="20"/>
              </w:rPr>
              <w:t>36580</w:t>
            </w:r>
          </w:p>
        </w:tc>
        <w:tc>
          <w:tcPr>
            <w:tcW w:w="4457" w:type="pct"/>
            <w:gridSpan w:val="3"/>
          </w:tcPr>
          <w:p w:rsidR="00C41898" w:rsidRPr="00C41898" w:rsidRDefault="00C41898" w:rsidP="00C41898">
            <w:pPr>
              <w:pStyle w:val="SCCLsocParty"/>
              <w:jc w:val="both"/>
              <w:rPr>
                <w:b/>
                <w:sz w:val="20"/>
                <w:szCs w:val="20"/>
                <w:lang w:val="en-US"/>
              </w:rPr>
            </w:pPr>
            <w:r w:rsidRPr="00C41898">
              <w:rPr>
                <w:b/>
                <w:sz w:val="20"/>
                <w:szCs w:val="20"/>
                <w:lang w:val="en-US"/>
              </w:rPr>
              <w:t>Michele Ashley, Michael Ashley v. Robin Welsh</w:t>
            </w:r>
          </w:p>
          <w:p w:rsidR="00C41898" w:rsidRPr="00C41898" w:rsidRDefault="00C41898" w:rsidP="00C41898">
            <w:pPr>
              <w:jc w:val="both"/>
              <w:rPr>
                <w:sz w:val="20"/>
              </w:rPr>
            </w:pPr>
            <w:r w:rsidRPr="00C41898">
              <w:rPr>
                <w:sz w:val="20"/>
              </w:rPr>
              <w:t>(Ont.) (Civil) (By Leave)</w:t>
            </w:r>
          </w:p>
        </w:tc>
      </w:tr>
      <w:tr w:rsidR="00C41898" w:rsidRPr="00C41898" w:rsidTr="00E95A6A">
        <w:tc>
          <w:tcPr>
            <w:tcW w:w="5000" w:type="pct"/>
            <w:gridSpan w:val="4"/>
          </w:tcPr>
          <w:p w:rsidR="00C41898" w:rsidRPr="00C41898" w:rsidRDefault="00C41898" w:rsidP="00C41898">
            <w:pPr>
              <w:jc w:val="both"/>
              <w:rPr>
                <w:sz w:val="20"/>
              </w:rPr>
            </w:pPr>
            <w:r w:rsidRPr="00C41898">
              <w:rPr>
                <w:sz w:val="20"/>
              </w:rPr>
              <w:t>Family law – Family assets – Pension death benefit – Separation agreement providing for wife’s entitlement to pension death benefit from husband’s employment pension – Husband changing beneficiaries of pension death benefit to his children – Husband dying before employment pension in payment – Wife not waiving rights to pension death benefit – Whether proper beneficiary of pension death benefit was deceased’s wife or his children.</w:t>
            </w:r>
          </w:p>
        </w:tc>
      </w:tr>
      <w:tr w:rsidR="00C41898" w:rsidRPr="00C41898" w:rsidTr="00E95A6A">
        <w:tc>
          <w:tcPr>
            <w:tcW w:w="5000" w:type="pct"/>
            <w:gridSpan w:val="4"/>
          </w:tcPr>
          <w:p w:rsidR="00C41898" w:rsidRPr="00C41898" w:rsidRDefault="00C41898" w:rsidP="00C41898">
            <w:pPr>
              <w:jc w:val="both"/>
              <w:rPr>
                <w:sz w:val="20"/>
              </w:rPr>
            </w:pPr>
          </w:p>
        </w:tc>
      </w:tr>
      <w:tr w:rsidR="00C41898" w:rsidRPr="00C41898" w:rsidTr="00E95A6A">
        <w:tc>
          <w:tcPr>
            <w:tcW w:w="5000" w:type="pct"/>
            <w:gridSpan w:val="4"/>
          </w:tcPr>
          <w:p w:rsidR="00C41898" w:rsidRPr="00C41898" w:rsidRDefault="00C41898" w:rsidP="00C41898">
            <w:pPr>
              <w:jc w:val="both"/>
              <w:rPr>
                <w:sz w:val="20"/>
              </w:rPr>
            </w:pPr>
            <w:r w:rsidRPr="00C41898">
              <w:rPr>
                <w:sz w:val="20"/>
              </w:rPr>
              <w:t>The respondent, Ms. Welsh was the wife of the deceased, Mr. Poisson, up until the time of his death in June, 2012. At the time, they had been living separate and apart for several years. The applicants are the adult children of Mr. Poisson. Mr. Poisson had been a member of a pension plan through his place of employment at the time of his marriage and had designated Ms. Welsh as the beneficiary of his pension death benefits. Mr. Poisson and Ms. Welsh separated for a period of time in 2002 and during that time, Mr. Poisson changed that designation to his children. Mr. Poisson and Ms. Welsh reconciled and continued to live together until their final separation in August, 2007. A few months later, they entered into a separation agreement that dealt with their assets, including Mr. Poisson’s pension benefits. The separation agreement provided that Ms. Welsh was to be “considered the sole surviving spouse and shall receive all benefits payable to a surviving spouse under the plan.” Mr. Poisson was not in receipt of his pension at the time of his death. The plan administrators determined that given the terms of the separation agreement, Ms. Welsh alone was entitled to the pension death benefit. She sought a declaration that she was the sole beneficiary. The applicants maintained that she was only entitled to a proportionate share.</w:t>
            </w:r>
          </w:p>
          <w:p w:rsidR="00C41898" w:rsidRPr="00C41898" w:rsidRDefault="00C41898" w:rsidP="00C41898">
            <w:pPr>
              <w:jc w:val="both"/>
              <w:rPr>
                <w:sz w:val="20"/>
              </w:rPr>
            </w:pPr>
          </w:p>
        </w:tc>
      </w:tr>
      <w:tr w:rsidR="00C41898" w:rsidRPr="00C41898" w:rsidTr="00E95A6A">
        <w:tc>
          <w:tcPr>
            <w:tcW w:w="2427" w:type="pct"/>
            <w:gridSpan w:val="2"/>
          </w:tcPr>
          <w:p w:rsidR="00C41898" w:rsidRPr="00C41898" w:rsidRDefault="00C41898" w:rsidP="00C41898">
            <w:pPr>
              <w:jc w:val="both"/>
              <w:rPr>
                <w:sz w:val="20"/>
              </w:rPr>
            </w:pPr>
            <w:r w:rsidRPr="00C41898">
              <w:rPr>
                <w:sz w:val="20"/>
              </w:rPr>
              <w:t>September 8, 2014</w:t>
            </w:r>
          </w:p>
          <w:p w:rsidR="00C41898" w:rsidRPr="00C41898" w:rsidRDefault="00C41898" w:rsidP="00C41898">
            <w:pPr>
              <w:jc w:val="both"/>
              <w:rPr>
                <w:sz w:val="20"/>
              </w:rPr>
            </w:pPr>
            <w:r w:rsidRPr="00C41898">
              <w:rPr>
                <w:sz w:val="20"/>
              </w:rPr>
              <w:t>Ontario Superior Court of Justice</w:t>
            </w:r>
          </w:p>
          <w:p w:rsidR="00C41898" w:rsidRPr="00C41898" w:rsidRDefault="00C41898" w:rsidP="00C41898">
            <w:pPr>
              <w:jc w:val="both"/>
              <w:rPr>
                <w:sz w:val="20"/>
              </w:rPr>
            </w:pPr>
            <w:r w:rsidRPr="00C41898">
              <w:rPr>
                <w:sz w:val="20"/>
              </w:rPr>
              <w:t>(Campbell J.)</w:t>
            </w:r>
          </w:p>
          <w:p w:rsidR="00C41898" w:rsidRDefault="00C41898" w:rsidP="00C41898">
            <w:pPr>
              <w:jc w:val="both"/>
              <w:rPr>
                <w:sz w:val="20"/>
              </w:rPr>
            </w:pPr>
            <w:r w:rsidRPr="00C41898">
              <w:rPr>
                <w:sz w:val="20"/>
              </w:rPr>
              <w:t>2014 ONSC 5165</w:t>
            </w:r>
          </w:p>
          <w:p w:rsidR="00C41898" w:rsidRPr="00C41898" w:rsidRDefault="00C41898" w:rsidP="00C41898">
            <w:pPr>
              <w:jc w:val="both"/>
              <w:rPr>
                <w:sz w:val="20"/>
              </w:rPr>
            </w:pP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Wife entitled to 51.3 percent of pension death benefit and applicants entitled to 49.87 percent</w:t>
            </w:r>
          </w:p>
          <w:p w:rsidR="00C41898" w:rsidRPr="00C41898" w:rsidRDefault="00C41898" w:rsidP="00C41898">
            <w:pPr>
              <w:jc w:val="both"/>
              <w:rPr>
                <w:sz w:val="20"/>
              </w:rPr>
            </w:pPr>
          </w:p>
          <w:p w:rsidR="00C41898" w:rsidRPr="00C41898" w:rsidRDefault="00C41898" w:rsidP="00C41898">
            <w:pPr>
              <w:jc w:val="both"/>
              <w:rPr>
                <w:sz w:val="20"/>
              </w:rPr>
            </w:pPr>
          </w:p>
        </w:tc>
      </w:tr>
      <w:tr w:rsidR="00C41898" w:rsidRPr="00C41898" w:rsidTr="00E95A6A">
        <w:tc>
          <w:tcPr>
            <w:tcW w:w="2427" w:type="pct"/>
            <w:gridSpan w:val="2"/>
          </w:tcPr>
          <w:p w:rsidR="00C41898" w:rsidRPr="00C41898" w:rsidRDefault="00C41898" w:rsidP="00C41898">
            <w:pPr>
              <w:jc w:val="both"/>
              <w:rPr>
                <w:sz w:val="20"/>
              </w:rPr>
            </w:pPr>
            <w:r w:rsidRPr="00C41898">
              <w:rPr>
                <w:sz w:val="20"/>
              </w:rPr>
              <w:t>April 24, 2015</w:t>
            </w:r>
          </w:p>
          <w:p w:rsidR="00C41898" w:rsidRPr="00C41898" w:rsidRDefault="00C41898" w:rsidP="00C41898">
            <w:pPr>
              <w:jc w:val="both"/>
              <w:rPr>
                <w:sz w:val="20"/>
              </w:rPr>
            </w:pPr>
            <w:r w:rsidRPr="00C41898">
              <w:rPr>
                <w:sz w:val="20"/>
              </w:rPr>
              <w:t>Court of Appeal for Ontario</w:t>
            </w:r>
          </w:p>
          <w:p w:rsidR="00C41898" w:rsidRPr="00C41898" w:rsidRDefault="00C41898" w:rsidP="00C41898">
            <w:pPr>
              <w:jc w:val="both"/>
              <w:rPr>
                <w:sz w:val="20"/>
              </w:rPr>
            </w:pPr>
            <w:r w:rsidRPr="00C41898">
              <w:rPr>
                <w:sz w:val="20"/>
              </w:rPr>
              <w:t>(</w:t>
            </w:r>
            <w:proofErr w:type="spellStart"/>
            <w:r w:rsidRPr="00C41898">
              <w:rPr>
                <w:sz w:val="20"/>
              </w:rPr>
              <w:t>Juriansz</w:t>
            </w:r>
            <w:proofErr w:type="spellEnd"/>
            <w:r w:rsidRPr="00C41898">
              <w:rPr>
                <w:sz w:val="20"/>
              </w:rPr>
              <w:t xml:space="preserve">, </w:t>
            </w:r>
            <w:proofErr w:type="spellStart"/>
            <w:r w:rsidRPr="00C41898">
              <w:rPr>
                <w:sz w:val="20"/>
              </w:rPr>
              <w:t>MacFarland</w:t>
            </w:r>
            <w:proofErr w:type="spellEnd"/>
            <w:r w:rsidRPr="00C41898">
              <w:rPr>
                <w:sz w:val="20"/>
              </w:rPr>
              <w:t xml:space="preserve"> and </w:t>
            </w:r>
            <w:proofErr w:type="spellStart"/>
            <w:r w:rsidRPr="00C41898">
              <w:rPr>
                <w:sz w:val="20"/>
              </w:rPr>
              <w:t>Lauwers</w:t>
            </w:r>
            <w:proofErr w:type="spellEnd"/>
            <w:r w:rsidRPr="00C41898">
              <w:rPr>
                <w:sz w:val="20"/>
              </w:rPr>
              <w:t xml:space="preserve"> JJ.A.)</w:t>
            </w:r>
          </w:p>
          <w:p w:rsidR="00C41898" w:rsidRPr="00C41898" w:rsidRDefault="00C41898" w:rsidP="00C41898">
            <w:pPr>
              <w:jc w:val="both"/>
              <w:rPr>
                <w:sz w:val="20"/>
              </w:rPr>
            </w:pPr>
            <w:hyperlink r:id="rId12" w:history="1">
              <w:r w:rsidRPr="00C41898">
                <w:rPr>
                  <w:rStyle w:val="Hyperlink"/>
                  <w:sz w:val="20"/>
                </w:rPr>
                <w:t>2015 ONCA 297</w:t>
              </w:r>
            </w:hyperlink>
          </w:p>
          <w:p w:rsidR="00C41898" w:rsidRPr="00C41898" w:rsidRDefault="00C41898" w:rsidP="00C41898">
            <w:pPr>
              <w:jc w:val="both"/>
              <w:rPr>
                <w:sz w:val="20"/>
              </w:rPr>
            </w:pP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Appeal allowed; wife entitled to entire pension death benefit</w:t>
            </w:r>
          </w:p>
          <w:p w:rsidR="00C41898" w:rsidRPr="00C41898" w:rsidRDefault="00C41898" w:rsidP="00C41898">
            <w:pPr>
              <w:jc w:val="both"/>
              <w:rPr>
                <w:sz w:val="20"/>
              </w:rPr>
            </w:pPr>
          </w:p>
          <w:p w:rsidR="00C41898" w:rsidRPr="00C41898" w:rsidRDefault="00C41898" w:rsidP="00C41898">
            <w:pPr>
              <w:jc w:val="both"/>
              <w:rPr>
                <w:sz w:val="20"/>
              </w:rPr>
            </w:pPr>
          </w:p>
        </w:tc>
      </w:tr>
      <w:tr w:rsidR="00C41898" w:rsidRPr="00C41898" w:rsidTr="00E95A6A">
        <w:tc>
          <w:tcPr>
            <w:tcW w:w="2427" w:type="pct"/>
            <w:gridSpan w:val="2"/>
          </w:tcPr>
          <w:p w:rsidR="00C41898" w:rsidRPr="00C41898" w:rsidRDefault="00C41898" w:rsidP="00C41898">
            <w:pPr>
              <w:jc w:val="both"/>
              <w:rPr>
                <w:sz w:val="20"/>
              </w:rPr>
            </w:pPr>
            <w:r w:rsidRPr="00C41898">
              <w:rPr>
                <w:sz w:val="20"/>
              </w:rPr>
              <w:t>August 24, 2015</w:t>
            </w:r>
          </w:p>
          <w:p w:rsidR="00C41898" w:rsidRPr="00C41898" w:rsidRDefault="00C41898" w:rsidP="00C41898">
            <w:pPr>
              <w:jc w:val="both"/>
              <w:rPr>
                <w:sz w:val="20"/>
              </w:rPr>
            </w:pPr>
            <w:r w:rsidRPr="00C41898">
              <w:rPr>
                <w:sz w:val="20"/>
              </w:rPr>
              <w:t>Supreme Court of Canada</w:t>
            </w:r>
          </w:p>
        </w:tc>
        <w:tc>
          <w:tcPr>
            <w:tcW w:w="243" w:type="pct"/>
          </w:tcPr>
          <w:p w:rsidR="00C41898" w:rsidRPr="00C41898" w:rsidRDefault="00C41898" w:rsidP="00C41898">
            <w:pPr>
              <w:jc w:val="both"/>
              <w:rPr>
                <w:sz w:val="20"/>
              </w:rPr>
            </w:pPr>
          </w:p>
        </w:tc>
        <w:tc>
          <w:tcPr>
            <w:tcW w:w="2330" w:type="pct"/>
          </w:tcPr>
          <w:p w:rsidR="00C41898" w:rsidRDefault="00C41898" w:rsidP="00C41898">
            <w:pPr>
              <w:jc w:val="both"/>
              <w:rPr>
                <w:sz w:val="20"/>
              </w:rPr>
            </w:pPr>
            <w:r w:rsidRPr="00C41898">
              <w:rPr>
                <w:sz w:val="20"/>
              </w:rPr>
              <w:t>Motion for extension of time in which to serve application for leave to appeal and application for leave to appeal filed</w:t>
            </w:r>
          </w:p>
          <w:p w:rsidR="00C41898" w:rsidRPr="00C41898" w:rsidRDefault="00C41898" w:rsidP="00C41898">
            <w:pPr>
              <w:jc w:val="both"/>
              <w:rPr>
                <w:sz w:val="20"/>
              </w:rPr>
            </w:pPr>
          </w:p>
        </w:tc>
      </w:tr>
    </w:tbl>
    <w:p w:rsidR="00C41898" w:rsidRPr="00C41898" w:rsidRDefault="00C41898" w:rsidP="00C418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1898" w:rsidRPr="00C41898" w:rsidTr="00E95A6A">
        <w:tc>
          <w:tcPr>
            <w:tcW w:w="543" w:type="pct"/>
          </w:tcPr>
          <w:p w:rsidR="00C41898" w:rsidRPr="00C41898" w:rsidRDefault="00C41898" w:rsidP="00C41898">
            <w:pPr>
              <w:jc w:val="both"/>
              <w:rPr>
                <w:sz w:val="20"/>
                <w:lang w:val="fr-CA"/>
              </w:rPr>
            </w:pPr>
            <w:r w:rsidRPr="00C41898">
              <w:rPr>
                <w:rStyle w:val="SCCFileNumberChar"/>
                <w:sz w:val="20"/>
                <w:szCs w:val="20"/>
                <w:lang w:val="fr-CA"/>
              </w:rPr>
              <w:t>36580</w:t>
            </w:r>
          </w:p>
        </w:tc>
        <w:tc>
          <w:tcPr>
            <w:tcW w:w="4457" w:type="pct"/>
            <w:gridSpan w:val="3"/>
          </w:tcPr>
          <w:p w:rsidR="00C41898" w:rsidRPr="00C41898" w:rsidRDefault="00C41898" w:rsidP="00C41898">
            <w:pPr>
              <w:pStyle w:val="SCCLsocParty"/>
              <w:jc w:val="both"/>
              <w:rPr>
                <w:b/>
                <w:sz w:val="20"/>
                <w:szCs w:val="20"/>
                <w:lang w:val="en-US"/>
              </w:rPr>
            </w:pPr>
            <w:r w:rsidRPr="00C41898">
              <w:rPr>
                <w:b/>
                <w:sz w:val="20"/>
                <w:szCs w:val="20"/>
                <w:lang w:val="en-US"/>
              </w:rPr>
              <w:t>Michele Ashley, Michael Ashley c. Robin Welsh</w:t>
            </w:r>
          </w:p>
          <w:p w:rsidR="00C41898" w:rsidRPr="00C41898" w:rsidRDefault="00C41898" w:rsidP="00C41898">
            <w:pPr>
              <w:jc w:val="both"/>
              <w:rPr>
                <w:sz w:val="20"/>
                <w:lang w:val="fr-CA"/>
              </w:rPr>
            </w:pPr>
            <w:r w:rsidRPr="00C41898">
              <w:rPr>
                <w:sz w:val="20"/>
                <w:lang w:val="fr-CA"/>
              </w:rPr>
              <w:t>(Ont.) (Civile) (Sur autorisation)</w:t>
            </w:r>
          </w:p>
        </w:tc>
      </w:tr>
      <w:tr w:rsidR="00C41898" w:rsidRPr="00C41898" w:rsidTr="00E95A6A">
        <w:tc>
          <w:tcPr>
            <w:tcW w:w="5000" w:type="pct"/>
            <w:gridSpan w:val="4"/>
          </w:tcPr>
          <w:p w:rsidR="00C41898" w:rsidRPr="00C41898" w:rsidRDefault="00C41898" w:rsidP="00C41898">
            <w:pPr>
              <w:jc w:val="both"/>
              <w:rPr>
                <w:sz w:val="20"/>
                <w:lang w:val="fr-CA"/>
              </w:rPr>
            </w:pPr>
            <w:r w:rsidRPr="00C41898">
              <w:rPr>
                <w:sz w:val="20"/>
                <w:lang w:val="fr-CA"/>
              </w:rPr>
              <w:t>Droit de la famille – Biens familiaux – Prestation de survivant – L’accord de séparation prévoit que l’épouse a droit à la prestation de survivant sous le régime de retraite de l’employeur de l’époux – L’époux a changé les bénéficiaires de la prestation de survivant en désignant ses enfants à ce titre – L’époux est décédé avant le versement de ses prestations de pension – L’épouse n’a pas renoncé aux droits à la prestation de survivant – Les véritables bénéficiaires de la prestation de survivant sont-ils l’épouse du défunt ou ses enfants?</w:t>
            </w:r>
          </w:p>
        </w:tc>
      </w:tr>
      <w:tr w:rsidR="00C41898" w:rsidRPr="00C41898" w:rsidTr="00E95A6A">
        <w:tc>
          <w:tcPr>
            <w:tcW w:w="5000" w:type="pct"/>
            <w:gridSpan w:val="4"/>
          </w:tcPr>
          <w:p w:rsidR="00C41898" w:rsidRPr="00C41898" w:rsidRDefault="00C41898" w:rsidP="00C41898">
            <w:pPr>
              <w:jc w:val="both"/>
              <w:rPr>
                <w:sz w:val="20"/>
                <w:lang w:val="fr-CA"/>
              </w:rPr>
            </w:pPr>
          </w:p>
        </w:tc>
      </w:tr>
      <w:tr w:rsidR="00C41898" w:rsidRPr="00C41898" w:rsidTr="00E95A6A">
        <w:tc>
          <w:tcPr>
            <w:tcW w:w="5000" w:type="pct"/>
            <w:gridSpan w:val="4"/>
          </w:tcPr>
          <w:p w:rsidR="00C41898" w:rsidRPr="00C41898" w:rsidRDefault="00C41898" w:rsidP="00C41898">
            <w:pPr>
              <w:jc w:val="both"/>
              <w:rPr>
                <w:sz w:val="20"/>
                <w:lang w:val="fr-CA"/>
              </w:rPr>
            </w:pPr>
            <w:r w:rsidRPr="00C41898">
              <w:rPr>
                <w:sz w:val="20"/>
                <w:lang w:val="fr-CA"/>
              </w:rPr>
              <w:t>L’intimée, Mme </w:t>
            </w:r>
            <w:proofErr w:type="spellStart"/>
            <w:r w:rsidRPr="00C41898">
              <w:rPr>
                <w:sz w:val="20"/>
                <w:lang w:val="fr-CA"/>
              </w:rPr>
              <w:t>Welsh</w:t>
            </w:r>
            <w:proofErr w:type="spellEnd"/>
            <w:r w:rsidRPr="00C41898">
              <w:rPr>
                <w:sz w:val="20"/>
                <w:lang w:val="fr-CA"/>
              </w:rPr>
              <w:t>, était l’épouse du défunt, M. Poisson, jusqu’au décès de ce dernier en juin 2012. À l’époque, ils vivaient séparément depuis plusieurs années. Les demandeurs sont les enfants adultes de M. Poisson. Monsieur Poisson participait à un régime de retraite à son travail au moment de son mariage et il avait désigné Mme Welsh comme la bénéficiaire de ses prestations de survivant. Monsieur Poisson et Mme Welsh se sont séparés pendant un certain temps en 2002 et, pendant la séparation, M. Poisson a changé cette désignation en constituant ses enfants bénéficiaires. Monsieur Poisson et Mme Welsh se sont conciliés et ont repris leur vie commune jusqu’à leur séparation définitive, en août 2007. Quelques mois plus tard, ils ont conclu un accord de séparation qui portait sur les biens, y compris les prestations de pension de M. Poisson. L’accord de séparation prévoyait que Mme </w:t>
            </w:r>
            <w:proofErr w:type="spellStart"/>
            <w:r w:rsidRPr="00C41898">
              <w:rPr>
                <w:sz w:val="20"/>
                <w:lang w:val="fr-CA"/>
              </w:rPr>
              <w:t>Welsh</w:t>
            </w:r>
            <w:proofErr w:type="spellEnd"/>
            <w:r w:rsidRPr="00C41898">
              <w:rPr>
                <w:sz w:val="20"/>
                <w:lang w:val="fr-CA"/>
              </w:rPr>
              <w:t xml:space="preserve"> devait être [</w:t>
            </w:r>
            <w:r w:rsidRPr="00C41898">
              <w:rPr>
                <w:smallCaps/>
                <w:sz w:val="20"/>
                <w:lang w:val="fr-CA"/>
              </w:rPr>
              <w:t>traduction</w:t>
            </w:r>
            <w:r w:rsidRPr="00C41898">
              <w:rPr>
                <w:sz w:val="20"/>
                <w:lang w:val="fr-CA"/>
              </w:rPr>
              <w:t>] « considérée comme seul conjoint survivant et qu’elle allait recevoir toutes les prestations payables au conjoint survivant en application du régime. » Monsieur Poisson ne touchait pas sa pension quand il est décédé. Les administrateurs du régime ont décidé que, compte tenu des dispositions de l’accord de séparation, seule Mme </w:t>
            </w:r>
            <w:proofErr w:type="spellStart"/>
            <w:r w:rsidRPr="00C41898">
              <w:rPr>
                <w:sz w:val="20"/>
                <w:lang w:val="fr-CA"/>
              </w:rPr>
              <w:t>Welsh</w:t>
            </w:r>
            <w:proofErr w:type="spellEnd"/>
            <w:r w:rsidRPr="00C41898">
              <w:rPr>
                <w:sz w:val="20"/>
                <w:lang w:val="fr-CA"/>
              </w:rPr>
              <w:t xml:space="preserve"> avait droit à la prestation de survivant. Elle a demandé un jugement déclarant qu’elle était seule bénéficiaire. Les demandeurs ont soutenu qu’elle n’avait droit qu’à une part proportionnelle.</w:t>
            </w:r>
          </w:p>
          <w:p w:rsidR="00C41898" w:rsidRPr="00C41898" w:rsidRDefault="00C41898" w:rsidP="00C41898">
            <w:pPr>
              <w:jc w:val="both"/>
              <w:rPr>
                <w:sz w:val="20"/>
                <w:lang w:val="fr-CA"/>
              </w:rPr>
            </w:pPr>
          </w:p>
        </w:tc>
      </w:tr>
      <w:tr w:rsidR="00C41898" w:rsidRPr="00C41898" w:rsidTr="00E95A6A">
        <w:tc>
          <w:tcPr>
            <w:tcW w:w="2427" w:type="pct"/>
            <w:gridSpan w:val="2"/>
          </w:tcPr>
          <w:p w:rsidR="00C41898" w:rsidRPr="00C41898" w:rsidRDefault="00C41898" w:rsidP="00C41898">
            <w:pPr>
              <w:jc w:val="both"/>
              <w:rPr>
                <w:sz w:val="20"/>
                <w:lang w:val="fr-CA"/>
              </w:rPr>
            </w:pPr>
            <w:r w:rsidRPr="00C41898">
              <w:rPr>
                <w:sz w:val="20"/>
                <w:lang w:val="fr-CA"/>
              </w:rPr>
              <w:t>8 septembre 2014</w:t>
            </w:r>
          </w:p>
          <w:p w:rsidR="00C41898" w:rsidRPr="00C41898" w:rsidRDefault="00C41898" w:rsidP="00C41898">
            <w:pPr>
              <w:jc w:val="both"/>
              <w:rPr>
                <w:sz w:val="20"/>
                <w:lang w:val="fr-CA"/>
              </w:rPr>
            </w:pPr>
            <w:r w:rsidRPr="00C41898">
              <w:rPr>
                <w:sz w:val="20"/>
                <w:lang w:val="fr-CA"/>
              </w:rPr>
              <w:t>Cour supérieure de justice de l’Ontario</w:t>
            </w:r>
          </w:p>
          <w:p w:rsidR="00C41898" w:rsidRPr="00C41898" w:rsidRDefault="00C41898" w:rsidP="00C41898">
            <w:pPr>
              <w:jc w:val="both"/>
              <w:rPr>
                <w:sz w:val="20"/>
                <w:lang w:val="fr-CA"/>
              </w:rPr>
            </w:pPr>
            <w:r w:rsidRPr="00C41898">
              <w:rPr>
                <w:sz w:val="20"/>
                <w:lang w:val="fr-CA"/>
              </w:rPr>
              <w:t>(Juge Campbell)</w:t>
            </w:r>
          </w:p>
          <w:p w:rsidR="00C41898" w:rsidRDefault="00C41898" w:rsidP="00C41898">
            <w:pPr>
              <w:jc w:val="both"/>
              <w:rPr>
                <w:sz w:val="20"/>
                <w:lang w:val="fr-CA"/>
              </w:rPr>
            </w:pPr>
            <w:r w:rsidRPr="00C41898">
              <w:rPr>
                <w:sz w:val="20"/>
                <w:lang w:val="fr-CA"/>
              </w:rPr>
              <w:t>2014 ONSC 5165</w:t>
            </w:r>
          </w:p>
          <w:p w:rsidR="00C41898" w:rsidRPr="00C41898" w:rsidRDefault="00C41898" w:rsidP="00C41898">
            <w:pPr>
              <w:jc w:val="both"/>
              <w:rPr>
                <w:sz w:val="20"/>
                <w:lang w:val="fr-CA"/>
              </w:rPr>
            </w:pPr>
          </w:p>
        </w:tc>
        <w:tc>
          <w:tcPr>
            <w:tcW w:w="243" w:type="pct"/>
          </w:tcPr>
          <w:p w:rsidR="00C41898" w:rsidRPr="00C41898" w:rsidRDefault="00C41898" w:rsidP="00C41898">
            <w:pPr>
              <w:jc w:val="both"/>
              <w:rPr>
                <w:sz w:val="20"/>
                <w:lang w:val="fr-CA"/>
              </w:rPr>
            </w:pPr>
          </w:p>
        </w:tc>
        <w:tc>
          <w:tcPr>
            <w:tcW w:w="2330" w:type="pct"/>
          </w:tcPr>
          <w:p w:rsidR="00C41898" w:rsidRPr="00C41898" w:rsidRDefault="00C41898" w:rsidP="00C41898">
            <w:pPr>
              <w:jc w:val="both"/>
              <w:rPr>
                <w:sz w:val="20"/>
                <w:lang w:val="fr-CA"/>
              </w:rPr>
            </w:pPr>
            <w:r w:rsidRPr="00C41898">
              <w:rPr>
                <w:sz w:val="20"/>
                <w:lang w:val="fr-CA"/>
              </w:rPr>
              <w:t>Jugement déclarant que l’épouse a droit à 51,3 pour cent de la prestation de survivant et que les demandeurs ont droit à 49,87 pour cent</w:t>
            </w:r>
          </w:p>
          <w:p w:rsidR="00C41898" w:rsidRPr="00C41898" w:rsidRDefault="00C41898" w:rsidP="00C41898">
            <w:pPr>
              <w:jc w:val="both"/>
              <w:rPr>
                <w:sz w:val="20"/>
                <w:lang w:val="fr-CA"/>
              </w:rPr>
            </w:pPr>
          </w:p>
        </w:tc>
      </w:tr>
      <w:tr w:rsidR="00C41898" w:rsidRPr="00C41898" w:rsidTr="00E95A6A">
        <w:tc>
          <w:tcPr>
            <w:tcW w:w="2427" w:type="pct"/>
            <w:gridSpan w:val="2"/>
          </w:tcPr>
          <w:p w:rsidR="00C41898" w:rsidRPr="00C41898" w:rsidRDefault="00C41898" w:rsidP="00C41898">
            <w:pPr>
              <w:jc w:val="both"/>
              <w:rPr>
                <w:sz w:val="20"/>
                <w:lang w:val="fr-CA"/>
              </w:rPr>
            </w:pPr>
            <w:r w:rsidRPr="00C41898">
              <w:rPr>
                <w:sz w:val="20"/>
                <w:lang w:val="fr-CA"/>
              </w:rPr>
              <w:t>24 avril 2015</w:t>
            </w:r>
          </w:p>
          <w:p w:rsidR="00C41898" w:rsidRPr="00C41898" w:rsidRDefault="00C41898" w:rsidP="00C41898">
            <w:pPr>
              <w:jc w:val="both"/>
              <w:rPr>
                <w:sz w:val="20"/>
                <w:lang w:val="fr-CA"/>
              </w:rPr>
            </w:pPr>
            <w:r w:rsidRPr="00C41898">
              <w:rPr>
                <w:sz w:val="20"/>
                <w:lang w:val="fr-CA"/>
              </w:rPr>
              <w:t>Cour d’appel de l’Ontario</w:t>
            </w:r>
          </w:p>
          <w:p w:rsidR="00C41898" w:rsidRPr="00C41898" w:rsidRDefault="00C41898" w:rsidP="00C41898">
            <w:pPr>
              <w:jc w:val="both"/>
              <w:rPr>
                <w:sz w:val="20"/>
                <w:lang w:val="fr-CA"/>
              </w:rPr>
            </w:pPr>
            <w:r w:rsidRPr="00C41898">
              <w:rPr>
                <w:sz w:val="20"/>
                <w:lang w:val="fr-CA"/>
              </w:rPr>
              <w:t>(Juges Juriansz, MacFarland et Lauwers)</w:t>
            </w:r>
          </w:p>
          <w:p w:rsidR="00C41898" w:rsidRPr="00C41898" w:rsidRDefault="00C41898" w:rsidP="00C41898">
            <w:pPr>
              <w:jc w:val="both"/>
              <w:rPr>
                <w:sz w:val="20"/>
                <w:lang w:val="fr-CA"/>
              </w:rPr>
            </w:pPr>
            <w:hyperlink r:id="rId13" w:history="1">
              <w:r w:rsidRPr="00C41898">
                <w:rPr>
                  <w:rStyle w:val="Hyperlink"/>
                  <w:sz w:val="20"/>
                  <w:lang w:val="fr-CA"/>
                </w:rPr>
                <w:t>2015 ONCA 297</w:t>
              </w:r>
            </w:hyperlink>
          </w:p>
          <w:p w:rsidR="00C41898" w:rsidRPr="00C41898" w:rsidRDefault="00C41898" w:rsidP="00C41898">
            <w:pPr>
              <w:jc w:val="both"/>
              <w:rPr>
                <w:sz w:val="20"/>
                <w:lang w:val="fr-CA"/>
              </w:rPr>
            </w:pPr>
          </w:p>
        </w:tc>
        <w:tc>
          <w:tcPr>
            <w:tcW w:w="243" w:type="pct"/>
          </w:tcPr>
          <w:p w:rsidR="00C41898" w:rsidRPr="00C41898" w:rsidRDefault="00C41898" w:rsidP="00C41898">
            <w:pPr>
              <w:jc w:val="both"/>
              <w:rPr>
                <w:sz w:val="20"/>
                <w:lang w:val="fr-CA"/>
              </w:rPr>
            </w:pPr>
          </w:p>
        </w:tc>
        <w:tc>
          <w:tcPr>
            <w:tcW w:w="2330" w:type="pct"/>
          </w:tcPr>
          <w:p w:rsidR="00C41898" w:rsidRPr="00C41898" w:rsidRDefault="00C41898" w:rsidP="00C41898">
            <w:pPr>
              <w:jc w:val="both"/>
              <w:rPr>
                <w:sz w:val="20"/>
                <w:lang w:val="fr-CA"/>
              </w:rPr>
            </w:pPr>
            <w:r w:rsidRPr="00C41898">
              <w:rPr>
                <w:sz w:val="20"/>
                <w:lang w:val="fr-CA"/>
              </w:rPr>
              <w:t>Arrêt accueillant l’appel et déclarant que l’épouse a droit à la prestation de survivant au complet</w:t>
            </w:r>
          </w:p>
          <w:p w:rsidR="00C41898" w:rsidRPr="00C41898" w:rsidRDefault="00C41898" w:rsidP="00C41898">
            <w:pPr>
              <w:jc w:val="both"/>
              <w:rPr>
                <w:sz w:val="20"/>
                <w:lang w:val="fr-CA"/>
              </w:rPr>
            </w:pPr>
          </w:p>
          <w:p w:rsidR="00C41898" w:rsidRPr="00C41898" w:rsidRDefault="00C41898" w:rsidP="00C41898">
            <w:pPr>
              <w:jc w:val="both"/>
              <w:rPr>
                <w:sz w:val="20"/>
                <w:lang w:val="fr-CA"/>
              </w:rPr>
            </w:pPr>
          </w:p>
        </w:tc>
      </w:tr>
      <w:tr w:rsidR="00C41898" w:rsidRPr="00C41898" w:rsidTr="00E95A6A">
        <w:tc>
          <w:tcPr>
            <w:tcW w:w="2427" w:type="pct"/>
            <w:gridSpan w:val="2"/>
          </w:tcPr>
          <w:p w:rsidR="00C41898" w:rsidRPr="00C41898" w:rsidRDefault="00C41898" w:rsidP="00C41898">
            <w:pPr>
              <w:jc w:val="both"/>
              <w:rPr>
                <w:sz w:val="20"/>
                <w:lang w:val="fr-CA"/>
              </w:rPr>
            </w:pPr>
            <w:r w:rsidRPr="00C41898">
              <w:rPr>
                <w:sz w:val="20"/>
                <w:lang w:val="fr-CA"/>
              </w:rPr>
              <w:t>24 août 2015</w:t>
            </w:r>
          </w:p>
          <w:p w:rsidR="00C41898" w:rsidRPr="00C41898" w:rsidRDefault="00C41898" w:rsidP="00C41898">
            <w:pPr>
              <w:jc w:val="both"/>
              <w:rPr>
                <w:sz w:val="20"/>
                <w:lang w:val="fr-CA"/>
              </w:rPr>
            </w:pPr>
            <w:r w:rsidRPr="00C41898">
              <w:rPr>
                <w:sz w:val="20"/>
                <w:lang w:val="fr-CA"/>
              </w:rPr>
              <w:t>Cour suprême du Canada</w:t>
            </w:r>
          </w:p>
        </w:tc>
        <w:tc>
          <w:tcPr>
            <w:tcW w:w="243" w:type="pct"/>
          </w:tcPr>
          <w:p w:rsidR="00C41898" w:rsidRPr="00C41898" w:rsidRDefault="00C41898" w:rsidP="00C41898">
            <w:pPr>
              <w:jc w:val="both"/>
              <w:rPr>
                <w:sz w:val="20"/>
                <w:lang w:val="fr-CA"/>
              </w:rPr>
            </w:pPr>
          </w:p>
        </w:tc>
        <w:tc>
          <w:tcPr>
            <w:tcW w:w="2330" w:type="pct"/>
          </w:tcPr>
          <w:p w:rsidR="00C41898" w:rsidRPr="00C41898" w:rsidRDefault="00C41898" w:rsidP="00C41898">
            <w:pPr>
              <w:jc w:val="both"/>
              <w:rPr>
                <w:sz w:val="20"/>
                <w:lang w:val="fr-CA"/>
              </w:rPr>
            </w:pPr>
            <w:r w:rsidRPr="00C41898">
              <w:rPr>
                <w:sz w:val="20"/>
                <w:lang w:val="fr-CA"/>
              </w:rPr>
              <w:t>Dépôt de la requête en prorogation du délai de signification de la demande d’autorisation d’appel et de la demande d’autorisation d’appel</w:t>
            </w:r>
          </w:p>
        </w:tc>
      </w:tr>
    </w:tbl>
    <w:p w:rsidR="00C41898" w:rsidRDefault="00C41898" w:rsidP="00C41898">
      <w:pPr>
        <w:jc w:val="both"/>
        <w:rPr>
          <w:sz w:val="20"/>
          <w:lang w:val="fr-CA"/>
        </w:rPr>
      </w:pPr>
    </w:p>
    <w:p w:rsidR="00C41898" w:rsidRPr="00C41898" w:rsidRDefault="00C41898" w:rsidP="00C418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1898" w:rsidRPr="00C41898" w:rsidTr="00E95A6A">
        <w:tc>
          <w:tcPr>
            <w:tcW w:w="543" w:type="pct"/>
          </w:tcPr>
          <w:p w:rsidR="00C41898" w:rsidRPr="00C41898" w:rsidRDefault="00C41898" w:rsidP="00C41898">
            <w:pPr>
              <w:jc w:val="both"/>
              <w:rPr>
                <w:sz w:val="20"/>
              </w:rPr>
            </w:pPr>
            <w:r w:rsidRPr="00C41898">
              <w:rPr>
                <w:rStyle w:val="SCCFileNumberChar"/>
                <w:sz w:val="20"/>
                <w:szCs w:val="20"/>
              </w:rPr>
              <w:t>36528</w:t>
            </w:r>
          </w:p>
        </w:tc>
        <w:tc>
          <w:tcPr>
            <w:tcW w:w="4457" w:type="pct"/>
            <w:gridSpan w:val="3"/>
          </w:tcPr>
          <w:p w:rsidR="00C41898" w:rsidRPr="00C41898" w:rsidRDefault="00C41898" w:rsidP="00C41898">
            <w:pPr>
              <w:pStyle w:val="SCCLsocParty"/>
              <w:jc w:val="both"/>
              <w:rPr>
                <w:b/>
                <w:sz w:val="20"/>
                <w:szCs w:val="20"/>
                <w:lang w:val="en-US"/>
              </w:rPr>
            </w:pPr>
            <w:proofErr w:type="spellStart"/>
            <w:r w:rsidRPr="00C41898">
              <w:rPr>
                <w:b/>
                <w:sz w:val="20"/>
                <w:szCs w:val="20"/>
                <w:lang w:val="en-US"/>
              </w:rPr>
              <w:t>Bao</w:t>
            </w:r>
            <w:proofErr w:type="spellEnd"/>
            <w:r w:rsidRPr="00C41898">
              <w:rPr>
                <w:b/>
                <w:sz w:val="20"/>
                <w:szCs w:val="20"/>
                <w:lang w:val="en-US"/>
              </w:rPr>
              <w:t xml:space="preserve"> </w:t>
            </w:r>
            <w:proofErr w:type="spellStart"/>
            <w:r w:rsidRPr="00C41898">
              <w:rPr>
                <w:b/>
                <w:sz w:val="20"/>
                <w:szCs w:val="20"/>
                <w:lang w:val="en-US"/>
              </w:rPr>
              <w:t>Duc</w:t>
            </w:r>
            <w:proofErr w:type="spellEnd"/>
            <w:r w:rsidRPr="00C41898">
              <w:rPr>
                <w:b/>
                <w:sz w:val="20"/>
                <w:szCs w:val="20"/>
                <w:lang w:val="en-US"/>
              </w:rPr>
              <w:t xml:space="preserve"> Nguyen v. </w:t>
            </w:r>
            <w:proofErr w:type="spellStart"/>
            <w:r w:rsidRPr="00C41898">
              <w:rPr>
                <w:b/>
                <w:sz w:val="20"/>
                <w:szCs w:val="20"/>
                <w:lang w:val="en-US"/>
              </w:rPr>
              <w:t>Iwin</w:t>
            </w:r>
            <w:proofErr w:type="spellEnd"/>
            <w:r w:rsidRPr="00C41898">
              <w:rPr>
                <w:b/>
                <w:sz w:val="20"/>
                <w:szCs w:val="20"/>
                <w:lang w:val="en-US"/>
              </w:rPr>
              <w:t xml:space="preserve"> Lee, 1634502 Ontario Inc., </w:t>
            </w:r>
            <w:proofErr w:type="spellStart"/>
            <w:r w:rsidRPr="00C41898">
              <w:rPr>
                <w:b/>
                <w:sz w:val="20"/>
                <w:szCs w:val="20"/>
                <w:lang w:val="en-US"/>
              </w:rPr>
              <w:t>Phuoc</w:t>
            </w:r>
            <w:proofErr w:type="spellEnd"/>
            <w:r w:rsidRPr="00C41898">
              <w:rPr>
                <w:b/>
                <w:sz w:val="20"/>
                <w:szCs w:val="20"/>
                <w:lang w:val="en-US"/>
              </w:rPr>
              <w:t xml:space="preserve"> </w:t>
            </w:r>
            <w:proofErr w:type="spellStart"/>
            <w:r w:rsidRPr="00C41898">
              <w:rPr>
                <w:b/>
                <w:sz w:val="20"/>
                <w:szCs w:val="20"/>
                <w:lang w:val="en-US"/>
              </w:rPr>
              <w:t>Nghia</w:t>
            </w:r>
            <w:proofErr w:type="spellEnd"/>
            <w:r w:rsidRPr="00C41898">
              <w:rPr>
                <w:b/>
                <w:sz w:val="20"/>
                <w:szCs w:val="20"/>
                <w:lang w:val="en-US"/>
              </w:rPr>
              <w:t xml:space="preserve"> Ly, </w:t>
            </w:r>
            <w:proofErr w:type="spellStart"/>
            <w:r w:rsidRPr="00C41898">
              <w:rPr>
                <w:b/>
                <w:sz w:val="20"/>
                <w:szCs w:val="20"/>
                <w:lang w:val="en-US"/>
              </w:rPr>
              <w:t>Va</w:t>
            </w:r>
            <w:proofErr w:type="spellEnd"/>
            <w:r w:rsidRPr="00C41898">
              <w:rPr>
                <w:b/>
                <w:sz w:val="20"/>
                <w:szCs w:val="20"/>
                <w:lang w:val="en-US"/>
              </w:rPr>
              <w:t xml:space="preserve"> Lay Duong</w:t>
            </w:r>
          </w:p>
          <w:p w:rsidR="00C41898" w:rsidRPr="00C41898" w:rsidRDefault="00C41898" w:rsidP="00C41898">
            <w:pPr>
              <w:jc w:val="both"/>
              <w:rPr>
                <w:sz w:val="20"/>
              </w:rPr>
            </w:pPr>
            <w:r w:rsidRPr="00C41898">
              <w:rPr>
                <w:sz w:val="20"/>
              </w:rPr>
              <w:t>(Ont.) (Civil) (By Leave)</w:t>
            </w:r>
          </w:p>
        </w:tc>
      </w:tr>
      <w:tr w:rsidR="00C41898" w:rsidRPr="00C41898" w:rsidTr="00E95A6A">
        <w:tc>
          <w:tcPr>
            <w:tcW w:w="5000" w:type="pct"/>
            <w:gridSpan w:val="4"/>
          </w:tcPr>
          <w:p w:rsidR="00C41898" w:rsidRDefault="00C41898" w:rsidP="00C41898">
            <w:pPr>
              <w:jc w:val="both"/>
              <w:rPr>
                <w:sz w:val="20"/>
              </w:rPr>
            </w:pPr>
            <w:r w:rsidRPr="00C41898">
              <w:rPr>
                <w:sz w:val="20"/>
              </w:rPr>
              <w:t>Commercial law – Creditor and debtor law – Commercial loan agreement – Whether the Court of Appeal erred in upholding the trial judge’s damages award for an amount less than that claimed by the plaintiff.</w:t>
            </w:r>
          </w:p>
          <w:p w:rsidR="00C41898" w:rsidRPr="00C41898" w:rsidRDefault="00C41898" w:rsidP="00C41898">
            <w:pPr>
              <w:jc w:val="both"/>
              <w:rPr>
                <w:sz w:val="20"/>
              </w:rPr>
            </w:pPr>
          </w:p>
        </w:tc>
      </w:tr>
      <w:tr w:rsidR="00C41898" w:rsidRPr="00C41898" w:rsidTr="00C41898">
        <w:trPr>
          <w:trHeight w:val="49"/>
        </w:trPr>
        <w:tc>
          <w:tcPr>
            <w:tcW w:w="5000" w:type="pct"/>
            <w:gridSpan w:val="4"/>
          </w:tcPr>
          <w:p w:rsidR="00C41898" w:rsidRPr="00C41898" w:rsidRDefault="00C41898" w:rsidP="00C41898">
            <w:pPr>
              <w:jc w:val="both"/>
              <w:rPr>
                <w:sz w:val="20"/>
              </w:rPr>
            </w:pPr>
            <w:r w:rsidRPr="00C41898">
              <w:rPr>
                <w:sz w:val="20"/>
              </w:rPr>
              <w:t xml:space="preserve">The applicant, </w:t>
            </w:r>
            <w:proofErr w:type="spellStart"/>
            <w:r w:rsidRPr="00C41898">
              <w:rPr>
                <w:sz w:val="20"/>
              </w:rPr>
              <w:t>Bao</w:t>
            </w:r>
            <w:proofErr w:type="spellEnd"/>
            <w:r w:rsidRPr="00C41898">
              <w:rPr>
                <w:sz w:val="20"/>
              </w:rPr>
              <w:t xml:space="preserve"> </w:t>
            </w:r>
            <w:proofErr w:type="spellStart"/>
            <w:r w:rsidRPr="00C41898">
              <w:rPr>
                <w:sz w:val="20"/>
              </w:rPr>
              <w:t>Duc</w:t>
            </w:r>
            <w:proofErr w:type="spellEnd"/>
            <w:r w:rsidRPr="00C41898">
              <w:rPr>
                <w:sz w:val="20"/>
              </w:rPr>
              <w:t xml:space="preserve"> Nguyen, and respondent, </w:t>
            </w:r>
            <w:proofErr w:type="spellStart"/>
            <w:r w:rsidRPr="00C41898">
              <w:rPr>
                <w:sz w:val="20"/>
              </w:rPr>
              <w:t>Iwin</w:t>
            </w:r>
            <w:proofErr w:type="spellEnd"/>
            <w:r w:rsidRPr="00C41898">
              <w:rPr>
                <w:sz w:val="20"/>
              </w:rPr>
              <w:t xml:space="preserve"> Lee, were parties to a loan agreement dated September 25, 2004. The loan was for $135,000, consisting of an initial $70,000 and a further $65,000 advanced by the applicant at the time of the agreement. The applicant brought an action against the respondents for the repayment of the $135,000. The central issue at trial was whether and to what extent the loan had been repaid. The applicant claimed that no payments had been made, and the respondents asserted that there had been an overpayment.</w:t>
            </w:r>
          </w:p>
          <w:p w:rsidR="00C41898" w:rsidRPr="00C41898" w:rsidRDefault="00C41898" w:rsidP="00C41898">
            <w:pPr>
              <w:jc w:val="both"/>
              <w:rPr>
                <w:sz w:val="20"/>
              </w:rPr>
            </w:pPr>
          </w:p>
          <w:p w:rsidR="00C41898" w:rsidRPr="00C41898" w:rsidRDefault="00C41898" w:rsidP="00C41898">
            <w:pPr>
              <w:jc w:val="both"/>
              <w:rPr>
                <w:sz w:val="20"/>
              </w:rPr>
            </w:pPr>
            <w:r w:rsidRPr="00C41898">
              <w:rPr>
                <w:sz w:val="20"/>
              </w:rPr>
              <w:t xml:space="preserve">The Ontario Superior Court of Justice allowed the applicant’s action, in part, awarding damages and pre-judgment interest against the respondent, </w:t>
            </w:r>
            <w:proofErr w:type="spellStart"/>
            <w:r w:rsidRPr="00C41898">
              <w:rPr>
                <w:sz w:val="20"/>
              </w:rPr>
              <w:t>Iwin</w:t>
            </w:r>
            <w:proofErr w:type="spellEnd"/>
            <w:r w:rsidRPr="00C41898">
              <w:rPr>
                <w:sz w:val="20"/>
              </w:rPr>
              <w:t xml:space="preserve"> Lee, in the amount of $57,566. The Ontario Court of Appeal dismissed the applicant’s appeal.</w:t>
            </w:r>
          </w:p>
          <w:p w:rsidR="00C41898" w:rsidRPr="00C41898" w:rsidRDefault="00C41898" w:rsidP="00C41898">
            <w:pPr>
              <w:jc w:val="both"/>
              <w:rPr>
                <w:sz w:val="20"/>
              </w:rPr>
            </w:pPr>
          </w:p>
        </w:tc>
      </w:tr>
      <w:tr w:rsidR="00C41898" w:rsidRPr="00C41898" w:rsidTr="00C41898">
        <w:trPr>
          <w:trHeight w:val="47"/>
        </w:trPr>
        <w:tc>
          <w:tcPr>
            <w:tcW w:w="2427" w:type="pct"/>
            <w:gridSpan w:val="2"/>
          </w:tcPr>
          <w:p w:rsidR="00C41898" w:rsidRPr="00C41898" w:rsidRDefault="00C41898" w:rsidP="00C41898">
            <w:pPr>
              <w:jc w:val="both"/>
              <w:rPr>
                <w:sz w:val="20"/>
              </w:rPr>
            </w:pPr>
            <w:r w:rsidRPr="00C41898">
              <w:rPr>
                <w:sz w:val="20"/>
              </w:rPr>
              <w:t>March 21, 2014</w:t>
            </w:r>
          </w:p>
          <w:p w:rsidR="00C41898" w:rsidRPr="00C41898" w:rsidRDefault="00C41898" w:rsidP="00C41898">
            <w:pPr>
              <w:jc w:val="both"/>
              <w:rPr>
                <w:sz w:val="20"/>
              </w:rPr>
            </w:pPr>
            <w:r w:rsidRPr="00C41898">
              <w:rPr>
                <w:sz w:val="20"/>
              </w:rPr>
              <w:t>Ontario Superior Court of Justice</w:t>
            </w:r>
          </w:p>
          <w:p w:rsidR="00C41898" w:rsidRPr="00C41898" w:rsidRDefault="00C41898" w:rsidP="00C41898">
            <w:pPr>
              <w:jc w:val="both"/>
              <w:rPr>
                <w:sz w:val="20"/>
              </w:rPr>
            </w:pPr>
            <w:r w:rsidRPr="00C41898">
              <w:rPr>
                <w:sz w:val="20"/>
              </w:rPr>
              <w:t>(Firestone J.)</w:t>
            </w:r>
          </w:p>
          <w:p w:rsidR="00C41898" w:rsidRPr="00C41898" w:rsidRDefault="00C41898" w:rsidP="00C41898">
            <w:pPr>
              <w:jc w:val="both"/>
              <w:rPr>
                <w:sz w:val="20"/>
              </w:rPr>
            </w:pPr>
            <w:hyperlink r:id="rId14" w:history="1">
              <w:r w:rsidRPr="00C41898">
                <w:rPr>
                  <w:rStyle w:val="Hyperlink"/>
                  <w:sz w:val="20"/>
                </w:rPr>
                <w:t>2014 ONSC 1709</w:t>
              </w:r>
            </w:hyperlink>
            <w:r w:rsidRPr="00C41898">
              <w:rPr>
                <w:sz w:val="20"/>
              </w:rPr>
              <w:t xml:space="preserve"> </w:t>
            </w:r>
          </w:p>
          <w:p w:rsidR="00C41898" w:rsidRPr="00C41898" w:rsidRDefault="00C41898" w:rsidP="00C41898">
            <w:pPr>
              <w:jc w:val="both"/>
              <w:rPr>
                <w:sz w:val="20"/>
              </w:rPr>
            </w:pP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Applicant’s action in damages allowed, in part; damages and interest awarded in amount of $57,566.</w:t>
            </w:r>
          </w:p>
          <w:p w:rsidR="00C41898" w:rsidRPr="00C41898" w:rsidRDefault="00C41898" w:rsidP="00C41898">
            <w:pPr>
              <w:jc w:val="both"/>
              <w:rPr>
                <w:sz w:val="20"/>
              </w:rPr>
            </w:pPr>
          </w:p>
        </w:tc>
      </w:tr>
      <w:tr w:rsidR="00C41898" w:rsidRPr="00C41898" w:rsidTr="00C41898">
        <w:trPr>
          <w:trHeight w:val="47"/>
        </w:trPr>
        <w:tc>
          <w:tcPr>
            <w:tcW w:w="2427" w:type="pct"/>
            <w:gridSpan w:val="2"/>
          </w:tcPr>
          <w:p w:rsidR="00C41898" w:rsidRPr="00C41898" w:rsidRDefault="00C41898" w:rsidP="00C41898">
            <w:pPr>
              <w:jc w:val="both"/>
              <w:rPr>
                <w:sz w:val="20"/>
              </w:rPr>
            </w:pPr>
            <w:r w:rsidRPr="00C41898">
              <w:rPr>
                <w:sz w:val="20"/>
              </w:rPr>
              <w:t>May 26, 2015</w:t>
            </w:r>
          </w:p>
          <w:p w:rsidR="00C41898" w:rsidRPr="00C41898" w:rsidRDefault="00C41898" w:rsidP="00C41898">
            <w:pPr>
              <w:jc w:val="both"/>
              <w:rPr>
                <w:sz w:val="20"/>
              </w:rPr>
            </w:pPr>
            <w:r w:rsidRPr="00C41898">
              <w:rPr>
                <w:sz w:val="20"/>
              </w:rPr>
              <w:t>Court of Appeal for Ontario</w:t>
            </w:r>
          </w:p>
          <w:p w:rsidR="00C41898" w:rsidRPr="00C41898" w:rsidRDefault="00C41898" w:rsidP="00C41898">
            <w:pPr>
              <w:jc w:val="both"/>
              <w:rPr>
                <w:sz w:val="20"/>
                <w:lang w:val="de-DE"/>
              </w:rPr>
            </w:pPr>
            <w:r w:rsidRPr="00C41898">
              <w:rPr>
                <w:sz w:val="20"/>
                <w:lang w:val="de-DE"/>
              </w:rPr>
              <w:t xml:space="preserve">(MacPherson, Gillese and </w:t>
            </w:r>
          </w:p>
          <w:p w:rsidR="00C41898" w:rsidRPr="00C41898" w:rsidRDefault="00C41898" w:rsidP="00C41898">
            <w:pPr>
              <w:jc w:val="both"/>
              <w:rPr>
                <w:sz w:val="20"/>
                <w:lang w:val="de-DE"/>
              </w:rPr>
            </w:pPr>
            <w:r w:rsidRPr="00C41898">
              <w:rPr>
                <w:sz w:val="20"/>
                <w:lang w:val="de-DE"/>
              </w:rPr>
              <w:t>van Rensburg JJ.A.)</w:t>
            </w:r>
          </w:p>
          <w:p w:rsidR="00C41898" w:rsidRPr="00C41898" w:rsidRDefault="00C41898" w:rsidP="00C41898">
            <w:pPr>
              <w:jc w:val="both"/>
              <w:rPr>
                <w:sz w:val="20"/>
              </w:rPr>
            </w:pPr>
            <w:hyperlink r:id="rId15" w:history="1">
              <w:r w:rsidRPr="00C41898">
                <w:rPr>
                  <w:rStyle w:val="Hyperlink"/>
                  <w:sz w:val="20"/>
                </w:rPr>
                <w:t>2015 ONCA 371</w:t>
              </w:r>
            </w:hyperlink>
          </w:p>
          <w:p w:rsidR="00C41898" w:rsidRPr="00C41898" w:rsidRDefault="00C41898" w:rsidP="00C41898">
            <w:pPr>
              <w:jc w:val="both"/>
              <w:rPr>
                <w:sz w:val="20"/>
              </w:rPr>
            </w:pP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Applicant’s appeal, dismissed.</w:t>
            </w:r>
          </w:p>
          <w:p w:rsidR="00C41898" w:rsidRPr="00C41898" w:rsidRDefault="00C41898" w:rsidP="00C41898">
            <w:pPr>
              <w:jc w:val="both"/>
              <w:rPr>
                <w:sz w:val="20"/>
              </w:rPr>
            </w:pPr>
          </w:p>
        </w:tc>
      </w:tr>
      <w:tr w:rsidR="00C41898" w:rsidRPr="00C41898" w:rsidTr="00C41898">
        <w:trPr>
          <w:trHeight w:val="47"/>
        </w:trPr>
        <w:tc>
          <w:tcPr>
            <w:tcW w:w="2427" w:type="pct"/>
            <w:gridSpan w:val="2"/>
          </w:tcPr>
          <w:p w:rsidR="00C41898" w:rsidRPr="00C41898" w:rsidRDefault="00C41898" w:rsidP="00C41898">
            <w:pPr>
              <w:jc w:val="both"/>
              <w:rPr>
                <w:sz w:val="20"/>
              </w:rPr>
            </w:pPr>
            <w:r w:rsidRPr="00C41898">
              <w:rPr>
                <w:sz w:val="20"/>
              </w:rPr>
              <w:t>July 28, 2015</w:t>
            </w:r>
          </w:p>
          <w:p w:rsidR="00C41898" w:rsidRPr="00C41898" w:rsidRDefault="00C41898" w:rsidP="00C41898">
            <w:pPr>
              <w:jc w:val="both"/>
              <w:rPr>
                <w:sz w:val="20"/>
              </w:rPr>
            </w:pPr>
            <w:r w:rsidRPr="00C41898">
              <w:rPr>
                <w:sz w:val="20"/>
              </w:rPr>
              <w:t>Supreme Court of Canada</w:t>
            </w: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Application for leave to appeal, filed.</w:t>
            </w:r>
          </w:p>
        </w:tc>
      </w:tr>
    </w:tbl>
    <w:p w:rsidR="00C41898" w:rsidRDefault="00C41898"/>
    <w:p w:rsidR="00C41898" w:rsidRPr="00C41898" w:rsidRDefault="00C41898" w:rsidP="00C418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49"/>
        <w:gridCol w:w="4411"/>
      </w:tblGrid>
      <w:tr w:rsidR="00C41898" w:rsidRPr="00C41898" w:rsidTr="00E95A6A">
        <w:tc>
          <w:tcPr>
            <w:tcW w:w="543" w:type="pct"/>
          </w:tcPr>
          <w:p w:rsidR="00C41898" w:rsidRPr="00C41898" w:rsidRDefault="00C41898" w:rsidP="00C41898">
            <w:pPr>
              <w:jc w:val="both"/>
              <w:rPr>
                <w:sz w:val="20"/>
                <w:lang w:val="fr-CA"/>
              </w:rPr>
            </w:pPr>
            <w:r w:rsidRPr="00C41898">
              <w:rPr>
                <w:rStyle w:val="SCCFileNumberChar"/>
                <w:sz w:val="20"/>
                <w:szCs w:val="20"/>
                <w:lang w:val="fr-CA"/>
              </w:rPr>
              <w:t>36528</w:t>
            </w:r>
          </w:p>
        </w:tc>
        <w:tc>
          <w:tcPr>
            <w:tcW w:w="4457" w:type="pct"/>
            <w:gridSpan w:val="3"/>
          </w:tcPr>
          <w:p w:rsidR="00C41898" w:rsidRPr="00C41898" w:rsidRDefault="00C41898" w:rsidP="00C41898">
            <w:pPr>
              <w:pStyle w:val="SCCLsocParty"/>
              <w:jc w:val="both"/>
              <w:rPr>
                <w:b/>
                <w:sz w:val="20"/>
                <w:szCs w:val="20"/>
              </w:rPr>
            </w:pPr>
            <w:r w:rsidRPr="00C41898">
              <w:rPr>
                <w:b/>
                <w:sz w:val="20"/>
                <w:szCs w:val="20"/>
              </w:rPr>
              <w:t>Bao Duc Nguyen c. Iwin Lee, 1634502 Ontario Inc., Phuoc Nghia Ly, Va Lay Duong</w:t>
            </w:r>
          </w:p>
          <w:p w:rsidR="00C41898" w:rsidRPr="00C41898" w:rsidRDefault="00C41898" w:rsidP="00C41898">
            <w:pPr>
              <w:jc w:val="both"/>
              <w:rPr>
                <w:sz w:val="20"/>
                <w:lang w:val="fr-CA"/>
              </w:rPr>
            </w:pPr>
            <w:r w:rsidRPr="00C41898">
              <w:rPr>
                <w:sz w:val="20"/>
                <w:lang w:val="fr-CA"/>
              </w:rPr>
              <w:t>(Ont.) (Civile) (Sur autorisation)</w:t>
            </w:r>
          </w:p>
        </w:tc>
      </w:tr>
      <w:tr w:rsidR="00C41898" w:rsidRPr="00C41898" w:rsidTr="00E95A6A">
        <w:tc>
          <w:tcPr>
            <w:tcW w:w="5000" w:type="pct"/>
            <w:gridSpan w:val="4"/>
          </w:tcPr>
          <w:p w:rsidR="00C41898" w:rsidRDefault="00C41898" w:rsidP="00C41898">
            <w:pPr>
              <w:jc w:val="both"/>
              <w:rPr>
                <w:sz w:val="20"/>
                <w:lang w:val="fr-CA"/>
              </w:rPr>
            </w:pPr>
            <w:r w:rsidRPr="00C41898">
              <w:rPr>
                <w:sz w:val="20"/>
                <w:lang w:val="fr-CA"/>
              </w:rPr>
              <w:t>Droit commercial – Créanciers et débiteurs – Contrat de prêt commercial – La Cour d’appel a-t-elle eu tort de confirmer le jugement de première instance qui a accordé au demandeur des dommages-intérêts moindres que ceux qu’il avait réclamés?</w:t>
            </w:r>
          </w:p>
          <w:p w:rsidR="00D94588" w:rsidRPr="00C41898" w:rsidRDefault="00D94588" w:rsidP="00C41898">
            <w:pPr>
              <w:jc w:val="both"/>
              <w:rPr>
                <w:sz w:val="20"/>
                <w:lang w:val="fr-CA"/>
              </w:rPr>
            </w:pPr>
          </w:p>
        </w:tc>
      </w:tr>
      <w:tr w:rsidR="00C41898" w:rsidRPr="00C41898" w:rsidTr="00E95A6A">
        <w:tc>
          <w:tcPr>
            <w:tcW w:w="5000" w:type="pct"/>
            <w:gridSpan w:val="4"/>
          </w:tcPr>
          <w:p w:rsidR="00D94588" w:rsidRPr="00C41898" w:rsidRDefault="00D94588" w:rsidP="00D94588">
            <w:pPr>
              <w:jc w:val="both"/>
              <w:rPr>
                <w:sz w:val="20"/>
                <w:lang w:val="fr-CA"/>
              </w:rPr>
            </w:pPr>
            <w:r w:rsidRPr="00C41898">
              <w:rPr>
                <w:sz w:val="20"/>
                <w:lang w:val="fr-CA"/>
              </w:rPr>
              <w:t xml:space="preserve">Le demandeur, Bao Duc Nguyen, et l’intimé, </w:t>
            </w:r>
            <w:proofErr w:type="spellStart"/>
            <w:r w:rsidRPr="00C41898">
              <w:rPr>
                <w:sz w:val="20"/>
                <w:lang w:val="fr-CA"/>
              </w:rPr>
              <w:t>Iwin</w:t>
            </w:r>
            <w:proofErr w:type="spellEnd"/>
            <w:r w:rsidRPr="00C41898">
              <w:rPr>
                <w:sz w:val="20"/>
                <w:lang w:val="fr-CA"/>
              </w:rPr>
              <w:t xml:space="preserve"> Lee, étaient parties à un contrat de prêt daté du 25 septembre 2004. Le montant du prêt était de 135 000 $, constitué d’une somme initiale de 70 000 $ et d’une autre somme de 65 000 $ que le demandeur a versée à la conclusion du contrat. Le demandeur a intenté contre les intimés une action en remboursement de 135 000 $. La principale question en litige au procès était de savoir si le prêt avait été remboursé et dans quelle mesure il l’avait été. Le demandeur a allégué qu’aucun paiement n’avait été fait, alors que les intimés ont fait valoir qu’il y a avait eu paiement en trop.</w:t>
            </w:r>
          </w:p>
          <w:p w:rsidR="00D94588" w:rsidRPr="00C41898" w:rsidRDefault="00D94588" w:rsidP="00D94588">
            <w:pPr>
              <w:jc w:val="both"/>
              <w:rPr>
                <w:sz w:val="20"/>
                <w:lang w:val="fr-CA"/>
              </w:rPr>
            </w:pPr>
          </w:p>
          <w:p w:rsidR="00D94588" w:rsidRPr="00C41898" w:rsidRDefault="00D94588" w:rsidP="00D94588">
            <w:pPr>
              <w:jc w:val="both"/>
              <w:rPr>
                <w:sz w:val="20"/>
                <w:lang w:val="fr-CA"/>
              </w:rPr>
            </w:pPr>
            <w:r w:rsidRPr="00C41898">
              <w:rPr>
                <w:sz w:val="20"/>
                <w:lang w:val="fr-CA"/>
              </w:rPr>
              <w:t xml:space="preserve">La Cour supérieure de justice de l’Ontario a accueilli en partie l’action de demandeur, condamnant l’intimé, </w:t>
            </w:r>
            <w:proofErr w:type="spellStart"/>
            <w:r w:rsidRPr="00C41898">
              <w:rPr>
                <w:sz w:val="20"/>
                <w:lang w:val="fr-CA"/>
              </w:rPr>
              <w:t>Iwin</w:t>
            </w:r>
            <w:proofErr w:type="spellEnd"/>
            <w:r w:rsidRPr="00C41898">
              <w:rPr>
                <w:sz w:val="20"/>
                <w:lang w:val="fr-CA"/>
              </w:rPr>
              <w:t xml:space="preserve"> Lee, à payer la somme de 57 566 $ à titre de dommages-intérêts et d’intérêts avant jugement. La Cour d’appel de l’Ontario a rejeté l’appel du demandeur.</w:t>
            </w:r>
          </w:p>
          <w:p w:rsidR="00C41898" w:rsidRPr="00C41898" w:rsidRDefault="00C41898" w:rsidP="00C41898">
            <w:pPr>
              <w:jc w:val="both"/>
              <w:rPr>
                <w:sz w:val="20"/>
                <w:lang w:val="fr-CA"/>
              </w:rPr>
            </w:pPr>
          </w:p>
        </w:tc>
      </w:tr>
      <w:tr w:rsidR="00D94588" w:rsidRPr="00C41898" w:rsidTr="00D94588">
        <w:trPr>
          <w:trHeight w:val="64"/>
        </w:trPr>
        <w:tc>
          <w:tcPr>
            <w:tcW w:w="2379" w:type="pct"/>
            <w:gridSpan w:val="2"/>
          </w:tcPr>
          <w:p w:rsidR="00D94588" w:rsidRPr="00C41898" w:rsidRDefault="00D94588" w:rsidP="00D94588">
            <w:pPr>
              <w:jc w:val="both"/>
              <w:rPr>
                <w:sz w:val="20"/>
                <w:lang w:val="fr-CA"/>
              </w:rPr>
            </w:pPr>
            <w:r w:rsidRPr="00C41898">
              <w:rPr>
                <w:sz w:val="20"/>
                <w:lang w:val="fr-CA"/>
              </w:rPr>
              <w:t>21 mars 2014</w:t>
            </w:r>
          </w:p>
          <w:p w:rsidR="00D94588" w:rsidRPr="00C41898" w:rsidRDefault="00D94588" w:rsidP="00D94588">
            <w:pPr>
              <w:jc w:val="both"/>
              <w:rPr>
                <w:sz w:val="20"/>
                <w:lang w:val="fr-CA"/>
              </w:rPr>
            </w:pPr>
            <w:r w:rsidRPr="00C41898">
              <w:rPr>
                <w:sz w:val="20"/>
                <w:lang w:val="fr-CA"/>
              </w:rPr>
              <w:t>Cour supérieure de justice de l’Ontario</w:t>
            </w:r>
          </w:p>
          <w:p w:rsidR="00D94588" w:rsidRPr="00C41898" w:rsidRDefault="00D94588" w:rsidP="00D94588">
            <w:pPr>
              <w:jc w:val="both"/>
              <w:rPr>
                <w:sz w:val="20"/>
                <w:lang w:val="fr-CA"/>
              </w:rPr>
            </w:pPr>
            <w:r w:rsidRPr="00C41898">
              <w:rPr>
                <w:sz w:val="20"/>
                <w:lang w:val="fr-CA"/>
              </w:rPr>
              <w:t xml:space="preserve">(Juge </w:t>
            </w:r>
            <w:proofErr w:type="spellStart"/>
            <w:r w:rsidRPr="00C41898">
              <w:rPr>
                <w:sz w:val="20"/>
                <w:lang w:val="fr-CA"/>
              </w:rPr>
              <w:t>Firestone</w:t>
            </w:r>
            <w:proofErr w:type="spellEnd"/>
            <w:r w:rsidRPr="00C41898">
              <w:rPr>
                <w:sz w:val="20"/>
                <w:lang w:val="fr-CA"/>
              </w:rPr>
              <w:t>)</w:t>
            </w:r>
          </w:p>
          <w:p w:rsidR="00D94588" w:rsidRPr="00C41898" w:rsidRDefault="00D94588" w:rsidP="00D94588">
            <w:pPr>
              <w:jc w:val="both"/>
              <w:rPr>
                <w:sz w:val="20"/>
                <w:lang w:val="fr-CA"/>
              </w:rPr>
            </w:pPr>
            <w:hyperlink r:id="rId16" w:history="1">
              <w:r w:rsidRPr="00C41898">
                <w:rPr>
                  <w:rStyle w:val="Hyperlink"/>
                  <w:sz w:val="20"/>
                  <w:lang w:val="fr-CA"/>
                </w:rPr>
                <w:t>2014 ONSC 1709</w:t>
              </w:r>
            </w:hyperlink>
            <w:r w:rsidRPr="00C41898">
              <w:rPr>
                <w:sz w:val="20"/>
                <w:lang w:val="fr-CA"/>
              </w:rPr>
              <w:t xml:space="preserve"> </w:t>
            </w:r>
          </w:p>
          <w:p w:rsidR="00D94588" w:rsidRPr="00C41898" w:rsidRDefault="00D94588" w:rsidP="00D94588">
            <w:pPr>
              <w:jc w:val="both"/>
              <w:rPr>
                <w:sz w:val="20"/>
                <w:lang w:val="fr-CA"/>
              </w:rPr>
            </w:pPr>
          </w:p>
        </w:tc>
        <w:tc>
          <w:tcPr>
            <w:tcW w:w="242" w:type="pct"/>
          </w:tcPr>
          <w:p w:rsidR="00D94588" w:rsidRPr="00C41898" w:rsidRDefault="00D94588" w:rsidP="00D94588">
            <w:pPr>
              <w:jc w:val="both"/>
              <w:rPr>
                <w:sz w:val="20"/>
                <w:lang w:val="fr-CA"/>
              </w:rPr>
            </w:pPr>
          </w:p>
        </w:tc>
        <w:tc>
          <w:tcPr>
            <w:tcW w:w="2379" w:type="pct"/>
          </w:tcPr>
          <w:p w:rsidR="00D94588" w:rsidRPr="00C41898" w:rsidRDefault="00D94588" w:rsidP="00D94588">
            <w:pPr>
              <w:jc w:val="both"/>
              <w:rPr>
                <w:sz w:val="20"/>
                <w:lang w:val="fr-CA"/>
              </w:rPr>
            </w:pPr>
            <w:r w:rsidRPr="00C41898">
              <w:rPr>
                <w:sz w:val="20"/>
                <w:lang w:val="fr-CA"/>
              </w:rPr>
              <w:t>Jugement accueillant en partie l’action du demandeur en dommages-intérêts, pour un montant de 57 566 $ à titre de dommages-intérêts et d’intérêts avant jugement.</w:t>
            </w:r>
          </w:p>
          <w:p w:rsidR="00D94588" w:rsidRPr="00C41898" w:rsidRDefault="00D94588" w:rsidP="00D94588">
            <w:pPr>
              <w:jc w:val="both"/>
              <w:rPr>
                <w:sz w:val="20"/>
                <w:lang w:val="fr-CA"/>
              </w:rPr>
            </w:pPr>
          </w:p>
        </w:tc>
      </w:tr>
      <w:tr w:rsidR="00D94588" w:rsidRPr="00C41898" w:rsidTr="00D94588">
        <w:trPr>
          <w:trHeight w:val="63"/>
        </w:trPr>
        <w:tc>
          <w:tcPr>
            <w:tcW w:w="2379" w:type="pct"/>
            <w:gridSpan w:val="2"/>
          </w:tcPr>
          <w:p w:rsidR="00D94588" w:rsidRPr="00C41898" w:rsidRDefault="00D94588" w:rsidP="00D94588">
            <w:pPr>
              <w:jc w:val="both"/>
              <w:rPr>
                <w:sz w:val="20"/>
                <w:lang w:val="fr-CA"/>
              </w:rPr>
            </w:pPr>
            <w:r w:rsidRPr="00C41898">
              <w:rPr>
                <w:sz w:val="20"/>
                <w:lang w:val="fr-CA"/>
              </w:rPr>
              <w:t>26 mai 2015</w:t>
            </w:r>
          </w:p>
          <w:p w:rsidR="00D94588" w:rsidRPr="00C41898" w:rsidRDefault="00D94588" w:rsidP="00D94588">
            <w:pPr>
              <w:jc w:val="both"/>
              <w:rPr>
                <w:sz w:val="20"/>
                <w:lang w:val="fr-CA"/>
              </w:rPr>
            </w:pPr>
            <w:r w:rsidRPr="00C41898">
              <w:rPr>
                <w:sz w:val="20"/>
                <w:lang w:val="fr-CA"/>
              </w:rPr>
              <w:t>Cour d’appel de l’Ontario</w:t>
            </w:r>
          </w:p>
          <w:p w:rsidR="00D94588" w:rsidRPr="00C41898" w:rsidRDefault="00D94588" w:rsidP="00D94588">
            <w:pPr>
              <w:jc w:val="both"/>
              <w:rPr>
                <w:sz w:val="20"/>
                <w:lang w:val="fr-CA"/>
              </w:rPr>
            </w:pPr>
            <w:r w:rsidRPr="00C41898">
              <w:rPr>
                <w:sz w:val="20"/>
                <w:lang w:val="fr-CA"/>
              </w:rPr>
              <w:t xml:space="preserve">(Juges </w:t>
            </w:r>
            <w:proofErr w:type="spellStart"/>
            <w:r w:rsidRPr="00C41898">
              <w:rPr>
                <w:sz w:val="20"/>
                <w:lang w:val="fr-CA"/>
              </w:rPr>
              <w:t>MacPherson</w:t>
            </w:r>
            <w:proofErr w:type="spellEnd"/>
            <w:r w:rsidRPr="00C41898">
              <w:rPr>
                <w:sz w:val="20"/>
                <w:lang w:val="fr-CA"/>
              </w:rPr>
              <w:t xml:space="preserve">, </w:t>
            </w:r>
            <w:proofErr w:type="spellStart"/>
            <w:r w:rsidRPr="00C41898">
              <w:rPr>
                <w:sz w:val="20"/>
                <w:lang w:val="fr-CA"/>
              </w:rPr>
              <w:t>Gillese</w:t>
            </w:r>
            <w:proofErr w:type="spellEnd"/>
            <w:r w:rsidRPr="00C41898">
              <w:rPr>
                <w:sz w:val="20"/>
                <w:lang w:val="fr-CA"/>
              </w:rPr>
              <w:t xml:space="preserve"> et </w:t>
            </w:r>
          </w:p>
          <w:p w:rsidR="00D94588" w:rsidRPr="00C41898" w:rsidRDefault="00D94588" w:rsidP="00D94588">
            <w:pPr>
              <w:jc w:val="both"/>
              <w:rPr>
                <w:sz w:val="20"/>
                <w:lang w:val="fr-CA"/>
              </w:rPr>
            </w:pPr>
            <w:r w:rsidRPr="00C41898">
              <w:rPr>
                <w:sz w:val="20"/>
                <w:lang w:val="fr-CA"/>
              </w:rPr>
              <w:t xml:space="preserve">van </w:t>
            </w:r>
            <w:proofErr w:type="spellStart"/>
            <w:r w:rsidRPr="00C41898">
              <w:rPr>
                <w:sz w:val="20"/>
                <w:lang w:val="fr-CA"/>
              </w:rPr>
              <w:t>Rensburg</w:t>
            </w:r>
            <w:proofErr w:type="spellEnd"/>
            <w:r w:rsidRPr="00C41898">
              <w:rPr>
                <w:sz w:val="20"/>
                <w:lang w:val="fr-CA"/>
              </w:rPr>
              <w:t>)</w:t>
            </w:r>
          </w:p>
          <w:p w:rsidR="00D94588" w:rsidRPr="00C41898" w:rsidRDefault="00D94588" w:rsidP="00D94588">
            <w:pPr>
              <w:jc w:val="both"/>
              <w:rPr>
                <w:sz w:val="20"/>
                <w:lang w:val="fr-CA"/>
              </w:rPr>
            </w:pPr>
            <w:hyperlink r:id="rId17" w:history="1">
              <w:r w:rsidRPr="00C41898">
                <w:rPr>
                  <w:rStyle w:val="Hyperlink"/>
                  <w:sz w:val="20"/>
                  <w:lang w:val="fr-CA"/>
                </w:rPr>
                <w:t>2015 ONCA 371</w:t>
              </w:r>
            </w:hyperlink>
          </w:p>
          <w:p w:rsidR="00D94588" w:rsidRPr="00C41898" w:rsidRDefault="00D94588" w:rsidP="00D94588">
            <w:pPr>
              <w:jc w:val="both"/>
              <w:rPr>
                <w:sz w:val="20"/>
                <w:lang w:val="fr-CA"/>
              </w:rPr>
            </w:pPr>
          </w:p>
        </w:tc>
        <w:tc>
          <w:tcPr>
            <w:tcW w:w="242" w:type="pct"/>
          </w:tcPr>
          <w:p w:rsidR="00D94588" w:rsidRPr="00C41898" w:rsidRDefault="00D94588" w:rsidP="00D94588">
            <w:pPr>
              <w:jc w:val="both"/>
              <w:rPr>
                <w:sz w:val="20"/>
                <w:lang w:val="fr-CA"/>
              </w:rPr>
            </w:pPr>
          </w:p>
        </w:tc>
        <w:tc>
          <w:tcPr>
            <w:tcW w:w="2379" w:type="pct"/>
          </w:tcPr>
          <w:p w:rsidR="00D94588" w:rsidRPr="00C41898" w:rsidRDefault="00D94588" w:rsidP="00D94588">
            <w:pPr>
              <w:jc w:val="both"/>
              <w:rPr>
                <w:sz w:val="20"/>
                <w:lang w:val="fr-CA"/>
              </w:rPr>
            </w:pPr>
            <w:r w:rsidRPr="00C41898">
              <w:rPr>
                <w:sz w:val="20"/>
                <w:lang w:val="fr-CA"/>
              </w:rPr>
              <w:t>Rejet de l’appel du demandeur.</w:t>
            </w:r>
          </w:p>
          <w:p w:rsidR="00D94588" w:rsidRPr="00C41898" w:rsidRDefault="00D94588" w:rsidP="00D94588">
            <w:pPr>
              <w:jc w:val="both"/>
              <w:rPr>
                <w:sz w:val="20"/>
                <w:lang w:val="fr-CA"/>
              </w:rPr>
            </w:pPr>
          </w:p>
        </w:tc>
      </w:tr>
      <w:tr w:rsidR="00D94588" w:rsidRPr="00C41898" w:rsidTr="00D94588">
        <w:trPr>
          <w:trHeight w:val="63"/>
        </w:trPr>
        <w:tc>
          <w:tcPr>
            <w:tcW w:w="2379" w:type="pct"/>
            <w:gridSpan w:val="2"/>
          </w:tcPr>
          <w:p w:rsidR="00D94588" w:rsidRPr="00C41898" w:rsidRDefault="00D94588" w:rsidP="00D94588">
            <w:pPr>
              <w:jc w:val="both"/>
              <w:rPr>
                <w:sz w:val="20"/>
                <w:lang w:val="fr-CA"/>
              </w:rPr>
            </w:pPr>
            <w:r w:rsidRPr="00C41898">
              <w:rPr>
                <w:sz w:val="20"/>
                <w:lang w:val="fr-CA"/>
              </w:rPr>
              <w:t>28 juillet 2015</w:t>
            </w:r>
          </w:p>
          <w:p w:rsidR="00D94588" w:rsidRPr="00C41898" w:rsidRDefault="00D94588" w:rsidP="00D94588">
            <w:pPr>
              <w:jc w:val="both"/>
              <w:rPr>
                <w:sz w:val="20"/>
                <w:lang w:val="fr-CA"/>
              </w:rPr>
            </w:pPr>
            <w:r w:rsidRPr="00C41898">
              <w:rPr>
                <w:sz w:val="20"/>
                <w:lang w:val="fr-CA"/>
              </w:rPr>
              <w:t>Cour suprême du Canada</w:t>
            </w:r>
          </w:p>
        </w:tc>
        <w:tc>
          <w:tcPr>
            <w:tcW w:w="242" w:type="pct"/>
          </w:tcPr>
          <w:p w:rsidR="00D94588" w:rsidRPr="00C41898" w:rsidRDefault="00D94588" w:rsidP="00D94588">
            <w:pPr>
              <w:jc w:val="both"/>
              <w:rPr>
                <w:sz w:val="20"/>
                <w:lang w:val="fr-CA"/>
              </w:rPr>
            </w:pPr>
          </w:p>
        </w:tc>
        <w:tc>
          <w:tcPr>
            <w:tcW w:w="2379" w:type="pct"/>
          </w:tcPr>
          <w:p w:rsidR="00D94588" w:rsidRPr="00C41898" w:rsidRDefault="00D94588" w:rsidP="00D94588">
            <w:pPr>
              <w:jc w:val="both"/>
              <w:rPr>
                <w:sz w:val="20"/>
                <w:lang w:val="fr-CA"/>
              </w:rPr>
            </w:pPr>
            <w:r w:rsidRPr="00C41898">
              <w:rPr>
                <w:sz w:val="20"/>
                <w:lang w:val="fr-CA"/>
              </w:rPr>
              <w:t>Dépôt de la demande d’autorisation d’appel.</w:t>
            </w:r>
          </w:p>
        </w:tc>
      </w:tr>
    </w:tbl>
    <w:p w:rsidR="00D94588" w:rsidRDefault="00D94588"/>
    <w:p w:rsidR="00C41898" w:rsidRPr="00C41898" w:rsidRDefault="00C41898" w:rsidP="00C418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1898" w:rsidRPr="00C41898" w:rsidTr="00E95A6A">
        <w:tc>
          <w:tcPr>
            <w:tcW w:w="543" w:type="pct"/>
          </w:tcPr>
          <w:p w:rsidR="00C41898" w:rsidRPr="00C41898" w:rsidRDefault="00C41898" w:rsidP="00C41898">
            <w:pPr>
              <w:jc w:val="both"/>
              <w:rPr>
                <w:sz w:val="20"/>
              </w:rPr>
            </w:pPr>
            <w:r w:rsidRPr="00C41898">
              <w:rPr>
                <w:rStyle w:val="SCCFileNumberChar"/>
                <w:sz w:val="20"/>
                <w:szCs w:val="20"/>
              </w:rPr>
              <w:t>36386</w:t>
            </w:r>
          </w:p>
        </w:tc>
        <w:tc>
          <w:tcPr>
            <w:tcW w:w="4457" w:type="pct"/>
            <w:gridSpan w:val="3"/>
          </w:tcPr>
          <w:p w:rsidR="00C41898" w:rsidRPr="00C41898" w:rsidRDefault="00C41898" w:rsidP="00C41898">
            <w:pPr>
              <w:jc w:val="both"/>
              <w:rPr>
                <w:b/>
                <w:sz w:val="20"/>
              </w:rPr>
            </w:pPr>
            <w:r w:rsidRPr="00C41898">
              <w:rPr>
                <w:b/>
                <w:sz w:val="20"/>
              </w:rPr>
              <w:t xml:space="preserve">Sanofi Pasteur Limited v. UPS SCS Inc., Honeywell Limited, Honeywell International Inc., Automation Components Inc., Industrial Technical Services (ITS) Inc., </w:t>
            </w:r>
            <w:proofErr w:type="spellStart"/>
            <w:r w:rsidRPr="00C41898">
              <w:rPr>
                <w:b/>
                <w:sz w:val="20"/>
              </w:rPr>
              <w:t>Airon</w:t>
            </w:r>
            <w:proofErr w:type="spellEnd"/>
            <w:r w:rsidRPr="00C41898">
              <w:rPr>
                <w:b/>
                <w:sz w:val="20"/>
              </w:rPr>
              <w:t xml:space="preserve"> HVAC Service Ltd., </w:t>
            </w:r>
            <w:proofErr w:type="spellStart"/>
            <w:r w:rsidRPr="00C41898">
              <w:rPr>
                <w:b/>
                <w:sz w:val="20"/>
              </w:rPr>
              <w:t>Airon</w:t>
            </w:r>
            <w:proofErr w:type="spellEnd"/>
            <w:r w:rsidRPr="00C41898">
              <w:rPr>
                <w:b/>
                <w:sz w:val="20"/>
              </w:rPr>
              <w:t xml:space="preserve"> HVAC and Control Ltd., United Parcel Service of America Inc., UPS Supply Chain Solutions Inc., UPS Supply Chain Solutions General Services Inc., Maple </w:t>
            </w:r>
            <w:proofErr w:type="spellStart"/>
            <w:r w:rsidRPr="00C41898">
              <w:rPr>
                <w:b/>
                <w:sz w:val="20"/>
              </w:rPr>
              <w:t>Reinders</w:t>
            </w:r>
            <w:proofErr w:type="spellEnd"/>
            <w:r w:rsidRPr="00C41898">
              <w:rPr>
                <w:b/>
                <w:sz w:val="20"/>
              </w:rPr>
              <w:t xml:space="preserve"> Constructors Ltd., Maple </w:t>
            </w:r>
            <w:proofErr w:type="spellStart"/>
            <w:r w:rsidRPr="00C41898">
              <w:rPr>
                <w:b/>
                <w:sz w:val="20"/>
              </w:rPr>
              <w:t>Reinders</w:t>
            </w:r>
            <w:proofErr w:type="spellEnd"/>
            <w:r w:rsidRPr="00C41898">
              <w:rPr>
                <w:b/>
                <w:sz w:val="20"/>
              </w:rPr>
              <w:t xml:space="preserve"> Construction Ltd., Maple </w:t>
            </w:r>
            <w:proofErr w:type="spellStart"/>
            <w:r w:rsidRPr="00C41898">
              <w:rPr>
                <w:b/>
                <w:sz w:val="20"/>
              </w:rPr>
              <w:t>Reinders</w:t>
            </w:r>
            <w:proofErr w:type="spellEnd"/>
            <w:r w:rsidRPr="00C41898">
              <w:rPr>
                <w:b/>
                <w:sz w:val="20"/>
              </w:rPr>
              <w:t xml:space="preserve"> Group Ltd. and </w:t>
            </w:r>
            <w:proofErr w:type="spellStart"/>
            <w:r w:rsidRPr="00C41898">
              <w:rPr>
                <w:b/>
                <w:sz w:val="20"/>
              </w:rPr>
              <w:t>Heraeus</w:t>
            </w:r>
            <w:proofErr w:type="spellEnd"/>
            <w:r w:rsidRPr="00C41898">
              <w:rPr>
                <w:b/>
                <w:sz w:val="20"/>
              </w:rPr>
              <w:t xml:space="preserve"> Sensor Technology USA </w:t>
            </w:r>
          </w:p>
          <w:p w:rsidR="00C41898" w:rsidRPr="00C41898" w:rsidRDefault="00C41898" w:rsidP="00C41898">
            <w:pPr>
              <w:jc w:val="both"/>
              <w:rPr>
                <w:sz w:val="20"/>
              </w:rPr>
            </w:pPr>
            <w:r w:rsidRPr="00C41898">
              <w:rPr>
                <w:sz w:val="20"/>
              </w:rPr>
              <w:t>(Ont.) (Civil) (By Leave)</w:t>
            </w:r>
          </w:p>
        </w:tc>
      </w:tr>
      <w:tr w:rsidR="00C41898" w:rsidRPr="00C41898" w:rsidTr="00E95A6A">
        <w:tc>
          <w:tcPr>
            <w:tcW w:w="5000" w:type="pct"/>
            <w:gridSpan w:val="4"/>
          </w:tcPr>
          <w:p w:rsidR="00C41898" w:rsidRPr="00C41898" w:rsidRDefault="00C41898" w:rsidP="00C41898">
            <w:pPr>
              <w:jc w:val="both"/>
              <w:rPr>
                <w:sz w:val="20"/>
              </w:rPr>
            </w:pPr>
            <w:r w:rsidRPr="00C41898">
              <w:rPr>
                <w:sz w:val="20"/>
              </w:rPr>
              <w:t xml:space="preserve">Commercial law — Contracts — </w:t>
            </w:r>
            <w:proofErr w:type="spellStart"/>
            <w:r w:rsidRPr="00C41898">
              <w:rPr>
                <w:sz w:val="20"/>
              </w:rPr>
              <w:t>Privity</w:t>
            </w:r>
            <w:proofErr w:type="spellEnd"/>
            <w:r w:rsidRPr="00C41898">
              <w:rPr>
                <w:sz w:val="20"/>
              </w:rPr>
              <w:t xml:space="preserve"> of contract — Insurance law — Liability insurance — Insurance covenant in contract requiring applicant company to maintain all-risk insurance — Insurer indemnifying applicant company for vaccines rendered unsaleable after warehouse cooling malfunction — Applicant company’s insurer</w:t>
            </w:r>
            <w:r w:rsidRPr="00C41898">
              <w:rPr>
                <w:color w:val="000000"/>
                <w:sz w:val="20"/>
              </w:rPr>
              <w:t xml:space="preserve"> subrogating itself to company and commencing an action against UPS and other defendants, who then commenced third party claims against additional parties — Summary judgment motion dismissing applicant company’s action in its entirety — Court of Appeal dismissing appeal provided applicant company paid $102,000 within 10 days — Whether </w:t>
            </w:r>
            <w:proofErr w:type="spellStart"/>
            <w:r w:rsidRPr="00C41898">
              <w:rPr>
                <w:sz w:val="20"/>
              </w:rPr>
              <w:t>privity</w:t>
            </w:r>
            <w:proofErr w:type="spellEnd"/>
            <w:r w:rsidRPr="00C41898">
              <w:rPr>
                <w:sz w:val="20"/>
              </w:rPr>
              <w:t xml:space="preserve"> of contract still a valid legal principle in Canada — Whether restrictive covenants should be enforced when they facilitate breach of federal legislation and are born of a party’s misrepresentations — What is applicable legal standard for granting and reviewing costs awards in order to promote access to justice.</w:t>
            </w:r>
          </w:p>
        </w:tc>
      </w:tr>
      <w:tr w:rsidR="00C41898" w:rsidRPr="00C41898" w:rsidTr="00E95A6A">
        <w:tc>
          <w:tcPr>
            <w:tcW w:w="5000" w:type="pct"/>
            <w:gridSpan w:val="4"/>
          </w:tcPr>
          <w:p w:rsidR="00C41898" w:rsidRPr="00C41898" w:rsidRDefault="00C41898" w:rsidP="00C41898">
            <w:pPr>
              <w:jc w:val="both"/>
              <w:rPr>
                <w:sz w:val="20"/>
              </w:rPr>
            </w:pPr>
          </w:p>
        </w:tc>
      </w:tr>
      <w:tr w:rsidR="00C41898" w:rsidRPr="00C41898" w:rsidTr="00E95A6A">
        <w:tc>
          <w:tcPr>
            <w:tcW w:w="5000" w:type="pct"/>
            <w:gridSpan w:val="4"/>
          </w:tcPr>
          <w:p w:rsidR="00C41898" w:rsidRPr="00C41898" w:rsidRDefault="00C41898" w:rsidP="00C41898">
            <w:pPr>
              <w:jc w:val="both"/>
              <w:rPr>
                <w:color w:val="000000"/>
                <w:sz w:val="20"/>
              </w:rPr>
            </w:pPr>
            <w:r w:rsidRPr="00C41898">
              <w:rPr>
                <w:color w:val="000000"/>
                <w:sz w:val="20"/>
              </w:rPr>
              <w:t xml:space="preserve">The respondent, UPS SCS, Inc. (“UPS”), stored vaccines for the applicant, Sanofi Pasteur Limited, in a dedicated, temperature-controlled warehouse. As required by the storage contract between them, Sanofi insured its vaccines under an all-risks policy. The warehouse cooling system malfunctioned and vaccines worth just over $8 million were unsaleable. Sanofi was fully indemnified by its insurer. </w:t>
            </w:r>
            <w:r w:rsidRPr="003044F0">
              <w:rPr>
                <w:rStyle w:val="bold1"/>
                <w:b w:val="0"/>
                <w:color w:val="000000"/>
                <w:sz w:val="20"/>
              </w:rPr>
              <w:t>Sanofi’s</w:t>
            </w:r>
            <w:r w:rsidRPr="00C41898">
              <w:rPr>
                <w:rStyle w:val="bold1"/>
                <w:color w:val="000000"/>
                <w:sz w:val="20"/>
              </w:rPr>
              <w:t xml:space="preserve"> </w:t>
            </w:r>
            <w:r w:rsidRPr="00C41898">
              <w:rPr>
                <w:color w:val="000000"/>
                <w:sz w:val="20"/>
              </w:rPr>
              <w:t>insurer subrogated itself to Sanofi and commenced an action against UPS and a number of other defendants, who then commenced third party claims against additional parties.</w:t>
            </w:r>
            <w:bookmarkStart w:id="0" w:name="_GoBack"/>
            <w:bookmarkEnd w:id="0"/>
          </w:p>
          <w:p w:rsidR="00C41898" w:rsidRPr="00C41898" w:rsidRDefault="00C41898" w:rsidP="00C41898">
            <w:pPr>
              <w:jc w:val="both"/>
              <w:rPr>
                <w:color w:val="000000"/>
                <w:sz w:val="20"/>
              </w:rPr>
            </w:pPr>
          </w:p>
          <w:p w:rsidR="00C41898" w:rsidRPr="00C41898" w:rsidRDefault="00C41898" w:rsidP="00C41898">
            <w:pPr>
              <w:jc w:val="both"/>
              <w:rPr>
                <w:sz w:val="20"/>
              </w:rPr>
            </w:pPr>
            <w:r w:rsidRPr="00C41898">
              <w:rPr>
                <w:color w:val="000000"/>
                <w:sz w:val="20"/>
              </w:rPr>
              <w:t>The motion judge dismissed Sanofi’s action in its entirety on a summary judgment motion. The Court of Appeal dismissed the appeal provided UPS pays $102,000 to Sanofi within 10 days. If such payment is not made within 10 days, the Court of Appeal concluded it would allow the appeal and order a trial.</w:t>
            </w:r>
          </w:p>
          <w:p w:rsidR="00C41898" w:rsidRPr="00C41898" w:rsidRDefault="00C41898" w:rsidP="00C41898">
            <w:pPr>
              <w:jc w:val="both"/>
              <w:rPr>
                <w:sz w:val="20"/>
              </w:rPr>
            </w:pPr>
          </w:p>
        </w:tc>
      </w:tr>
      <w:tr w:rsidR="00C41898" w:rsidRPr="00C41898" w:rsidTr="00E95A6A">
        <w:tc>
          <w:tcPr>
            <w:tcW w:w="2427" w:type="pct"/>
            <w:gridSpan w:val="2"/>
          </w:tcPr>
          <w:p w:rsidR="00C41898" w:rsidRPr="00C41898" w:rsidRDefault="00C41898" w:rsidP="00C41898">
            <w:pPr>
              <w:jc w:val="both"/>
              <w:rPr>
                <w:sz w:val="20"/>
              </w:rPr>
            </w:pPr>
            <w:r w:rsidRPr="00C41898">
              <w:rPr>
                <w:sz w:val="20"/>
              </w:rPr>
              <w:t>April 30, 2014</w:t>
            </w:r>
          </w:p>
          <w:p w:rsidR="00C41898" w:rsidRPr="00C41898" w:rsidRDefault="00C41898" w:rsidP="00C41898">
            <w:pPr>
              <w:jc w:val="both"/>
              <w:rPr>
                <w:sz w:val="20"/>
              </w:rPr>
            </w:pPr>
            <w:r w:rsidRPr="00C41898">
              <w:rPr>
                <w:sz w:val="20"/>
              </w:rPr>
              <w:t>Ontario Superior Court of Justice</w:t>
            </w:r>
          </w:p>
          <w:p w:rsidR="00C41898" w:rsidRPr="00C41898" w:rsidRDefault="00C41898" w:rsidP="00C41898">
            <w:pPr>
              <w:jc w:val="both"/>
              <w:rPr>
                <w:sz w:val="20"/>
              </w:rPr>
            </w:pPr>
            <w:r w:rsidRPr="00C41898">
              <w:rPr>
                <w:sz w:val="20"/>
              </w:rPr>
              <w:t>(Morgan J.)</w:t>
            </w:r>
          </w:p>
          <w:p w:rsidR="00C41898" w:rsidRPr="00C41898" w:rsidRDefault="00C41898" w:rsidP="00C41898">
            <w:pPr>
              <w:jc w:val="both"/>
              <w:rPr>
                <w:sz w:val="20"/>
              </w:rPr>
            </w:pPr>
            <w:hyperlink r:id="rId18" w:history="1">
              <w:r w:rsidRPr="00C41898">
                <w:rPr>
                  <w:rStyle w:val="Hyperlink"/>
                  <w:sz w:val="20"/>
                </w:rPr>
                <w:t>2014 ONSC 2695</w:t>
              </w:r>
            </w:hyperlink>
          </w:p>
          <w:p w:rsidR="00C41898" w:rsidRPr="00C41898" w:rsidRDefault="00C41898" w:rsidP="00C41898">
            <w:pPr>
              <w:jc w:val="both"/>
              <w:rPr>
                <w:sz w:val="20"/>
              </w:rPr>
            </w:pP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Sanofi Pasteur Ltd.’s action dismissed in its entirety on summary judgment motion.</w:t>
            </w:r>
          </w:p>
          <w:p w:rsidR="00C41898" w:rsidRPr="00C41898" w:rsidRDefault="00C41898" w:rsidP="00C41898">
            <w:pPr>
              <w:jc w:val="both"/>
              <w:rPr>
                <w:sz w:val="20"/>
              </w:rPr>
            </w:pPr>
          </w:p>
        </w:tc>
      </w:tr>
      <w:tr w:rsidR="00C41898" w:rsidRPr="00C41898" w:rsidTr="00E95A6A">
        <w:tc>
          <w:tcPr>
            <w:tcW w:w="2427" w:type="pct"/>
            <w:gridSpan w:val="2"/>
          </w:tcPr>
          <w:p w:rsidR="00C41898" w:rsidRPr="00C41898" w:rsidRDefault="00C41898" w:rsidP="00C41898">
            <w:pPr>
              <w:jc w:val="both"/>
              <w:rPr>
                <w:sz w:val="20"/>
              </w:rPr>
            </w:pPr>
            <w:r w:rsidRPr="00C41898">
              <w:rPr>
                <w:sz w:val="20"/>
              </w:rPr>
              <w:t>February 9, 2015</w:t>
            </w:r>
          </w:p>
          <w:p w:rsidR="00C41898" w:rsidRPr="00C41898" w:rsidRDefault="00C41898" w:rsidP="00C41898">
            <w:pPr>
              <w:jc w:val="both"/>
              <w:rPr>
                <w:sz w:val="20"/>
              </w:rPr>
            </w:pPr>
            <w:r w:rsidRPr="00C41898">
              <w:rPr>
                <w:sz w:val="20"/>
              </w:rPr>
              <w:t>Court of Appeal for Ontario</w:t>
            </w:r>
          </w:p>
          <w:p w:rsidR="00C41898" w:rsidRPr="00C41898" w:rsidRDefault="00C41898" w:rsidP="00C41898">
            <w:pPr>
              <w:jc w:val="both"/>
              <w:rPr>
                <w:sz w:val="20"/>
              </w:rPr>
            </w:pPr>
            <w:r w:rsidRPr="00C41898">
              <w:rPr>
                <w:sz w:val="20"/>
              </w:rPr>
              <w:t xml:space="preserve">(Hoy A.C.J.O and Simmons and Tulloch </w:t>
            </w:r>
          </w:p>
          <w:p w:rsidR="00C41898" w:rsidRPr="00C41898" w:rsidRDefault="00C41898" w:rsidP="00C41898">
            <w:pPr>
              <w:jc w:val="both"/>
              <w:rPr>
                <w:sz w:val="20"/>
              </w:rPr>
            </w:pPr>
            <w:r w:rsidRPr="00C41898">
              <w:rPr>
                <w:sz w:val="20"/>
              </w:rPr>
              <w:t>JJ.A.)</w:t>
            </w:r>
          </w:p>
          <w:p w:rsidR="00C41898" w:rsidRPr="00C41898" w:rsidRDefault="00C41898" w:rsidP="00C41898">
            <w:pPr>
              <w:jc w:val="both"/>
              <w:rPr>
                <w:sz w:val="20"/>
              </w:rPr>
            </w:pPr>
            <w:hyperlink r:id="rId19" w:history="1">
              <w:r w:rsidRPr="00C41898">
                <w:rPr>
                  <w:rStyle w:val="Hyperlink"/>
                  <w:sz w:val="20"/>
                </w:rPr>
                <w:t>2015 ONCA 88</w:t>
              </w:r>
            </w:hyperlink>
          </w:p>
          <w:p w:rsidR="00C41898" w:rsidRPr="00C41898" w:rsidRDefault="00C41898" w:rsidP="00C41898">
            <w:pPr>
              <w:jc w:val="both"/>
              <w:rPr>
                <w:sz w:val="20"/>
              </w:rPr>
            </w:pPr>
            <w:r w:rsidRPr="00C41898">
              <w:rPr>
                <w:sz w:val="20"/>
              </w:rPr>
              <w:t>File No.: C58868</w:t>
            </w:r>
          </w:p>
          <w:p w:rsidR="00C41898" w:rsidRPr="00C41898" w:rsidRDefault="00C41898" w:rsidP="00C41898">
            <w:pPr>
              <w:jc w:val="both"/>
              <w:rPr>
                <w:sz w:val="20"/>
              </w:rPr>
            </w:pP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Appeal dismissed provided UPS pays Sanofi $102,000. If payment is not made within 10 days, appeal allowed and trial ordered.</w:t>
            </w:r>
          </w:p>
          <w:p w:rsidR="00C41898" w:rsidRPr="00C41898" w:rsidRDefault="00C41898" w:rsidP="00C41898">
            <w:pPr>
              <w:jc w:val="both"/>
              <w:rPr>
                <w:sz w:val="20"/>
              </w:rPr>
            </w:pPr>
          </w:p>
        </w:tc>
      </w:tr>
      <w:tr w:rsidR="00C41898" w:rsidRPr="00C41898" w:rsidTr="00E95A6A">
        <w:tc>
          <w:tcPr>
            <w:tcW w:w="2427" w:type="pct"/>
            <w:gridSpan w:val="2"/>
          </w:tcPr>
          <w:p w:rsidR="00C41898" w:rsidRPr="00C41898" w:rsidRDefault="00C41898" w:rsidP="00C41898">
            <w:pPr>
              <w:jc w:val="both"/>
              <w:rPr>
                <w:sz w:val="20"/>
              </w:rPr>
            </w:pPr>
            <w:r w:rsidRPr="00C41898">
              <w:rPr>
                <w:sz w:val="20"/>
              </w:rPr>
              <w:t>April 10, 2015</w:t>
            </w:r>
          </w:p>
          <w:p w:rsidR="00C41898" w:rsidRPr="00C41898" w:rsidRDefault="00C41898" w:rsidP="00C41898">
            <w:pPr>
              <w:jc w:val="both"/>
              <w:rPr>
                <w:sz w:val="20"/>
              </w:rPr>
            </w:pPr>
            <w:r w:rsidRPr="00C41898">
              <w:rPr>
                <w:sz w:val="20"/>
              </w:rPr>
              <w:t>Supreme Court of Canada</w:t>
            </w:r>
          </w:p>
        </w:tc>
        <w:tc>
          <w:tcPr>
            <w:tcW w:w="243" w:type="pct"/>
          </w:tcPr>
          <w:p w:rsidR="00C41898" w:rsidRPr="00C41898" w:rsidRDefault="00C41898" w:rsidP="00C41898">
            <w:pPr>
              <w:jc w:val="both"/>
              <w:rPr>
                <w:sz w:val="20"/>
              </w:rPr>
            </w:pPr>
          </w:p>
        </w:tc>
        <w:tc>
          <w:tcPr>
            <w:tcW w:w="2330" w:type="pct"/>
          </w:tcPr>
          <w:p w:rsidR="00C41898" w:rsidRPr="00C41898" w:rsidRDefault="00C41898" w:rsidP="00C41898">
            <w:pPr>
              <w:jc w:val="both"/>
              <w:rPr>
                <w:sz w:val="20"/>
              </w:rPr>
            </w:pPr>
            <w:r w:rsidRPr="00C41898">
              <w:rPr>
                <w:sz w:val="20"/>
              </w:rPr>
              <w:t>Application for leave to appeal filed.</w:t>
            </w:r>
          </w:p>
          <w:p w:rsidR="00C41898" w:rsidRPr="00C41898" w:rsidRDefault="00C41898" w:rsidP="00C41898">
            <w:pPr>
              <w:jc w:val="both"/>
              <w:rPr>
                <w:sz w:val="20"/>
              </w:rPr>
            </w:pPr>
          </w:p>
        </w:tc>
      </w:tr>
    </w:tbl>
    <w:p w:rsidR="00C41898" w:rsidRDefault="00C41898" w:rsidP="00C41898">
      <w:pPr>
        <w:jc w:val="both"/>
        <w:rPr>
          <w:sz w:val="20"/>
        </w:rPr>
      </w:pPr>
    </w:p>
    <w:p w:rsidR="00D94588" w:rsidRPr="00C41898" w:rsidRDefault="00D94588" w:rsidP="00C418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1898" w:rsidRPr="00C41898" w:rsidTr="00E95A6A">
        <w:tc>
          <w:tcPr>
            <w:tcW w:w="543" w:type="pct"/>
          </w:tcPr>
          <w:p w:rsidR="00C41898" w:rsidRPr="00C41898" w:rsidRDefault="00C41898" w:rsidP="00C41898">
            <w:pPr>
              <w:jc w:val="both"/>
              <w:rPr>
                <w:sz w:val="20"/>
              </w:rPr>
            </w:pPr>
            <w:r w:rsidRPr="00C41898">
              <w:rPr>
                <w:rStyle w:val="SCCFileNumberChar"/>
                <w:sz w:val="20"/>
                <w:szCs w:val="20"/>
              </w:rPr>
              <w:t>36386</w:t>
            </w:r>
          </w:p>
        </w:tc>
        <w:tc>
          <w:tcPr>
            <w:tcW w:w="4457" w:type="pct"/>
            <w:gridSpan w:val="3"/>
          </w:tcPr>
          <w:p w:rsidR="00C41898" w:rsidRPr="00C41898" w:rsidRDefault="00C41898" w:rsidP="00C41898">
            <w:pPr>
              <w:jc w:val="both"/>
              <w:rPr>
                <w:b/>
                <w:sz w:val="20"/>
              </w:rPr>
            </w:pPr>
            <w:r w:rsidRPr="00C41898">
              <w:rPr>
                <w:b/>
                <w:sz w:val="20"/>
              </w:rPr>
              <w:t xml:space="preserve">Sanofi Pasteur </w:t>
            </w:r>
            <w:proofErr w:type="spellStart"/>
            <w:r w:rsidRPr="00C41898">
              <w:rPr>
                <w:b/>
                <w:sz w:val="20"/>
              </w:rPr>
              <w:t>Limitée</w:t>
            </w:r>
            <w:proofErr w:type="spellEnd"/>
            <w:r w:rsidRPr="00C41898">
              <w:rPr>
                <w:b/>
                <w:sz w:val="20"/>
              </w:rPr>
              <w:t xml:space="preserve"> c. UPS SCS Inc., Honeywell </w:t>
            </w:r>
            <w:proofErr w:type="spellStart"/>
            <w:r w:rsidRPr="00C41898">
              <w:rPr>
                <w:b/>
                <w:sz w:val="20"/>
              </w:rPr>
              <w:t>Limitée</w:t>
            </w:r>
            <w:proofErr w:type="spellEnd"/>
            <w:r w:rsidRPr="00C41898">
              <w:rPr>
                <w:b/>
                <w:sz w:val="20"/>
              </w:rPr>
              <w:t xml:space="preserve">, Honeywell International Inc., Automation Components Inc., Industrial Technical Services (ITS) Inc., </w:t>
            </w:r>
            <w:proofErr w:type="spellStart"/>
            <w:r w:rsidRPr="00C41898">
              <w:rPr>
                <w:b/>
                <w:sz w:val="20"/>
              </w:rPr>
              <w:t>Airon</w:t>
            </w:r>
            <w:proofErr w:type="spellEnd"/>
            <w:r w:rsidRPr="00C41898">
              <w:rPr>
                <w:b/>
                <w:sz w:val="20"/>
              </w:rPr>
              <w:t xml:space="preserve"> HVAC Service Ltd., </w:t>
            </w:r>
            <w:proofErr w:type="spellStart"/>
            <w:r w:rsidRPr="00C41898">
              <w:rPr>
                <w:b/>
                <w:sz w:val="20"/>
              </w:rPr>
              <w:t>Airon</w:t>
            </w:r>
            <w:proofErr w:type="spellEnd"/>
            <w:r w:rsidRPr="00C41898">
              <w:rPr>
                <w:b/>
                <w:sz w:val="20"/>
              </w:rPr>
              <w:t xml:space="preserve"> HVAC et Control Ltd., United Parcel Service of America Inc., UPS Supply Chain Solutions Inc., UPS Supply Chain Solutions General Services Inc., Maple </w:t>
            </w:r>
            <w:proofErr w:type="spellStart"/>
            <w:r w:rsidRPr="00C41898">
              <w:rPr>
                <w:b/>
                <w:sz w:val="20"/>
              </w:rPr>
              <w:t>Reinders</w:t>
            </w:r>
            <w:proofErr w:type="spellEnd"/>
            <w:r w:rsidRPr="00C41898">
              <w:rPr>
                <w:b/>
                <w:sz w:val="20"/>
              </w:rPr>
              <w:t xml:space="preserve"> Constructors Ltd., Maple </w:t>
            </w:r>
            <w:proofErr w:type="spellStart"/>
            <w:r w:rsidRPr="00C41898">
              <w:rPr>
                <w:b/>
                <w:sz w:val="20"/>
              </w:rPr>
              <w:t>Reinders</w:t>
            </w:r>
            <w:proofErr w:type="spellEnd"/>
            <w:r w:rsidRPr="00C41898">
              <w:rPr>
                <w:b/>
                <w:sz w:val="20"/>
              </w:rPr>
              <w:t xml:space="preserve"> Construction Ltd., Maple </w:t>
            </w:r>
            <w:proofErr w:type="spellStart"/>
            <w:r w:rsidRPr="00C41898">
              <w:rPr>
                <w:b/>
                <w:sz w:val="20"/>
              </w:rPr>
              <w:t>Reinders</w:t>
            </w:r>
            <w:proofErr w:type="spellEnd"/>
            <w:r w:rsidRPr="00C41898">
              <w:rPr>
                <w:b/>
                <w:sz w:val="20"/>
              </w:rPr>
              <w:t xml:space="preserve"> Group Ltd. et </w:t>
            </w:r>
            <w:proofErr w:type="spellStart"/>
            <w:r w:rsidRPr="00C41898">
              <w:rPr>
                <w:b/>
                <w:sz w:val="20"/>
              </w:rPr>
              <w:t>Heraeus</w:t>
            </w:r>
            <w:proofErr w:type="spellEnd"/>
            <w:r w:rsidRPr="00C41898">
              <w:rPr>
                <w:b/>
                <w:sz w:val="20"/>
              </w:rPr>
              <w:t xml:space="preserve"> Sensor Technology USA </w:t>
            </w:r>
          </w:p>
          <w:p w:rsidR="00C41898" w:rsidRPr="00C41898" w:rsidRDefault="00C41898" w:rsidP="00C41898">
            <w:pPr>
              <w:jc w:val="both"/>
              <w:rPr>
                <w:sz w:val="20"/>
              </w:rPr>
            </w:pPr>
            <w:r w:rsidRPr="00C41898">
              <w:rPr>
                <w:sz w:val="20"/>
              </w:rPr>
              <w:t>(Ont.) (</w:t>
            </w:r>
            <w:proofErr w:type="spellStart"/>
            <w:r w:rsidRPr="00C41898">
              <w:rPr>
                <w:sz w:val="20"/>
              </w:rPr>
              <w:t>Civile</w:t>
            </w:r>
            <w:proofErr w:type="spellEnd"/>
            <w:r w:rsidRPr="00C41898">
              <w:rPr>
                <w:sz w:val="20"/>
              </w:rPr>
              <w:t xml:space="preserve">) (Sur </w:t>
            </w:r>
            <w:proofErr w:type="spellStart"/>
            <w:r w:rsidRPr="00C41898">
              <w:rPr>
                <w:sz w:val="20"/>
              </w:rPr>
              <w:t>autorisation</w:t>
            </w:r>
            <w:proofErr w:type="spellEnd"/>
            <w:r w:rsidRPr="00C41898">
              <w:rPr>
                <w:sz w:val="20"/>
              </w:rPr>
              <w:t>)</w:t>
            </w:r>
          </w:p>
        </w:tc>
      </w:tr>
      <w:tr w:rsidR="00C41898" w:rsidRPr="00C41898" w:rsidTr="00E95A6A">
        <w:tc>
          <w:tcPr>
            <w:tcW w:w="5000" w:type="pct"/>
            <w:gridSpan w:val="4"/>
          </w:tcPr>
          <w:p w:rsidR="00C41898" w:rsidRPr="00C41898" w:rsidRDefault="00C41898" w:rsidP="00C41898">
            <w:pPr>
              <w:jc w:val="both"/>
              <w:rPr>
                <w:sz w:val="20"/>
                <w:lang w:val="fr-CA"/>
              </w:rPr>
            </w:pPr>
            <w:r w:rsidRPr="00C41898">
              <w:rPr>
                <w:sz w:val="20"/>
                <w:lang w:val="fr-CA"/>
              </w:rPr>
              <w:t>Droit commercial — Contrats — Relativité des contrats — Droit des assurances — Assurance de responsabilité — Clause contractuelle d’assurance exigeant de la société demanderesse qu’elle contracte une assurance tous risques — Somme versée par l’assureur à la société demanderesse pour l’indemniser de la perte de vaccins devenus invendables par suite d’une défectuosité du système de refroidissement du lieu d’entreposage — Subrogation de l’assureur aux droits de la société demanderesse et action intentée contre UPS et d’autres défenderesses, qui ont à leur tour demandé la mise en cause d’autres personnes</w:t>
            </w:r>
            <w:r w:rsidRPr="00C41898">
              <w:rPr>
                <w:color w:val="000000"/>
                <w:sz w:val="20"/>
                <w:lang w:val="fr-CA"/>
              </w:rPr>
              <w:t xml:space="preserve"> — Rejet de l’action de la société demanderesse dans sa totalité sur motion pour jugement sommaire — Rejet de l’appel par la Cour d’appel à condition que la société demanderesse se voit verser 102 000 $ dans les 10 jours — Le principe juridique de la relativité des contrats </w:t>
            </w:r>
            <w:proofErr w:type="spellStart"/>
            <w:r w:rsidRPr="00C41898">
              <w:rPr>
                <w:color w:val="000000"/>
                <w:sz w:val="20"/>
                <w:lang w:val="fr-CA"/>
              </w:rPr>
              <w:t>vaut-il</w:t>
            </w:r>
            <w:proofErr w:type="spellEnd"/>
            <w:r w:rsidRPr="00C41898">
              <w:rPr>
                <w:color w:val="000000"/>
                <w:sz w:val="20"/>
                <w:lang w:val="fr-CA"/>
              </w:rPr>
              <w:t xml:space="preserve"> toujours au Canada? Y </w:t>
            </w:r>
            <w:proofErr w:type="spellStart"/>
            <w:r w:rsidRPr="00C41898">
              <w:rPr>
                <w:color w:val="000000"/>
                <w:sz w:val="20"/>
                <w:lang w:val="fr-CA"/>
              </w:rPr>
              <w:t>a-t-il</w:t>
            </w:r>
            <w:proofErr w:type="spellEnd"/>
            <w:r w:rsidRPr="00C41898">
              <w:rPr>
                <w:color w:val="000000"/>
                <w:sz w:val="20"/>
                <w:lang w:val="fr-CA"/>
              </w:rPr>
              <w:t xml:space="preserve"> lieu de faire</w:t>
            </w:r>
            <w:r w:rsidRPr="00C41898">
              <w:rPr>
                <w:sz w:val="20"/>
                <w:lang w:val="fr-CA"/>
              </w:rPr>
              <w:t xml:space="preserve"> appliquer une clause restrictive qui facilite le non-respect de dispositions fédérales et qui résulte de déclarations trompeuses d’une partie? — Quelle doit être la norme juridique applicable à l’adjudication des dépens et à la révision de cette adjudication afin de promouvoir l’accès à la justice?</w:t>
            </w:r>
          </w:p>
        </w:tc>
      </w:tr>
      <w:tr w:rsidR="00C41898" w:rsidRPr="00C41898" w:rsidTr="00E95A6A">
        <w:tc>
          <w:tcPr>
            <w:tcW w:w="5000" w:type="pct"/>
            <w:gridSpan w:val="4"/>
          </w:tcPr>
          <w:p w:rsidR="00C41898" w:rsidRPr="00C41898" w:rsidRDefault="00C41898" w:rsidP="00C41898">
            <w:pPr>
              <w:jc w:val="both"/>
              <w:rPr>
                <w:sz w:val="20"/>
                <w:lang w:val="fr-CA"/>
              </w:rPr>
            </w:pPr>
          </w:p>
        </w:tc>
      </w:tr>
      <w:tr w:rsidR="00C41898" w:rsidRPr="00C41898" w:rsidTr="00E95A6A">
        <w:tc>
          <w:tcPr>
            <w:tcW w:w="5000" w:type="pct"/>
            <w:gridSpan w:val="4"/>
          </w:tcPr>
          <w:p w:rsidR="00C41898" w:rsidRPr="00C41898" w:rsidRDefault="00C41898" w:rsidP="00C41898">
            <w:pPr>
              <w:jc w:val="both"/>
              <w:rPr>
                <w:color w:val="000000"/>
                <w:sz w:val="20"/>
                <w:lang w:val="fr-CA"/>
              </w:rPr>
            </w:pPr>
            <w:r w:rsidRPr="00C41898">
              <w:rPr>
                <w:color w:val="000000"/>
                <w:sz w:val="20"/>
                <w:lang w:val="fr-CA"/>
              </w:rPr>
              <w:t>L’intimée UPS SCS, Inc. (« UPS ») a entreposé les vaccins de la demanderesse, Sanofi Pasteur Limitée, dans une installation spéciale à température contrôlée. Conformément au contrat d’entreposage intervenu entre les deux sociétés, Sanofi a contracté une assurance tous risques pour ses vaccins. Le système de refroidissement du lieu d’entreposage n’a pas bien fonctionné, de sorte que des vaccins d’une valeur de plus de 8 millions de dollars sont devenus invendables. Sanofi a été entièrement indemnisée par son assureur. Ce dernier s’est subrogé dans les droits de Sanofi et a intenté une action contre UPS et d’autres défenderesses, qui ont à leur tour demandé la mise en cause d’autres personnes.</w:t>
            </w:r>
          </w:p>
          <w:p w:rsidR="00C41898" w:rsidRPr="00C41898" w:rsidRDefault="00C41898" w:rsidP="00C41898">
            <w:pPr>
              <w:jc w:val="both"/>
              <w:rPr>
                <w:color w:val="000000"/>
                <w:sz w:val="20"/>
                <w:lang w:val="fr-CA"/>
              </w:rPr>
            </w:pPr>
          </w:p>
          <w:p w:rsidR="00C41898" w:rsidRPr="00C41898" w:rsidRDefault="00C41898" w:rsidP="00C41898">
            <w:pPr>
              <w:jc w:val="both"/>
              <w:rPr>
                <w:sz w:val="20"/>
                <w:lang w:val="fr-CA"/>
              </w:rPr>
            </w:pPr>
            <w:r w:rsidRPr="00C41898">
              <w:rPr>
                <w:color w:val="000000"/>
                <w:sz w:val="20"/>
                <w:lang w:val="fr-CA"/>
              </w:rPr>
              <w:t>Sur motion pour jugement sommaire, le juge des motions a rejeté l’action de Sanofi dans sa totalité. La Cour d’appel a rejeté l’appel à condition qu’UPS verse 102 000 $ à Sanofi dans les 10 jours, faute de quoi l’appel serait accueilli et le procès aurait lieu.</w:t>
            </w:r>
          </w:p>
          <w:p w:rsidR="00C41898" w:rsidRPr="00C41898" w:rsidRDefault="00C41898" w:rsidP="00C41898">
            <w:pPr>
              <w:jc w:val="both"/>
              <w:rPr>
                <w:sz w:val="20"/>
                <w:lang w:val="fr-CA"/>
              </w:rPr>
            </w:pPr>
          </w:p>
        </w:tc>
      </w:tr>
      <w:tr w:rsidR="00C41898" w:rsidRPr="00C41898" w:rsidTr="00E95A6A">
        <w:tc>
          <w:tcPr>
            <w:tcW w:w="2427" w:type="pct"/>
            <w:gridSpan w:val="2"/>
          </w:tcPr>
          <w:p w:rsidR="00C41898" w:rsidRPr="00C41898" w:rsidRDefault="00C41898" w:rsidP="00C41898">
            <w:pPr>
              <w:jc w:val="both"/>
              <w:rPr>
                <w:sz w:val="20"/>
                <w:lang w:val="fr-CA"/>
              </w:rPr>
            </w:pPr>
            <w:r w:rsidRPr="00C41898">
              <w:rPr>
                <w:sz w:val="20"/>
                <w:lang w:val="fr-CA"/>
              </w:rPr>
              <w:t>30 avril 2014</w:t>
            </w:r>
          </w:p>
          <w:p w:rsidR="00C41898" w:rsidRPr="00C41898" w:rsidRDefault="00C41898" w:rsidP="00C41898">
            <w:pPr>
              <w:jc w:val="both"/>
              <w:rPr>
                <w:sz w:val="20"/>
                <w:lang w:val="fr-CA"/>
              </w:rPr>
            </w:pPr>
            <w:r w:rsidRPr="00C41898">
              <w:rPr>
                <w:sz w:val="20"/>
                <w:lang w:val="fr-CA"/>
              </w:rPr>
              <w:t>Cour supérieure de justice de l’Ontario</w:t>
            </w:r>
          </w:p>
          <w:p w:rsidR="00C41898" w:rsidRPr="00C41898" w:rsidRDefault="00C41898" w:rsidP="00C41898">
            <w:pPr>
              <w:jc w:val="both"/>
              <w:rPr>
                <w:sz w:val="20"/>
                <w:lang w:val="fr-CA"/>
              </w:rPr>
            </w:pPr>
            <w:r w:rsidRPr="00C41898">
              <w:rPr>
                <w:sz w:val="20"/>
                <w:lang w:val="fr-CA"/>
              </w:rPr>
              <w:t>(Juge Morgan)</w:t>
            </w:r>
          </w:p>
          <w:p w:rsidR="00C41898" w:rsidRPr="00C41898" w:rsidRDefault="00C41898" w:rsidP="00C41898">
            <w:pPr>
              <w:jc w:val="both"/>
              <w:rPr>
                <w:sz w:val="20"/>
                <w:lang w:val="fr-CA"/>
              </w:rPr>
            </w:pPr>
            <w:hyperlink r:id="rId20" w:history="1">
              <w:r w:rsidRPr="00C41898">
                <w:rPr>
                  <w:rStyle w:val="Hyperlink"/>
                  <w:sz w:val="20"/>
                  <w:lang w:val="fr-CA"/>
                </w:rPr>
                <w:t>2014 ONSC 2695</w:t>
              </w:r>
            </w:hyperlink>
          </w:p>
          <w:p w:rsidR="00C41898" w:rsidRPr="00C41898" w:rsidRDefault="00C41898" w:rsidP="00C41898">
            <w:pPr>
              <w:jc w:val="both"/>
              <w:rPr>
                <w:sz w:val="20"/>
                <w:lang w:val="fr-CA"/>
              </w:rPr>
            </w:pPr>
          </w:p>
        </w:tc>
        <w:tc>
          <w:tcPr>
            <w:tcW w:w="243" w:type="pct"/>
          </w:tcPr>
          <w:p w:rsidR="00C41898" w:rsidRPr="00C41898" w:rsidRDefault="00C41898" w:rsidP="00C41898">
            <w:pPr>
              <w:jc w:val="both"/>
              <w:rPr>
                <w:sz w:val="20"/>
                <w:lang w:val="fr-CA"/>
              </w:rPr>
            </w:pPr>
          </w:p>
        </w:tc>
        <w:tc>
          <w:tcPr>
            <w:tcW w:w="2330" w:type="pct"/>
          </w:tcPr>
          <w:p w:rsidR="00C41898" w:rsidRPr="00C41898" w:rsidRDefault="00C41898" w:rsidP="00C41898">
            <w:pPr>
              <w:jc w:val="both"/>
              <w:rPr>
                <w:sz w:val="20"/>
                <w:lang w:val="fr-CA"/>
              </w:rPr>
            </w:pPr>
            <w:r w:rsidRPr="00C41898">
              <w:rPr>
                <w:sz w:val="20"/>
                <w:lang w:val="fr-CA"/>
              </w:rPr>
              <w:t>Rejet de l’action de Sanofi Pasteur Ltée dans sa totalité sur motion pour jugement sommaire.</w:t>
            </w:r>
          </w:p>
          <w:p w:rsidR="00C41898" w:rsidRPr="00C41898" w:rsidRDefault="00C41898" w:rsidP="00C41898">
            <w:pPr>
              <w:jc w:val="both"/>
              <w:rPr>
                <w:sz w:val="20"/>
                <w:lang w:val="fr-CA"/>
              </w:rPr>
            </w:pPr>
          </w:p>
        </w:tc>
      </w:tr>
      <w:tr w:rsidR="00C41898" w:rsidRPr="00C41898" w:rsidTr="00E95A6A">
        <w:tc>
          <w:tcPr>
            <w:tcW w:w="2427" w:type="pct"/>
            <w:gridSpan w:val="2"/>
          </w:tcPr>
          <w:p w:rsidR="00C41898" w:rsidRPr="00C41898" w:rsidRDefault="00C41898" w:rsidP="00C41898">
            <w:pPr>
              <w:jc w:val="both"/>
              <w:rPr>
                <w:sz w:val="20"/>
                <w:lang w:val="fr-CA"/>
              </w:rPr>
            </w:pPr>
            <w:r w:rsidRPr="00C41898">
              <w:rPr>
                <w:sz w:val="20"/>
                <w:lang w:val="fr-CA"/>
              </w:rPr>
              <w:t>9 février 2015</w:t>
            </w:r>
          </w:p>
          <w:p w:rsidR="00C41898" w:rsidRPr="00C41898" w:rsidRDefault="00C41898" w:rsidP="00C41898">
            <w:pPr>
              <w:jc w:val="both"/>
              <w:rPr>
                <w:sz w:val="20"/>
                <w:lang w:val="fr-CA"/>
              </w:rPr>
            </w:pPr>
            <w:r w:rsidRPr="00C41898">
              <w:rPr>
                <w:sz w:val="20"/>
                <w:lang w:val="fr-CA"/>
              </w:rPr>
              <w:t>Cour d’appel de l’Ontario</w:t>
            </w:r>
          </w:p>
          <w:p w:rsidR="00C41898" w:rsidRPr="00C41898" w:rsidRDefault="00C41898" w:rsidP="00C41898">
            <w:pPr>
              <w:jc w:val="both"/>
              <w:rPr>
                <w:sz w:val="20"/>
                <w:lang w:val="fr-CA"/>
              </w:rPr>
            </w:pPr>
            <w:r w:rsidRPr="00C41898">
              <w:rPr>
                <w:sz w:val="20"/>
                <w:lang w:val="fr-CA"/>
              </w:rPr>
              <w:t xml:space="preserve">(Juge en chef adjointe </w:t>
            </w:r>
            <w:proofErr w:type="spellStart"/>
            <w:r w:rsidRPr="00C41898">
              <w:rPr>
                <w:sz w:val="20"/>
                <w:lang w:val="fr-CA"/>
              </w:rPr>
              <w:t>Hoy</w:t>
            </w:r>
            <w:proofErr w:type="spellEnd"/>
            <w:r w:rsidRPr="00C41898">
              <w:rPr>
                <w:sz w:val="20"/>
                <w:lang w:val="fr-CA"/>
              </w:rPr>
              <w:t xml:space="preserve"> et juges Simmons et </w:t>
            </w:r>
            <w:proofErr w:type="spellStart"/>
            <w:r w:rsidRPr="00C41898">
              <w:rPr>
                <w:sz w:val="20"/>
                <w:lang w:val="fr-CA"/>
              </w:rPr>
              <w:t>Tulloch</w:t>
            </w:r>
            <w:proofErr w:type="spellEnd"/>
            <w:r w:rsidRPr="00C41898">
              <w:rPr>
                <w:sz w:val="20"/>
                <w:lang w:val="fr-CA"/>
              </w:rPr>
              <w:t>)</w:t>
            </w:r>
          </w:p>
          <w:p w:rsidR="00C41898" w:rsidRPr="00C41898" w:rsidRDefault="00C41898" w:rsidP="00C41898">
            <w:pPr>
              <w:jc w:val="both"/>
              <w:rPr>
                <w:sz w:val="20"/>
                <w:lang w:val="fr-CA"/>
              </w:rPr>
            </w:pPr>
            <w:hyperlink r:id="rId21" w:history="1">
              <w:r w:rsidRPr="00C41898">
                <w:rPr>
                  <w:rStyle w:val="Hyperlink"/>
                  <w:sz w:val="20"/>
                  <w:lang w:val="fr-CA"/>
                </w:rPr>
                <w:t>2015 ONCA 88</w:t>
              </w:r>
            </w:hyperlink>
          </w:p>
          <w:p w:rsidR="00C41898" w:rsidRPr="00C41898" w:rsidRDefault="00C41898" w:rsidP="00C41898">
            <w:pPr>
              <w:jc w:val="both"/>
              <w:rPr>
                <w:sz w:val="20"/>
                <w:lang w:val="fr-CA"/>
              </w:rPr>
            </w:pPr>
            <w:r w:rsidRPr="00C41898">
              <w:rPr>
                <w:sz w:val="20"/>
                <w:lang w:val="fr-CA"/>
              </w:rPr>
              <w:t>N</w:t>
            </w:r>
            <w:r w:rsidRPr="00C41898">
              <w:rPr>
                <w:sz w:val="20"/>
                <w:vertAlign w:val="superscript"/>
                <w:lang w:val="fr-CA"/>
              </w:rPr>
              <w:t xml:space="preserve">o </w:t>
            </w:r>
            <w:r w:rsidRPr="00C41898">
              <w:rPr>
                <w:sz w:val="20"/>
                <w:lang w:val="fr-CA"/>
              </w:rPr>
              <w:t>de dossier: C58868</w:t>
            </w:r>
          </w:p>
          <w:p w:rsidR="00C41898" w:rsidRPr="00C41898" w:rsidRDefault="00C41898" w:rsidP="00C41898">
            <w:pPr>
              <w:jc w:val="both"/>
              <w:rPr>
                <w:sz w:val="20"/>
                <w:lang w:val="fr-CA"/>
              </w:rPr>
            </w:pPr>
          </w:p>
        </w:tc>
        <w:tc>
          <w:tcPr>
            <w:tcW w:w="243" w:type="pct"/>
          </w:tcPr>
          <w:p w:rsidR="00C41898" w:rsidRPr="00C41898" w:rsidRDefault="00C41898" w:rsidP="00C41898">
            <w:pPr>
              <w:jc w:val="both"/>
              <w:rPr>
                <w:sz w:val="20"/>
                <w:lang w:val="fr-CA"/>
              </w:rPr>
            </w:pPr>
          </w:p>
        </w:tc>
        <w:tc>
          <w:tcPr>
            <w:tcW w:w="2330" w:type="pct"/>
          </w:tcPr>
          <w:p w:rsidR="00C41898" w:rsidRPr="00C41898" w:rsidRDefault="00C41898" w:rsidP="00C41898">
            <w:pPr>
              <w:jc w:val="both"/>
              <w:rPr>
                <w:sz w:val="20"/>
                <w:lang w:val="fr-CA"/>
              </w:rPr>
            </w:pPr>
            <w:r w:rsidRPr="00C41898">
              <w:rPr>
                <w:sz w:val="20"/>
                <w:lang w:val="fr-CA"/>
              </w:rPr>
              <w:t>Rejet de l’appel à condition qu’UPS verse à Sanofi 102 000 $. Si la somme n’est pas versée dans les 10 jours, l’appel est accueilli et un procès est ordonné.</w:t>
            </w:r>
          </w:p>
          <w:p w:rsidR="00C41898" w:rsidRPr="00C41898" w:rsidRDefault="00C41898" w:rsidP="00C41898">
            <w:pPr>
              <w:jc w:val="both"/>
              <w:rPr>
                <w:sz w:val="20"/>
                <w:lang w:val="fr-CA"/>
              </w:rPr>
            </w:pPr>
          </w:p>
        </w:tc>
      </w:tr>
      <w:tr w:rsidR="00C41898" w:rsidRPr="00C41898" w:rsidTr="00E95A6A">
        <w:tc>
          <w:tcPr>
            <w:tcW w:w="2427" w:type="pct"/>
            <w:gridSpan w:val="2"/>
          </w:tcPr>
          <w:p w:rsidR="00C41898" w:rsidRPr="00C41898" w:rsidRDefault="00C41898" w:rsidP="00C41898">
            <w:pPr>
              <w:jc w:val="both"/>
              <w:rPr>
                <w:sz w:val="20"/>
                <w:lang w:val="fr-CA"/>
              </w:rPr>
            </w:pPr>
            <w:r w:rsidRPr="00C41898">
              <w:rPr>
                <w:sz w:val="20"/>
                <w:lang w:val="fr-CA"/>
              </w:rPr>
              <w:t>10 avril 2015</w:t>
            </w:r>
          </w:p>
          <w:p w:rsidR="00C41898" w:rsidRPr="00C41898" w:rsidRDefault="00C41898" w:rsidP="00C41898">
            <w:pPr>
              <w:jc w:val="both"/>
              <w:rPr>
                <w:sz w:val="20"/>
                <w:lang w:val="fr-CA"/>
              </w:rPr>
            </w:pPr>
            <w:r w:rsidRPr="00C41898">
              <w:rPr>
                <w:sz w:val="20"/>
                <w:lang w:val="fr-CA"/>
              </w:rPr>
              <w:t>Cour suprême du Canada</w:t>
            </w:r>
          </w:p>
        </w:tc>
        <w:tc>
          <w:tcPr>
            <w:tcW w:w="243" w:type="pct"/>
          </w:tcPr>
          <w:p w:rsidR="00C41898" w:rsidRPr="00C41898" w:rsidRDefault="00C41898" w:rsidP="00C41898">
            <w:pPr>
              <w:jc w:val="both"/>
              <w:rPr>
                <w:sz w:val="20"/>
                <w:lang w:val="fr-CA"/>
              </w:rPr>
            </w:pPr>
          </w:p>
        </w:tc>
        <w:tc>
          <w:tcPr>
            <w:tcW w:w="2330" w:type="pct"/>
          </w:tcPr>
          <w:p w:rsidR="00C41898" w:rsidRPr="00C41898" w:rsidRDefault="00C41898" w:rsidP="00C41898">
            <w:pPr>
              <w:jc w:val="both"/>
              <w:rPr>
                <w:sz w:val="20"/>
                <w:lang w:val="fr-CA"/>
              </w:rPr>
            </w:pPr>
            <w:r w:rsidRPr="00C41898">
              <w:rPr>
                <w:sz w:val="20"/>
                <w:lang w:val="fr-CA"/>
              </w:rPr>
              <w:t>Dépôt de la demande d’autorisation d’appel.</w:t>
            </w:r>
          </w:p>
        </w:tc>
      </w:tr>
    </w:tbl>
    <w:p w:rsidR="00C41898" w:rsidRDefault="00C41898" w:rsidP="00C41898">
      <w:pPr>
        <w:jc w:val="both"/>
        <w:rPr>
          <w:sz w:val="20"/>
          <w:lang w:val="fr-CA"/>
        </w:rPr>
      </w:pPr>
    </w:p>
    <w:p w:rsidR="00D94588" w:rsidRPr="00C41898" w:rsidRDefault="00D94588" w:rsidP="00C418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C41898" w:rsidRPr="00C41898" w:rsidTr="00E95A6A">
        <w:tc>
          <w:tcPr>
            <w:tcW w:w="543" w:type="pct"/>
          </w:tcPr>
          <w:p w:rsidR="00C41898" w:rsidRPr="00C41898" w:rsidRDefault="00C41898" w:rsidP="00C41898">
            <w:pPr>
              <w:jc w:val="both"/>
              <w:rPr>
                <w:sz w:val="20"/>
              </w:rPr>
            </w:pPr>
            <w:r w:rsidRPr="00C41898">
              <w:rPr>
                <w:rStyle w:val="SCCFileNumberChar"/>
                <w:sz w:val="20"/>
                <w:szCs w:val="20"/>
              </w:rPr>
              <w:t>36592</w:t>
            </w:r>
          </w:p>
        </w:tc>
        <w:tc>
          <w:tcPr>
            <w:tcW w:w="4457" w:type="pct"/>
            <w:gridSpan w:val="3"/>
          </w:tcPr>
          <w:p w:rsidR="00C41898" w:rsidRPr="00D94588" w:rsidRDefault="00C41898" w:rsidP="00C41898">
            <w:pPr>
              <w:pStyle w:val="SCCLsocParty"/>
              <w:jc w:val="both"/>
              <w:rPr>
                <w:b/>
                <w:sz w:val="20"/>
                <w:szCs w:val="20"/>
              </w:rPr>
            </w:pPr>
            <w:r w:rsidRPr="00D94588">
              <w:rPr>
                <w:b/>
                <w:sz w:val="20"/>
                <w:szCs w:val="20"/>
                <w:lang w:val="en-US"/>
              </w:rPr>
              <w:t xml:space="preserve">Society of Notaries Public of British Columbia v. Lawrence Brian </w:t>
            </w:r>
            <w:proofErr w:type="spellStart"/>
            <w:r w:rsidRPr="00D94588">
              <w:rPr>
                <w:b/>
                <w:sz w:val="20"/>
                <w:szCs w:val="20"/>
                <w:lang w:val="en-US"/>
              </w:rPr>
              <w:t>Jer</w:t>
            </w:r>
            <w:proofErr w:type="spellEnd"/>
            <w:r w:rsidRPr="00D94588">
              <w:rPr>
                <w:b/>
                <w:sz w:val="20"/>
                <w:szCs w:val="20"/>
                <w:lang w:val="en-US"/>
              </w:rPr>
              <w:t xml:space="preserve">, Jun </w:t>
            </w:r>
            <w:proofErr w:type="spellStart"/>
            <w:r w:rsidRPr="00D94588">
              <w:rPr>
                <w:b/>
                <w:sz w:val="20"/>
                <w:szCs w:val="20"/>
                <w:lang w:val="en-US"/>
              </w:rPr>
              <w:t>Jer</w:t>
            </w:r>
            <w:proofErr w:type="spellEnd"/>
            <w:r w:rsidRPr="00D94588">
              <w:rPr>
                <w:b/>
                <w:sz w:val="20"/>
                <w:szCs w:val="20"/>
                <w:lang w:val="en-US"/>
              </w:rPr>
              <w:t xml:space="preserve">, Janette Scott, Rashida </w:t>
            </w:r>
            <w:proofErr w:type="spellStart"/>
            <w:r w:rsidRPr="00D94588">
              <w:rPr>
                <w:b/>
                <w:sz w:val="20"/>
                <w:szCs w:val="20"/>
                <w:lang w:val="en-US"/>
              </w:rPr>
              <w:t>Samji</w:t>
            </w:r>
            <w:proofErr w:type="spellEnd"/>
            <w:r w:rsidRPr="00D94588">
              <w:rPr>
                <w:b/>
                <w:sz w:val="20"/>
                <w:szCs w:val="20"/>
                <w:lang w:val="en-US"/>
              </w:rPr>
              <w:t xml:space="preserve">, Rashida </w:t>
            </w:r>
            <w:proofErr w:type="spellStart"/>
            <w:r w:rsidRPr="00D94588">
              <w:rPr>
                <w:b/>
                <w:sz w:val="20"/>
                <w:szCs w:val="20"/>
                <w:lang w:val="en-US"/>
              </w:rPr>
              <w:t>Samji</w:t>
            </w:r>
            <w:proofErr w:type="spellEnd"/>
            <w:r w:rsidRPr="00D94588">
              <w:rPr>
                <w:b/>
                <w:sz w:val="20"/>
                <w:szCs w:val="20"/>
                <w:lang w:val="en-US"/>
              </w:rPr>
              <w:t xml:space="preserve"> Notary Corporation, and </w:t>
            </w:r>
            <w:proofErr w:type="spellStart"/>
            <w:r w:rsidRPr="00D94588">
              <w:rPr>
                <w:b/>
                <w:sz w:val="20"/>
                <w:szCs w:val="20"/>
                <w:lang w:val="en-US"/>
              </w:rPr>
              <w:t>Samji</w:t>
            </w:r>
            <w:proofErr w:type="spellEnd"/>
            <w:r w:rsidRPr="00D94588">
              <w:rPr>
                <w:b/>
                <w:sz w:val="20"/>
                <w:szCs w:val="20"/>
                <w:lang w:val="en-US"/>
              </w:rPr>
              <w:t xml:space="preserve"> &amp; Assoc. </w:t>
            </w:r>
            <w:r w:rsidRPr="00D94588">
              <w:rPr>
                <w:b/>
                <w:sz w:val="20"/>
                <w:szCs w:val="20"/>
              </w:rPr>
              <w:t>Holdings Inc.</w:t>
            </w:r>
          </w:p>
          <w:p w:rsidR="00C41898" w:rsidRPr="00C41898" w:rsidRDefault="00C41898" w:rsidP="00C41898">
            <w:pPr>
              <w:jc w:val="both"/>
              <w:rPr>
                <w:sz w:val="20"/>
              </w:rPr>
            </w:pPr>
            <w:r w:rsidRPr="00C41898">
              <w:rPr>
                <w:sz w:val="20"/>
              </w:rPr>
              <w:t>(B.C.) (Civil) (By Leave)</w:t>
            </w:r>
          </w:p>
        </w:tc>
      </w:tr>
      <w:tr w:rsidR="00C41898" w:rsidRPr="00C41898" w:rsidTr="00E95A6A">
        <w:tc>
          <w:tcPr>
            <w:tcW w:w="5000" w:type="pct"/>
            <w:gridSpan w:val="4"/>
          </w:tcPr>
          <w:p w:rsidR="00C41898" w:rsidRPr="00C41898" w:rsidRDefault="00C41898" w:rsidP="00C41898">
            <w:pPr>
              <w:jc w:val="both"/>
              <w:rPr>
                <w:sz w:val="20"/>
              </w:rPr>
            </w:pPr>
            <w:r w:rsidRPr="00C41898">
              <w:rPr>
                <w:sz w:val="20"/>
              </w:rPr>
              <w:t xml:space="preserve">Law of professions – Notaries – Statutory indemnity fund – Acting in capacity as notary – Whether a professional is acting in the capacity as a professional for the purposes of a statutory indemnity scheme where no professional-client relationship exists and where the funds claimed against the scheme where not received by the professional as part of, or ancillary to, his/her professional practice – </w:t>
            </w:r>
            <w:r w:rsidRPr="00C41898">
              <w:rPr>
                <w:i/>
                <w:sz w:val="20"/>
              </w:rPr>
              <w:t>Notaries Act</w:t>
            </w:r>
            <w:r w:rsidRPr="00C41898">
              <w:rPr>
                <w:sz w:val="20"/>
              </w:rPr>
              <w:t>, R.S.B.C. 1996, c. 334, ss. 18 and 20.</w:t>
            </w:r>
          </w:p>
        </w:tc>
      </w:tr>
      <w:tr w:rsidR="00C41898" w:rsidRPr="00C41898" w:rsidTr="00E95A6A">
        <w:tc>
          <w:tcPr>
            <w:tcW w:w="5000" w:type="pct"/>
            <w:gridSpan w:val="4"/>
          </w:tcPr>
          <w:p w:rsidR="00C41898" w:rsidRPr="00C41898" w:rsidRDefault="00C41898" w:rsidP="00C41898">
            <w:pPr>
              <w:jc w:val="both"/>
              <w:rPr>
                <w:sz w:val="20"/>
              </w:rPr>
            </w:pPr>
          </w:p>
        </w:tc>
      </w:tr>
      <w:tr w:rsidR="00C41898" w:rsidRPr="00C41898" w:rsidTr="00D94588">
        <w:trPr>
          <w:trHeight w:val="2592"/>
        </w:trPr>
        <w:tc>
          <w:tcPr>
            <w:tcW w:w="5000" w:type="pct"/>
            <w:gridSpan w:val="4"/>
          </w:tcPr>
          <w:p w:rsidR="00C41898" w:rsidRPr="00C41898" w:rsidRDefault="00C41898" w:rsidP="00C41898">
            <w:pPr>
              <w:jc w:val="both"/>
              <w:rPr>
                <w:sz w:val="20"/>
              </w:rPr>
            </w:pPr>
            <w:r w:rsidRPr="00C41898">
              <w:rPr>
                <w:sz w:val="20"/>
              </w:rPr>
              <w:t xml:space="preserve">The class action concerned in this application arises out of a fraudulent, or “Ponzi”, investment scheme promoted by the respondent, Rashida </w:t>
            </w:r>
            <w:proofErr w:type="spellStart"/>
            <w:r w:rsidRPr="00C41898">
              <w:rPr>
                <w:sz w:val="20"/>
              </w:rPr>
              <w:t>Samji</w:t>
            </w:r>
            <w:proofErr w:type="spellEnd"/>
            <w:r w:rsidRPr="00C41898">
              <w:rPr>
                <w:sz w:val="20"/>
              </w:rPr>
              <w:t xml:space="preserve">. Through her professional corporation, </w:t>
            </w:r>
            <w:proofErr w:type="spellStart"/>
            <w:r w:rsidRPr="00C41898">
              <w:rPr>
                <w:sz w:val="20"/>
              </w:rPr>
              <w:t>Samji</w:t>
            </w:r>
            <w:proofErr w:type="spellEnd"/>
            <w:r w:rsidRPr="00C41898">
              <w:rPr>
                <w:sz w:val="20"/>
              </w:rPr>
              <w:t xml:space="preserve"> &amp; Associates Ltd., Ms. </w:t>
            </w:r>
            <w:proofErr w:type="spellStart"/>
            <w:r w:rsidRPr="00C41898">
              <w:rPr>
                <w:sz w:val="20"/>
              </w:rPr>
              <w:t>Samji</w:t>
            </w:r>
            <w:proofErr w:type="spellEnd"/>
            <w:r w:rsidRPr="00C41898">
              <w:rPr>
                <w:sz w:val="20"/>
              </w:rPr>
              <w:t xml:space="preserve"> practiced as a notary public at all material times. She told investors that their money would be held by her in her trust account, would not be at risk and would not leave her account without their consent and instructions. The fraudulent scheme was uncovered prior to March 2012, when the plaintiffs filed their Notice of Civil Claim. The proceeding at issue was limited to the plaintiffs’ claim for recovery of their pecuniary loss from a special fund maintained by the applicant, Society of Notaries Public of British Columbia, under s. 20 of the </w:t>
            </w:r>
            <w:r w:rsidRPr="00C41898">
              <w:rPr>
                <w:i/>
                <w:sz w:val="20"/>
              </w:rPr>
              <w:t>Notaries Act</w:t>
            </w:r>
            <w:r w:rsidRPr="00C41898">
              <w:rPr>
                <w:sz w:val="20"/>
              </w:rPr>
              <w:t>, R.S.B.C. 1996, c. 334. That section sets out the availability of compensation for victims of fraud from a special fund maintained by the Society, providing the funds were entrusted to or received by the notary “in the person’s capacity as a member”. At trial, the only contested issue was whether or not the funds invested by the class members were entrusted to and received by Ms. </w:t>
            </w:r>
            <w:proofErr w:type="spellStart"/>
            <w:r w:rsidRPr="00C41898">
              <w:rPr>
                <w:sz w:val="20"/>
              </w:rPr>
              <w:t>Samji</w:t>
            </w:r>
            <w:proofErr w:type="spellEnd"/>
            <w:r w:rsidRPr="00C41898">
              <w:rPr>
                <w:sz w:val="20"/>
              </w:rPr>
              <w:t xml:space="preserve"> in her capacity as a notary public. </w:t>
            </w:r>
          </w:p>
          <w:p w:rsidR="00C41898" w:rsidRPr="00C41898" w:rsidRDefault="00C41898" w:rsidP="00C41898">
            <w:pPr>
              <w:jc w:val="both"/>
              <w:rPr>
                <w:sz w:val="20"/>
              </w:rPr>
            </w:pPr>
          </w:p>
          <w:p w:rsidR="00C41898" w:rsidRPr="00C41898" w:rsidRDefault="00C41898" w:rsidP="00C41898">
            <w:pPr>
              <w:jc w:val="both"/>
              <w:rPr>
                <w:sz w:val="20"/>
              </w:rPr>
            </w:pPr>
            <w:r w:rsidRPr="00C41898">
              <w:rPr>
                <w:sz w:val="20"/>
              </w:rPr>
              <w:t>The Supreme Court of British Columbia answered the question of whether or not the funds invested by the class members were entrusted to and received by Ms. </w:t>
            </w:r>
            <w:proofErr w:type="spellStart"/>
            <w:r w:rsidRPr="00C41898">
              <w:rPr>
                <w:sz w:val="20"/>
              </w:rPr>
              <w:t>Samji</w:t>
            </w:r>
            <w:proofErr w:type="spellEnd"/>
            <w:r w:rsidRPr="00C41898">
              <w:rPr>
                <w:sz w:val="20"/>
              </w:rPr>
              <w:t xml:space="preserve"> in her capacity as a notary public, in the affirmative. The B.C. Court of Appeal dismissed the Society’s appeal.</w:t>
            </w:r>
          </w:p>
        </w:tc>
      </w:tr>
      <w:tr w:rsidR="00C41898" w:rsidRPr="00C41898" w:rsidTr="00306A34">
        <w:tblPrEx>
          <w:tblCellMar>
            <w:bottom w:w="0" w:type="dxa"/>
          </w:tblCellMar>
        </w:tblPrEx>
        <w:tc>
          <w:tcPr>
            <w:tcW w:w="2390" w:type="pct"/>
            <w:gridSpan w:val="2"/>
          </w:tcPr>
          <w:p w:rsidR="00C41898" w:rsidRPr="00C41898" w:rsidRDefault="00C41898" w:rsidP="00C41898">
            <w:pPr>
              <w:jc w:val="both"/>
              <w:rPr>
                <w:sz w:val="20"/>
              </w:rPr>
            </w:pPr>
            <w:r w:rsidRPr="00C41898">
              <w:rPr>
                <w:sz w:val="20"/>
              </w:rPr>
              <w:t>August 26, 2014</w:t>
            </w:r>
          </w:p>
          <w:p w:rsidR="00C41898" w:rsidRPr="00C41898" w:rsidRDefault="00C41898" w:rsidP="00C41898">
            <w:pPr>
              <w:jc w:val="both"/>
              <w:rPr>
                <w:sz w:val="20"/>
              </w:rPr>
            </w:pPr>
            <w:r w:rsidRPr="00C41898">
              <w:rPr>
                <w:sz w:val="20"/>
              </w:rPr>
              <w:t>Supreme Court of British Columbia</w:t>
            </w:r>
          </w:p>
          <w:p w:rsidR="00C41898" w:rsidRPr="00C41898" w:rsidRDefault="00C41898" w:rsidP="00C41898">
            <w:pPr>
              <w:jc w:val="both"/>
              <w:rPr>
                <w:sz w:val="20"/>
              </w:rPr>
            </w:pPr>
            <w:r w:rsidRPr="00C41898">
              <w:rPr>
                <w:sz w:val="20"/>
              </w:rPr>
              <w:t>(</w:t>
            </w:r>
            <w:proofErr w:type="spellStart"/>
            <w:r w:rsidRPr="00C41898">
              <w:rPr>
                <w:sz w:val="20"/>
              </w:rPr>
              <w:t>Gerow</w:t>
            </w:r>
            <w:proofErr w:type="spellEnd"/>
            <w:r w:rsidRPr="00C41898">
              <w:rPr>
                <w:sz w:val="20"/>
              </w:rPr>
              <w:t xml:space="preserve"> J.)</w:t>
            </w:r>
          </w:p>
          <w:p w:rsidR="00C41898" w:rsidRPr="00C41898" w:rsidRDefault="00C41898" w:rsidP="00C41898">
            <w:pPr>
              <w:jc w:val="both"/>
              <w:rPr>
                <w:sz w:val="20"/>
              </w:rPr>
            </w:pPr>
            <w:hyperlink r:id="rId22" w:history="1">
              <w:r w:rsidRPr="00C41898">
                <w:rPr>
                  <w:rStyle w:val="Hyperlink"/>
                  <w:sz w:val="20"/>
                </w:rPr>
                <w:t>2014 BCSC 1629</w:t>
              </w:r>
            </w:hyperlink>
          </w:p>
        </w:tc>
        <w:tc>
          <w:tcPr>
            <w:tcW w:w="270" w:type="pct"/>
          </w:tcPr>
          <w:p w:rsidR="00C41898" w:rsidRPr="00C41898" w:rsidRDefault="00C41898" w:rsidP="00C41898">
            <w:pPr>
              <w:jc w:val="both"/>
              <w:rPr>
                <w:sz w:val="20"/>
              </w:rPr>
            </w:pPr>
          </w:p>
        </w:tc>
        <w:tc>
          <w:tcPr>
            <w:tcW w:w="2340" w:type="pct"/>
          </w:tcPr>
          <w:p w:rsidR="00C41898" w:rsidRPr="00C41898" w:rsidRDefault="00C41898" w:rsidP="00C41898">
            <w:pPr>
              <w:jc w:val="both"/>
              <w:rPr>
                <w:sz w:val="20"/>
              </w:rPr>
            </w:pPr>
            <w:r w:rsidRPr="00C41898">
              <w:rPr>
                <w:sz w:val="20"/>
              </w:rPr>
              <w:t xml:space="preserve">Contested issue of whether or not funds invested by class members were entrusted to and received by the respondent, Rashida </w:t>
            </w:r>
            <w:proofErr w:type="spellStart"/>
            <w:r w:rsidRPr="00C41898">
              <w:rPr>
                <w:sz w:val="20"/>
              </w:rPr>
              <w:t>Samji</w:t>
            </w:r>
            <w:proofErr w:type="spellEnd"/>
            <w:r w:rsidRPr="00C41898">
              <w:rPr>
                <w:sz w:val="20"/>
              </w:rPr>
              <w:t>, in her capacity as a member of the Society of Notaries of British Columbia, answered in the affirmative.</w:t>
            </w:r>
          </w:p>
          <w:p w:rsidR="00C41898" w:rsidRPr="00C41898" w:rsidRDefault="00C41898" w:rsidP="00C41898">
            <w:pPr>
              <w:jc w:val="both"/>
              <w:rPr>
                <w:sz w:val="20"/>
              </w:rPr>
            </w:pPr>
          </w:p>
        </w:tc>
      </w:tr>
      <w:tr w:rsidR="00C41898" w:rsidRPr="00C41898" w:rsidTr="00306A34">
        <w:tblPrEx>
          <w:tblCellMar>
            <w:bottom w:w="0" w:type="dxa"/>
          </w:tblCellMar>
        </w:tblPrEx>
        <w:tc>
          <w:tcPr>
            <w:tcW w:w="2390" w:type="pct"/>
            <w:gridSpan w:val="2"/>
          </w:tcPr>
          <w:p w:rsidR="00C41898" w:rsidRPr="00C41898" w:rsidRDefault="00C41898" w:rsidP="00C41898">
            <w:pPr>
              <w:jc w:val="both"/>
              <w:rPr>
                <w:sz w:val="20"/>
              </w:rPr>
            </w:pPr>
            <w:r w:rsidRPr="00C41898">
              <w:rPr>
                <w:sz w:val="20"/>
              </w:rPr>
              <w:t>June 5, 2015</w:t>
            </w:r>
          </w:p>
          <w:p w:rsidR="00C41898" w:rsidRPr="00C41898" w:rsidRDefault="00C41898" w:rsidP="00C41898">
            <w:pPr>
              <w:jc w:val="both"/>
              <w:rPr>
                <w:sz w:val="20"/>
              </w:rPr>
            </w:pPr>
            <w:r w:rsidRPr="00C41898">
              <w:rPr>
                <w:sz w:val="20"/>
              </w:rPr>
              <w:t xml:space="preserve">Court of Appeal for British Columbia </w:t>
            </w:r>
          </w:p>
          <w:p w:rsidR="00C41898" w:rsidRPr="00C41898" w:rsidRDefault="00C41898" w:rsidP="00C41898">
            <w:pPr>
              <w:jc w:val="both"/>
              <w:rPr>
                <w:sz w:val="20"/>
              </w:rPr>
            </w:pPr>
            <w:r w:rsidRPr="00C41898">
              <w:rPr>
                <w:sz w:val="20"/>
              </w:rPr>
              <w:t>(Vancouver)</w:t>
            </w:r>
          </w:p>
          <w:p w:rsidR="00C41898" w:rsidRPr="00C41898" w:rsidRDefault="00C41898" w:rsidP="00C41898">
            <w:pPr>
              <w:jc w:val="both"/>
              <w:rPr>
                <w:sz w:val="20"/>
              </w:rPr>
            </w:pPr>
            <w:r w:rsidRPr="00C41898">
              <w:rPr>
                <w:sz w:val="20"/>
              </w:rPr>
              <w:t>(Newbury, Saunders and Savage JJ.A.)</w:t>
            </w:r>
          </w:p>
          <w:p w:rsidR="00C41898" w:rsidRPr="00C41898" w:rsidRDefault="00C41898" w:rsidP="00C41898">
            <w:pPr>
              <w:jc w:val="both"/>
              <w:rPr>
                <w:sz w:val="20"/>
              </w:rPr>
            </w:pPr>
            <w:hyperlink r:id="rId23" w:history="1">
              <w:r w:rsidRPr="00C41898">
                <w:rPr>
                  <w:rStyle w:val="Hyperlink"/>
                  <w:sz w:val="20"/>
                </w:rPr>
                <w:t>2015 BCCA 257</w:t>
              </w:r>
            </w:hyperlink>
          </w:p>
          <w:p w:rsidR="00C41898" w:rsidRPr="00C41898" w:rsidRDefault="00C41898" w:rsidP="00C41898">
            <w:pPr>
              <w:jc w:val="both"/>
              <w:rPr>
                <w:sz w:val="20"/>
              </w:rPr>
            </w:pPr>
          </w:p>
        </w:tc>
        <w:tc>
          <w:tcPr>
            <w:tcW w:w="270" w:type="pct"/>
          </w:tcPr>
          <w:p w:rsidR="00C41898" w:rsidRPr="00C41898" w:rsidRDefault="00C41898" w:rsidP="00C41898">
            <w:pPr>
              <w:jc w:val="both"/>
              <w:rPr>
                <w:sz w:val="20"/>
              </w:rPr>
            </w:pPr>
          </w:p>
        </w:tc>
        <w:tc>
          <w:tcPr>
            <w:tcW w:w="2340" w:type="pct"/>
          </w:tcPr>
          <w:p w:rsidR="00C41898" w:rsidRPr="00C41898" w:rsidRDefault="00C41898" w:rsidP="00C41898">
            <w:pPr>
              <w:jc w:val="both"/>
              <w:rPr>
                <w:sz w:val="20"/>
              </w:rPr>
            </w:pPr>
            <w:r w:rsidRPr="00C41898">
              <w:rPr>
                <w:sz w:val="20"/>
              </w:rPr>
              <w:t>Applicant’s appeal, dismissed.</w:t>
            </w:r>
          </w:p>
          <w:p w:rsidR="00C41898" w:rsidRPr="00C41898" w:rsidRDefault="00C41898" w:rsidP="00C41898">
            <w:pPr>
              <w:jc w:val="both"/>
              <w:rPr>
                <w:sz w:val="20"/>
              </w:rPr>
            </w:pPr>
          </w:p>
        </w:tc>
      </w:tr>
      <w:tr w:rsidR="00C41898" w:rsidRPr="00C41898" w:rsidTr="00306A34">
        <w:tblPrEx>
          <w:tblCellMar>
            <w:bottom w:w="0" w:type="dxa"/>
          </w:tblCellMar>
        </w:tblPrEx>
        <w:tc>
          <w:tcPr>
            <w:tcW w:w="2390" w:type="pct"/>
            <w:gridSpan w:val="2"/>
          </w:tcPr>
          <w:p w:rsidR="00C41898" w:rsidRPr="00C41898" w:rsidRDefault="00C41898" w:rsidP="00C41898">
            <w:pPr>
              <w:jc w:val="both"/>
              <w:rPr>
                <w:sz w:val="20"/>
              </w:rPr>
            </w:pPr>
            <w:r w:rsidRPr="00C41898">
              <w:rPr>
                <w:sz w:val="20"/>
              </w:rPr>
              <w:t>September 4, 2015</w:t>
            </w:r>
          </w:p>
          <w:p w:rsidR="00C41898" w:rsidRPr="00C41898" w:rsidRDefault="00C41898" w:rsidP="00C41898">
            <w:pPr>
              <w:jc w:val="both"/>
              <w:rPr>
                <w:sz w:val="20"/>
              </w:rPr>
            </w:pPr>
            <w:r w:rsidRPr="00C41898">
              <w:rPr>
                <w:sz w:val="20"/>
              </w:rPr>
              <w:t>Supreme Court of Canada</w:t>
            </w:r>
          </w:p>
        </w:tc>
        <w:tc>
          <w:tcPr>
            <w:tcW w:w="270" w:type="pct"/>
          </w:tcPr>
          <w:p w:rsidR="00C41898" w:rsidRPr="00C41898" w:rsidRDefault="00C41898" w:rsidP="00C41898">
            <w:pPr>
              <w:jc w:val="both"/>
              <w:rPr>
                <w:sz w:val="20"/>
              </w:rPr>
            </w:pPr>
          </w:p>
        </w:tc>
        <w:tc>
          <w:tcPr>
            <w:tcW w:w="2340" w:type="pct"/>
          </w:tcPr>
          <w:p w:rsidR="00C41898" w:rsidRPr="00C41898" w:rsidRDefault="00C41898" w:rsidP="00C41898">
            <w:pPr>
              <w:jc w:val="both"/>
              <w:rPr>
                <w:sz w:val="20"/>
              </w:rPr>
            </w:pPr>
            <w:r w:rsidRPr="00C41898">
              <w:rPr>
                <w:sz w:val="20"/>
              </w:rPr>
              <w:t>Application for leave to appeal, filed.</w:t>
            </w:r>
          </w:p>
          <w:p w:rsidR="00C41898" w:rsidRPr="00C41898" w:rsidRDefault="00C41898" w:rsidP="00C41898">
            <w:pPr>
              <w:jc w:val="both"/>
              <w:rPr>
                <w:sz w:val="20"/>
              </w:rPr>
            </w:pPr>
          </w:p>
        </w:tc>
      </w:tr>
    </w:tbl>
    <w:p w:rsidR="00C41898" w:rsidRDefault="00C41898" w:rsidP="00C41898">
      <w:pPr>
        <w:jc w:val="both"/>
        <w:rPr>
          <w:sz w:val="20"/>
        </w:rPr>
      </w:pPr>
    </w:p>
    <w:p w:rsidR="00D94588" w:rsidRPr="00C41898" w:rsidRDefault="00D94588" w:rsidP="00C418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C41898" w:rsidRPr="00C41898" w:rsidTr="00E95A6A">
        <w:tc>
          <w:tcPr>
            <w:tcW w:w="543" w:type="pct"/>
          </w:tcPr>
          <w:p w:rsidR="00C41898" w:rsidRPr="00C41898" w:rsidRDefault="00C41898" w:rsidP="00C41898">
            <w:pPr>
              <w:jc w:val="both"/>
              <w:rPr>
                <w:sz w:val="20"/>
              </w:rPr>
            </w:pPr>
            <w:r w:rsidRPr="00C41898">
              <w:rPr>
                <w:rStyle w:val="SCCFileNumberChar"/>
                <w:sz w:val="20"/>
                <w:szCs w:val="20"/>
              </w:rPr>
              <w:t>36592</w:t>
            </w:r>
          </w:p>
        </w:tc>
        <w:tc>
          <w:tcPr>
            <w:tcW w:w="4457" w:type="pct"/>
            <w:gridSpan w:val="3"/>
          </w:tcPr>
          <w:p w:rsidR="00C41898" w:rsidRPr="00D94588" w:rsidRDefault="00C41898" w:rsidP="00C41898">
            <w:pPr>
              <w:pStyle w:val="SCCLsocParty"/>
              <w:jc w:val="both"/>
              <w:rPr>
                <w:b/>
                <w:sz w:val="20"/>
                <w:szCs w:val="20"/>
              </w:rPr>
            </w:pPr>
            <w:r w:rsidRPr="00D94588">
              <w:rPr>
                <w:b/>
                <w:sz w:val="20"/>
                <w:szCs w:val="20"/>
                <w:lang w:val="en-US"/>
              </w:rPr>
              <w:t xml:space="preserve">Society of Notaries Public of British Columbia c. Lawrence Brian </w:t>
            </w:r>
            <w:proofErr w:type="spellStart"/>
            <w:r w:rsidRPr="00D94588">
              <w:rPr>
                <w:b/>
                <w:sz w:val="20"/>
                <w:szCs w:val="20"/>
                <w:lang w:val="en-US"/>
              </w:rPr>
              <w:t>Jer</w:t>
            </w:r>
            <w:proofErr w:type="spellEnd"/>
            <w:r w:rsidRPr="00D94588">
              <w:rPr>
                <w:b/>
                <w:sz w:val="20"/>
                <w:szCs w:val="20"/>
                <w:lang w:val="en-US"/>
              </w:rPr>
              <w:t xml:space="preserve">, Jun </w:t>
            </w:r>
            <w:proofErr w:type="spellStart"/>
            <w:r w:rsidRPr="00D94588">
              <w:rPr>
                <w:b/>
                <w:sz w:val="20"/>
                <w:szCs w:val="20"/>
                <w:lang w:val="en-US"/>
              </w:rPr>
              <w:t>Jer</w:t>
            </w:r>
            <w:proofErr w:type="spellEnd"/>
            <w:r w:rsidRPr="00D94588">
              <w:rPr>
                <w:b/>
                <w:sz w:val="20"/>
                <w:szCs w:val="20"/>
                <w:lang w:val="en-US"/>
              </w:rPr>
              <w:t xml:space="preserve">, Janette Scott, Rashida </w:t>
            </w:r>
            <w:proofErr w:type="spellStart"/>
            <w:r w:rsidRPr="00D94588">
              <w:rPr>
                <w:b/>
                <w:sz w:val="20"/>
                <w:szCs w:val="20"/>
                <w:lang w:val="en-US"/>
              </w:rPr>
              <w:t>Samji</w:t>
            </w:r>
            <w:proofErr w:type="spellEnd"/>
            <w:r w:rsidRPr="00D94588">
              <w:rPr>
                <w:b/>
                <w:sz w:val="20"/>
                <w:szCs w:val="20"/>
                <w:lang w:val="en-US"/>
              </w:rPr>
              <w:t xml:space="preserve">, Rashida </w:t>
            </w:r>
            <w:proofErr w:type="spellStart"/>
            <w:r w:rsidRPr="00D94588">
              <w:rPr>
                <w:b/>
                <w:sz w:val="20"/>
                <w:szCs w:val="20"/>
                <w:lang w:val="en-US"/>
              </w:rPr>
              <w:t>Samji</w:t>
            </w:r>
            <w:proofErr w:type="spellEnd"/>
            <w:r w:rsidRPr="00D94588">
              <w:rPr>
                <w:b/>
                <w:sz w:val="20"/>
                <w:szCs w:val="20"/>
                <w:lang w:val="en-US"/>
              </w:rPr>
              <w:t xml:space="preserve"> Notary Corporation et </w:t>
            </w:r>
            <w:proofErr w:type="spellStart"/>
            <w:r w:rsidRPr="00D94588">
              <w:rPr>
                <w:b/>
                <w:sz w:val="20"/>
                <w:szCs w:val="20"/>
                <w:lang w:val="en-US"/>
              </w:rPr>
              <w:t>Samji</w:t>
            </w:r>
            <w:proofErr w:type="spellEnd"/>
            <w:r w:rsidRPr="00D94588">
              <w:rPr>
                <w:b/>
                <w:sz w:val="20"/>
                <w:szCs w:val="20"/>
                <w:lang w:val="en-US"/>
              </w:rPr>
              <w:t xml:space="preserve"> &amp; Assoc. </w:t>
            </w:r>
            <w:r w:rsidRPr="00D94588">
              <w:rPr>
                <w:b/>
                <w:sz w:val="20"/>
                <w:szCs w:val="20"/>
              </w:rPr>
              <w:t>Holdings Inc.</w:t>
            </w:r>
          </w:p>
          <w:p w:rsidR="00C41898" w:rsidRPr="00C41898" w:rsidRDefault="00C41898" w:rsidP="00C41898">
            <w:pPr>
              <w:jc w:val="both"/>
              <w:rPr>
                <w:sz w:val="20"/>
                <w:lang w:val="fr-CA"/>
              </w:rPr>
            </w:pPr>
            <w:r w:rsidRPr="00C41898">
              <w:rPr>
                <w:sz w:val="20"/>
                <w:lang w:val="fr-CA"/>
              </w:rPr>
              <w:t>(C.-B.) (Civile) (Sur autorisation)</w:t>
            </w:r>
          </w:p>
        </w:tc>
      </w:tr>
      <w:tr w:rsidR="00C41898" w:rsidRPr="00C41898" w:rsidTr="00E95A6A">
        <w:tc>
          <w:tcPr>
            <w:tcW w:w="5000" w:type="pct"/>
            <w:gridSpan w:val="4"/>
          </w:tcPr>
          <w:p w:rsidR="00C41898" w:rsidRPr="00C41898" w:rsidRDefault="00C41898" w:rsidP="00C41898">
            <w:pPr>
              <w:jc w:val="both"/>
              <w:rPr>
                <w:sz w:val="20"/>
                <w:lang w:val="fr-CA"/>
              </w:rPr>
            </w:pPr>
            <w:r w:rsidRPr="00C41898">
              <w:rPr>
                <w:sz w:val="20"/>
                <w:lang w:val="fr-CA"/>
              </w:rPr>
              <w:t xml:space="preserve">Droit des professions – Notaires – Fonds d’indemnisation établi par la loi – Agir en qualité de notaire – Un professionnel agit-il en cette qualité pour les besoins d’un régime d’indemnisation établi par la loi lorsqu’il n’y a aucune relation professionnel-client et que les fonds réclamés au régime n’ont pas été reçus par le professionnel dans le cadre de sa pratique professionnelle ni n’étaient accessoires à cette pratique? – </w:t>
            </w:r>
            <w:r w:rsidRPr="00C41898">
              <w:rPr>
                <w:i/>
                <w:sz w:val="20"/>
                <w:lang w:val="fr-CA"/>
              </w:rPr>
              <w:t>Notaries Act</w:t>
            </w:r>
            <w:r w:rsidRPr="00C41898">
              <w:rPr>
                <w:sz w:val="20"/>
                <w:lang w:val="fr-CA"/>
              </w:rPr>
              <w:t>, R.S.B.C. 1996, c. 334, art. 18 et 20.</w:t>
            </w:r>
          </w:p>
        </w:tc>
      </w:tr>
      <w:tr w:rsidR="00C41898" w:rsidRPr="00C41898" w:rsidTr="00E95A6A">
        <w:tc>
          <w:tcPr>
            <w:tcW w:w="5000" w:type="pct"/>
            <w:gridSpan w:val="4"/>
          </w:tcPr>
          <w:p w:rsidR="00C41898" w:rsidRPr="00C41898" w:rsidRDefault="00C41898" w:rsidP="00C41898">
            <w:pPr>
              <w:jc w:val="both"/>
              <w:rPr>
                <w:sz w:val="20"/>
                <w:lang w:val="fr-CA"/>
              </w:rPr>
            </w:pPr>
          </w:p>
        </w:tc>
      </w:tr>
      <w:tr w:rsidR="00C41898" w:rsidRPr="00C41898" w:rsidTr="00D94588">
        <w:trPr>
          <w:trHeight w:val="2736"/>
        </w:trPr>
        <w:tc>
          <w:tcPr>
            <w:tcW w:w="5000" w:type="pct"/>
            <w:gridSpan w:val="4"/>
          </w:tcPr>
          <w:p w:rsidR="00C41898" w:rsidRPr="00C41898" w:rsidRDefault="00C41898" w:rsidP="00C41898">
            <w:pPr>
              <w:jc w:val="both"/>
              <w:rPr>
                <w:sz w:val="20"/>
                <w:lang w:val="fr-CA"/>
              </w:rPr>
            </w:pPr>
            <w:r w:rsidRPr="00C41898">
              <w:rPr>
                <w:sz w:val="20"/>
                <w:lang w:val="fr-CA"/>
              </w:rPr>
              <w:t xml:space="preserve">Le recours collectif dont il est question dans cette demande découle d’un stratagème frauduleux de placement ou « pyramide de </w:t>
            </w:r>
            <w:proofErr w:type="spellStart"/>
            <w:r w:rsidRPr="00C41898">
              <w:rPr>
                <w:sz w:val="20"/>
                <w:lang w:val="fr-CA"/>
              </w:rPr>
              <w:t>Ponzi</w:t>
            </w:r>
            <w:proofErr w:type="spellEnd"/>
            <w:r w:rsidRPr="00C41898">
              <w:rPr>
                <w:sz w:val="20"/>
                <w:lang w:val="fr-CA"/>
              </w:rPr>
              <w:t xml:space="preserve"> » mis de l’avant par l’intimée Rashida Samji. Madame Samji a exercé comme notaire durant toute la période pertinente par le truchement de sa société, </w:t>
            </w:r>
            <w:proofErr w:type="spellStart"/>
            <w:r w:rsidRPr="00C41898">
              <w:rPr>
                <w:sz w:val="20"/>
                <w:lang w:val="fr-CA"/>
              </w:rPr>
              <w:t>Samji</w:t>
            </w:r>
            <w:proofErr w:type="spellEnd"/>
            <w:r w:rsidRPr="00C41898">
              <w:rPr>
                <w:sz w:val="20"/>
                <w:lang w:val="fr-CA"/>
              </w:rPr>
              <w:t xml:space="preserve"> &amp; Associates Ltd. Elle a dit aux investisseurs qu’elle conserverait leur argent dans son compte en fiducie, que leur argent y serait en sécurité et que celui-ci ne sortirait pas de son compte sans leur consentement ou en l’absence d’instructions à cet effet. Le stratagème frauduleux a été découvert avant mars 2012, mois durant lequel les demandeurs ont déposé leur déclaration. L’instance en cause ne portait que sur la demande présentée par les demandeurs pour récupérer leurs pertes pécuniaires à même un fonds spécial tenu par la demanderesse, la Society of Notaries Public of British Columbia (la « Société »), en vertu de l’art. 20 de la </w:t>
            </w:r>
            <w:proofErr w:type="spellStart"/>
            <w:r w:rsidRPr="00C41898">
              <w:rPr>
                <w:i/>
                <w:sz w:val="20"/>
                <w:lang w:val="fr-CA"/>
              </w:rPr>
              <w:t>Notaries</w:t>
            </w:r>
            <w:proofErr w:type="spellEnd"/>
            <w:r w:rsidRPr="00C41898">
              <w:rPr>
                <w:i/>
                <w:sz w:val="20"/>
                <w:lang w:val="fr-CA"/>
              </w:rPr>
              <w:t xml:space="preserve"> </w:t>
            </w:r>
            <w:proofErr w:type="spellStart"/>
            <w:r w:rsidRPr="00C41898">
              <w:rPr>
                <w:i/>
                <w:sz w:val="20"/>
                <w:lang w:val="fr-CA"/>
              </w:rPr>
              <w:t>Act</w:t>
            </w:r>
            <w:proofErr w:type="spellEnd"/>
            <w:r w:rsidRPr="00C41898">
              <w:rPr>
                <w:sz w:val="20"/>
                <w:lang w:val="fr-CA"/>
              </w:rPr>
              <w:t>, R.S.B.C. 1996, c. 334. Cet article prévoit la possibilité d’indemniser les victimes de fraude à même un fonds spécial tenu par la Société, pourvu que les fonds aient été confiés au notaire ou reçus par ce dernier « en sa qualité de membre de la Société ». Au procès, la seule question en litige était de savoir si les fonds qu’ont placés les membres du groupe avaient été confiés à M</w:t>
            </w:r>
            <w:r w:rsidRPr="00C41898">
              <w:rPr>
                <w:sz w:val="20"/>
                <w:vertAlign w:val="superscript"/>
                <w:lang w:val="fr-CA"/>
              </w:rPr>
              <w:t>me</w:t>
            </w:r>
            <w:r w:rsidRPr="00C41898">
              <w:rPr>
                <w:sz w:val="20"/>
                <w:lang w:val="fr-CA"/>
              </w:rPr>
              <w:t xml:space="preserve"> Samji ou reçus par cette dernière en sa qualité de notaire.  </w:t>
            </w:r>
          </w:p>
          <w:p w:rsidR="00C41898" w:rsidRPr="00C41898" w:rsidRDefault="00C41898" w:rsidP="00C41898">
            <w:pPr>
              <w:jc w:val="both"/>
              <w:rPr>
                <w:sz w:val="20"/>
                <w:lang w:val="fr-CA"/>
              </w:rPr>
            </w:pPr>
          </w:p>
          <w:p w:rsidR="00C41898" w:rsidRPr="00C41898" w:rsidRDefault="00C41898" w:rsidP="00C41898">
            <w:pPr>
              <w:jc w:val="both"/>
              <w:rPr>
                <w:sz w:val="20"/>
                <w:lang w:val="fr-CA"/>
              </w:rPr>
            </w:pPr>
            <w:r w:rsidRPr="00C41898">
              <w:rPr>
                <w:sz w:val="20"/>
                <w:lang w:val="fr-CA"/>
              </w:rPr>
              <w:t xml:space="preserve">La Cour suprême de la Colombie-Britannique a répondu par l’affirmative à cette question. La Cour d’appel de cette province a rejeté l’appel de la Société. </w:t>
            </w:r>
          </w:p>
        </w:tc>
      </w:tr>
      <w:tr w:rsidR="00C41898" w:rsidRPr="00C41898" w:rsidTr="00306A34">
        <w:tblPrEx>
          <w:tblCellMar>
            <w:bottom w:w="0" w:type="dxa"/>
          </w:tblCellMar>
        </w:tblPrEx>
        <w:tc>
          <w:tcPr>
            <w:tcW w:w="2390" w:type="pct"/>
            <w:gridSpan w:val="2"/>
          </w:tcPr>
          <w:p w:rsidR="00C41898" w:rsidRPr="00C41898" w:rsidRDefault="00C41898" w:rsidP="00C41898">
            <w:pPr>
              <w:jc w:val="both"/>
              <w:rPr>
                <w:sz w:val="20"/>
                <w:lang w:val="fr-CA"/>
              </w:rPr>
            </w:pPr>
            <w:r w:rsidRPr="00C41898">
              <w:rPr>
                <w:sz w:val="20"/>
                <w:lang w:val="fr-CA"/>
              </w:rPr>
              <w:t>26 août 2014</w:t>
            </w:r>
          </w:p>
          <w:p w:rsidR="00C41898" w:rsidRPr="00C41898" w:rsidRDefault="00C41898" w:rsidP="00C41898">
            <w:pPr>
              <w:jc w:val="both"/>
              <w:rPr>
                <w:sz w:val="20"/>
                <w:lang w:val="fr-CA"/>
              </w:rPr>
            </w:pPr>
            <w:r w:rsidRPr="00C41898">
              <w:rPr>
                <w:sz w:val="20"/>
                <w:lang w:val="fr-CA"/>
              </w:rPr>
              <w:t>Cour suprême de la Colombie-Britannique</w:t>
            </w:r>
          </w:p>
          <w:p w:rsidR="00C41898" w:rsidRPr="00C41898" w:rsidRDefault="00C41898" w:rsidP="00C41898">
            <w:pPr>
              <w:jc w:val="both"/>
              <w:rPr>
                <w:sz w:val="20"/>
              </w:rPr>
            </w:pPr>
            <w:r w:rsidRPr="00C41898">
              <w:rPr>
                <w:sz w:val="20"/>
              </w:rPr>
              <w:t>(Juge Gerow)</w:t>
            </w:r>
          </w:p>
          <w:p w:rsidR="00C41898" w:rsidRPr="00C41898" w:rsidRDefault="00C41898" w:rsidP="00C41898">
            <w:pPr>
              <w:jc w:val="both"/>
              <w:rPr>
                <w:sz w:val="20"/>
              </w:rPr>
            </w:pPr>
            <w:hyperlink r:id="rId24" w:history="1">
              <w:r w:rsidRPr="00C41898">
                <w:rPr>
                  <w:rStyle w:val="Hyperlink"/>
                  <w:sz w:val="20"/>
                </w:rPr>
                <w:t>2014 BCSC 1629</w:t>
              </w:r>
            </w:hyperlink>
          </w:p>
        </w:tc>
        <w:tc>
          <w:tcPr>
            <w:tcW w:w="270" w:type="pct"/>
          </w:tcPr>
          <w:p w:rsidR="00C41898" w:rsidRPr="00C41898" w:rsidRDefault="00C41898" w:rsidP="00C41898">
            <w:pPr>
              <w:jc w:val="both"/>
              <w:rPr>
                <w:sz w:val="20"/>
              </w:rPr>
            </w:pPr>
          </w:p>
        </w:tc>
        <w:tc>
          <w:tcPr>
            <w:tcW w:w="2340" w:type="pct"/>
          </w:tcPr>
          <w:p w:rsidR="00C41898" w:rsidRPr="00C41898" w:rsidRDefault="00C41898" w:rsidP="00C41898">
            <w:pPr>
              <w:jc w:val="both"/>
              <w:rPr>
                <w:sz w:val="20"/>
                <w:lang w:val="fr-CA"/>
              </w:rPr>
            </w:pPr>
            <w:r w:rsidRPr="00C41898">
              <w:rPr>
                <w:sz w:val="20"/>
                <w:lang w:val="fr-CA"/>
              </w:rPr>
              <w:t>Réponse affirmative à la question en litige de savoir si les fonds placés par les membres du groupe ont été confiés à l’intimée Rashida Samji ou reçus par cette dernière en sa qualité de membre de la Society of Notaries of British Columbia.</w:t>
            </w:r>
          </w:p>
          <w:p w:rsidR="00C41898" w:rsidRPr="00C41898" w:rsidRDefault="00C41898" w:rsidP="00C41898">
            <w:pPr>
              <w:jc w:val="both"/>
              <w:rPr>
                <w:sz w:val="20"/>
                <w:lang w:val="fr-CA"/>
              </w:rPr>
            </w:pPr>
          </w:p>
        </w:tc>
      </w:tr>
      <w:tr w:rsidR="00C41898" w:rsidRPr="00C41898" w:rsidTr="00306A34">
        <w:tblPrEx>
          <w:tblCellMar>
            <w:bottom w:w="0" w:type="dxa"/>
          </w:tblCellMar>
        </w:tblPrEx>
        <w:tc>
          <w:tcPr>
            <w:tcW w:w="2390" w:type="pct"/>
            <w:gridSpan w:val="2"/>
          </w:tcPr>
          <w:p w:rsidR="00C41898" w:rsidRPr="00C41898" w:rsidRDefault="00C41898" w:rsidP="00C41898">
            <w:pPr>
              <w:jc w:val="both"/>
              <w:rPr>
                <w:sz w:val="20"/>
                <w:lang w:val="fr-CA"/>
              </w:rPr>
            </w:pPr>
            <w:r w:rsidRPr="00C41898">
              <w:rPr>
                <w:sz w:val="20"/>
                <w:lang w:val="fr-CA"/>
              </w:rPr>
              <w:t>5 juin 2015</w:t>
            </w:r>
          </w:p>
          <w:p w:rsidR="00C41898" w:rsidRPr="00C41898" w:rsidRDefault="00C41898" w:rsidP="00C41898">
            <w:pPr>
              <w:jc w:val="both"/>
              <w:rPr>
                <w:sz w:val="20"/>
                <w:lang w:val="fr-CA"/>
              </w:rPr>
            </w:pPr>
            <w:r w:rsidRPr="00C41898">
              <w:rPr>
                <w:sz w:val="20"/>
                <w:lang w:val="fr-CA"/>
              </w:rPr>
              <w:t xml:space="preserve">Cour d’appel de la Colombie-Britannique </w:t>
            </w:r>
          </w:p>
          <w:p w:rsidR="00C41898" w:rsidRPr="00C41898" w:rsidRDefault="00C41898" w:rsidP="00C41898">
            <w:pPr>
              <w:jc w:val="both"/>
              <w:rPr>
                <w:sz w:val="20"/>
                <w:lang w:val="fr-CA"/>
              </w:rPr>
            </w:pPr>
            <w:r w:rsidRPr="00C41898">
              <w:rPr>
                <w:sz w:val="20"/>
                <w:lang w:val="fr-CA"/>
              </w:rPr>
              <w:t>(Vancouver)</w:t>
            </w:r>
          </w:p>
          <w:p w:rsidR="00C41898" w:rsidRPr="00C41898" w:rsidRDefault="00C41898" w:rsidP="00C41898">
            <w:pPr>
              <w:jc w:val="both"/>
              <w:rPr>
                <w:sz w:val="20"/>
                <w:lang w:val="fr-CA"/>
              </w:rPr>
            </w:pPr>
            <w:r w:rsidRPr="00C41898">
              <w:rPr>
                <w:sz w:val="20"/>
                <w:lang w:val="fr-CA"/>
              </w:rPr>
              <w:t>(Juges Newbury, Saunders et Savage)</w:t>
            </w:r>
          </w:p>
          <w:p w:rsidR="00C41898" w:rsidRPr="00C41898" w:rsidRDefault="00C41898" w:rsidP="00C41898">
            <w:pPr>
              <w:jc w:val="both"/>
              <w:rPr>
                <w:sz w:val="20"/>
              </w:rPr>
            </w:pPr>
            <w:hyperlink r:id="rId25" w:history="1">
              <w:r w:rsidRPr="00C41898">
                <w:rPr>
                  <w:rStyle w:val="Hyperlink"/>
                  <w:sz w:val="20"/>
                </w:rPr>
                <w:t>2015 BCCA 257</w:t>
              </w:r>
            </w:hyperlink>
          </w:p>
          <w:p w:rsidR="00C41898" w:rsidRPr="00C41898" w:rsidRDefault="00C41898" w:rsidP="00C41898">
            <w:pPr>
              <w:jc w:val="both"/>
              <w:rPr>
                <w:sz w:val="20"/>
              </w:rPr>
            </w:pPr>
          </w:p>
        </w:tc>
        <w:tc>
          <w:tcPr>
            <w:tcW w:w="270" w:type="pct"/>
          </w:tcPr>
          <w:p w:rsidR="00C41898" w:rsidRPr="00C41898" w:rsidRDefault="00C41898" w:rsidP="00C41898">
            <w:pPr>
              <w:jc w:val="both"/>
              <w:rPr>
                <w:sz w:val="20"/>
              </w:rPr>
            </w:pPr>
          </w:p>
        </w:tc>
        <w:tc>
          <w:tcPr>
            <w:tcW w:w="2340" w:type="pct"/>
          </w:tcPr>
          <w:p w:rsidR="00C41898" w:rsidRPr="00C41898" w:rsidRDefault="00C41898" w:rsidP="00C41898">
            <w:pPr>
              <w:jc w:val="both"/>
              <w:rPr>
                <w:sz w:val="20"/>
                <w:lang w:val="fr-CA"/>
              </w:rPr>
            </w:pPr>
            <w:r w:rsidRPr="00C41898">
              <w:rPr>
                <w:sz w:val="20"/>
                <w:lang w:val="fr-CA"/>
              </w:rPr>
              <w:t>Rejet de l’appel de la demanderesse.</w:t>
            </w:r>
          </w:p>
          <w:p w:rsidR="00C41898" w:rsidRPr="00C41898" w:rsidRDefault="00C41898" w:rsidP="00C41898">
            <w:pPr>
              <w:jc w:val="both"/>
              <w:rPr>
                <w:sz w:val="20"/>
                <w:lang w:val="fr-CA"/>
              </w:rPr>
            </w:pPr>
          </w:p>
        </w:tc>
      </w:tr>
      <w:tr w:rsidR="00C41898" w:rsidRPr="00C41898" w:rsidTr="00306A34">
        <w:tblPrEx>
          <w:tblCellMar>
            <w:bottom w:w="0" w:type="dxa"/>
          </w:tblCellMar>
        </w:tblPrEx>
        <w:tc>
          <w:tcPr>
            <w:tcW w:w="2390" w:type="pct"/>
            <w:gridSpan w:val="2"/>
          </w:tcPr>
          <w:p w:rsidR="00C41898" w:rsidRPr="00C41898" w:rsidRDefault="00C41898" w:rsidP="00C41898">
            <w:pPr>
              <w:jc w:val="both"/>
              <w:rPr>
                <w:sz w:val="20"/>
                <w:lang w:val="fr-CA"/>
              </w:rPr>
            </w:pPr>
            <w:r w:rsidRPr="00C41898">
              <w:rPr>
                <w:sz w:val="20"/>
                <w:lang w:val="fr-CA"/>
              </w:rPr>
              <w:t>4 septembre 2015</w:t>
            </w:r>
          </w:p>
          <w:p w:rsidR="00C41898" w:rsidRPr="00C41898" w:rsidRDefault="00C41898" w:rsidP="00C41898">
            <w:pPr>
              <w:jc w:val="both"/>
              <w:rPr>
                <w:sz w:val="20"/>
                <w:lang w:val="fr-CA"/>
              </w:rPr>
            </w:pPr>
            <w:r w:rsidRPr="00C41898">
              <w:rPr>
                <w:sz w:val="20"/>
                <w:lang w:val="fr-CA"/>
              </w:rPr>
              <w:t>Cour suprême du Canada</w:t>
            </w:r>
          </w:p>
        </w:tc>
        <w:tc>
          <w:tcPr>
            <w:tcW w:w="270" w:type="pct"/>
          </w:tcPr>
          <w:p w:rsidR="00C41898" w:rsidRPr="00C41898" w:rsidRDefault="00C41898" w:rsidP="00C41898">
            <w:pPr>
              <w:jc w:val="both"/>
              <w:rPr>
                <w:sz w:val="20"/>
                <w:lang w:val="fr-CA"/>
              </w:rPr>
            </w:pPr>
          </w:p>
        </w:tc>
        <w:tc>
          <w:tcPr>
            <w:tcW w:w="2340" w:type="pct"/>
          </w:tcPr>
          <w:p w:rsidR="00C41898" w:rsidRPr="00C41898" w:rsidRDefault="00C41898" w:rsidP="00C41898">
            <w:pPr>
              <w:jc w:val="both"/>
              <w:rPr>
                <w:sz w:val="20"/>
                <w:lang w:val="fr-CA"/>
              </w:rPr>
            </w:pPr>
            <w:r w:rsidRPr="00C41898">
              <w:rPr>
                <w:sz w:val="20"/>
                <w:lang w:val="fr-CA"/>
              </w:rPr>
              <w:t>Dépôt de la demande d’autorisation d’appel.</w:t>
            </w:r>
          </w:p>
          <w:p w:rsidR="00C41898" w:rsidRPr="00C41898" w:rsidRDefault="00C41898" w:rsidP="00C41898">
            <w:pPr>
              <w:jc w:val="both"/>
              <w:rPr>
                <w:sz w:val="20"/>
                <w:lang w:val="fr-CA"/>
              </w:rPr>
            </w:pPr>
          </w:p>
        </w:tc>
      </w:tr>
    </w:tbl>
    <w:p w:rsidR="00C41898" w:rsidRPr="00C41898" w:rsidRDefault="00C41898" w:rsidP="00C41898">
      <w:pPr>
        <w:jc w:val="both"/>
        <w:rPr>
          <w:sz w:val="20"/>
          <w:lang w:val="fr-CA"/>
        </w:rPr>
      </w:pPr>
    </w:p>
    <w:p w:rsidR="00C41898" w:rsidRPr="00C41898" w:rsidRDefault="00C41898" w:rsidP="009550BB">
      <w:pPr>
        <w:ind w:left="360" w:hanging="360"/>
        <w:jc w:val="both"/>
        <w:rPr>
          <w:sz w:val="20"/>
          <w:lang w:val="fr-CA"/>
        </w:rPr>
      </w:pPr>
    </w:p>
    <w:p w:rsidR="00C41898" w:rsidRPr="00C41898" w:rsidRDefault="00C41898"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3044F0" w:rsidP="00D3344A">
      <w:pPr>
        <w:widowControl w:val="0"/>
        <w:outlineLvl w:val="0"/>
        <w:rPr>
          <w:u w:val="single"/>
        </w:rPr>
      </w:pPr>
      <w:hyperlink r:id="rId26"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footerReference w:type="default" r:id="rId2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A7BF1"/>
    <w:multiLevelType w:val="hybridMultilevel"/>
    <w:tmpl w:val="372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617AA"/>
    <w:multiLevelType w:val="hybridMultilevel"/>
    <w:tmpl w:val="0C4C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40684"/>
    <w:multiLevelType w:val="hybridMultilevel"/>
    <w:tmpl w:val="36B0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F90E7E"/>
    <w:multiLevelType w:val="hybridMultilevel"/>
    <w:tmpl w:val="09B24AFC"/>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797C07"/>
    <w:multiLevelType w:val="hybridMultilevel"/>
    <w:tmpl w:val="574A0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BD92951"/>
    <w:multiLevelType w:val="hybridMultilevel"/>
    <w:tmpl w:val="ECA63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0"/>
  </w:num>
  <w:num w:numId="2">
    <w:abstractNumId w:val="6"/>
  </w:num>
  <w:num w:numId="3">
    <w:abstractNumId w:val="0"/>
  </w:num>
  <w:num w:numId="4">
    <w:abstractNumId w:val="33"/>
  </w:num>
  <w:num w:numId="5">
    <w:abstractNumId w:val="1"/>
  </w:num>
  <w:num w:numId="6">
    <w:abstractNumId w:val="4"/>
  </w:num>
  <w:num w:numId="7">
    <w:abstractNumId w:val="5"/>
  </w:num>
  <w:num w:numId="8">
    <w:abstractNumId w:val="39"/>
  </w:num>
  <w:num w:numId="9">
    <w:abstractNumId w:val="36"/>
  </w:num>
  <w:num w:numId="10">
    <w:abstractNumId w:val="19"/>
  </w:num>
  <w:num w:numId="11">
    <w:abstractNumId w:val="29"/>
  </w:num>
  <w:num w:numId="12">
    <w:abstractNumId w:val="17"/>
  </w:num>
  <w:num w:numId="13">
    <w:abstractNumId w:val="7"/>
  </w:num>
  <w:num w:numId="14">
    <w:abstractNumId w:val="12"/>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2"/>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35"/>
  </w:num>
  <w:num w:numId="40">
    <w:abstractNumId w:val="30"/>
  </w:num>
  <w:num w:numId="41">
    <w:abstractNumId w:val="2"/>
  </w:num>
  <w:num w:numId="4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37A85"/>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4F0"/>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D40A3"/>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898"/>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4588"/>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bold1">
    <w:name w:val="bold1"/>
    <w:basedOn w:val="DefaultParagraphFont"/>
    <w:rsid w:val="00C41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580" TargetMode="External"/><Relationship Id="rId13" Type="http://schemas.openxmlformats.org/officeDocument/2006/relationships/hyperlink" Target="http://canlii.ca/t/ghd9m" TargetMode="External"/><Relationship Id="rId18" Type="http://schemas.openxmlformats.org/officeDocument/2006/relationships/hyperlink" Target="http://www.canlii.org/en/on/onsc/doc/2014/2014onsc2695/2014onsc2695.html?autocompleteStr=2014%20ONSC%202695&amp;autocompletePos=1"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www.canlii.org/en/on/onca/doc/2015/2015onca88/2015onca88.html?autocompleteStr=2015%20ONCA%2088&amp;autocompletePos=1" TargetMode="External"/><Relationship Id="rId7" Type="http://schemas.openxmlformats.org/officeDocument/2006/relationships/endnotes" Target="endnotes.xml"/><Relationship Id="rId12" Type="http://schemas.openxmlformats.org/officeDocument/2006/relationships/hyperlink" Target="http://canlii.ca/t/ghd9m" TargetMode="External"/><Relationship Id="rId17" Type="http://schemas.openxmlformats.org/officeDocument/2006/relationships/hyperlink" Target="https://www.canlii.org/en/on/onca/doc/2015/2015onca371/2015onca371.html?resultIndex=1" TargetMode="External"/><Relationship Id="rId25" Type="http://schemas.openxmlformats.org/officeDocument/2006/relationships/hyperlink" Target="https://www.canlii.org/en/bc/bcca/doc/2015/2015bcca257/2015bcca257.html?autocompleteStr=2015%20BCCA%20257&amp;autocompletePos=1" TargetMode="External"/><Relationship Id="rId2" Type="http://schemas.openxmlformats.org/officeDocument/2006/relationships/numbering" Target="numbering.xml"/><Relationship Id="rId16" Type="http://schemas.openxmlformats.org/officeDocument/2006/relationships/hyperlink" Target="https://www.canlii.org/en/on/onsc/doc/2014/2014onsc1709/2014onsc1709.html?autocompleteStr=2014%20ONSC%201709&amp;autocompletePos=1" TargetMode="External"/><Relationship Id="rId20" Type="http://schemas.openxmlformats.org/officeDocument/2006/relationships/hyperlink" Target="http://www.canlii.org/en/on/onsc/doc/2014/2014onsc2695/2014onsc2695.html?autocompleteStr=2014%20ONSC%202695&amp;autocompletePo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592" TargetMode="External"/><Relationship Id="rId24" Type="http://schemas.openxmlformats.org/officeDocument/2006/relationships/hyperlink" Target="https://www.canlii.org/en/bc/bcsc/doc/2014/2014bcsc1629/2014bcsc1629.html?autocompleteStr=2014%20BCSC%201629&amp;autocompletePos=1" TargetMode="External"/><Relationship Id="rId5" Type="http://schemas.openxmlformats.org/officeDocument/2006/relationships/webSettings" Target="webSettings.xml"/><Relationship Id="rId15" Type="http://schemas.openxmlformats.org/officeDocument/2006/relationships/hyperlink" Target="https://www.canlii.org/en/on/onca/doc/2015/2015onca371/2015onca371.html?resultIndex=1" TargetMode="External"/><Relationship Id="rId23" Type="http://schemas.openxmlformats.org/officeDocument/2006/relationships/hyperlink" Target="https://www.canlii.org/en/bc/bcca/doc/2015/2015bcca257/2015bcca257.html?autocompleteStr=2015%20BCCA%20257&amp;autocompletePos=1" TargetMode="External"/><Relationship Id="rId28" Type="http://schemas.openxmlformats.org/officeDocument/2006/relationships/fontTable" Target="fontTable.xml"/><Relationship Id="rId10" Type="http://schemas.openxmlformats.org/officeDocument/2006/relationships/hyperlink" Target="http://www.scc-csc.ca/case-dossier/info/sum-som-eng.aspx?cas=36386" TargetMode="External"/><Relationship Id="rId19" Type="http://schemas.openxmlformats.org/officeDocument/2006/relationships/hyperlink" Target="http://www.canlii.org/en/on/onca/doc/2015/2015onca88/2015onca88.html?autocompleteStr=2015%20ONCA%2088&amp;autocompletePos=1" TargetMode="External"/><Relationship Id="rId4" Type="http://schemas.openxmlformats.org/officeDocument/2006/relationships/settings" Target="settings.xml"/><Relationship Id="rId9" Type="http://schemas.openxmlformats.org/officeDocument/2006/relationships/hyperlink" Target="http://www.scc-csc.ca/case-dossier/info/sum-som-eng.aspx?cas=36528" TargetMode="External"/><Relationship Id="rId14" Type="http://schemas.openxmlformats.org/officeDocument/2006/relationships/hyperlink" Target="https://www.canlii.org/en/on/onsc/doc/2014/2014onsc1709/2014onsc1709.html?autocompleteStr=2014%20ONSC%201709&amp;autocompletePos=1" TargetMode="External"/><Relationship Id="rId22" Type="http://schemas.openxmlformats.org/officeDocument/2006/relationships/hyperlink" Target="https://www.canlii.org/en/bc/bcsc/doc/2014/2014bcsc1629/2014bcsc1629.html?autocompleteStr=2014%20BCSC%201629&amp;autocompletePos=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942CD-022C-4C20-BF71-95F26D61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23156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2016-01-18T18:17:00Z</dcterms:created>
  <dcterms:modified xsi:type="dcterms:W3CDTF">2016-01-18T18:41:00Z</dcterms:modified>
</cp:coreProperties>
</file>