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122CE1">
      <w:pPr>
        <w:pStyle w:val="Header"/>
        <w:tabs>
          <w:tab w:val="left" w:pos="1620"/>
          <w:tab w:val="left" w:pos="1710"/>
        </w:tabs>
        <w:jc w:val="center"/>
        <w:rPr>
          <w:b/>
          <w:sz w:val="32"/>
        </w:rPr>
      </w:pPr>
      <w:r w:rsidRPr="004B4D42">
        <w:rPr>
          <w:b/>
          <w:sz w:val="32"/>
        </w:rPr>
        <w:t xml:space="preserve">Supreme Court of Canada / Cour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674329" w:rsidP="006F2579">
      <w:pPr>
        <w:widowControl w:val="0"/>
        <w:rPr>
          <w:b/>
        </w:rPr>
      </w:pPr>
      <w:r>
        <w:rPr>
          <w:b/>
        </w:rPr>
        <w:t xml:space="preserve">January </w:t>
      </w:r>
      <w:r w:rsidR="00332E97">
        <w:rPr>
          <w:b/>
        </w:rPr>
        <w:t>25</w:t>
      </w:r>
      <w:r w:rsidR="00406755">
        <w:rPr>
          <w:b/>
        </w:rPr>
        <w:t>,</w:t>
      </w:r>
      <w:r w:rsidR="006F2579" w:rsidRPr="004B4D42">
        <w:rPr>
          <w:b/>
        </w:rPr>
        <w:t xml:space="preserve"> </w:t>
      </w:r>
      <w:r w:rsidR="0054689F">
        <w:rPr>
          <w:b/>
        </w:rPr>
        <w:t>201</w:t>
      </w:r>
      <w:r>
        <w:rPr>
          <w:b/>
        </w:rPr>
        <w:t>6</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4B4D42" w:rsidRDefault="006F2579" w:rsidP="006F2579">
      <w:pPr>
        <w:widowControl w:val="0"/>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957342">
        <w:t>S</w:t>
      </w:r>
      <w:r w:rsidRPr="004B4D42">
        <w:t xml:space="preserve">T on Thursday, </w:t>
      </w:r>
      <w:r w:rsidR="00674329">
        <w:t xml:space="preserve">January </w:t>
      </w:r>
      <w:r w:rsidR="00332E97">
        <w:t>28</w:t>
      </w:r>
      <w:r w:rsidR="002F38D7" w:rsidRPr="004B4D42">
        <w:t xml:space="preserve"> </w:t>
      </w:r>
      <w:r w:rsidR="006648D1" w:rsidRPr="004B4D42">
        <w:t>201</w:t>
      </w:r>
      <w:r w:rsidR="00674329">
        <w:t>6</w:t>
      </w:r>
      <w:r w:rsidRPr="004B4D42">
        <w:t>.  This list is subject to change.</w:t>
      </w:r>
    </w:p>
    <w:p w:rsidR="00FF5AA4" w:rsidRDefault="00FF5AA4" w:rsidP="006F2579">
      <w:pPr>
        <w:widowControl w:val="0"/>
      </w:pPr>
    </w:p>
    <w:p w:rsidR="00B43418" w:rsidRPr="004B4D42" w:rsidRDefault="00B43418" w:rsidP="006F2579">
      <w:pPr>
        <w:widowControl w:val="0"/>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332E97">
        <w:rPr>
          <w:b/>
          <w:lang w:val="fr-CA"/>
        </w:rPr>
        <w:t>25</w:t>
      </w:r>
      <w:r w:rsidR="00406755">
        <w:rPr>
          <w:b/>
          <w:lang w:val="fr-CA"/>
        </w:rPr>
        <w:t xml:space="preserve"> </w:t>
      </w:r>
      <w:r w:rsidR="00674329">
        <w:rPr>
          <w:b/>
          <w:lang w:val="fr-CA"/>
        </w:rPr>
        <w:t>janvier 2016</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E71666">
        <w:rPr>
          <w:lang w:val="fr-CA"/>
        </w:rPr>
        <w:t>2</w:t>
      </w:r>
      <w:r w:rsidR="00332E97">
        <w:rPr>
          <w:lang w:val="fr-CA"/>
        </w:rPr>
        <w:t>8</w:t>
      </w:r>
      <w:r w:rsidR="0042648D">
        <w:rPr>
          <w:lang w:val="fr-CA"/>
        </w:rPr>
        <w:t xml:space="preserve"> </w:t>
      </w:r>
      <w:r w:rsidR="00674329">
        <w:rPr>
          <w:lang w:val="fr-CA"/>
        </w:rPr>
        <w:t xml:space="preserve">janvier </w:t>
      </w:r>
      <w:r w:rsidR="006648D1" w:rsidRPr="004B4D42">
        <w:rPr>
          <w:lang w:val="fr-CA"/>
        </w:rPr>
        <w:t>201</w:t>
      </w:r>
      <w:r w:rsidR="00674329">
        <w:rPr>
          <w:lang w:val="fr-CA"/>
        </w:rPr>
        <w:t>6</w:t>
      </w:r>
      <w:r w:rsidRPr="004B4D42">
        <w:rPr>
          <w:lang w:val="fr-CA"/>
        </w:rPr>
        <w:t xml:space="preserve">, à 9 h 45 </w:t>
      </w:r>
      <w:r w:rsidR="000627A2" w:rsidRPr="004B4D42">
        <w:rPr>
          <w:lang w:val="fr-CA"/>
        </w:rPr>
        <w:t>H</w:t>
      </w:r>
      <w:r w:rsidR="00957342">
        <w:rPr>
          <w:lang w:val="fr-CA"/>
        </w:rPr>
        <w:t>N</w:t>
      </w:r>
      <w:r w:rsidRPr="004B4D42">
        <w:rPr>
          <w:lang w:val="fr-CA"/>
        </w:rPr>
        <w:t>E.  Cette liste est sujette à modifications.</w:t>
      </w:r>
    </w:p>
    <w:p w:rsidR="0080556B" w:rsidRDefault="0080556B" w:rsidP="009B14F4">
      <w:pPr>
        <w:widowControl w:val="0"/>
        <w:jc w:val="both"/>
        <w:rPr>
          <w:sz w:val="20"/>
          <w:lang w:val="fr-CA"/>
        </w:rPr>
      </w:pPr>
    </w:p>
    <w:p w:rsidR="001838E0"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CB3A38" w:rsidRPr="00332E97" w:rsidRDefault="00CB3A38" w:rsidP="00332E97">
      <w:pPr>
        <w:jc w:val="both"/>
        <w:rPr>
          <w:sz w:val="20"/>
        </w:rPr>
      </w:pPr>
    </w:p>
    <w:p w:rsidR="00332E97" w:rsidRPr="00332E97" w:rsidRDefault="00332E97" w:rsidP="00332E97">
      <w:pPr>
        <w:pStyle w:val="ListParagraph"/>
        <w:numPr>
          <w:ilvl w:val="0"/>
          <w:numId w:val="47"/>
        </w:numPr>
        <w:ind w:left="360"/>
        <w:jc w:val="both"/>
        <w:rPr>
          <w:i/>
          <w:sz w:val="20"/>
          <w:lang w:val="en-CA" w:eastAsia="en-CA"/>
        </w:rPr>
      </w:pPr>
      <w:r w:rsidRPr="00332E97">
        <w:rPr>
          <w:i/>
          <w:sz w:val="20"/>
          <w:lang w:val="en-CA" w:eastAsia="en-CA"/>
        </w:rPr>
        <w:t xml:space="preserve">Brendan Paterson v. Her Majesty the Queen </w:t>
      </w:r>
      <w:r w:rsidRPr="00332E97">
        <w:rPr>
          <w:sz w:val="20"/>
          <w:lang w:val="en-CA" w:eastAsia="en-CA"/>
        </w:rPr>
        <w:t>(B.C.) (Criminal) (By Leave) (</w:t>
      </w:r>
      <w:hyperlink r:id="rId8" w:history="1">
        <w:r w:rsidRPr="00332E97">
          <w:rPr>
            <w:rStyle w:val="Hyperlink"/>
            <w:sz w:val="20"/>
            <w:lang w:val="en-CA" w:eastAsia="en-CA"/>
          </w:rPr>
          <w:t>36472</w:t>
        </w:r>
      </w:hyperlink>
      <w:r w:rsidRPr="00332E97">
        <w:rPr>
          <w:sz w:val="20"/>
          <w:lang w:val="en-CA" w:eastAsia="en-CA"/>
        </w:rPr>
        <w:t>)</w:t>
      </w:r>
    </w:p>
    <w:p w:rsidR="00332E97" w:rsidRPr="00332E97" w:rsidRDefault="00332E97" w:rsidP="00332E97">
      <w:pPr>
        <w:ind w:left="360" w:hanging="360"/>
        <w:jc w:val="both"/>
        <w:rPr>
          <w:i/>
          <w:sz w:val="20"/>
          <w:lang w:val="en-CA" w:eastAsia="en-CA"/>
        </w:rPr>
      </w:pPr>
    </w:p>
    <w:p w:rsidR="00332E97" w:rsidRPr="00332E97" w:rsidRDefault="00332E97" w:rsidP="00332E97">
      <w:pPr>
        <w:pStyle w:val="ListParagraph"/>
        <w:numPr>
          <w:ilvl w:val="0"/>
          <w:numId w:val="47"/>
        </w:numPr>
        <w:ind w:left="360"/>
        <w:jc w:val="both"/>
        <w:rPr>
          <w:sz w:val="20"/>
          <w:lang w:val="en-CA" w:eastAsia="en-CA"/>
        </w:rPr>
      </w:pPr>
      <w:proofErr w:type="spellStart"/>
      <w:r w:rsidRPr="00332E97">
        <w:rPr>
          <w:i/>
          <w:sz w:val="20"/>
          <w:lang w:val="en-CA" w:eastAsia="en-CA"/>
        </w:rPr>
        <w:t>Luu</w:t>
      </w:r>
      <w:proofErr w:type="spellEnd"/>
      <w:r w:rsidRPr="00332E97">
        <w:rPr>
          <w:i/>
          <w:sz w:val="20"/>
          <w:lang w:val="en-CA" w:eastAsia="en-CA"/>
        </w:rPr>
        <w:t xml:space="preserve"> Hung Viet Derrick et al. v. Wong </w:t>
      </w:r>
      <w:proofErr w:type="spellStart"/>
      <w:r w:rsidRPr="00332E97">
        <w:rPr>
          <w:i/>
          <w:sz w:val="20"/>
          <w:lang w:val="en-CA" w:eastAsia="en-CA"/>
        </w:rPr>
        <w:t>Tak</w:t>
      </w:r>
      <w:proofErr w:type="spellEnd"/>
      <w:r w:rsidRPr="00332E97">
        <w:rPr>
          <w:i/>
          <w:sz w:val="20"/>
          <w:lang w:val="en-CA" w:eastAsia="en-CA"/>
        </w:rPr>
        <w:t xml:space="preserve"> Man Stephen et al.</w:t>
      </w:r>
      <w:r w:rsidRPr="00332E97">
        <w:rPr>
          <w:sz w:val="20"/>
          <w:lang w:val="en-CA" w:eastAsia="en-CA"/>
        </w:rPr>
        <w:t xml:space="preserve"> (B.C.) (Civil) (By Leave) (</w:t>
      </w:r>
      <w:hyperlink r:id="rId9" w:history="1">
        <w:r w:rsidRPr="00332E97">
          <w:rPr>
            <w:rStyle w:val="Hyperlink"/>
            <w:sz w:val="20"/>
            <w:lang w:val="en-CA" w:eastAsia="en-CA"/>
          </w:rPr>
          <w:t>36482</w:t>
        </w:r>
      </w:hyperlink>
      <w:r w:rsidRPr="00332E97">
        <w:rPr>
          <w:sz w:val="20"/>
          <w:lang w:val="en-CA" w:eastAsia="en-CA"/>
        </w:rPr>
        <w:t>)</w:t>
      </w:r>
    </w:p>
    <w:p w:rsidR="00332E97" w:rsidRPr="00332E97" w:rsidRDefault="00332E97" w:rsidP="00332E97">
      <w:pPr>
        <w:ind w:left="360" w:hanging="360"/>
        <w:jc w:val="both"/>
        <w:rPr>
          <w:sz w:val="20"/>
          <w:lang w:val="en-CA" w:eastAsia="en-CA"/>
        </w:rPr>
      </w:pPr>
    </w:p>
    <w:p w:rsidR="00332E97" w:rsidRPr="00332E97" w:rsidRDefault="00332E97" w:rsidP="00332E97">
      <w:pPr>
        <w:pStyle w:val="ListParagraph"/>
        <w:numPr>
          <w:ilvl w:val="0"/>
          <w:numId w:val="47"/>
        </w:numPr>
        <w:ind w:left="360"/>
        <w:jc w:val="both"/>
        <w:rPr>
          <w:sz w:val="20"/>
          <w:lang w:val="en-CA" w:eastAsia="en-CA"/>
        </w:rPr>
      </w:pPr>
      <w:r w:rsidRPr="00332E97">
        <w:rPr>
          <w:i/>
          <w:sz w:val="20"/>
          <w:lang w:val="en-CA" w:eastAsia="en-CA"/>
        </w:rPr>
        <w:t>6517633 Canada Ltd. v. Knudsen and Sons Muddy View Ranch Ltd.</w:t>
      </w:r>
      <w:r w:rsidRPr="00332E97">
        <w:rPr>
          <w:sz w:val="20"/>
          <w:lang w:val="en-CA" w:eastAsia="en-CA"/>
        </w:rPr>
        <w:t xml:space="preserve"> (Sask.) (Civil) (By Leave) (</w:t>
      </w:r>
      <w:hyperlink r:id="rId10" w:history="1">
        <w:r w:rsidRPr="00332E97">
          <w:rPr>
            <w:rStyle w:val="Hyperlink"/>
            <w:sz w:val="20"/>
            <w:lang w:val="en-CA" w:eastAsia="en-CA"/>
          </w:rPr>
          <w:t>36695</w:t>
        </w:r>
      </w:hyperlink>
      <w:r w:rsidRPr="00332E97">
        <w:rPr>
          <w:sz w:val="20"/>
          <w:lang w:val="en-CA" w:eastAsia="en-CA"/>
        </w:rPr>
        <w:t>)</w:t>
      </w:r>
    </w:p>
    <w:p w:rsidR="00332E97" w:rsidRPr="00332E97" w:rsidRDefault="00332E97" w:rsidP="00332E97">
      <w:pPr>
        <w:ind w:left="360" w:hanging="360"/>
        <w:jc w:val="both"/>
        <w:rPr>
          <w:sz w:val="20"/>
          <w:lang w:val="en-CA" w:eastAsia="en-CA"/>
        </w:rPr>
      </w:pPr>
    </w:p>
    <w:p w:rsidR="00332E97" w:rsidRPr="00332E97" w:rsidRDefault="00332E97" w:rsidP="00332E97">
      <w:pPr>
        <w:pStyle w:val="ListParagraph"/>
        <w:numPr>
          <w:ilvl w:val="0"/>
          <w:numId w:val="47"/>
        </w:numPr>
        <w:ind w:left="360"/>
        <w:jc w:val="both"/>
        <w:rPr>
          <w:sz w:val="20"/>
          <w:lang w:val="en-CA" w:eastAsia="en-CA"/>
        </w:rPr>
      </w:pPr>
      <w:r w:rsidRPr="00332E97">
        <w:rPr>
          <w:i/>
          <w:sz w:val="20"/>
          <w:lang w:val="fr-FR" w:eastAsia="en-CA"/>
        </w:rPr>
        <w:t xml:space="preserve">Martin </w:t>
      </w:r>
      <w:proofErr w:type="spellStart"/>
      <w:r w:rsidRPr="00332E97">
        <w:rPr>
          <w:i/>
          <w:sz w:val="20"/>
          <w:lang w:val="fr-FR" w:eastAsia="en-CA"/>
        </w:rPr>
        <w:t>Ravelo</w:t>
      </w:r>
      <w:proofErr w:type="spellEnd"/>
      <w:r w:rsidRPr="00332E97">
        <w:rPr>
          <w:i/>
          <w:sz w:val="20"/>
          <w:lang w:val="fr-FR" w:eastAsia="en-CA"/>
        </w:rPr>
        <w:t xml:space="preserve"> v. CIBC </w:t>
      </w:r>
      <w:proofErr w:type="spellStart"/>
      <w:r w:rsidRPr="00332E97">
        <w:rPr>
          <w:i/>
          <w:sz w:val="20"/>
          <w:lang w:val="fr-FR" w:eastAsia="en-CA"/>
        </w:rPr>
        <w:t>Mortgages</w:t>
      </w:r>
      <w:proofErr w:type="spellEnd"/>
      <w:r w:rsidRPr="00332E97">
        <w:rPr>
          <w:i/>
          <w:sz w:val="20"/>
          <w:lang w:val="fr-FR" w:eastAsia="en-CA"/>
        </w:rPr>
        <w:t xml:space="preserve"> Inc. et al.</w:t>
      </w:r>
      <w:r w:rsidRPr="00332E97">
        <w:rPr>
          <w:sz w:val="20"/>
          <w:lang w:val="fr-FR" w:eastAsia="en-CA"/>
        </w:rPr>
        <w:t xml:space="preserve"> </w:t>
      </w:r>
      <w:r w:rsidRPr="00332E97">
        <w:rPr>
          <w:sz w:val="20"/>
          <w:lang w:val="en-CA" w:eastAsia="en-CA"/>
        </w:rPr>
        <w:t>(B.C.) (Civil) (By Leave) (</w:t>
      </w:r>
      <w:hyperlink r:id="rId11" w:history="1">
        <w:r w:rsidRPr="00332E97">
          <w:rPr>
            <w:rStyle w:val="Hyperlink"/>
            <w:sz w:val="20"/>
            <w:lang w:val="en-CA" w:eastAsia="en-CA"/>
          </w:rPr>
          <w:t>36663</w:t>
        </w:r>
      </w:hyperlink>
      <w:r w:rsidRPr="00332E97">
        <w:rPr>
          <w:sz w:val="20"/>
          <w:lang w:val="en-CA" w:eastAsia="en-CA"/>
        </w:rPr>
        <w:t>)</w:t>
      </w:r>
    </w:p>
    <w:p w:rsidR="00332E97" w:rsidRPr="00332E97" w:rsidRDefault="00332E97" w:rsidP="00332E97">
      <w:pPr>
        <w:pStyle w:val="ListParagraph"/>
        <w:ind w:left="360" w:hanging="360"/>
        <w:jc w:val="both"/>
        <w:rPr>
          <w:sz w:val="20"/>
          <w:szCs w:val="20"/>
          <w:lang w:val="en-CA" w:eastAsia="en-CA"/>
        </w:rPr>
      </w:pPr>
    </w:p>
    <w:p w:rsidR="00332E97" w:rsidRPr="00332E97" w:rsidRDefault="00332E97" w:rsidP="00332E97">
      <w:pPr>
        <w:pStyle w:val="ListParagraph"/>
        <w:numPr>
          <w:ilvl w:val="0"/>
          <w:numId w:val="47"/>
        </w:numPr>
        <w:ind w:left="360"/>
        <w:jc w:val="both"/>
        <w:rPr>
          <w:sz w:val="20"/>
          <w:lang w:val="en-CA"/>
        </w:rPr>
      </w:pPr>
      <w:r w:rsidRPr="00332E97">
        <w:rPr>
          <w:i/>
          <w:sz w:val="20"/>
          <w:lang w:val="en-CA"/>
        </w:rPr>
        <w:t xml:space="preserve">Carson Bingley v. Her Majesty the Queen </w:t>
      </w:r>
      <w:r w:rsidRPr="00332E97">
        <w:rPr>
          <w:sz w:val="20"/>
          <w:lang w:val="en-CA"/>
        </w:rPr>
        <w:t>(Ont.) (Criminal) (By Leave) (</w:t>
      </w:r>
      <w:hyperlink r:id="rId12" w:history="1">
        <w:r w:rsidRPr="00332E97">
          <w:rPr>
            <w:rStyle w:val="Hyperlink"/>
            <w:sz w:val="20"/>
            <w:lang w:val="en-CA"/>
          </w:rPr>
          <w:t>36610</w:t>
        </w:r>
      </w:hyperlink>
      <w:r w:rsidRPr="00332E97">
        <w:rPr>
          <w:sz w:val="20"/>
          <w:lang w:val="en-CA"/>
        </w:rPr>
        <w:t>)</w:t>
      </w:r>
    </w:p>
    <w:p w:rsidR="00332E97" w:rsidRPr="00332E97" w:rsidRDefault="00332E97" w:rsidP="00332E97">
      <w:pPr>
        <w:ind w:left="360" w:hanging="360"/>
        <w:jc w:val="both"/>
        <w:rPr>
          <w:sz w:val="20"/>
          <w:lang w:val="en-CA" w:eastAsia="en-CA"/>
        </w:rPr>
      </w:pPr>
    </w:p>
    <w:p w:rsidR="00332E97" w:rsidRPr="00332E97" w:rsidRDefault="00332E97" w:rsidP="00332E97">
      <w:pPr>
        <w:pStyle w:val="ListParagraph"/>
        <w:numPr>
          <w:ilvl w:val="0"/>
          <w:numId w:val="47"/>
        </w:numPr>
        <w:ind w:left="360"/>
        <w:jc w:val="both"/>
        <w:rPr>
          <w:rFonts w:eastAsia="Calibri"/>
          <w:sz w:val="20"/>
          <w:lang w:val="en-CA"/>
        </w:rPr>
      </w:pPr>
      <w:r w:rsidRPr="00332E97">
        <w:rPr>
          <w:rFonts w:eastAsia="Calibri"/>
          <w:bCs/>
          <w:i/>
          <w:iCs/>
          <w:sz w:val="20"/>
          <w:lang w:val="en-CA"/>
        </w:rPr>
        <w:t>Daniel Marshall v. Her Majesty the Queen</w:t>
      </w:r>
      <w:r w:rsidRPr="00332E97">
        <w:rPr>
          <w:rFonts w:eastAsia="Calibri"/>
          <w:sz w:val="20"/>
          <w:lang w:val="en-CA"/>
        </w:rPr>
        <w:t xml:space="preserve"> (Ont.) (Criminal) (By Leave) (</w:t>
      </w:r>
      <w:hyperlink r:id="rId13" w:history="1">
        <w:r w:rsidRPr="00332E97">
          <w:rPr>
            <w:rStyle w:val="Hyperlink"/>
            <w:rFonts w:eastAsia="Calibri"/>
            <w:sz w:val="20"/>
            <w:lang w:val="en-CA"/>
          </w:rPr>
          <w:t>36587</w:t>
        </w:r>
      </w:hyperlink>
      <w:r w:rsidRPr="00332E97">
        <w:rPr>
          <w:rFonts w:eastAsia="Calibri"/>
          <w:sz w:val="20"/>
          <w:lang w:val="en-CA"/>
        </w:rPr>
        <w:t>)</w:t>
      </w:r>
    </w:p>
    <w:p w:rsidR="00332E97" w:rsidRPr="00332E97" w:rsidRDefault="00332E97" w:rsidP="00332E97">
      <w:pPr>
        <w:ind w:left="360" w:hanging="360"/>
        <w:jc w:val="both"/>
        <w:rPr>
          <w:sz w:val="20"/>
          <w:lang w:val="en-CA"/>
        </w:rPr>
      </w:pPr>
    </w:p>
    <w:p w:rsidR="00332E97" w:rsidRPr="00332E97" w:rsidRDefault="00332E97" w:rsidP="00332E97">
      <w:pPr>
        <w:pStyle w:val="ListParagraph"/>
        <w:numPr>
          <w:ilvl w:val="0"/>
          <w:numId w:val="47"/>
        </w:numPr>
        <w:ind w:left="360"/>
        <w:jc w:val="both"/>
        <w:rPr>
          <w:rFonts w:eastAsia="Calibri"/>
          <w:sz w:val="20"/>
          <w:lang w:val="fr-CA"/>
        </w:rPr>
      </w:pPr>
      <w:proofErr w:type="spellStart"/>
      <w:r w:rsidRPr="00332E97">
        <w:rPr>
          <w:rFonts w:eastAsia="Calibri"/>
          <w:bCs/>
          <w:i/>
          <w:iCs/>
          <w:sz w:val="20"/>
          <w:lang w:val="fr-CA"/>
        </w:rPr>
        <w:t>Nidal</w:t>
      </w:r>
      <w:proofErr w:type="spellEnd"/>
      <w:r w:rsidRPr="00332E97">
        <w:rPr>
          <w:rFonts w:eastAsia="Calibri"/>
          <w:bCs/>
          <w:i/>
          <w:iCs/>
          <w:sz w:val="20"/>
          <w:lang w:val="fr-CA"/>
        </w:rPr>
        <w:t xml:space="preserve"> Joad c. Les Portes et Châssis Eddy Boulet </w:t>
      </w:r>
      <w:proofErr w:type="spellStart"/>
      <w:r w:rsidRPr="00332E97">
        <w:rPr>
          <w:rFonts w:eastAsia="Calibri"/>
          <w:bCs/>
          <w:i/>
          <w:iCs/>
          <w:sz w:val="20"/>
          <w:lang w:val="fr-CA"/>
        </w:rPr>
        <w:t>inc.</w:t>
      </w:r>
      <w:proofErr w:type="spellEnd"/>
      <w:r w:rsidRPr="00332E97">
        <w:rPr>
          <w:rFonts w:eastAsia="Calibri"/>
          <w:sz w:val="20"/>
          <w:lang w:val="fr-CA"/>
        </w:rPr>
        <w:t xml:space="preserve"> (</w:t>
      </w:r>
      <w:proofErr w:type="spellStart"/>
      <w:r w:rsidRPr="00332E97">
        <w:rPr>
          <w:rFonts w:eastAsia="Calibri"/>
          <w:sz w:val="20"/>
          <w:lang w:val="fr-CA"/>
        </w:rPr>
        <w:t>Qc</w:t>
      </w:r>
      <w:proofErr w:type="spellEnd"/>
      <w:r w:rsidRPr="00332E97">
        <w:rPr>
          <w:rFonts w:eastAsia="Calibri"/>
          <w:sz w:val="20"/>
          <w:lang w:val="fr-CA"/>
        </w:rPr>
        <w:t>) (Civile) (Autorisation) (</w:t>
      </w:r>
      <w:hyperlink r:id="rId14" w:history="1">
        <w:r w:rsidRPr="00332E97">
          <w:rPr>
            <w:rStyle w:val="Hyperlink"/>
            <w:rFonts w:eastAsia="Calibri"/>
            <w:sz w:val="20"/>
            <w:lang w:val="fr-CA"/>
          </w:rPr>
          <w:t>36513</w:t>
        </w:r>
      </w:hyperlink>
      <w:r w:rsidRPr="00332E97">
        <w:rPr>
          <w:rFonts w:eastAsia="Calibri"/>
          <w:sz w:val="20"/>
          <w:lang w:val="fr-CA"/>
        </w:rPr>
        <w:t>)</w:t>
      </w:r>
    </w:p>
    <w:p w:rsidR="00332E97" w:rsidRPr="00332E97" w:rsidRDefault="00332E97" w:rsidP="00332E97">
      <w:pPr>
        <w:ind w:left="360" w:hanging="360"/>
        <w:jc w:val="both"/>
        <w:rPr>
          <w:sz w:val="20"/>
          <w:lang w:val="fr-CA"/>
        </w:rPr>
      </w:pPr>
    </w:p>
    <w:p w:rsidR="00332E97" w:rsidRPr="00332E97" w:rsidRDefault="00332E97" w:rsidP="00332E97">
      <w:pPr>
        <w:pStyle w:val="ListParagraph"/>
        <w:numPr>
          <w:ilvl w:val="0"/>
          <w:numId w:val="47"/>
        </w:numPr>
        <w:ind w:left="360"/>
        <w:jc w:val="both"/>
        <w:rPr>
          <w:rFonts w:eastAsia="Calibri"/>
          <w:sz w:val="20"/>
          <w:lang w:val="fr-CA"/>
        </w:rPr>
      </w:pPr>
      <w:r w:rsidRPr="00332E97">
        <w:rPr>
          <w:rFonts w:eastAsia="Calibri"/>
          <w:bCs/>
          <w:i/>
          <w:iCs/>
          <w:sz w:val="20"/>
          <w:lang w:val="fr-CA"/>
        </w:rPr>
        <w:t xml:space="preserve">Marie-France Cordeau c. Portes et Châssis Eddy Boulet </w:t>
      </w:r>
      <w:proofErr w:type="spellStart"/>
      <w:r w:rsidRPr="00332E97">
        <w:rPr>
          <w:rFonts w:eastAsia="Calibri"/>
          <w:bCs/>
          <w:i/>
          <w:iCs/>
          <w:sz w:val="20"/>
          <w:lang w:val="fr-CA"/>
        </w:rPr>
        <w:t>inc.</w:t>
      </w:r>
      <w:proofErr w:type="spellEnd"/>
      <w:r w:rsidRPr="00332E97">
        <w:rPr>
          <w:rFonts w:eastAsia="Calibri"/>
          <w:sz w:val="20"/>
          <w:lang w:val="fr-CA"/>
        </w:rPr>
        <w:t xml:space="preserve"> (</w:t>
      </w:r>
      <w:proofErr w:type="spellStart"/>
      <w:r w:rsidRPr="00332E97">
        <w:rPr>
          <w:rFonts w:eastAsia="Calibri"/>
          <w:sz w:val="20"/>
          <w:lang w:val="fr-CA"/>
        </w:rPr>
        <w:t>Qc</w:t>
      </w:r>
      <w:proofErr w:type="spellEnd"/>
      <w:r w:rsidRPr="00332E97">
        <w:rPr>
          <w:rFonts w:eastAsia="Calibri"/>
          <w:sz w:val="20"/>
          <w:lang w:val="fr-CA"/>
        </w:rPr>
        <w:t>) (Civile) (Autorisation) (</w:t>
      </w:r>
      <w:hyperlink r:id="rId15" w:history="1">
        <w:r w:rsidRPr="00332E97">
          <w:rPr>
            <w:rStyle w:val="Hyperlink"/>
            <w:rFonts w:eastAsia="Calibri"/>
            <w:sz w:val="20"/>
            <w:lang w:val="fr-CA"/>
          </w:rPr>
          <w:t>36514</w:t>
        </w:r>
      </w:hyperlink>
      <w:r w:rsidRPr="00332E97">
        <w:rPr>
          <w:rFonts w:eastAsia="Calibri"/>
          <w:sz w:val="20"/>
          <w:lang w:val="fr-CA"/>
        </w:rPr>
        <w:t>)</w:t>
      </w:r>
    </w:p>
    <w:p w:rsidR="00332E97" w:rsidRPr="00332E97" w:rsidRDefault="00332E97" w:rsidP="00332E97">
      <w:pPr>
        <w:ind w:left="360" w:hanging="360"/>
        <w:jc w:val="both"/>
        <w:rPr>
          <w:sz w:val="20"/>
          <w:lang w:val="fr-CA"/>
        </w:rPr>
      </w:pPr>
    </w:p>
    <w:p w:rsidR="00332E97" w:rsidRPr="00332E97" w:rsidRDefault="00332E97" w:rsidP="00332E97">
      <w:pPr>
        <w:pStyle w:val="ListParagraph"/>
        <w:numPr>
          <w:ilvl w:val="0"/>
          <w:numId w:val="47"/>
        </w:numPr>
        <w:ind w:left="360"/>
        <w:jc w:val="both"/>
        <w:rPr>
          <w:rFonts w:eastAsia="Calibri"/>
          <w:sz w:val="20"/>
          <w:lang w:val="en-CA"/>
        </w:rPr>
      </w:pPr>
      <w:proofErr w:type="spellStart"/>
      <w:r w:rsidRPr="00332E97">
        <w:rPr>
          <w:rFonts w:eastAsia="Calibri"/>
          <w:bCs/>
          <w:i/>
          <w:iCs/>
          <w:sz w:val="20"/>
          <w:lang w:val="en-CA"/>
        </w:rPr>
        <w:t>Deepan</w:t>
      </w:r>
      <w:proofErr w:type="spellEnd"/>
      <w:r w:rsidRPr="00332E97">
        <w:rPr>
          <w:rFonts w:eastAsia="Calibri"/>
          <w:bCs/>
          <w:i/>
          <w:iCs/>
          <w:sz w:val="20"/>
          <w:lang w:val="en-CA"/>
        </w:rPr>
        <w:t xml:space="preserve"> </w:t>
      </w:r>
      <w:proofErr w:type="spellStart"/>
      <w:r w:rsidRPr="00332E97">
        <w:rPr>
          <w:rFonts w:eastAsia="Calibri"/>
          <w:bCs/>
          <w:i/>
          <w:iCs/>
          <w:sz w:val="20"/>
          <w:lang w:val="en-CA"/>
        </w:rPr>
        <w:t>Budlakoti</w:t>
      </w:r>
      <w:proofErr w:type="spellEnd"/>
      <w:r w:rsidRPr="00332E97">
        <w:rPr>
          <w:rFonts w:eastAsia="Calibri"/>
          <w:bCs/>
          <w:i/>
          <w:iCs/>
          <w:sz w:val="20"/>
          <w:lang w:val="en-CA"/>
        </w:rPr>
        <w:t xml:space="preserve"> v. Minister of Citizenship and Immigration</w:t>
      </w:r>
      <w:r w:rsidRPr="00332E97">
        <w:rPr>
          <w:rFonts w:eastAsia="Calibri"/>
          <w:sz w:val="20"/>
          <w:lang w:val="en-CA"/>
        </w:rPr>
        <w:t xml:space="preserve"> (F</w:t>
      </w:r>
      <w:r>
        <w:rPr>
          <w:rFonts w:eastAsia="Calibri"/>
          <w:sz w:val="20"/>
          <w:lang w:val="en-CA"/>
        </w:rPr>
        <w:t>.</w:t>
      </w:r>
      <w:r w:rsidRPr="00332E97">
        <w:rPr>
          <w:rFonts w:eastAsia="Calibri"/>
          <w:sz w:val="20"/>
          <w:lang w:val="en-CA"/>
        </w:rPr>
        <w:t>C</w:t>
      </w:r>
      <w:r>
        <w:rPr>
          <w:rFonts w:eastAsia="Calibri"/>
          <w:sz w:val="20"/>
          <w:lang w:val="en-CA"/>
        </w:rPr>
        <w:t>.</w:t>
      </w:r>
      <w:r w:rsidRPr="00332E97">
        <w:rPr>
          <w:rFonts w:eastAsia="Calibri"/>
          <w:sz w:val="20"/>
          <w:lang w:val="en-CA"/>
        </w:rPr>
        <w:t>) (Civil) (By Leave) (</w:t>
      </w:r>
      <w:hyperlink r:id="rId16" w:history="1">
        <w:r w:rsidRPr="00332E97">
          <w:rPr>
            <w:rStyle w:val="Hyperlink"/>
            <w:rFonts w:eastAsia="Calibri"/>
            <w:sz w:val="20"/>
            <w:lang w:val="en-CA"/>
          </w:rPr>
          <w:t>36591</w:t>
        </w:r>
      </w:hyperlink>
      <w:r w:rsidRPr="00332E97">
        <w:rPr>
          <w:rFonts w:eastAsia="Calibri"/>
          <w:sz w:val="20"/>
          <w:lang w:val="en-CA"/>
        </w:rPr>
        <w:t>)</w:t>
      </w:r>
    </w:p>
    <w:p w:rsidR="00332E97" w:rsidRDefault="00332E97" w:rsidP="009550BB">
      <w:pPr>
        <w:ind w:left="360" w:hanging="360"/>
        <w:jc w:val="both"/>
        <w:rPr>
          <w:sz w:val="20"/>
        </w:rPr>
      </w:pPr>
    </w:p>
    <w:p w:rsidR="009E2378" w:rsidRDefault="009E2378" w:rsidP="009550BB">
      <w:pPr>
        <w:ind w:left="360" w:hanging="360"/>
        <w:jc w:val="both"/>
        <w:rPr>
          <w:sz w:val="20"/>
        </w:rPr>
      </w:pPr>
    </w:p>
    <w:p w:rsidR="009E2378" w:rsidRPr="009E2378" w:rsidRDefault="009E2378" w:rsidP="009E2378">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2378" w:rsidRPr="009E2378" w:rsidTr="009E2378">
        <w:tc>
          <w:tcPr>
            <w:tcW w:w="543" w:type="pct"/>
          </w:tcPr>
          <w:p w:rsidR="009E2378" w:rsidRPr="009E2378" w:rsidRDefault="009E2378" w:rsidP="009E2378">
            <w:pPr>
              <w:jc w:val="both"/>
              <w:rPr>
                <w:sz w:val="20"/>
              </w:rPr>
            </w:pPr>
            <w:r w:rsidRPr="009E2378">
              <w:rPr>
                <w:rStyle w:val="SCCFileNumberChar"/>
                <w:sz w:val="20"/>
                <w:szCs w:val="20"/>
              </w:rPr>
              <w:t>36472</w:t>
            </w:r>
          </w:p>
        </w:tc>
        <w:tc>
          <w:tcPr>
            <w:tcW w:w="4457" w:type="pct"/>
            <w:gridSpan w:val="3"/>
          </w:tcPr>
          <w:p w:rsidR="009E2378" w:rsidRPr="009E2378" w:rsidRDefault="009E2378" w:rsidP="009E2378">
            <w:pPr>
              <w:pStyle w:val="SCCLsocParty"/>
              <w:jc w:val="both"/>
              <w:rPr>
                <w:b/>
                <w:sz w:val="20"/>
                <w:szCs w:val="20"/>
                <w:lang w:val="en-US"/>
              </w:rPr>
            </w:pPr>
            <w:r w:rsidRPr="009E2378">
              <w:rPr>
                <w:b/>
                <w:sz w:val="20"/>
                <w:szCs w:val="20"/>
                <w:lang w:val="en-US"/>
              </w:rPr>
              <w:t>Brendan Paterson v. Her Majesty the Queen</w:t>
            </w:r>
          </w:p>
          <w:p w:rsidR="009E2378" w:rsidRPr="009E2378" w:rsidRDefault="009E2378" w:rsidP="009E2378">
            <w:pPr>
              <w:jc w:val="both"/>
              <w:rPr>
                <w:sz w:val="20"/>
              </w:rPr>
            </w:pPr>
            <w:r w:rsidRPr="009E2378">
              <w:rPr>
                <w:sz w:val="20"/>
              </w:rPr>
              <w:t>(B.C.) (Criminal) (By Leave)</w:t>
            </w:r>
          </w:p>
        </w:tc>
      </w:tr>
      <w:tr w:rsidR="009E2378" w:rsidRPr="009E2378" w:rsidTr="009E2378">
        <w:tc>
          <w:tcPr>
            <w:tcW w:w="5000" w:type="pct"/>
            <w:gridSpan w:val="4"/>
          </w:tcPr>
          <w:p w:rsidR="009E2378" w:rsidRPr="009E2378" w:rsidRDefault="009E2378" w:rsidP="009E2378">
            <w:pPr>
              <w:pStyle w:val="SCCBanSummary"/>
              <w:rPr>
                <w:smallCaps w:val="0"/>
                <w:sz w:val="20"/>
                <w:szCs w:val="20"/>
              </w:rPr>
            </w:pPr>
            <w:r w:rsidRPr="009E2378">
              <w:rPr>
                <w:i/>
                <w:smallCaps w:val="0"/>
                <w:sz w:val="20"/>
                <w:szCs w:val="20"/>
              </w:rPr>
              <w:t xml:space="preserve">Canadian Charter of Rights and Freedoms </w:t>
            </w:r>
            <w:r w:rsidRPr="009E2378">
              <w:rPr>
                <w:smallCaps w:val="0"/>
                <w:sz w:val="20"/>
                <w:szCs w:val="20"/>
              </w:rPr>
              <w:t>—</w:t>
            </w:r>
            <w:r w:rsidRPr="009E2378">
              <w:rPr>
                <w:i/>
                <w:smallCaps w:val="0"/>
                <w:sz w:val="20"/>
                <w:szCs w:val="20"/>
              </w:rPr>
              <w:t xml:space="preserve"> </w:t>
            </w:r>
            <w:r w:rsidRPr="009E2378">
              <w:rPr>
                <w:smallCaps w:val="0"/>
                <w:sz w:val="20"/>
                <w:szCs w:val="20"/>
              </w:rPr>
              <w:t xml:space="preserve">Criminal law — Evidence — Admissibility — Confessions — Voluntariness — </w:t>
            </w:r>
            <w:proofErr w:type="spellStart"/>
            <w:r w:rsidRPr="009E2378">
              <w:rPr>
                <w:i/>
                <w:smallCaps w:val="0"/>
                <w:sz w:val="20"/>
                <w:szCs w:val="20"/>
              </w:rPr>
              <w:t>Voir</w:t>
            </w:r>
            <w:proofErr w:type="spellEnd"/>
            <w:r w:rsidRPr="009E2378">
              <w:rPr>
                <w:i/>
                <w:smallCaps w:val="0"/>
                <w:sz w:val="20"/>
                <w:szCs w:val="20"/>
              </w:rPr>
              <w:t xml:space="preserve"> dire</w:t>
            </w:r>
            <w:r w:rsidRPr="009E2378">
              <w:rPr>
                <w:smallCaps w:val="0"/>
                <w:sz w:val="20"/>
                <w:szCs w:val="20"/>
              </w:rPr>
              <w:t xml:space="preserve"> — Unreasonable search and seizure — Whether Court of Appeal erred by failing to hold that Crown must prove, beyond a reasonable doubt,  voluntariness of accused’s statements given to police at door of his residence, before those statements may be considered in </w:t>
            </w:r>
            <w:r w:rsidRPr="009E2378">
              <w:rPr>
                <w:i/>
                <w:smallCaps w:val="0"/>
                <w:sz w:val="20"/>
                <w:szCs w:val="20"/>
              </w:rPr>
              <w:t xml:space="preserve">Charter </w:t>
            </w:r>
            <w:proofErr w:type="spellStart"/>
            <w:r w:rsidRPr="009E2378">
              <w:rPr>
                <w:i/>
                <w:smallCaps w:val="0"/>
                <w:sz w:val="20"/>
                <w:szCs w:val="20"/>
              </w:rPr>
              <w:t>voir</w:t>
            </w:r>
            <w:proofErr w:type="spellEnd"/>
            <w:r w:rsidRPr="009E2378">
              <w:rPr>
                <w:i/>
                <w:smallCaps w:val="0"/>
                <w:sz w:val="20"/>
                <w:szCs w:val="20"/>
              </w:rPr>
              <w:t xml:space="preserve"> dire</w:t>
            </w:r>
            <w:r w:rsidRPr="009E2378">
              <w:rPr>
                <w:smallCaps w:val="0"/>
                <w:sz w:val="20"/>
                <w:szCs w:val="20"/>
              </w:rPr>
              <w:t xml:space="preserve"> — Whether Court of Appeal erred in ruling that warrantless entry and search of accused’s home was justified under “exigent circumstances” exception of s. 11(7) of the </w:t>
            </w:r>
            <w:r w:rsidRPr="009E2378">
              <w:rPr>
                <w:i/>
                <w:smallCaps w:val="0"/>
                <w:sz w:val="20"/>
                <w:szCs w:val="20"/>
              </w:rPr>
              <w:t>Controlled Drugs and Substances Act</w:t>
            </w:r>
            <w:r w:rsidRPr="009E2378">
              <w:rPr>
                <w:smallCaps w:val="0"/>
                <w:sz w:val="20"/>
                <w:szCs w:val="20"/>
              </w:rPr>
              <w:t xml:space="preserve"> — Whether Court of Appeal erred in not excluding seized evidence under s. 24(2) of </w:t>
            </w:r>
            <w:r w:rsidRPr="009E2378">
              <w:rPr>
                <w:i/>
                <w:smallCaps w:val="0"/>
                <w:sz w:val="20"/>
                <w:szCs w:val="20"/>
              </w:rPr>
              <w:t>Charter</w:t>
            </w:r>
            <w:r w:rsidRPr="009E2378">
              <w:rPr>
                <w:smallCaps w:val="0"/>
                <w:sz w:val="20"/>
                <w:szCs w:val="20"/>
              </w:rPr>
              <w:t xml:space="preserve"> due to police breach of mandatory </w:t>
            </w:r>
            <w:r w:rsidRPr="009E2378">
              <w:rPr>
                <w:i/>
                <w:smallCaps w:val="0"/>
                <w:sz w:val="20"/>
                <w:szCs w:val="20"/>
              </w:rPr>
              <w:t>Criminal Code</w:t>
            </w:r>
            <w:r w:rsidRPr="009E2378">
              <w:rPr>
                <w:smallCaps w:val="0"/>
                <w:sz w:val="20"/>
                <w:szCs w:val="20"/>
              </w:rPr>
              <w:t xml:space="preserve"> provisions relating to Form 5.2 Report — </w:t>
            </w:r>
            <w:r w:rsidRPr="009E2378">
              <w:rPr>
                <w:i/>
                <w:smallCaps w:val="0"/>
                <w:sz w:val="20"/>
                <w:szCs w:val="20"/>
              </w:rPr>
              <w:t>Controlled Drugs and Substances Act</w:t>
            </w:r>
            <w:r w:rsidRPr="009E2378">
              <w:rPr>
                <w:smallCaps w:val="0"/>
                <w:sz w:val="20"/>
                <w:szCs w:val="20"/>
              </w:rPr>
              <w:t xml:space="preserve">, S.C. 1996, c. 19, s. 11(7) — </w:t>
            </w:r>
            <w:r w:rsidRPr="009E2378">
              <w:rPr>
                <w:i/>
                <w:smallCaps w:val="0"/>
                <w:sz w:val="20"/>
                <w:szCs w:val="20"/>
              </w:rPr>
              <w:t>Criminal Code</w:t>
            </w:r>
            <w:r w:rsidRPr="009E2378">
              <w:rPr>
                <w:smallCaps w:val="0"/>
                <w:sz w:val="20"/>
                <w:szCs w:val="20"/>
              </w:rPr>
              <w:t>, R.S.C. 1985, c. C-46, s. 489.1.</w:t>
            </w:r>
          </w:p>
        </w:tc>
      </w:tr>
      <w:tr w:rsidR="009E2378" w:rsidRPr="009E2378" w:rsidTr="009E2378">
        <w:tc>
          <w:tcPr>
            <w:tcW w:w="5000" w:type="pct"/>
            <w:gridSpan w:val="4"/>
          </w:tcPr>
          <w:p w:rsidR="009E2378" w:rsidRPr="009E2378" w:rsidRDefault="009E2378" w:rsidP="009E2378">
            <w:pPr>
              <w:jc w:val="both"/>
              <w:rPr>
                <w:sz w:val="20"/>
              </w:rPr>
            </w:pPr>
          </w:p>
        </w:tc>
      </w:tr>
      <w:tr w:rsidR="009E2378" w:rsidRPr="009E2378" w:rsidTr="009E2378">
        <w:tc>
          <w:tcPr>
            <w:tcW w:w="5000" w:type="pct"/>
            <w:gridSpan w:val="4"/>
          </w:tcPr>
          <w:p w:rsidR="009E2378" w:rsidRPr="009E2378" w:rsidRDefault="009E2378" w:rsidP="009E2378">
            <w:pPr>
              <w:jc w:val="both"/>
              <w:rPr>
                <w:sz w:val="20"/>
                <w:lang w:eastAsia="en-CA"/>
              </w:rPr>
            </w:pPr>
            <w:r w:rsidRPr="009E2378">
              <w:rPr>
                <w:sz w:val="20"/>
                <w:lang w:eastAsia="en-CA"/>
              </w:rPr>
              <w:t>Brendan Paterson was convicted of nine offences: two counts of possession of illicit drugs, three counts of possession of illicit drugs for the purpose of trafficking and four counts of unlawful possession of firearms. He was sentenced to four-and-a half years.</w:t>
            </w:r>
          </w:p>
          <w:p w:rsidR="009E2378" w:rsidRPr="009E2378" w:rsidRDefault="009E2378" w:rsidP="009E2378">
            <w:pPr>
              <w:jc w:val="both"/>
              <w:rPr>
                <w:sz w:val="20"/>
                <w:lang w:eastAsia="en-CA"/>
              </w:rPr>
            </w:pPr>
          </w:p>
          <w:p w:rsidR="009E2378" w:rsidRPr="009E2378" w:rsidRDefault="009E2378" w:rsidP="009E2378">
            <w:pPr>
              <w:jc w:val="both"/>
              <w:rPr>
                <w:sz w:val="20"/>
                <w:lang w:eastAsia="en-CA"/>
              </w:rPr>
            </w:pPr>
            <w:r w:rsidRPr="009E2378">
              <w:rPr>
                <w:sz w:val="20"/>
                <w:lang w:eastAsia="en-CA"/>
              </w:rPr>
              <w:t xml:space="preserve">At the trial, a </w:t>
            </w:r>
            <w:r w:rsidRPr="009E2378">
              <w:rPr>
                <w:i/>
                <w:sz w:val="20"/>
                <w:lang w:eastAsia="en-CA"/>
              </w:rPr>
              <w:t>Charter</w:t>
            </w:r>
            <w:r w:rsidRPr="009E2378">
              <w:rPr>
                <w:sz w:val="20"/>
                <w:lang w:eastAsia="en-CA"/>
              </w:rPr>
              <w:t xml:space="preserve"> </w:t>
            </w:r>
            <w:proofErr w:type="spellStart"/>
            <w:r w:rsidRPr="009E2378">
              <w:rPr>
                <w:i/>
                <w:sz w:val="20"/>
                <w:lang w:eastAsia="en-CA"/>
              </w:rPr>
              <w:t>voir</w:t>
            </w:r>
            <w:proofErr w:type="spellEnd"/>
            <w:r w:rsidRPr="009E2378">
              <w:rPr>
                <w:i/>
                <w:sz w:val="20"/>
                <w:lang w:eastAsia="en-CA"/>
              </w:rPr>
              <w:t xml:space="preserve"> dire</w:t>
            </w:r>
            <w:r w:rsidRPr="009E2378">
              <w:rPr>
                <w:sz w:val="20"/>
                <w:lang w:eastAsia="en-CA"/>
              </w:rPr>
              <w:t xml:space="preserve"> was held to address Mr. Paterson’s objection to the admission of the evidence seized by police as a result of their entry into and search of his apartment. The trial judge dismissed the application to exclude evidence. </w:t>
            </w:r>
          </w:p>
          <w:p w:rsidR="009E2378" w:rsidRPr="009E2378" w:rsidRDefault="009E2378" w:rsidP="009E2378">
            <w:pPr>
              <w:jc w:val="both"/>
              <w:rPr>
                <w:sz w:val="20"/>
                <w:lang w:eastAsia="en-CA"/>
              </w:rPr>
            </w:pPr>
          </w:p>
          <w:p w:rsidR="009E2378" w:rsidRPr="009E2378" w:rsidRDefault="009E2378" w:rsidP="009E2378">
            <w:pPr>
              <w:jc w:val="both"/>
              <w:rPr>
                <w:sz w:val="20"/>
              </w:rPr>
            </w:pPr>
            <w:r w:rsidRPr="009E2378">
              <w:rPr>
                <w:sz w:val="20"/>
                <w:lang w:eastAsia="en-CA"/>
              </w:rPr>
              <w:t>On appeal, the Court of Appeal found no reason to interfere with the findings of the trial judge.  It dismissed the appeal from conviction.</w:t>
            </w:r>
          </w:p>
        </w:tc>
      </w:tr>
      <w:tr w:rsidR="009E2378" w:rsidRPr="009E2378" w:rsidTr="009E2378">
        <w:tc>
          <w:tcPr>
            <w:tcW w:w="5000" w:type="pct"/>
            <w:gridSpan w:val="4"/>
          </w:tcPr>
          <w:p w:rsidR="009E2378" w:rsidRPr="009E2378" w:rsidRDefault="009E2378" w:rsidP="009E2378">
            <w:pPr>
              <w:jc w:val="both"/>
              <w:rPr>
                <w:sz w:val="20"/>
              </w:rPr>
            </w:pPr>
          </w:p>
        </w:tc>
      </w:tr>
      <w:tr w:rsidR="009E2378" w:rsidRPr="009E2378" w:rsidTr="009E2378">
        <w:tc>
          <w:tcPr>
            <w:tcW w:w="2427" w:type="pct"/>
            <w:gridSpan w:val="2"/>
          </w:tcPr>
          <w:p w:rsidR="009E2378" w:rsidRPr="009E2378" w:rsidRDefault="009E2378" w:rsidP="009E2378">
            <w:pPr>
              <w:jc w:val="both"/>
              <w:rPr>
                <w:sz w:val="20"/>
              </w:rPr>
            </w:pPr>
            <w:r w:rsidRPr="009E2378">
              <w:rPr>
                <w:sz w:val="20"/>
              </w:rPr>
              <w:t>October 5, 2012</w:t>
            </w:r>
          </w:p>
          <w:p w:rsidR="009E2378" w:rsidRPr="009E2378" w:rsidRDefault="009E2378" w:rsidP="009E2378">
            <w:pPr>
              <w:jc w:val="both"/>
              <w:rPr>
                <w:sz w:val="20"/>
              </w:rPr>
            </w:pPr>
            <w:r w:rsidRPr="009E2378">
              <w:rPr>
                <w:sz w:val="20"/>
              </w:rPr>
              <w:t>Supreme Court of British Columbia</w:t>
            </w:r>
          </w:p>
          <w:p w:rsidR="009E2378" w:rsidRPr="009E2378" w:rsidRDefault="009E2378" w:rsidP="009E2378">
            <w:pPr>
              <w:jc w:val="both"/>
              <w:rPr>
                <w:sz w:val="20"/>
              </w:rPr>
            </w:pPr>
            <w:r w:rsidRPr="009E2378">
              <w:rPr>
                <w:sz w:val="20"/>
              </w:rPr>
              <w:t>(Blok J.)</w:t>
            </w:r>
          </w:p>
          <w:p w:rsidR="009E2378" w:rsidRPr="009E2378" w:rsidRDefault="009E2378" w:rsidP="009E2378">
            <w:pPr>
              <w:jc w:val="both"/>
              <w:rPr>
                <w:rStyle w:val="Hyperlink"/>
                <w:sz w:val="20"/>
              </w:rPr>
            </w:pPr>
            <w:hyperlink r:id="rId17" w:history="1">
              <w:r w:rsidRPr="009E2378">
                <w:rPr>
                  <w:rStyle w:val="Hyperlink"/>
                  <w:sz w:val="20"/>
                </w:rPr>
                <w:t>2011 BCSC 1728</w:t>
              </w:r>
            </w:hyperlink>
          </w:p>
          <w:p w:rsidR="009E2378" w:rsidRPr="009E2378" w:rsidRDefault="009E2378" w:rsidP="009E2378">
            <w:pPr>
              <w:jc w:val="both"/>
              <w:rPr>
                <w:sz w:val="20"/>
              </w:rPr>
            </w:pP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 xml:space="preserve">Application to exclude evidence dismissed.  </w:t>
            </w:r>
          </w:p>
          <w:p w:rsidR="009E2378" w:rsidRPr="009E2378" w:rsidRDefault="009E2378" w:rsidP="009E2378">
            <w:pPr>
              <w:jc w:val="both"/>
              <w:rPr>
                <w:sz w:val="20"/>
              </w:rPr>
            </w:pPr>
          </w:p>
          <w:p w:rsidR="009E2378" w:rsidRPr="009E2378" w:rsidRDefault="009E2378" w:rsidP="009E2378">
            <w:pPr>
              <w:jc w:val="both"/>
              <w:rPr>
                <w:sz w:val="20"/>
              </w:rPr>
            </w:pPr>
          </w:p>
          <w:p w:rsidR="009E2378" w:rsidRPr="009E2378" w:rsidRDefault="009E2378" w:rsidP="009E2378">
            <w:pPr>
              <w:jc w:val="both"/>
              <w:rPr>
                <w:sz w:val="20"/>
              </w:rPr>
            </w:pPr>
          </w:p>
          <w:p w:rsidR="009E2378" w:rsidRPr="009E2378" w:rsidRDefault="009E2378" w:rsidP="009E2378">
            <w:pPr>
              <w:jc w:val="both"/>
              <w:rPr>
                <w:sz w:val="20"/>
              </w:rPr>
            </w:pPr>
          </w:p>
        </w:tc>
      </w:tr>
      <w:tr w:rsidR="009E2378" w:rsidRPr="009E2378" w:rsidTr="009E2378">
        <w:tc>
          <w:tcPr>
            <w:tcW w:w="2427" w:type="pct"/>
            <w:gridSpan w:val="2"/>
          </w:tcPr>
          <w:p w:rsidR="009E2378" w:rsidRPr="009E2378" w:rsidRDefault="009E2378" w:rsidP="009E2378">
            <w:pPr>
              <w:jc w:val="both"/>
              <w:rPr>
                <w:sz w:val="20"/>
              </w:rPr>
            </w:pPr>
            <w:r w:rsidRPr="009E2378">
              <w:rPr>
                <w:sz w:val="20"/>
              </w:rPr>
              <w:t>May 13, 2015</w:t>
            </w:r>
          </w:p>
          <w:p w:rsidR="009E2378" w:rsidRPr="009E2378" w:rsidRDefault="009E2378" w:rsidP="009E2378">
            <w:pPr>
              <w:jc w:val="both"/>
              <w:rPr>
                <w:sz w:val="20"/>
              </w:rPr>
            </w:pPr>
            <w:r w:rsidRPr="009E2378">
              <w:rPr>
                <w:sz w:val="20"/>
              </w:rPr>
              <w:t xml:space="preserve">Court of Appeal for British Columbia </w:t>
            </w:r>
          </w:p>
          <w:p w:rsidR="009E2378" w:rsidRPr="009E2378" w:rsidRDefault="009E2378" w:rsidP="009E2378">
            <w:pPr>
              <w:jc w:val="both"/>
              <w:rPr>
                <w:sz w:val="20"/>
              </w:rPr>
            </w:pPr>
            <w:r w:rsidRPr="009E2378">
              <w:rPr>
                <w:sz w:val="20"/>
              </w:rPr>
              <w:t>(Vancouver)</w:t>
            </w:r>
          </w:p>
          <w:p w:rsidR="009E2378" w:rsidRPr="009E2378" w:rsidRDefault="009E2378" w:rsidP="009E2378">
            <w:pPr>
              <w:jc w:val="both"/>
              <w:rPr>
                <w:sz w:val="20"/>
              </w:rPr>
            </w:pPr>
            <w:r w:rsidRPr="009E2378">
              <w:rPr>
                <w:sz w:val="20"/>
              </w:rPr>
              <w:t>(Lowry, Frankel and Bennett JJ.A.)</w:t>
            </w:r>
          </w:p>
          <w:p w:rsidR="009E2378" w:rsidRPr="009E2378" w:rsidRDefault="009E2378" w:rsidP="009E2378">
            <w:pPr>
              <w:jc w:val="both"/>
              <w:rPr>
                <w:sz w:val="20"/>
              </w:rPr>
            </w:pPr>
            <w:hyperlink r:id="rId18" w:history="1">
              <w:r w:rsidRPr="009E2378">
                <w:rPr>
                  <w:rStyle w:val="Hyperlink"/>
                  <w:sz w:val="20"/>
                </w:rPr>
                <w:t>2015 BCCA 205</w:t>
              </w:r>
            </w:hyperlink>
          </w:p>
          <w:p w:rsidR="009E2378" w:rsidRPr="009E2378" w:rsidRDefault="009E2378" w:rsidP="009E2378">
            <w:pPr>
              <w:jc w:val="both"/>
              <w:rPr>
                <w:sz w:val="20"/>
              </w:rPr>
            </w:pPr>
            <w:r w:rsidRPr="009E2378">
              <w:rPr>
                <w:sz w:val="20"/>
              </w:rPr>
              <w:t>File No.: CA040943</w:t>
            </w:r>
          </w:p>
          <w:p w:rsidR="009E2378" w:rsidRPr="009E2378" w:rsidRDefault="009E2378" w:rsidP="009E2378">
            <w:pPr>
              <w:jc w:val="both"/>
              <w:rPr>
                <w:sz w:val="20"/>
              </w:rPr>
            </w:pP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Appeal from conviction dismissed.</w:t>
            </w:r>
          </w:p>
          <w:p w:rsidR="009E2378" w:rsidRPr="009E2378" w:rsidRDefault="009E2378" w:rsidP="009E2378">
            <w:pPr>
              <w:jc w:val="both"/>
              <w:rPr>
                <w:sz w:val="20"/>
              </w:rPr>
            </w:pPr>
          </w:p>
        </w:tc>
      </w:tr>
      <w:tr w:rsidR="009E2378" w:rsidRPr="009E2378" w:rsidTr="009E2378">
        <w:tc>
          <w:tcPr>
            <w:tcW w:w="2427" w:type="pct"/>
            <w:gridSpan w:val="2"/>
          </w:tcPr>
          <w:p w:rsidR="009E2378" w:rsidRPr="009E2378" w:rsidRDefault="009E2378" w:rsidP="009E2378">
            <w:pPr>
              <w:jc w:val="both"/>
              <w:rPr>
                <w:sz w:val="20"/>
                <w:lang w:eastAsia="en-CA"/>
              </w:rPr>
            </w:pPr>
            <w:r w:rsidRPr="009E2378">
              <w:rPr>
                <w:sz w:val="20"/>
                <w:lang w:eastAsia="en-CA"/>
              </w:rPr>
              <w:t>September 11, 2015</w:t>
            </w:r>
          </w:p>
          <w:p w:rsidR="009E2378" w:rsidRPr="009E2378" w:rsidRDefault="009E2378" w:rsidP="009E2378">
            <w:pPr>
              <w:jc w:val="both"/>
              <w:rPr>
                <w:sz w:val="20"/>
              </w:rPr>
            </w:pPr>
            <w:r w:rsidRPr="009E2378">
              <w:rPr>
                <w:sz w:val="20"/>
                <w:lang w:eastAsia="en-CA"/>
              </w:rPr>
              <w:t xml:space="preserve">Supreme Court of Canada </w:t>
            </w: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lang w:eastAsia="en-CA"/>
              </w:rPr>
              <w:t>Motion for extension of time to file and/or serve leave application and application for leave to appeal filed.</w:t>
            </w:r>
          </w:p>
        </w:tc>
      </w:tr>
    </w:tbl>
    <w:p w:rsidR="009E2378" w:rsidRDefault="009E2378" w:rsidP="009E2378">
      <w:pPr>
        <w:jc w:val="both"/>
        <w:rPr>
          <w:sz w:val="20"/>
        </w:rPr>
      </w:pPr>
    </w:p>
    <w:p w:rsidR="00F13B48" w:rsidRPr="009E2378" w:rsidRDefault="00F13B48" w:rsidP="009E237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2378" w:rsidRPr="009E2378" w:rsidTr="009E2378">
        <w:tc>
          <w:tcPr>
            <w:tcW w:w="543" w:type="pct"/>
          </w:tcPr>
          <w:p w:rsidR="009E2378" w:rsidRPr="009E2378" w:rsidRDefault="009E2378" w:rsidP="009E2378">
            <w:pPr>
              <w:jc w:val="both"/>
              <w:rPr>
                <w:sz w:val="20"/>
                <w:lang w:val="fr-CA"/>
              </w:rPr>
            </w:pPr>
            <w:r w:rsidRPr="009E2378">
              <w:rPr>
                <w:rStyle w:val="SCCFileNumberChar"/>
                <w:sz w:val="20"/>
                <w:szCs w:val="20"/>
                <w:lang w:val="fr-CA"/>
              </w:rPr>
              <w:t>36472</w:t>
            </w:r>
          </w:p>
        </w:tc>
        <w:tc>
          <w:tcPr>
            <w:tcW w:w="4457" w:type="pct"/>
            <w:gridSpan w:val="3"/>
          </w:tcPr>
          <w:p w:rsidR="009E2378" w:rsidRPr="00F13B48" w:rsidRDefault="009E2378" w:rsidP="009E2378">
            <w:pPr>
              <w:pStyle w:val="SCCLsocParty"/>
              <w:jc w:val="both"/>
              <w:rPr>
                <w:b/>
                <w:sz w:val="20"/>
                <w:szCs w:val="20"/>
              </w:rPr>
            </w:pPr>
            <w:r w:rsidRPr="00F13B48">
              <w:rPr>
                <w:b/>
                <w:sz w:val="20"/>
                <w:szCs w:val="20"/>
              </w:rPr>
              <w:t>Brendan Paterson c. Sa Majesté la Reine</w:t>
            </w:r>
          </w:p>
          <w:p w:rsidR="009E2378" w:rsidRPr="009E2378" w:rsidRDefault="009E2378" w:rsidP="009E2378">
            <w:pPr>
              <w:jc w:val="both"/>
              <w:rPr>
                <w:sz w:val="20"/>
                <w:lang w:val="fr-CA"/>
              </w:rPr>
            </w:pPr>
            <w:r w:rsidRPr="009E2378">
              <w:rPr>
                <w:sz w:val="20"/>
                <w:lang w:val="fr-CA"/>
              </w:rPr>
              <w:t>(C.-B.) (Criminelle) (Sur autorisation)</w:t>
            </w:r>
          </w:p>
        </w:tc>
      </w:tr>
      <w:tr w:rsidR="009E2378" w:rsidRPr="009E2378" w:rsidTr="009E2378">
        <w:tc>
          <w:tcPr>
            <w:tcW w:w="5000" w:type="pct"/>
            <w:gridSpan w:val="4"/>
          </w:tcPr>
          <w:p w:rsidR="009E2378" w:rsidRPr="009E2378" w:rsidRDefault="009E2378" w:rsidP="009E2378">
            <w:pPr>
              <w:pStyle w:val="SCCBanSummary"/>
              <w:rPr>
                <w:smallCaps w:val="0"/>
                <w:sz w:val="20"/>
                <w:szCs w:val="20"/>
                <w:lang w:val="fr-CA"/>
              </w:rPr>
            </w:pPr>
            <w:r w:rsidRPr="009E2378">
              <w:rPr>
                <w:i/>
                <w:smallCaps w:val="0"/>
                <w:sz w:val="20"/>
                <w:szCs w:val="20"/>
                <w:lang w:val="fr-CA"/>
              </w:rPr>
              <w:t xml:space="preserve">Charte canadienne des droits et libertés </w:t>
            </w:r>
            <w:r w:rsidRPr="009E2378">
              <w:rPr>
                <w:smallCaps w:val="0"/>
                <w:sz w:val="20"/>
                <w:szCs w:val="20"/>
                <w:lang w:val="fr-CA"/>
              </w:rPr>
              <w:t xml:space="preserve">― Droit criminel ― Preuve ― Admissibilité ― Confessions ― Caractère volontaire ― Voir-dire ― Fouilles, perquisitions et saisies abusives ― La Cour d’appel a-t-elle commis une erreur en concluant que le ministère public doit prouver hors de tout doute raisonnable le caractère volontaire des déclarations données par l’accusé à la police à la porte de sa résidence, avant que celles-ci puissent être examinées au cours d’un voir-dire fondé sur la </w:t>
            </w:r>
            <w:r w:rsidRPr="009E2378">
              <w:rPr>
                <w:i/>
                <w:smallCaps w:val="0"/>
                <w:sz w:val="20"/>
                <w:szCs w:val="20"/>
                <w:lang w:val="fr-CA"/>
              </w:rPr>
              <w:t>Charte</w:t>
            </w:r>
            <w:r w:rsidRPr="009E2378">
              <w:rPr>
                <w:smallCaps w:val="0"/>
                <w:sz w:val="20"/>
                <w:szCs w:val="20"/>
                <w:lang w:val="fr-CA"/>
              </w:rPr>
              <w:t xml:space="preserve">? ― La Cour d’appel a-t-elle commis une erreur en statuant qu’une perquisition sans mandat dans la résidence de l’accusé était justifiée eu égard à l’exception relative à la « situation d’urgence » prévue au </w:t>
            </w:r>
            <w:proofErr w:type="spellStart"/>
            <w:r w:rsidRPr="009E2378">
              <w:rPr>
                <w:smallCaps w:val="0"/>
                <w:sz w:val="20"/>
                <w:szCs w:val="20"/>
                <w:lang w:val="fr-CA"/>
              </w:rPr>
              <w:t>par</w:t>
            </w:r>
            <w:proofErr w:type="spellEnd"/>
            <w:r w:rsidRPr="009E2378">
              <w:rPr>
                <w:smallCaps w:val="0"/>
                <w:sz w:val="20"/>
                <w:szCs w:val="20"/>
                <w:lang w:val="fr-CA"/>
              </w:rPr>
              <w:t xml:space="preserve">. 11(7) de la </w:t>
            </w:r>
            <w:r w:rsidRPr="009E2378">
              <w:rPr>
                <w:i/>
                <w:smallCaps w:val="0"/>
                <w:sz w:val="20"/>
                <w:szCs w:val="20"/>
                <w:lang w:val="fr-CA"/>
              </w:rPr>
              <w:t>Loi réglementant certaines drogues et autres substances</w:t>
            </w:r>
            <w:r w:rsidRPr="009E2378">
              <w:rPr>
                <w:smallCaps w:val="0"/>
                <w:sz w:val="20"/>
                <w:szCs w:val="20"/>
                <w:lang w:val="fr-CA"/>
              </w:rPr>
              <w:t xml:space="preserve">? ― La Cour d’appel a-t-elle commis une erreur en n’écartant pas, en vertu du par. 24(2) de la </w:t>
            </w:r>
            <w:r w:rsidRPr="009E2378">
              <w:rPr>
                <w:i/>
                <w:smallCaps w:val="0"/>
                <w:sz w:val="20"/>
                <w:szCs w:val="20"/>
                <w:lang w:val="fr-CA"/>
              </w:rPr>
              <w:t>Charte</w:t>
            </w:r>
            <w:r w:rsidRPr="009E2378">
              <w:rPr>
                <w:smallCaps w:val="0"/>
                <w:sz w:val="20"/>
                <w:szCs w:val="20"/>
                <w:lang w:val="fr-CA"/>
              </w:rPr>
              <w:t xml:space="preserve">, les éléments de preuve de preuve saisis, au motif que la police a contrevenu aux dispositions impératives du </w:t>
            </w:r>
            <w:r w:rsidRPr="009E2378">
              <w:rPr>
                <w:i/>
                <w:smallCaps w:val="0"/>
                <w:sz w:val="20"/>
                <w:szCs w:val="20"/>
                <w:lang w:val="fr-CA"/>
              </w:rPr>
              <w:t>Code criminel</w:t>
            </w:r>
            <w:r w:rsidRPr="009E2378">
              <w:rPr>
                <w:smallCaps w:val="0"/>
                <w:sz w:val="20"/>
                <w:szCs w:val="20"/>
                <w:lang w:val="fr-CA"/>
              </w:rPr>
              <w:t xml:space="preserve"> portant sur le rapport établi selon la formule 5.2? ― </w:t>
            </w:r>
            <w:r w:rsidRPr="009E2378">
              <w:rPr>
                <w:i/>
                <w:smallCaps w:val="0"/>
                <w:sz w:val="20"/>
                <w:szCs w:val="20"/>
                <w:lang w:val="fr-CA"/>
              </w:rPr>
              <w:t>Loi réglementant certaines drogues et autres substances</w:t>
            </w:r>
            <w:r w:rsidRPr="009E2378">
              <w:rPr>
                <w:smallCaps w:val="0"/>
                <w:sz w:val="20"/>
                <w:szCs w:val="20"/>
                <w:lang w:val="fr-CA"/>
              </w:rPr>
              <w:t xml:space="preserve">, L.C. 1996, c. 19, par. 11(7) ― </w:t>
            </w:r>
            <w:r w:rsidRPr="009E2378">
              <w:rPr>
                <w:i/>
                <w:smallCaps w:val="0"/>
                <w:sz w:val="20"/>
                <w:szCs w:val="20"/>
                <w:lang w:val="fr-CA"/>
              </w:rPr>
              <w:t>Code criminel</w:t>
            </w:r>
            <w:r w:rsidRPr="009E2378">
              <w:rPr>
                <w:smallCaps w:val="0"/>
                <w:sz w:val="20"/>
                <w:szCs w:val="20"/>
                <w:lang w:val="fr-CA"/>
              </w:rPr>
              <w:t>, L.R.C. 1985, c. C-46, art. 489.1.</w:t>
            </w:r>
          </w:p>
        </w:tc>
      </w:tr>
      <w:tr w:rsidR="009E2378" w:rsidRPr="009E2378" w:rsidTr="009E2378">
        <w:tc>
          <w:tcPr>
            <w:tcW w:w="5000" w:type="pct"/>
            <w:gridSpan w:val="4"/>
          </w:tcPr>
          <w:p w:rsidR="009E2378" w:rsidRPr="009E2378" w:rsidRDefault="009E2378" w:rsidP="009E2378">
            <w:pPr>
              <w:jc w:val="both"/>
              <w:rPr>
                <w:sz w:val="20"/>
                <w:lang w:val="fr-CA"/>
              </w:rPr>
            </w:pPr>
          </w:p>
        </w:tc>
      </w:tr>
      <w:tr w:rsidR="009E2378" w:rsidRPr="009E2378" w:rsidTr="009E2378">
        <w:tc>
          <w:tcPr>
            <w:tcW w:w="5000" w:type="pct"/>
            <w:gridSpan w:val="4"/>
          </w:tcPr>
          <w:p w:rsidR="009E2378" w:rsidRPr="009E2378" w:rsidRDefault="009E2378" w:rsidP="009E2378">
            <w:pPr>
              <w:jc w:val="both"/>
              <w:rPr>
                <w:sz w:val="20"/>
                <w:lang w:val="fr-CA" w:eastAsia="en-CA"/>
              </w:rPr>
            </w:pPr>
            <w:r w:rsidRPr="009E2378">
              <w:rPr>
                <w:sz w:val="20"/>
                <w:lang w:val="fr-CA" w:eastAsia="en-CA"/>
              </w:rPr>
              <w:t>Brendan Paterson a été déclaré coupable de neuf infractions : deux chefs de possession de drogues illicites, trois chefs de possession de drogues illicites en vue d’en faire le trafic et quatre chefs de possession illégale d’armes à feu. Il a été condamné à une peine de quatre ans et demi d’emprisonnement.</w:t>
            </w:r>
          </w:p>
          <w:p w:rsidR="009E2378" w:rsidRPr="009E2378" w:rsidRDefault="009E2378" w:rsidP="009E2378">
            <w:pPr>
              <w:jc w:val="both"/>
              <w:rPr>
                <w:sz w:val="20"/>
                <w:lang w:val="fr-CA" w:eastAsia="en-CA"/>
              </w:rPr>
            </w:pPr>
          </w:p>
          <w:p w:rsidR="009E2378" w:rsidRPr="009E2378" w:rsidRDefault="009E2378" w:rsidP="009E2378">
            <w:pPr>
              <w:jc w:val="both"/>
              <w:rPr>
                <w:sz w:val="20"/>
                <w:lang w:val="fr-CA" w:eastAsia="en-CA"/>
              </w:rPr>
            </w:pPr>
            <w:r w:rsidRPr="009E2378">
              <w:rPr>
                <w:sz w:val="20"/>
                <w:lang w:val="fr-CA" w:eastAsia="en-CA"/>
              </w:rPr>
              <w:t xml:space="preserve">Au procès, le juge a tenu un voir-dire fondé sur la </w:t>
            </w:r>
            <w:r w:rsidRPr="009E2378">
              <w:rPr>
                <w:i/>
                <w:sz w:val="20"/>
                <w:lang w:val="fr-CA" w:eastAsia="en-CA"/>
              </w:rPr>
              <w:t xml:space="preserve">Charte </w:t>
            </w:r>
            <w:r w:rsidRPr="009E2378">
              <w:rPr>
                <w:sz w:val="20"/>
                <w:lang w:val="fr-CA" w:eastAsia="en-CA"/>
              </w:rPr>
              <w:t xml:space="preserve">pour statuer sur l’objection soulevée par M. Paterson relativement à l’admission de la preuve saisie par la police lors de la perquisition de son appartement. Le juge du procès a rejeté la demande d’exclusion de la preuve. </w:t>
            </w:r>
          </w:p>
          <w:p w:rsidR="009E2378" w:rsidRPr="009E2378" w:rsidRDefault="009E2378" w:rsidP="009E2378">
            <w:pPr>
              <w:jc w:val="both"/>
              <w:rPr>
                <w:sz w:val="20"/>
                <w:lang w:val="fr-CA" w:eastAsia="en-CA"/>
              </w:rPr>
            </w:pPr>
          </w:p>
          <w:p w:rsidR="009E2378" w:rsidRPr="009E2378" w:rsidRDefault="009E2378" w:rsidP="009E2378">
            <w:pPr>
              <w:jc w:val="both"/>
              <w:rPr>
                <w:sz w:val="20"/>
                <w:lang w:val="fr-CA"/>
              </w:rPr>
            </w:pPr>
            <w:r w:rsidRPr="009E2378">
              <w:rPr>
                <w:sz w:val="20"/>
                <w:lang w:val="fr-CA" w:eastAsia="en-CA"/>
              </w:rPr>
              <w:t>En appel, la Cour d’appel a conclu qu’il n’y avait pas lieu de modifier les conclusions du juge du procès. Elle a rejeté l’appel de la déclaration de culpabilité.</w:t>
            </w:r>
          </w:p>
        </w:tc>
      </w:tr>
      <w:tr w:rsidR="009E2378" w:rsidRPr="009E2378" w:rsidTr="009E2378">
        <w:tc>
          <w:tcPr>
            <w:tcW w:w="5000" w:type="pct"/>
            <w:gridSpan w:val="4"/>
          </w:tcPr>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5 octobre 2012</w:t>
            </w:r>
          </w:p>
          <w:p w:rsidR="009E2378" w:rsidRPr="009E2378" w:rsidRDefault="009E2378" w:rsidP="009E2378">
            <w:pPr>
              <w:jc w:val="both"/>
              <w:rPr>
                <w:sz w:val="20"/>
                <w:lang w:val="fr-CA"/>
              </w:rPr>
            </w:pPr>
            <w:r w:rsidRPr="009E2378">
              <w:rPr>
                <w:sz w:val="20"/>
                <w:lang w:val="fr-CA"/>
              </w:rPr>
              <w:t>Cour suprême de la Colombie-Britannique</w:t>
            </w:r>
          </w:p>
          <w:p w:rsidR="009E2378" w:rsidRPr="009E2378" w:rsidRDefault="009E2378" w:rsidP="009E2378">
            <w:pPr>
              <w:jc w:val="both"/>
              <w:rPr>
                <w:sz w:val="20"/>
                <w:lang w:val="fr-CA"/>
              </w:rPr>
            </w:pPr>
            <w:r w:rsidRPr="009E2378">
              <w:rPr>
                <w:sz w:val="20"/>
                <w:lang w:val="fr-CA"/>
              </w:rPr>
              <w:t>(Juge Blok)</w:t>
            </w:r>
          </w:p>
          <w:p w:rsidR="009E2378" w:rsidRPr="009E2378" w:rsidRDefault="009E2378" w:rsidP="009E2378">
            <w:pPr>
              <w:jc w:val="both"/>
              <w:rPr>
                <w:rStyle w:val="Hyperlink"/>
                <w:sz w:val="20"/>
                <w:lang w:val="fr-CA"/>
              </w:rPr>
            </w:pPr>
            <w:hyperlink r:id="rId19" w:history="1">
              <w:r w:rsidRPr="009E2378">
                <w:rPr>
                  <w:rStyle w:val="Hyperlink"/>
                  <w:sz w:val="20"/>
                  <w:lang w:val="fr-CA"/>
                </w:rPr>
                <w:t>2011 BCSC 1728</w:t>
              </w:r>
            </w:hyperlink>
          </w:p>
          <w:p w:rsidR="009E2378" w:rsidRPr="009E2378" w:rsidRDefault="009E2378" w:rsidP="009E2378">
            <w:pPr>
              <w:jc w:val="both"/>
              <w:rPr>
                <w:sz w:val="20"/>
                <w:lang w:val="fr-CA"/>
              </w:rPr>
            </w:pP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 xml:space="preserve">Rejet de la demande d’exclusion de la preuve.  </w:t>
            </w:r>
          </w:p>
          <w:p w:rsidR="009E2378" w:rsidRPr="009E2378" w:rsidRDefault="009E2378" w:rsidP="009E2378">
            <w:pPr>
              <w:jc w:val="both"/>
              <w:rPr>
                <w:sz w:val="20"/>
                <w:lang w:val="fr-CA"/>
              </w:rPr>
            </w:pP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13 mai 2015</w:t>
            </w:r>
          </w:p>
          <w:p w:rsidR="009E2378" w:rsidRPr="009E2378" w:rsidRDefault="009E2378" w:rsidP="009E2378">
            <w:pPr>
              <w:jc w:val="both"/>
              <w:rPr>
                <w:sz w:val="20"/>
                <w:lang w:val="fr-CA"/>
              </w:rPr>
            </w:pPr>
            <w:r w:rsidRPr="009E2378">
              <w:rPr>
                <w:sz w:val="20"/>
                <w:lang w:val="fr-CA"/>
              </w:rPr>
              <w:t xml:space="preserve">Cour d’appel de la Colombie-Britannique </w:t>
            </w:r>
          </w:p>
          <w:p w:rsidR="009E2378" w:rsidRPr="009E2378" w:rsidRDefault="009E2378" w:rsidP="009E2378">
            <w:pPr>
              <w:jc w:val="both"/>
              <w:rPr>
                <w:sz w:val="20"/>
                <w:lang w:val="fr-CA"/>
              </w:rPr>
            </w:pPr>
            <w:r w:rsidRPr="009E2378">
              <w:rPr>
                <w:sz w:val="20"/>
                <w:lang w:val="fr-CA"/>
              </w:rPr>
              <w:t>(Vancouver)</w:t>
            </w:r>
          </w:p>
          <w:p w:rsidR="009E2378" w:rsidRPr="009E2378" w:rsidRDefault="009E2378" w:rsidP="009E2378">
            <w:pPr>
              <w:jc w:val="both"/>
              <w:rPr>
                <w:sz w:val="20"/>
                <w:lang w:val="fr-CA"/>
              </w:rPr>
            </w:pPr>
            <w:r w:rsidRPr="009E2378">
              <w:rPr>
                <w:sz w:val="20"/>
                <w:lang w:val="fr-CA"/>
              </w:rPr>
              <w:t xml:space="preserve">(Juges Lowry, </w:t>
            </w:r>
            <w:proofErr w:type="spellStart"/>
            <w:r w:rsidRPr="009E2378">
              <w:rPr>
                <w:sz w:val="20"/>
                <w:lang w:val="fr-CA"/>
              </w:rPr>
              <w:t>Frankel</w:t>
            </w:r>
            <w:proofErr w:type="spellEnd"/>
            <w:r w:rsidRPr="009E2378">
              <w:rPr>
                <w:sz w:val="20"/>
                <w:lang w:val="fr-CA"/>
              </w:rPr>
              <w:t xml:space="preserve"> et Bennett)</w:t>
            </w:r>
          </w:p>
          <w:p w:rsidR="009E2378" w:rsidRPr="009E2378" w:rsidRDefault="009E2378" w:rsidP="009E2378">
            <w:pPr>
              <w:jc w:val="both"/>
              <w:rPr>
                <w:sz w:val="20"/>
                <w:lang w:val="fr-CA"/>
              </w:rPr>
            </w:pPr>
            <w:hyperlink r:id="rId20" w:history="1">
              <w:r w:rsidRPr="009E2378">
                <w:rPr>
                  <w:rStyle w:val="Hyperlink"/>
                  <w:sz w:val="20"/>
                  <w:lang w:val="fr-CA"/>
                </w:rPr>
                <w:t>2015 BCCA 205</w:t>
              </w:r>
            </w:hyperlink>
          </w:p>
          <w:p w:rsidR="009E2378" w:rsidRPr="009E2378" w:rsidRDefault="009E2378" w:rsidP="009E2378">
            <w:pPr>
              <w:jc w:val="both"/>
              <w:rPr>
                <w:sz w:val="20"/>
              </w:rPr>
            </w:pPr>
            <w:r w:rsidRPr="009E2378">
              <w:rPr>
                <w:sz w:val="20"/>
              </w:rPr>
              <w:t>N</w:t>
            </w:r>
            <w:r w:rsidRPr="009E2378">
              <w:rPr>
                <w:sz w:val="20"/>
                <w:vertAlign w:val="superscript"/>
              </w:rPr>
              <w:t>o</w:t>
            </w:r>
            <w:r w:rsidRPr="009E2378">
              <w:rPr>
                <w:sz w:val="20"/>
              </w:rPr>
              <w:t xml:space="preserve"> du </w:t>
            </w:r>
            <w:proofErr w:type="spellStart"/>
            <w:r w:rsidRPr="009E2378">
              <w:rPr>
                <w:sz w:val="20"/>
              </w:rPr>
              <w:t>greffe</w:t>
            </w:r>
            <w:proofErr w:type="spellEnd"/>
            <w:r w:rsidRPr="009E2378">
              <w:rPr>
                <w:sz w:val="20"/>
              </w:rPr>
              <w:t> : CA040943</w:t>
            </w:r>
          </w:p>
          <w:p w:rsidR="009E2378" w:rsidRPr="009E2378" w:rsidRDefault="009E2378" w:rsidP="009E2378">
            <w:pPr>
              <w:jc w:val="both"/>
              <w:rPr>
                <w:sz w:val="20"/>
              </w:rPr>
            </w:pP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lang w:val="fr-CA"/>
              </w:rPr>
            </w:pPr>
            <w:r w:rsidRPr="009E2378">
              <w:rPr>
                <w:sz w:val="20"/>
                <w:lang w:val="fr-CA"/>
              </w:rPr>
              <w:t>Rejet de l’appel de la déclaration de culpabilité.</w:t>
            </w: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eastAsia="en-CA"/>
              </w:rPr>
            </w:pPr>
            <w:r w:rsidRPr="009E2378">
              <w:rPr>
                <w:sz w:val="20"/>
                <w:lang w:val="fr-CA" w:eastAsia="en-CA"/>
              </w:rPr>
              <w:t>11 septembre 2015</w:t>
            </w:r>
          </w:p>
          <w:p w:rsidR="009E2378" w:rsidRPr="009E2378" w:rsidRDefault="009E2378" w:rsidP="009E2378">
            <w:pPr>
              <w:jc w:val="both"/>
              <w:rPr>
                <w:sz w:val="20"/>
                <w:lang w:val="fr-CA" w:eastAsia="en-CA"/>
              </w:rPr>
            </w:pPr>
            <w:r w:rsidRPr="009E2378">
              <w:rPr>
                <w:sz w:val="20"/>
                <w:lang w:val="fr-CA" w:eastAsia="en-CA"/>
              </w:rPr>
              <w:t xml:space="preserve">Cour suprême du Canada </w:t>
            </w:r>
          </w:p>
          <w:p w:rsidR="009E2378" w:rsidRPr="009E2378" w:rsidRDefault="009E2378" w:rsidP="009E2378">
            <w:pPr>
              <w:jc w:val="both"/>
              <w:rPr>
                <w:sz w:val="20"/>
                <w:lang w:val="fr-CA"/>
              </w:rPr>
            </w:pPr>
          </w:p>
          <w:p w:rsidR="009E2378" w:rsidRPr="009E2378" w:rsidRDefault="009E2378" w:rsidP="009E2378">
            <w:pPr>
              <w:jc w:val="both"/>
              <w:rPr>
                <w:sz w:val="20"/>
                <w:lang w:val="fr-CA"/>
              </w:rPr>
            </w:pP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eastAsia="en-CA"/>
              </w:rPr>
            </w:pPr>
            <w:r w:rsidRPr="009E2378">
              <w:rPr>
                <w:sz w:val="20"/>
                <w:lang w:val="fr-CA" w:eastAsia="en-CA"/>
              </w:rPr>
              <w:t>Dépôt d’une requête en prorogation de délai pour déposer et signifier la demande d’autorisation, et dépôt de la demande d’autorisation d’appel.</w:t>
            </w:r>
          </w:p>
          <w:p w:rsidR="009E2378" w:rsidRPr="009E2378" w:rsidRDefault="009E2378" w:rsidP="009E2378">
            <w:pPr>
              <w:jc w:val="both"/>
              <w:rPr>
                <w:sz w:val="20"/>
                <w:lang w:val="fr-CA"/>
              </w:rPr>
            </w:pPr>
          </w:p>
        </w:tc>
      </w:tr>
    </w:tbl>
    <w:p w:rsidR="009E2378" w:rsidRPr="009E2378" w:rsidRDefault="009E2378" w:rsidP="009E237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2378" w:rsidRPr="009E2378" w:rsidTr="009E2378">
        <w:tc>
          <w:tcPr>
            <w:tcW w:w="543" w:type="pct"/>
          </w:tcPr>
          <w:p w:rsidR="009E2378" w:rsidRPr="009E2378" w:rsidRDefault="009E2378" w:rsidP="009E2378">
            <w:pPr>
              <w:jc w:val="both"/>
              <w:rPr>
                <w:sz w:val="20"/>
              </w:rPr>
            </w:pPr>
            <w:r w:rsidRPr="009E2378">
              <w:rPr>
                <w:rStyle w:val="SCCFileNumberChar"/>
                <w:sz w:val="20"/>
                <w:szCs w:val="20"/>
              </w:rPr>
              <w:t>36482</w:t>
            </w:r>
          </w:p>
        </w:tc>
        <w:tc>
          <w:tcPr>
            <w:tcW w:w="4457" w:type="pct"/>
            <w:gridSpan w:val="3"/>
          </w:tcPr>
          <w:p w:rsidR="009E2378" w:rsidRPr="00F13B48" w:rsidRDefault="009E2378" w:rsidP="009E2378">
            <w:pPr>
              <w:pStyle w:val="SCCLsocParty"/>
              <w:jc w:val="both"/>
              <w:rPr>
                <w:b/>
                <w:sz w:val="20"/>
                <w:szCs w:val="20"/>
                <w:lang w:val="en-US"/>
              </w:rPr>
            </w:pPr>
            <w:proofErr w:type="spellStart"/>
            <w:r w:rsidRPr="00F13B48">
              <w:rPr>
                <w:b/>
                <w:sz w:val="20"/>
                <w:szCs w:val="20"/>
                <w:lang w:val="en-US"/>
              </w:rPr>
              <w:t>Luu</w:t>
            </w:r>
            <w:proofErr w:type="spellEnd"/>
            <w:r w:rsidRPr="00F13B48">
              <w:rPr>
                <w:b/>
                <w:sz w:val="20"/>
                <w:szCs w:val="20"/>
                <w:lang w:val="en-US"/>
              </w:rPr>
              <w:t xml:space="preserve"> Hung Viet Derrick, Murray Jamieson v. Wong </w:t>
            </w:r>
            <w:proofErr w:type="spellStart"/>
            <w:r w:rsidRPr="00F13B48">
              <w:rPr>
                <w:b/>
                <w:sz w:val="20"/>
                <w:szCs w:val="20"/>
                <w:lang w:val="en-US"/>
              </w:rPr>
              <w:t>Tak</w:t>
            </w:r>
            <w:proofErr w:type="spellEnd"/>
            <w:r w:rsidRPr="00F13B48">
              <w:rPr>
                <w:b/>
                <w:sz w:val="20"/>
                <w:szCs w:val="20"/>
                <w:lang w:val="en-US"/>
              </w:rPr>
              <w:t xml:space="preserve"> Man Stephen, Osman Mohammed Arab</w:t>
            </w:r>
          </w:p>
          <w:p w:rsidR="009E2378" w:rsidRPr="009E2378" w:rsidRDefault="009E2378" w:rsidP="009E2378">
            <w:pPr>
              <w:jc w:val="both"/>
              <w:rPr>
                <w:sz w:val="20"/>
              </w:rPr>
            </w:pPr>
            <w:r w:rsidRPr="009E2378">
              <w:rPr>
                <w:sz w:val="20"/>
              </w:rPr>
              <w:t>(B.C.) (Civil) (By Leave)</w:t>
            </w:r>
          </w:p>
        </w:tc>
      </w:tr>
      <w:tr w:rsidR="009E2378" w:rsidRPr="009E2378" w:rsidTr="009E2378">
        <w:tc>
          <w:tcPr>
            <w:tcW w:w="5000" w:type="pct"/>
            <w:gridSpan w:val="4"/>
          </w:tcPr>
          <w:p w:rsidR="009E2378" w:rsidRPr="009E2378" w:rsidRDefault="009E2378" w:rsidP="009E2378">
            <w:pPr>
              <w:jc w:val="both"/>
              <w:rPr>
                <w:sz w:val="20"/>
              </w:rPr>
            </w:pPr>
            <w:r w:rsidRPr="009E2378">
              <w:rPr>
                <w:sz w:val="20"/>
              </w:rPr>
              <w:t xml:space="preserve">Law of professions – Barristers and solicitors – Solicitor-client privilege – Foreign bankruptcy Trustees seeking disclosure of information from bankrupt’s Canadian law firm – After </w:t>
            </w:r>
            <w:r w:rsidRPr="009E2378">
              <w:rPr>
                <w:i/>
                <w:sz w:val="20"/>
              </w:rPr>
              <w:t>Maranda</w:t>
            </w:r>
            <w:r w:rsidRPr="009E2378">
              <w:rPr>
                <w:sz w:val="20"/>
              </w:rPr>
              <w:t>, does the distinction between evidence of communications and evidence of facts continue to apply in the privilege analysis? – Is all information possessed by a lawyer flowing from the relationship between solicitor and client presumptively privileged? – Are law firm’s trust ledgers presumptively privileged? – To what extent do parties seeking access to lawyers’ files have to exhaust other avenues of obtaining that information?</w:t>
            </w:r>
          </w:p>
        </w:tc>
      </w:tr>
      <w:tr w:rsidR="009E2378" w:rsidRPr="009E2378" w:rsidTr="009E2378">
        <w:tc>
          <w:tcPr>
            <w:tcW w:w="5000" w:type="pct"/>
            <w:gridSpan w:val="4"/>
          </w:tcPr>
          <w:p w:rsidR="009E2378" w:rsidRPr="009E2378" w:rsidRDefault="009E2378" w:rsidP="009E2378">
            <w:pPr>
              <w:jc w:val="both"/>
              <w:rPr>
                <w:sz w:val="20"/>
              </w:rPr>
            </w:pPr>
          </w:p>
        </w:tc>
      </w:tr>
      <w:tr w:rsidR="009E2378" w:rsidRPr="009E2378" w:rsidTr="009E2378">
        <w:tc>
          <w:tcPr>
            <w:tcW w:w="5000" w:type="pct"/>
            <w:gridSpan w:val="4"/>
          </w:tcPr>
          <w:p w:rsidR="009E2378" w:rsidRPr="009E2378" w:rsidRDefault="009E2378" w:rsidP="009E2378">
            <w:pPr>
              <w:jc w:val="both"/>
              <w:rPr>
                <w:iCs/>
                <w:sz w:val="20"/>
              </w:rPr>
            </w:pPr>
            <w:r w:rsidRPr="009E2378">
              <w:rPr>
                <w:iCs/>
                <w:sz w:val="20"/>
              </w:rPr>
              <w:t>The applicant, Mr. </w:t>
            </w:r>
            <w:proofErr w:type="spellStart"/>
            <w:r w:rsidRPr="009E2378">
              <w:rPr>
                <w:iCs/>
                <w:sz w:val="20"/>
              </w:rPr>
              <w:t>Luu</w:t>
            </w:r>
            <w:proofErr w:type="spellEnd"/>
            <w:r w:rsidRPr="009E2378">
              <w:rPr>
                <w:iCs/>
                <w:sz w:val="20"/>
              </w:rPr>
              <w:t>, was petitioned into bankruptcy in Hong Kong in February, 2012. He was also involved in litigation in British Columbia and was represented by Murray Jamieson LLP. The respondents were appointed Trustees in the Hong Kong bankruptcy proceedings. In April 2012, Mr. </w:t>
            </w:r>
            <w:proofErr w:type="spellStart"/>
            <w:r w:rsidRPr="009E2378">
              <w:rPr>
                <w:iCs/>
                <w:sz w:val="20"/>
              </w:rPr>
              <w:t>Luu</w:t>
            </w:r>
            <w:proofErr w:type="spellEnd"/>
            <w:r w:rsidRPr="009E2378">
              <w:rPr>
                <w:iCs/>
                <w:sz w:val="20"/>
              </w:rPr>
              <w:t xml:space="preserve"> made a solemn affirmation in the bankruptcy proceedings that his assets had a value of $7.15 million. In February, 2013, the Trustees became aware that Mr. </w:t>
            </w:r>
            <w:proofErr w:type="spellStart"/>
            <w:r w:rsidRPr="009E2378">
              <w:rPr>
                <w:iCs/>
                <w:sz w:val="20"/>
              </w:rPr>
              <w:t>Luu</w:t>
            </w:r>
            <w:proofErr w:type="spellEnd"/>
            <w:r w:rsidRPr="009E2378">
              <w:rPr>
                <w:iCs/>
                <w:sz w:val="20"/>
              </w:rPr>
              <w:t xml:space="preserve"> had been awarded judgment in excess of US$3 million in the British Columbia action. The Trustees contacted the law firms representing the defendants, advised them of Mr. </w:t>
            </w:r>
            <w:proofErr w:type="spellStart"/>
            <w:r w:rsidRPr="009E2378">
              <w:rPr>
                <w:iCs/>
                <w:sz w:val="20"/>
              </w:rPr>
              <w:t>Luu’s</w:t>
            </w:r>
            <w:proofErr w:type="spellEnd"/>
            <w:r w:rsidRPr="009E2378">
              <w:rPr>
                <w:iCs/>
                <w:sz w:val="20"/>
              </w:rPr>
              <w:t xml:space="preserve"> Hong Kong bankruptcy and learned that the law firms had paid the judgment award into the Murray Jamieson trust account, by way of three payments in August and September, 2011 and June, 2012. The Trustees then contacted Murray Jamieson to determine, </w:t>
            </w:r>
            <w:r w:rsidRPr="009E2378">
              <w:rPr>
                <w:i/>
                <w:iCs/>
                <w:sz w:val="20"/>
              </w:rPr>
              <w:t>inter alia</w:t>
            </w:r>
            <w:r w:rsidRPr="009E2378">
              <w:rPr>
                <w:iCs/>
                <w:sz w:val="20"/>
              </w:rPr>
              <w:t>, whether the law firm continued to hold any of those monies in their trust account on behalf of Mr. </w:t>
            </w:r>
            <w:proofErr w:type="spellStart"/>
            <w:r w:rsidRPr="009E2378">
              <w:rPr>
                <w:iCs/>
                <w:sz w:val="20"/>
              </w:rPr>
              <w:t>Luu</w:t>
            </w:r>
            <w:proofErr w:type="spellEnd"/>
            <w:r w:rsidRPr="009E2378">
              <w:rPr>
                <w:iCs/>
                <w:sz w:val="20"/>
              </w:rPr>
              <w:t>. Murray Jamieson refused to divulge any information on the basis of solicitor-client privilege. The Trustees sought an order requiring the firm to disclose accounting information relating to Mr. </w:t>
            </w:r>
            <w:proofErr w:type="spellStart"/>
            <w:r w:rsidRPr="009E2378">
              <w:rPr>
                <w:iCs/>
                <w:sz w:val="20"/>
              </w:rPr>
              <w:t>Luu</w:t>
            </w:r>
            <w:proofErr w:type="spellEnd"/>
            <w:r w:rsidRPr="009E2378">
              <w:rPr>
                <w:iCs/>
                <w:sz w:val="20"/>
              </w:rPr>
              <w:t>.</w:t>
            </w:r>
          </w:p>
          <w:p w:rsidR="009E2378" w:rsidRPr="009E2378" w:rsidRDefault="009E2378" w:rsidP="009E2378">
            <w:pPr>
              <w:jc w:val="both"/>
              <w:rPr>
                <w:sz w:val="20"/>
              </w:rPr>
            </w:pPr>
          </w:p>
        </w:tc>
      </w:tr>
      <w:tr w:rsidR="009E2378" w:rsidRPr="009E2378" w:rsidTr="009E2378">
        <w:tc>
          <w:tcPr>
            <w:tcW w:w="2427" w:type="pct"/>
            <w:gridSpan w:val="2"/>
          </w:tcPr>
          <w:p w:rsidR="009E2378" w:rsidRPr="009E2378" w:rsidRDefault="009E2378" w:rsidP="009E2378">
            <w:pPr>
              <w:jc w:val="both"/>
              <w:rPr>
                <w:sz w:val="20"/>
              </w:rPr>
            </w:pPr>
            <w:r w:rsidRPr="009E2378">
              <w:rPr>
                <w:sz w:val="20"/>
              </w:rPr>
              <w:t>July 31, 2013</w:t>
            </w:r>
          </w:p>
          <w:p w:rsidR="009E2378" w:rsidRPr="009E2378" w:rsidRDefault="009E2378" w:rsidP="009E2378">
            <w:pPr>
              <w:jc w:val="both"/>
              <w:rPr>
                <w:sz w:val="20"/>
              </w:rPr>
            </w:pPr>
            <w:r w:rsidRPr="009E2378">
              <w:rPr>
                <w:sz w:val="20"/>
              </w:rPr>
              <w:t>Supreme Court of British Columbia</w:t>
            </w:r>
          </w:p>
          <w:p w:rsidR="009E2378" w:rsidRPr="009E2378" w:rsidRDefault="009E2378" w:rsidP="009E2378">
            <w:pPr>
              <w:jc w:val="both"/>
              <w:rPr>
                <w:sz w:val="20"/>
              </w:rPr>
            </w:pPr>
            <w:r w:rsidRPr="009E2378">
              <w:rPr>
                <w:sz w:val="20"/>
              </w:rPr>
              <w:t>(Sewell J.)</w:t>
            </w:r>
          </w:p>
          <w:p w:rsidR="009E2378" w:rsidRPr="009E2378" w:rsidRDefault="009E2378" w:rsidP="009E2378">
            <w:pPr>
              <w:jc w:val="both"/>
              <w:rPr>
                <w:sz w:val="20"/>
              </w:rPr>
            </w:pPr>
            <w:hyperlink r:id="rId21" w:history="1">
              <w:r w:rsidRPr="009E2378">
                <w:rPr>
                  <w:rStyle w:val="Hyperlink"/>
                  <w:sz w:val="20"/>
                </w:rPr>
                <w:t>2013 BCSC 1374</w:t>
              </w:r>
            </w:hyperlink>
          </w:p>
          <w:p w:rsidR="009E2378" w:rsidRPr="009E2378" w:rsidRDefault="009E2378" w:rsidP="009E2378">
            <w:pPr>
              <w:jc w:val="both"/>
              <w:rPr>
                <w:sz w:val="20"/>
              </w:rPr>
            </w:pP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Motion to have certain information disclosed to Trustees by bankrupt and his law firm, granted in part. Law firm required to disclose records showing movement of money in and out of trust fund</w:t>
            </w:r>
          </w:p>
          <w:p w:rsidR="009E2378" w:rsidRPr="009E2378" w:rsidRDefault="009E2378" w:rsidP="009E2378">
            <w:pPr>
              <w:jc w:val="both"/>
              <w:rPr>
                <w:sz w:val="20"/>
              </w:rPr>
            </w:pPr>
          </w:p>
        </w:tc>
      </w:tr>
      <w:tr w:rsidR="009E2378" w:rsidRPr="009E2378" w:rsidTr="009E2378">
        <w:tc>
          <w:tcPr>
            <w:tcW w:w="2427" w:type="pct"/>
            <w:gridSpan w:val="2"/>
          </w:tcPr>
          <w:p w:rsidR="009E2378" w:rsidRPr="009E2378" w:rsidRDefault="009E2378" w:rsidP="009E2378">
            <w:pPr>
              <w:jc w:val="both"/>
              <w:rPr>
                <w:sz w:val="20"/>
              </w:rPr>
            </w:pPr>
            <w:r w:rsidRPr="009E2378">
              <w:rPr>
                <w:sz w:val="20"/>
              </w:rPr>
              <w:t>April 21, 2015</w:t>
            </w:r>
          </w:p>
          <w:p w:rsidR="009E2378" w:rsidRPr="009E2378" w:rsidRDefault="009E2378" w:rsidP="009E2378">
            <w:pPr>
              <w:jc w:val="both"/>
              <w:rPr>
                <w:sz w:val="20"/>
              </w:rPr>
            </w:pPr>
            <w:r w:rsidRPr="009E2378">
              <w:rPr>
                <w:sz w:val="20"/>
              </w:rPr>
              <w:t xml:space="preserve">Court of Appeal for British Columbia </w:t>
            </w:r>
          </w:p>
          <w:p w:rsidR="009E2378" w:rsidRPr="009E2378" w:rsidRDefault="009E2378" w:rsidP="009E2378">
            <w:pPr>
              <w:jc w:val="both"/>
              <w:rPr>
                <w:sz w:val="20"/>
              </w:rPr>
            </w:pPr>
            <w:r w:rsidRPr="009E2378">
              <w:rPr>
                <w:sz w:val="20"/>
              </w:rPr>
              <w:t>(Vancouver)</w:t>
            </w:r>
          </w:p>
          <w:p w:rsidR="009E2378" w:rsidRPr="009E2378" w:rsidRDefault="009E2378" w:rsidP="009E2378">
            <w:pPr>
              <w:jc w:val="both"/>
              <w:rPr>
                <w:sz w:val="20"/>
              </w:rPr>
            </w:pPr>
            <w:r w:rsidRPr="009E2378">
              <w:rPr>
                <w:sz w:val="20"/>
              </w:rPr>
              <w:t xml:space="preserve">(Smith, Bennett and </w:t>
            </w:r>
            <w:proofErr w:type="spellStart"/>
            <w:r w:rsidRPr="009E2378">
              <w:rPr>
                <w:sz w:val="20"/>
              </w:rPr>
              <w:t>Willcock</w:t>
            </w:r>
            <w:proofErr w:type="spellEnd"/>
            <w:r w:rsidRPr="009E2378">
              <w:rPr>
                <w:sz w:val="20"/>
              </w:rPr>
              <w:t xml:space="preserve"> JJ.A.)</w:t>
            </w:r>
          </w:p>
          <w:p w:rsidR="009E2378" w:rsidRPr="009E2378" w:rsidRDefault="009E2378" w:rsidP="009E2378">
            <w:pPr>
              <w:jc w:val="both"/>
              <w:rPr>
                <w:sz w:val="20"/>
              </w:rPr>
            </w:pPr>
            <w:hyperlink r:id="rId22" w:history="1">
              <w:r w:rsidRPr="009E2378">
                <w:rPr>
                  <w:rStyle w:val="Hyperlink"/>
                  <w:sz w:val="20"/>
                </w:rPr>
                <w:t>2015 BCCA 159</w:t>
              </w:r>
            </w:hyperlink>
          </w:p>
          <w:p w:rsidR="009E2378" w:rsidRPr="009E2378" w:rsidRDefault="009E2378" w:rsidP="009E2378">
            <w:pPr>
              <w:jc w:val="both"/>
              <w:rPr>
                <w:sz w:val="20"/>
              </w:rPr>
            </w:pP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Applicant’s appeal dismissed</w:t>
            </w:r>
          </w:p>
          <w:p w:rsidR="009E2378" w:rsidRPr="009E2378" w:rsidRDefault="009E2378" w:rsidP="009E2378">
            <w:pPr>
              <w:jc w:val="both"/>
              <w:rPr>
                <w:sz w:val="20"/>
              </w:rPr>
            </w:pPr>
          </w:p>
        </w:tc>
      </w:tr>
      <w:tr w:rsidR="009E2378" w:rsidRPr="009E2378" w:rsidTr="009E2378">
        <w:tc>
          <w:tcPr>
            <w:tcW w:w="2427" w:type="pct"/>
            <w:gridSpan w:val="2"/>
          </w:tcPr>
          <w:p w:rsidR="009E2378" w:rsidRPr="009E2378" w:rsidRDefault="009E2378" w:rsidP="009E2378">
            <w:pPr>
              <w:jc w:val="both"/>
              <w:rPr>
                <w:sz w:val="20"/>
              </w:rPr>
            </w:pPr>
            <w:r w:rsidRPr="009E2378">
              <w:rPr>
                <w:sz w:val="20"/>
              </w:rPr>
              <w:t>June 17, 2015</w:t>
            </w:r>
          </w:p>
          <w:p w:rsidR="009E2378" w:rsidRPr="009E2378" w:rsidRDefault="009E2378" w:rsidP="009E2378">
            <w:pPr>
              <w:jc w:val="both"/>
              <w:rPr>
                <w:sz w:val="20"/>
              </w:rPr>
            </w:pPr>
            <w:r w:rsidRPr="009E2378">
              <w:rPr>
                <w:sz w:val="20"/>
              </w:rPr>
              <w:t>Supreme Court of Canada</w:t>
            </w: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Application for leave to appeal filed</w:t>
            </w:r>
          </w:p>
          <w:p w:rsidR="009E2378" w:rsidRPr="009E2378" w:rsidRDefault="009E2378" w:rsidP="009E2378">
            <w:pPr>
              <w:jc w:val="both"/>
              <w:rPr>
                <w:sz w:val="20"/>
              </w:rPr>
            </w:pPr>
          </w:p>
        </w:tc>
      </w:tr>
    </w:tbl>
    <w:p w:rsidR="009E2378" w:rsidRDefault="009E2378" w:rsidP="009E2378">
      <w:pPr>
        <w:jc w:val="both"/>
        <w:rPr>
          <w:sz w:val="20"/>
        </w:rPr>
      </w:pPr>
    </w:p>
    <w:p w:rsidR="00F13B48" w:rsidRPr="009E2378" w:rsidRDefault="00F13B48" w:rsidP="009E237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2378" w:rsidRPr="009E2378" w:rsidTr="009E2378">
        <w:tc>
          <w:tcPr>
            <w:tcW w:w="543" w:type="pct"/>
          </w:tcPr>
          <w:p w:rsidR="009E2378" w:rsidRPr="009E2378" w:rsidRDefault="009E2378" w:rsidP="009E2378">
            <w:pPr>
              <w:jc w:val="both"/>
              <w:rPr>
                <w:sz w:val="20"/>
                <w:lang w:val="fr-CA"/>
              </w:rPr>
            </w:pPr>
            <w:r w:rsidRPr="009E2378">
              <w:rPr>
                <w:rStyle w:val="SCCFileNumberChar"/>
                <w:sz w:val="20"/>
                <w:szCs w:val="20"/>
                <w:lang w:val="fr-CA"/>
              </w:rPr>
              <w:t>36482</w:t>
            </w:r>
          </w:p>
        </w:tc>
        <w:tc>
          <w:tcPr>
            <w:tcW w:w="4457" w:type="pct"/>
            <w:gridSpan w:val="3"/>
          </w:tcPr>
          <w:p w:rsidR="009E2378" w:rsidRPr="00F13B48" w:rsidRDefault="009E2378" w:rsidP="009E2378">
            <w:pPr>
              <w:pStyle w:val="SCCLsocParty"/>
              <w:jc w:val="both"/>
              <w:rPr>
                <w:b/>
                <w:sz w:val="20"/>
                <w:szCs w:val="20"/>
                <w:lang w:val="en-US"/>
              </w:rPr>
            </w:pPr>
            <w:proofErr w:type="spellStart"/>
            <w:r w:rsidRPr="00F13B48">
              <w:rPr>
                <w:b/>
                <w:sz w:val="20"/>
                <w:szCs w:val="20"/>
                <w:lang w:val="en-US"/>
              </w:rPr>
              <w:t>Luu</w:t>
            </w:r>
            <w:proofErr w:type="spellEnd"/>
            <w:r w:rsidRPr="00F13B48">
              <w:rPr>
                <w:b/>
                <w:sz w:val="20"/>
                <w:szCs w:val="20"/>
                <w:lang w:val="en-US"/>
              </w:rPr>
              <w:t xml:space="preserve"> Hung Viet Derrick, Murray Jamieson c. Wong </w:t>
            </w:r>
            <w:proofErr w:type="spellStart"/>
            <w:r w:rsidRPr="00F13B48">
              <w:rPr>
                <w:b/>
                <w:sz w:val="20"/>
                <w:szCs w:val="20"/>
                <w:lang w:val="en-US"/>
              </w:rPr>
              <w:t>Tak</w:t>
            </w:r>
            <w:proofErr w:type="spellEnd"/>
            <w:r w:rsidRPr="00F13B48">
              <w:rPr>
                <w:b/>
                <w:sz w:val="20"/>
                <w:szCs w:val="20"/>
                <w:lang w:val="en-US"/>
              </w:rPr>
              <w:t xml:space="preserve"> Man Stephen, Osman Mohammed Arab</w:t>
            </w:r>
          </w:p>
          <w:p w:rsidR="009E2378" w:rsidRPr="009E2378" w:rsidRDefault="009E2378" w:rsidP="009E2378">
            <w:pPr>
              <w:jc w:val="both"/>
              <w:rPr>
                <w:sz w:val="20"/>
                <w:lang w:val="fr-CA"/>
              </w:rPr>
            </w:pPr>
            <w:r w:rsidRPr="009E2378">
              <w:rPr>
                <w:sz w:val="20"/>
                <w:lang w:val="fr-CA"/>
              </w:rPr>
              <w:t>(C.-B.) (Civile) (Sur autorisation)</w:t>
            </w:r>
          </w:p>
        </w:tc>
      </w:tr>
      <w:tr w:rsidR="009E2378" w:rsidRPr="009E2378" w:rsidTr="009E2378">
        <w:tc>
          <w:tcPr>
            <w:tcW w:w="5000" w:type="pct"/>
            <w:gridSpan w:val="4"/>
          </w:tcPr>
          <w:p w:rsidR="009E2378" w:rsidRPr="009E2378" w:rsidRDefault="009E2378" w:rsidP="009E2378">
            <w:pPr>
              <w:jc w:val="both"/>
              <w:rPr>
                <w:sz w:val="20"/>
                <w:lang w:val="fr-CA"/>
              </w:rPr>
            </w:pPr>
            <w:r w:rsidRPr="009E2378">
              <w:rPr>
                <w:sz w:val="20"/>
                <w:lang w:val="fr-CA"/>
              </w:rPr>
              <w:t xml:space="preserve">Droit des professions – Avocats et procureurs – Secret professionnel de l’avocat – Syndics de faillite à l’étranger cherchant à obtenir des renseignements du cabinet d’avocats du failli au Canada – Depuis l’arrêt </w:t>
            </w:r>
            <w:proofErr w:type="spellStart"/>
            <w:r w:rsidRPr="009E2378">
              <w:rPr>
                <w:i/>
                <w:sz w:val="20"/>
                <w:lang w:val="fr-CA"/>
              </w:rPr>
              <w:t>Maranda</w:t>
            </w:r>
            <w:proofErr w:type="spellEnd"/>
            <w:r w:rsidRPr="009E2378">
              <w:rPr>
                <w:sz w:val="20"/>
                <w:lang w:val="fr-CA"/>
              </w:rPr>
              <w:t>, la distinction entre la preuve des communications et la preuve des faits s’applique-t-elle toujours dans l’analyse relative au privilège du secret professionnel de l’avocat? – Est-ce tous les renseignements en la possession d’un avocat qui découlent de la relation avocat-client sont présumés assujettis à ce privilège? – Dans quelle mesure les parties qui demandent l’accès aux dossiers des avocats doivent-ils avoir épuisé d’autres moyens pour obtenir ces renseignements?</w:t>
            </w:r>
          </w:p>
        </w:tc>
      </w:tr>
      <w:tr w:rsidR="009E2378" w:rsidRPr="009E2378" w:rsidTr="009E2378">
        <w:tc>
          <w:tcPr>
            <w:tcW w:w="5000" w:type="pct"/>
            <w:gridSpan w:val="4"/>
          </w:tcPr>
          <w:p w:rsidR="009E2378" w:rsidRPr="009E2378" w:rsidRDefault="009E2378" w:rsidP="009E2378">
            <w:pPr>
              <w:jc w:val="both"/>
              <w:rPr>
                <w:sz w:val="20"/>
                <w:lang w:val="fr-CA"/>
              </w:rPr>
            </w:pPr>
          </w:p>
        </w:tc>
      </w:tr>
      <w:tr w:rsidR="009E2378" w:rsidRPr="009E2378" w:rsidTr="009E2378">
        <w:tc>
          <w:tcPr>
            <w:tcW w:w="5000" w:type="pct"/>
            <w:gridSpan w:val="4"/>
          </w:tcPr>
          <w:p w:rsidR="009E2378" w:rsidRPr="009E2378" w:rsidRDefault="009E2378" w:rsidP="009E2378">
            <w:pPr>
              <w:jc w:val="both"/>
              <w:rPr>
                <w:iCs/>
                <w:sz w:val="20"/>
                <w:lang w:val="fr-CA"/>
              </w:rPr>
            </w:pPr>
            <w:r w:rsidRPr="009E2378">
              <w:rPr>
                <w:iCs/>
                <w:sz w:val="20"/>
                <w:lang w:val="fr-CA"/>
              </w:rPr>
              <w:t>Le demandeur, M. </w:t>
            </w:r>
            <w:proofErr w:type="spellStart"/>
            <w:r w:rsidRPr="009E2378">
              <w:rPr>
                <w:iCs/>
                <w:sz w:val="20"/>
                <w:lang w:val="fr-CA"/>
              </w:rPr>
              <w:t>Luu</w:t>
            </w:r>
            <w:proofErr w:type="spellEnd"/>
            <w:r w:rsidRPr="009E2378">
              <w:rPr>
                <w:iCs/>
                <w:sz w:val="20"/>
                <w:lang w:val="fr-CA"/>
              </w:rPr>
              <w:t>, a fait l’objet d’une pétition en faillite à Hong Kong en février 2012. Il a également pris part à un litige en Colombie-Britannique, étant représenté par le cabinets d’avocats Murray Jamieson LLP. Les intimés ont été nommés syndics dans la procédure de faillite à Hong Kong. En avril 2012, M. </w:t>
            </w:r>
            <w:proofErr w:type="spellStart"/>
            <w:r w:rsidRPr="009E2378">
              <w:rPr>
                <w:iCs/>
                <w:sz w:val="20"/>
                <w:lang w:val="fr-CA"/>
              </w:rPr>
              <w:t>Luu</w:t>
            </w:r>
            <w:proofErr w:type="spellEnd"/>
            <w:r w:rsidRPr="009E2378">
              <w:rPr>
                <w:iCs/>
                <w:sz w:val="20"/>
                <w:lang w:val="fr-CA"/>
              </w:rPr>
              <w:t xml:space="preserve"> a affirmé solennellement au cours de cette procédure que la valeur de son actif s’élevait à 7,15 millions de dollars. En février 2013, les syndics ont appris que M. </w:t>
            </w:r>
            <w:proofErr w:type="spellStart"/>
            <w:r w:rsidRPr="009E2378">
              <w:rPr>
                <w:iCs/>
                <w:sz w:val="20"/>
                <w:lang w:val="fr-CA"/>
              </w:rPr>
              <w:t>Luu</w:t>
            </w:r>
            <w:proofErr w:type="spellEnd"/>
            <w:r w:rsidRPr="009E2378">
              <w:rPr>
                <w:iCs/>
                <w:sz w:val="20"/>
                <w:lang w:val="fr-CA"/>
              </w:rPr>
              <w:t xml:space="preserve"> avait obtenu un jugement lui accordant plus de 3 millions de dollars américains dans l’action en Colombie-Britannique. Les syndics ont communiqué avec les cabinets d’avocats qui représentaient les défendeurs, les ont informés de la faillite de M. </w:t>
            </w:r>
            <w:proofErr w:type="spellStart"/>
            <w:r w:rsidRPr="009E2378">
              <w:rPr>
                <w:iCs/>
                <w:sz w:val="20"/>
                <w:lang w:val="fr-CA"/>
              </w:rPr>
              <w:t>Luu</w:t>
            </w:r>
            <w:proofErr w:type="spellEnd"/>
            <w:r w:rsidRPr="009E2378">
              <w:rPr>
                <w:iCs/>
                <w:sz w:val="20"/>
                <w:lang w:val="fr-CA"/>
              </w:rPr>
              <w:t xml:space="preserve"> à Hong Kong et ont appris que ceux-ci avaient déposé la somme accordée par jugement dans le compte en fiducie de Murray Jamieson au moyen de trois versements faits en août et en septembre 2011 ainsi qu’en juin 2012. Les syndics ont alors communiqué avec le cabinet Murray Jamieson pour déterminer notamment s’il détenait toujours les sommes en cause dans son compte en fiducie au nom de M. </w:t>
            </w:r>
            <w:proofErr w:type="spellStart"/>
            <w:r w:rsidRPr="009E2378">
              <w:rPr>
                <w:iCs/>
                <w:sz w:val="20"/>
                <w:lang w:val="fr-CA"/>
              </w:rPr>
              <w:t>Luu</w:t>
            </w:r>
            <w:proofErr w:type="spellEnd"/>
            <w:r w:rsidRPr="009E2378">
              <w:rPr>
                <w:iCs/>
                <w:sz w:val="20"/>
                <w:lang w:val="fr-CA"/>
              </w:rPr>
              <w:t>. Murray Jamieson a refusé de communiquer quelque renseignement que ce soit en s’appuyant sur le privilège du secret professionnel de l’avocat. Les syndics ont demandé une ordonnance lui intimant de communiquer les renseignements comptables relatifs à M. </w:t>
            </w:r>
            <w:proofErr w:type="spellStart"/>
            <w:r w:rsidRPr="009E2378">
              <w:rPr>
                <w:iCs/>
                <w:sz w:val="20"/>
                <w:lang w:val="fr-CA"/>
              </w:rPr>
              <w:t>Luu</w:t>
            </w:r>
            <w:proofErr w:type="spellEnd"/>
            <w:r w:rsidRPr="009E2378">
              <w:rPr>
                <w:iCs/>
                <w:sz w:val="20"/>
                <w:lang w:val="fr-CA"/>
              </w:rPr>
              <w:t>.</w:t>
            </w: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31 juillet 2013</w:t>
            </w:r>
          </w:p>
          <w:p w:rsidR="009E2378" w:rsidRPr="009E2378" w:rsidRDefault="009E2378" w:rsidP="009E2378">
            <w:pPr>
              <w:jc w:val="both"/>
              <w:rPr>
                <w:sz w:val="20"/>
                <w:lang w:val="fr-CA"/>
              </w:rPr>
            </w:pPr>
            <w:r w:rsidRPr="009E2378">
              <w:rPr>
                <w:sz w:val="20"/>
                <w:lang w:val="fr-CA"/>
              </w:rPr>
              <w:t>Cour suprême de la Colombie-Britannique</w:t>
            </w:r>
          </w:p>
          <w:p w:rsidR="009E2378" w:rsidRPr="009E2378" w:rsidRDefault="009E2378" w:rsidP="009E2378">
            <w:pPr>
              <w:jc w:val="both"/>
              <w:rPr>
                <w:sz w:val="20"/>
                <w:lang w:val="fr-CA"/>
              </w:rPr>
            </w:pPr>
            <w:r w:rsidRPr="009E2378">
              <w:rPr>
                <w:sz w:val="20"/>
                <w:lang w:val="fr-CA"/>
              </w:rPr>
              <w:t>(Juge Sewell)</w:t>
            </w:r>
          </w:p>
          <w:p w:rsidR="009E2378" w:rsidRPr="009E2378" w:rsidRDefault="009E2378" w:rsidP="009E2378">
            <w:pPr>
              <w:jc w:val="both"/>
              <w:rPr>
                <w:sz w:val="20"/>
                <w:lang w:val="fr-CA"/>
              </w:rPr>
            </w:pPr>
            <w:hyperlink r:id="rId23" w:history="1">
              <w:r w:rsidRPr="009E2378">
                <w:rPr>
                  <w:rStyle w:val="Hyperlink"/>
                  <w:sz w:val="20"/>
                  <w:lang w:val="fr-CA"/>
                </w:rPr>
                <w:t>2013 BCSC 1374</w:t>
              </w:r>
            </w:hyperlink>
          </w:p>
          <w:p w:rsidR="009E2378" w:rsidRPr="009E2378" w:rsidRDefault="009E2378" w:rsidP="009E2378">
            <w:pPr>
              <w:jc w:val="both"/>
              <w:rPr>
                <w:sz w:val="20"/>
                <w:lang w:val="fr-CA"/>
              </w:rPr>
            </w:pP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Décision accueillant en partie la requête pour que le failli et son cabinet d’avocats communiquent certains renseignements aux syndics. Le cabinet d’avocats est tenu de communiquer les dossiers indiquant les entrées et les sorties de fonds du compte en fiducie.</w:t>
            </w: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21 avril 2015</w:t>
            </w:r>
          </w:p>
          <w:p w:rsidR="009E2378" w:rsidRPr="009E2378" w:rsidRDefault="009E2378" w:rsidP="009E2378">
            <w:pPr>
              <w:jc w:val="both"/>
              <w:rPr>
                <w:sz w:val="20"/>
                <w:lang w:val="fr-CA"/>
              </w:rPr>
            </w:pPr>
            <w:r w:rsidRPr="009E2378">
              <w:rPr>
                <w:sz w:val="20"/>
                <w:lang w:val="fr-CA"/>
              </w:rPr>
              <w:t xml:space="preserve">Cour d’appel de la Colombie-Britannique </w:t>
            </w:r>
          </w:p>
          <w:p w:rsidR="009E2378" w:rsidRPr="009E2378" w:rsidRDefault="009E2378" w:rsidP="009E2378">
            <w:pPr>
              <w:jc w:val="both"/>
              <w:rPr>
                <w:sz w:val="20"/>
                <w:lang w:val="fr-CA"/>
              </w:rPr>
            </w:pPr>
            <w:r w:rsidRPr="009E2378">
              <w:rPr>
                <w:sz w:val="20"/>
                <w:lang w:val="fr-CA"/>
              </w:rPr>
              <w:t>(Vancouver)</w:t>
            </w:r>
          </w:p>
          <w:p w:rsidR="009E2378" w:rsidRPr="009E2378" w:rsidRDefault="009E2378" w:rsidP="009E2378">
            <w:pPr>
              <w:jc w:val="both"/>
              <w:rPr>
                <w:sz w:val="20"/>
              </w:rPr>
            </w:pPr>
            <w:r w:rsidRPr="009E2378">
              <w:rPr>
                <w:sz w:val="20"/>
              </w:rPr>
              <w:t>(</w:t>
            </w:r>
            <w:proofErr w:type="spellStart"/>
            <w:r w:rsidRPr="009E2378">
              <w:rPr>
                <w:sz w:val="20"/>
              </w:rPr>
              <w:t>Juges</w:t>
            </w:r>
            <w:proofErr w:type="spellEnd"/>
            <w:r w:rsidRPr="009E2378">
              <w:rPr>
                <w:sz w:val="20"/>
              </w:rPr>
              <w:t xml:space="preserve"> Smith, Bennett et </w:t>
            </w:r>
            <w:proofErr w:type="spellStart"/>
            <w:r w:rsidRPr="009E2378">
              <w:rPr>
                <w:sz w:val="20"/>
              </w:rPr>
              <w:t>Willcock</w:t>
            </w:r>
            <w:proofErr w:type="spellEnd"/>
            <w:r w:rsidRPr="009E2378">
              <w:rPr>
                <w:sz w:val="20"/>
              </w:rPr>
              <w:t>)</w:t>
            </w:r>
          </w:p>
          <w:p w:rsidR="009E2378" w:rsidRPr="009E2378" w:rsidRDefault="009E2378" w:rsidP="009E2378">
            <w:pPr>
              <w:jc w:val="both"/>
              <w:rPr>
                <w:sz w:val="20"/>
                <w:lang w:val="fr-CA"/>
              </w:rPr>
            </w:pPr>
            <w:hyperlink r:id="rId24" w:history="1">
              <w:r w:rsidRPr="009E2378">
                <w:rPr>
                  <w:rStyle w:val="Hyperlink"/>
                  <w:sz w:val="20"/>
                  <w:lang w:val="fr-CA"/>
                </w:rPr>
                <w:t>2015 BCCA 159</w:t>
              </w:r>
            </w:hyperlink>
          </w:p>
          <w:p w:rsidR="009E2378" w:rsidRPr="009E2378" w:rsidRDefault="009E2378" w:rsidP="009E2378">
            <w:pPr>
              <w:jc w:val="both"/>
              <w:rPr>
                <w:sz w:val="20"/>
                <w:lang w:val="fr-CA"/>
              </w:rPr>
            </w:pP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Rejet de l’appel du demandeur.</w:t>
            </w: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17 juin 2015</w:t>
            </w:r>
          </w:p>
          <w:p w:rsidR="009E2378" w:rsidRPr="009E2378" w:rsidRDefault="009E2378" w:rsidP="009E2378">
            <w:pPr>
              <w:jc w:val="both"/>
              <w:rPr>
                <w:sz w:val="20"/>
                <w:lang w:val="fr-CA"/>
              </w:rPr>
            </w:pPr>
            <w:r w:rsidRPr="009E2378">
              <w:rPr>
                <w:sz w:val="20"/>
                <w:lang w:val="fr-CA"/>
              </w:rPr>
              <w:t>Cour suprême du Canada</w:t>
            </w:r>
          </w:p>
        </w:tc>
        <w:tc>
          <w:tcPr>
            <w:tcW w:w="243" w:type="pct"/>
          </w:tcPr>
          <w:p w:rsidR="009E2378" w:rsidRPr="009E2378" w:rsidRDefault="009E2378" w:rsidP="009E2378">
            <w:pPr>
              <w:jc w:val="both"/>
              <w:rPr>
                <w:sz w:val="20"/>
                <w:lang w:val="fr-CA"/>
              </w:rPr>
            </w:pPr>
          </w:p>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Dépôt de la demande d’autorisation d’appel.</w:t>
            </w:r>
          </w:p>
        </w:tc>
      </w:tr>
    </w:tbl>
    <w:p w:rsidR="009E2378" w:rsidRDefault="009E2378" w:rsidP="009E2378">
      <w:pPr>
        <w:jc w:val="both"/>
        <w:rPr>
          <w:sz w:val="20"/>
          <w:lang w:val="fr-CA"/>
        </w:rPr>
      </w:pPr>
    </w:p>
    <w:p w:rsidR="00F13B48" w:rsidRPr="009E2378" w:rsidRDefault="00F13B48" w:rsidP="009E237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2378" w:rsidRPr="009E2378" w:rsidTr="009E2378">
        <w:tc>
          <w:tcPr>
            <w:tcW w:w="543" w:type="pct"/>
          </w:tcPr>
          <w:p w:rsidR="009E2378" w:rsidRPr="009E2378" w:rsidRDefault="009E2378" w:rsidP="009E2378">
            <w:pPr>
              <w:jc w:val="both"/>
              <w:rPr>
                <w:sz w:val="20"/>
              </w:rPr>
            </w:pPr>
            <w:r w:rsidRPr="009E2378">
              <w:rPr>
                <w:rStyle w:val="SCCFileNumberChar"/>
                <w:sz w:val="20"/>
                <w:szCs w:val="20"/>
              </w:rPr>
              <w:t>36695</w:t>
            </w:r>
          </w:p>
        </w:tc>
        <w:tc>
          <w:tcPr>
            <w:tcW w:w="4457" w:type="pct"/>
            <w:gridSpan w:val="3"/>
          </w:tcPr>
          <w:p w:rsidR="009E2378" w:rsidRPr="00F13B48" w:rsidRDefault="009E2378" w:rsidP="009E2378">
            <w:pPr>
              <w:pStyle w:val="SCCLsocParty"/>
              <w:jc w:val="both"/>
              <w:rPr>
                <w:b/>
                <w:sz w:val="20"/>
                <w:szCs w:val="20"/>
                <w:lang w:val="en-US"/>
              </w:rPr>
            </w:pPr>
            <w:r w:rsidRPr="00F13B48">
              <w:rPr>
                <w:b/>
                <w:sz w:val="20"/>
                <w:szCs w:val="20"/>
                <w:lang w:val="en-US"/>
              </w:rPr>
              <w:t>6517633 Canada Ltd. v. Knudsen and Sons Muddy View Ranch Ltd.</w:t>
            </w:r>
          </w:p>
          <w:p w:rsidR="009E2378" w:rsidRPr="009E2378" w:rsidRDefault="009E2378" w:rsidP="009E2378">
            <w:pPr>
              <w:jc w:val="both"/>
              <w:rPr>
                <w:sz w:val="20"/>
              </w:rPr>
            </w:pPr>
            <w:r w:rsidRPr="009E2378">
              <w:rPr>
                <w:sz w:val="20"/>
              </w:rPr>
              <w:t>(Sask.) (Civil) (By Leave)</w:t>
            </w:r>
          </w:p>
        </w:tc>
      </w:tr>
      <w:tr w:rsidR="009E2378" w:rsidRPr="009E2378" w:rsidTr="009E2378">
        <w:tc>
          <w:tcPr>
            <w:tcW w:w="5000" w:type="pct"/>
            <w:gridSpan w:val="4"/>
          </w:tcPr>
          <w:p w:rsidR="009E2378" w:rsidRPr="009E2378" w:rsidRDefault="009E2378" w:rsidP="009E2378">
            <w:pPr>
              <w:jc w:val="both"/>
              <w:rPr>
                <w:sz w:val="20"/>
              </w:rPr>
            </w:pPr>
            <w:r w:rsidRPr="009E2378">
              <w:rPr>
                <w:sz w:val="20"/>
              </w:rPr>
              <w:t>Commercial law – Contracts – Damage</w:t>
            </w:r>
            <w:r w:rsidRPr="009E2378">
              <w:rPr>
                <w:i/>
                <w:sz w:val="20"/>
              </w:rPr>
              <w:t xml:space="preserve">s - </w:t>
            </w:r>
            <w:r w:rsidRPr="009E2378">
              <w:rPr>
                <w:rStyle w:val="italic1"/>
                <w:color w:val="000000"/>
                <w:sz w:val="20"/>
              </w:rPr>
              <w:t xml:space="preserve">Applicant agreed to seed Respondent's acreage for fixed price </w:t>
            </w:r>
            <w:r w:rsidRPr="009E2378">
              <w:rPr>
                <w:sz w:val="20"/>
              </w:rPr>
              <w:t xml:space="preserve">– </w:t>
            </w:r>
            <w:r w:rsidRPr="009E2378">
              <w:rPr>
                <w:rStyle w:val="italic1"/>
                <w:color w:val="000000"/>
                <w:sz w:val="20"/>
              </w:rPr>
              <w:t xml:space="preserve">Respondent subsequently advised that lesser portion of seeding was available </w:t>
            </w:r>
            <w:r w:rsidRPr="009E2378">
              <w:rPr>
                <w:sz w:val="20"/>
              </w:rPr>
              <w:t xml:space="preserve">– </w:t>
            </w:r>
            <w:r w:rsidRPr="009E2378">
              <w:rPr>
                <w:rStyle w:val="italic1"/>
                <w:color w:val="000000"/>
                <w:sz w:val="20"/>
              </w:rPr>
              <w:t xml:space="preserve">Applicant refused and sued for value of contract </w:t>
            </w:r>
            <w:r w:rsidRPr="009E2378">
              <w:rPr>
                <w:sz w:val="20"/>
              </w:rPr>
              <w:t xml:space="preserve">– </w:t>
            </w:r>
            <w:r w:rsidRPr="009E2378">
              <w:rPr>
                <w:rStyle w:val="italic1"/>
                <w:color w:val="000000"/>
                <w:sz w:val="20"/>
              </w:rPr>
              <w:t>Small claims court judge found Applicant failed to mitigate damages and awarded $1,575, representing lost profit on portion of available seeding – Whether mitigation of damages was a viable alternative.</w:t>
            </w:r>
          </w:p>
        </w:tc>
      </w:tr>
      <w:tr w:rsidR="009E2378" w:rsidRPr="009E2378" w:rsidTr="009E2378">
        <w:tc>
          <w:tcPr>
            <w:tcW w:w="5000" w:type="pct"/>
            <w:gridSpan w:val="4"/>
          </w:tcPr>
          <w:p w:rsidR="009E2378" w:rsidRPr="009E2378" w:rsidRDefault="009E2378" w:rsidP="009E2378">
            <w:pPr>
              <w:jc w:val="both"/>
              <w:rPr>
                <w:color w:val="000000"/>
                <w:sz w:val="20"/>
                <w:lang w:eastAsia="fr-CA"/>
              </w:rPr>
            </w:pPr>
          </w:p>
          <w:p w:rsidR="009E2378" w:rsidRPr="009E2378" w:rsidRDefault="009E2378" w:rsidP="009E2378">
            <w:pPr>
              <w:jc w:val="both"/>
              <w:rPr>
                <w:sz w:val="20"/>
              </w:rPr>
            </w:pPr>
            <w:r w:rsidRPr="009E2378">
              <w:rPr>
                <w:color w:val="000000"/>
                <w:sz w:val="20"/>
                <w:lang w:eastAsia="fr-CA"/>
              </w:rPr>
              <w:t>Stan Sheppard's company, the Applicant 6517633 Canada Ltd, sued the Respondent Knudsen &amp; Sons Muddy View Ranch Ltd. for breaching a contract whereby the Company had agreed to custom seed 1,050 acres for Knudsen in exchange for a fixed price of $19,293.75. The contract was signed on May 29, 2014. The next evening, Gene Knudsen telephoned Mr. Sheppard to ask if he was prepared to do only a portion of the seeding and to "seed alongside us". Mr. Sheppard made it clear that he considered this to be a breach of the contract but said he would think about it. At around noon the next day, May 31, Mr. Sheppard called Gene Knudsen back and said he was not prepared to comprise his position. Mr. Sheppard then discovered a voicemail message from Gene Knudsen which Mr. Knudsen had left for him earlier in the day. In it, Mr. Knudsen had said, "[W]e got a guy" and had told Mr. Sheppard not to move his equipment to the Knudsen land.  On June 2, after getting advice from his lawyer, Gene Knudsen called Mr. Sheppard and, as found by the trial judge, told Mr. Sheppard that the Company could seed until the job was done. At that point, between 70 and 100 acres had already been seeded. Mr. Sheppard rejected this invitation and sued Knudsen for $19,293.75, the value of the contract. </w:t>
            </w:r>
          </w:p>
        </w:tc>
      </w:tr>
      <w:tr w:rsidR="009E2378" w:rsidRPr="009E2378" w:rsidTr="009E2378">
        <w:tc>
          <w:tcPr>
            <w:tcW w:w="5000" w:type="pct"/>
            <w:gridSpan w:val="4"/>
          </w:tcPr>
          <w:p w:rsidR="009E2378" w:rsidRPr="009E2378" w:rsidRDefault="009E2378" w:rsidP="009E2378">
            <w:pPr>
              <w:jc w:val="both"/>
              <w:rPr>
                <w:sz w:val="20"/>
              </w:rPr>
            </w:pPr>
          </w:p>
        </w:tc>
      </w:tr>
      <w:tr w:rsidR="009E2378" w:rsidRPr="009E2378" w:rsidTr="009E2378">
        <w:tc>
          <w:tcPr>
            <w:tcW w:w="2427" w:type="pct"/>
            <w:gridSpan w:val="2"/>
          </w:tcPr>
          <w:p w:rsidR="009E2378" w:rsidRPr="009E2378" w:rsidRDefault="009E2378" w:rsidP="009E2378">
            <w:pPr>
              <w:jc w:val="both"/>
              <w:rPr>
                <w:sz w:val="20"/>
              </w:rPr>
            </w:pPr>
            <w:r w:rsidRPr="009E2378">
              <w:rPr>
                <w:sz w:val="20"/>
              </w:rPr>
              <w:t>November 17, 2014</w:t>
            </w:r>
          </w:p>
          <w:p w:rsidR="009E2378" w:rsidRPr="009E2378" w:rsidRDefault="009E2378" w:rsidP="009E2378">
            <w:pPr>
              <w:jc w:val="both"/>
              <w:rPr>
                <w:sz w:val="20"/>
              </w:rPr>
            </w:pPr>
            <w:r w:rsidRPr="009E2378">
              <w:rPr>
                <w:sz w:val="20"/>
              </w:rPr>
              <w:t>Provincial Court of Saskatchewan</w:t>
            </w:r>
          </w:p>
          <w:p w:rsidR="009E2378" w:rsidRPr="009E2378" w:rsidRDefault="009E2378" w:rsidP="009E2378">
            <w:pPr>
              <w:jc w:val="both"/>
              <w:rPr>
                <w:sz w:val="20"/>
              </w:rPr>
            </w:pPr>
            <w:r w:rsidRPr="009E2378">
              <w:rPr>
                <w:sz w:val="20"/>
              </w:rPr>
              <w:t>(</w:t>
            </w:r>
            <w:proofErr w:type="spellStart"/>
            <w:r w:rsidRPr="009E2378">
              <w:rPr>
                <w:sz w:val="20"/>
              </w:rPr>
              <w:t>Demong</w:t>
            </w:r>
            <w:proofErr w:type="spellEnd"/>
            <w:r w:rsidRPr="009E2378">
              <w:rPr>
                <w:sz w:val="20"/>
              </w:rPr>
              <w:t xml:space="preserve"> J.)</w:t>
            </w:r>
          </w:p>
          <w:p w:rsidR="009E2378" w:rsidRPr="009E2378" w:rsidRDefault="009E2378" w:rsidP="009E2378">
            <w:pPr>
              <w:jc w:val="both"/>
              <w:rPr>
                <w:sz w:val="20"/>
              </w:rPr>
            </w:pPr>
            <w:hyperlink r:id="rId25" w:history="1">
              <w:r w:rsidRPr="009E2378">
                <w:rPr>
                  <w:color w:val="0000FF" w:themeColor="hyperlink"/>
                  <w:sz w:val="20"/>
                  <w:u w:val="single"/>
                  <w:lang w:eastAsia="en-CA"/>
                </w:rPr>
                <w:t>2014 SKPC 202</w:t>
              </w:r>
            </w:hyperlink>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lang w:eastAsia="en-CA"/>
              </w:rPr>
              <w:t>Appeal from small claims court dismissed:</w:t>
            </w:r>
            <w:r w:rsidRPr="009E2378">
              <w:rPr>
                <w:rFonts w:eastAsiaTheme="majorEastAsia"/>
                <w:b/>
                <w:bCs/>
                <w:color w:val="000000"/>
                <w:sz w:val="20"/>
                <w:lang w:eastAsia="en-CA"/>
              </w:rPr>
              <w:t xml:space="preserve"> </w:t>
            </w:r>
            <w:r w:rsidRPr="009E2378">
              <w:rPr>
                <w:rFonts w:eastAsiaTheme="majorEastAsia"/>
                <w:bCs/>
                <w:color w:val="000000"/>
                <w:sz w:val="20"/>
                <w:lang w:eastAsia="en-CA"/>
              </w:rPr>
              <w:t>trial</w:t>
            </w:r>
            <w:r w:rsidRPr="009E2378">
              <w:rPr>
                <w:rFonts w:eastAsiaTheme="majorEastAsia"/>
                <w:b/>
                <w:bCs/>
                <w:color w:val="000000"/>
                <w:sz w:val="20"/>
                <w:lang w:eastAsia="en-CA"/>
              </w:rPr>
              <w:t xml:space="preserve"> </w:t>
            </w:r>
            <w:r w:rsidRPr="009E2378">
              <w:rPr>
                <w:iCs/>
                <w:color w:val="000000"/>
                <w:sz w:val="20"/>
                <w:lang w:eastAsia="en-CA"/>
              </w:rPr>
              <w:t>judgment reasonable and supported by evidence; trial judge managed trial fairly and efficiently.</w:t>
            </w:r>
          </w:p>
          <w:p w:rsidR="009E2378" w:rsidRPr="009E2378" w:rsidRDefault="009E2378" w:rsidP="009E2378">
            <w:pPr>
              <w:jc w:val="both"/>
              <w:rPr>
                <w:sz w:val="20"/>
              </w:rPr>
            </w:pPr>
          </w:p>
        </w:tc>
      </w:tr>
      <w:tr w:rsidR="009E2378" w:rsidRPr="009E2378" w:rsidTr="009E2378">
        <w:tc>
          <w:tcPr>
            <w:tcW w:w="2427" w:type="pct"/>
            <w:gridSpan w:val="2"/>
          </w:tcPr>
          <w:p w:rsidR="009E2378" w:rsidRPr="009E2378" w:rsidRDefault="009E2378" w:rsidP="009E2378">
            <w:pPr>
              <w:jc w:val="both"/>
              <w:rPr>
                <w:sz w:val="20"/>
              </w:rPr>
            </w:pPr>
            <w:r w:rsidRPr="009E2378">
              <w:rPr>
                <w:sz w:val="20"/>
              </w:rPr>
              <w:t>June 26, 2015</w:t>
            </w:r>
          </w:p>
          <w:p w:rsidR="009E2378" w:rsidRPr="009E2378" w:rsidRDefault="009E2378" w:rsidP="009E2378">
            <w:pPr>
              <w:jc w:val="both"/>
              <w:rPr>
                <w:sz w:val="20"/>
              </w:rPr>
            </w:pPr>
            <w:r w:rsidRPr="009E2378">
              <w:rPr>
                <w:sz w:val="20"/>
              </w:rPr>
              <w:t>Court of Appeal for Saskatchewan</w:t>
            </w:r>
          </w:p>
          <w:p w:rsidR="009E2378" w:rsidRPr="009E2378" w:rsidRDefault="009E2378" w:rsidP="009E2378">
            <w:pPr>
              <w:jc w:val="both"/>
              <w:rPr>
                <w:sz w:val="20"/>
              </w:rPr>
            </w:pPr>
            <w:r w:rsidRPr="009E2378">
              <w:rPr>
                <w:sz w:val="20"/>
              </w:rPr>
              <w:t>(Richards C.J.S.)</w:t>
            </w:r>
          </w:p>
          <w:p w:rsidR="009E2378" w:rsidRPr="009E2378" w:rsidRDefault="009E2378" w:rsidP="009E2378">
            <w:pPr>
              <w:jc w:val="both"/>
              <w:rPr>
                <w:rStyle w:val="Hyperlink"/>
                <w:sz w:val="20"/>
                <w:lang w:eastAsia="en-CA"/>
              </w:rPr>
            </w:pPr>
            <w:r w:rsidRPr="009E2378">
              <w:rPr>
                <w:color w:val="0000FF" w:themeColor="hyperlink"/>
                <w:sz w:val="20"/>
                <w:u w:val="single"/>
                <w:lang w:eastAsia="en-CA"/>
              </w:rPr>
              <w:fldChar w:fldCharType="begin"/>
            </w:r>
            <w:r w:rsidRPr="009E2378">
              <w:rPr>
                <w:color w:val="0000FF" w:themeColor="hyperlink"/>
                <w:sz w:val="20"/>
                <w:u w:val="single"/>
                <w:lang w:eastAsia="en-CA"/>
              </w:rPr>
              <w:instrText xml:space="preserve"> HYPERLINK "http://canlii.ca/t/gjw55" </w:instrText>
            </w:r>
            <w:r w:rsidRPr="009E2378">
              <w:rPr>
                <w:color w:val="0000FF" w:themeColor="hyperlink"/>
                <w:sz w:val="20"/>
                <w:u w:val="single"/>
                <w:lang w:eastAsia="en-CA"/>
              </w:rPr>
              <w:fldChar w:fldCharType="separate"/>
            </w:r>
            <w:r w:rsidRPr="009E2378">
              <w:rPr>
                <w:rStyle w:val="Hyperlink"/>
                <w:sz w:val="20"/>
                <w:lang w:eastAsia="en-CA"/>
              </w:rPr>
              <w:t>2015 SKCA 77</w:t>
            </w:r>
          </w:p>
          <w:p w:rsidR="009E2378" w:rsidRPr="009E2378" w:rsidRDefault="009E2378" w:rsidP="009E2378">
            <w:pPr>
              <w:jc w:val="both"/>
              <w:rPr>
                <w:sz w:val="20"/>
              </w:rPr>
            </w:pPr>
            <w:r w:rsidRPr="009E2378">
              <w:rPr>
                <w:color w:val="0000FF" w:themeColor="hyperlink"/>
                <w:sz w:val="20"/>
                <w:u w:val="single"/>
                <w:lang w:eastAsia="en-CA"/>
              </w:rPr>
              <w:fldChar w:fldCharType="end"/>
            </w: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lang w:eastAsia="en-CA"/>
              </w:rPr>
            </w:pPr>
            <w:r w:rsidRPr="009E2378">
              <w:rPr>
                <w:sz w:val="20"/>
                <w:lang w:eastAsia="en-CA"/>
              </w:rPr>
              <w:t xml:space="preserve">Leave to appeal denied: </w:t>
            </w:r>
            <w:r w:rsidRPr="009E2378">
              <w:rPr>
                <w:iCs/>
                <w:color w:val="000000"/>
                <w:sz w:val="20"/>
                <w:lang w:eastAsia="en-CA"/>
              </w:rPr>
              <w:t>proposed grounds primarily raised issues of fact or otherwise lacked in merit.</w:t>
            </w:r>
          </w:p>
          <w:p w:rsidR="009E2378" w:rsidRPr="009E2378" w:rsidRDefault="009E2378" w:rsidP="009E2378">
            <w:pPr>
              <w:jc w:val="both"/>
              <w:rPr>
                <w:sz w:val="20"/>
              </w:rPr>
            </w:pPr>
          </w:p>
          <w:p w:rsidR="009E2378" w:rsidRPr="009E2378" w:rsidRDefault="009E2378" w:rsidP="009E2378">
            <w:pPr>
              <w:jc w:val="both"/>
              <w:rPr>
                <w:sz w:val="20"/>
              </w:rPr>
            </w:pPr>
          </w:p>
        </w:tc>
      </w:tr>
      <w:tr w:rsidR="009E2378" w:rsidRPr="009E2378" w:rsidTr="009E2378">
        <w:tc>
          <w:tcPr>
            <w:tcW w:w="2427" w:type="pct"/>
            <w:gridSpan w:val="2"/>
          </w:tcPr>
          <w:p w:rsidR="009E2378" w:rsidRPr="009E2378" w:rsidRDefault="009E2378" w:rsidP="009E2378">
            <w:pPr>
              <w:jc w:val="both"/>
              <w:rPr>
                <w:sz w:val="20"/>
              </w:rPr>
            </w:pPr>
            <w:r w:rsidRPr="009E2378">
              <w:rPr>
                <w:sz w:val="20"/>
              </w:rPr>
              <w:t>September 23, 2015</w:t>
            </w:r>
          </w:p>
          <w:p w:rsidR="009E2378" w:rsidRPr="009E2378" w:rsidRDefault="009E2378" w:rsidP="009E2378">
            <w:pPr>
              <w:jc w:val="both"/>
              <w:rPr>
                <w:sz w:val="20"/>
              </w:rPr>
            </w:pPr>
            <w:r w:rsidRPr="009E2378">
              <w:rPr>
                <w:sz w:val="20"/>
              </w:rPr>
              <w:t>Supreme Court of Canada</w:t>
            </w: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Application for leave to appeal filed</w:t>
            </w:r>
          </w:p>
          <w:p w:rsidR="009E2378" w:rsidRPr="009E2378" w:rsidRDefault="009E2378" w:rsidP="009E2378">
            <w:pPr>
              <w:jc w:val="both"/>
              <w:rPr>
                <w:sz w:val="20"/>
              </w:rPr>
            </w:pPr>
          </w:p>
        </w:tc>
      </w:tr>
    </w:tbl>
    <w:p w:rsidR="009E2378" w:rsidRDefault="009E2378" w:rsidP="009E2378">
      <w:pPr>
        <w:jc w:val="both"/>
        <w:rPr>
          <w:sz w:val="20"/>
        </w:rPr>
      </w:pPr>
    </w:p>
    <w:p w:rsidR="00F13B48" w:rsidRPr="009E2378" w:rsidRDefault="00F13B48" w:rsidP="009E237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2378" w:rsidRPr="009E2378" w:rsidTr="009E2378">
        <w:tc>
          <w:tcPr>
            <w:tcW w:w="543" w:type="pct"/>
          </w:tcPr>
          <w:p w:rsidR="009E2378" w:rsidRPr="009E2378" w:rsidRDefault="009E2378" w:rsidP="009E2378">
            <w:pPr>
              <w:jc w:val="both"/>
              <w:rPr>
                <w:sz w:val="20"/>
                <w:lang w:val="fr-CA"/>
              </w:rPr>
            </w:pPr>
            <w:r w:rsidRPr="009E2378">
              <w:rPr>
                <w:rStyle w:val="SCCFileNumberChar"/>
                <w:sz w:val="20"/>
                <w:szCs w:val="20"/>
                <w:lang w:val="fr-CA"/>
              </w:rPr>
              <w:t>36695</w:t>
            </w:r>
          </w:p>
        </w:tc>
        <w:tc>
          <w:tcPr>
            <w:tcW w:w="4457" w:type="pct"/>
            <w:gridSpan w:val="3"/>
          </w:tcPr>
          <w:p w:rsidR="009E2378" w:rsidRPr="00F13B48" w:rsidRDefault="009E2378" w:rsidP="009E2378">
            <w:pPr>
              <w:pStyle w:val="SCCLsocParty"/>
              <w:jc w:val="both"/>
              <w:rPr>
                <w:b/>
                <w:sz w:val="20"/>
                <w:szCs w:val="20"/>
                <w:lang w:val="en-US"/>
              </w:rPr>
            </w:pPr>
            <w:r w:rsidRPr="00F13B48">
              <w:rPr>
                <w:b/>
                <w:sz w:val="20"/>
                <w:szCs w:val="20"/>
                <w:lang w:val="en-US"/>
              </w:rPr>
              <w:t>6517633 Canada Ltd. c. Knudsen and Sons Muddy View Ranch Ltd.</w:t>
            </w:r>
          </w:p>
          <w:p w:rsidR="009E2378" w:rsidRPr="009E2378" w:rsidRDefault="009E2378" w:rsidP="009E2378">
            <w:pPr>
              <w:jc w:val="both"/>
              <w:rPr>
                <w:sz w:val="20"/>
                <w:lang w:val="fr-CA"/>
              </w:rPr>
            </w:pPr>
            <w:r w:rsidRPr="009E2378">
              <w:rPr>
                <w:sz w:val="20"/>
                <w:lang w:val="fr-CA"/>
              </w:rPr>
              <w:t>(</w:t>
            </w:r>
            <w:proofErr w:type="spellStart"/>
            <w:r w:rsidRPr="009E2378">
              <w:rPr>
                <w:sz w:val="20"/>
                <w:lang w:val="fr-CA"/>
              </w:rPr>
              <w:t>Sask</w:t>
            </w:r>
            <w:proofErr w:type="spellEnd"/>
            <w:r w:rsidRPr="009E2378">
              <w:rPr>
                <w:sz w:val="20"/>
                <w:lang w:val="fr-CA"/>
              </w:rPr>
              <w:t>.) (Civile) (Sur autorisation)</w:t>
            </w:r>
          </w:p>
        </w:tc>
      </w:tr>
      <w:tr w:rsidR="009E2378" w:rsidRPr="009E2378" w:rsidTr="009E2378">
        <w:tc>
          <w:tcPr>
            <w:tcW w:w="5000" w:type="pct"/>
            <w:gridSpan w:val="4"/>
          </w:tcPr>
          <w:p w:rsidR="009E2378" w:rsidRPr="009E2378" w:rsidRDefault="009E2378" w:rsidP="009E2378">
            <w:pPr>
              <w:jc w:val="both"/>
              <w:rPr>
                <w:sz w:val="20"/>
                <w:lang w:val="fr-CA"/>
              </w:rPr>
            </w:pPr>
            <w:r w:rsidRPr="009E2378">
              <w:rPr>
                <w:sz w:val="20"/>
                <w:lang w:val="fr-CA"/>
              </w:rPr>
              <w:t>Droit commercial — Contrats — Dommages</w:t>
            </w:r>
            <w:r w:rsidRPr="009E2378">
              <w:rPr>
                <w:sz w:val="20"/>
                <w:lang w:val="fr-CA"/>
              </w:rPr>
              <w:noBreakHyphen/>
              <w:t>intérêts</w:t>
            </w:r>
            <w:r w:rsidRPr="009E2378">
              <w:rPr>
                <w:i/>
                <w:sz w:val="20"/>
                <w:lang w:val="fr-CA"/>
              </w:rPr>
              <w:t xml:space="preserve"> — </w:t>
            </w:r>
            <w:r w:rsidRPr="009E2378">
              <w:rPr>
                <w:rStyle w:val="italic1"/>
                <w:color w:val="000000"/>
                <w:sz w:val="20"/>
                <w:lang w:val="fr-CA"/>
              </w:rPr>
              <w:t>Demanderesse acceptant d’ensemencer le bien</w:t>
            </w:r>
            <w:r w:rsidRPr="009E2378">
              <w:rPr>
                <w:rStyle w:val="italic1"/>
                <w:color w:val="000000"/>
                <w:sz w:val="20"/>
                <w:lang w:val="fr-CA"/>
              </w:rPr>
              <w:noBreakHyphen/>
              <w:t>fonds de l’intimée pour un prix forfaitaire — Intimée l’informant par la suite qu’une portion moindre du bien</w:t>
            </w:r>
            <w:r w:rsidRPr="009E2378">
              <w:rPr>
                <w:rStyle w:val="italic1"/>
                <w:color w:val="000000"/>
                <w:sz w:val="20"/>
                <w:lang w:val="fr-CA"/>
              </w:rPr>
              <w:noBreakHyphen/>
              <w:t>fonds pourra être ensemencée — La demanderesse refuse et intente une poursuite pour la valeur du contrat — Le juge de la Cour des petites créances conclut que la demanderesse n’a pas limité son préjudice et lui accorde une somme de 1 575 $, ce qui représente la perte de profits relativement à la portion de terrain qui reste à ensemencer — La limitation du préjudice représentait</w:t>
            </w:r>
            <w:r w:rsidRPr="009E2378">
              <w:rPr>
                <w:rStyle w:val="italic1"/>
                <w:color w:val="000000"/>
                <w:sz w:val="20"/>
                <w:lang w:val="fr-CA"/>
              </w:rPr>
              <w:noBreakHyphen/>
              <w:t>elle une option valable?</w:t>
            </w:r>
          </w:p>
        </w:tc>
      </w:tr>
      <w:tr w:rsidR="009E2378" w:rsidRPr="009E2378" w:rsidTr="009E2378">
        <w:tc>
          <w:tcPr>
            <w:tcW w:w="5000" w:type="pct"/>
            <w:gridSpan w:val="4"/>
          </w:tcPr>
          <w:p w:rsidR="009E2378" w:rsidRPr="009E2378" w:rsidRDefault="009E2378" w:rsidP="009E2378">
            <w:pPr>
              <w:jc w:val="both"/>
              <w:rPr>
                <w:color w:val="000000"/>
                <w:sz w:val="20"/>
                <w:lang w:val="fr-CA" w:eastAsia="fr-CA"/>
              </w:rPr>
            </w:pPr>
          </w:p>
          <w:p w:rsidR="009E2378" w:rsidRPr="009E2378" w:rsidRDefault="009E2378" w:rsidP="009E2378">
            <w:pPr>
              <w:jc w:val="both"/>
              <w:rPr>
                <w:sz w:val="20"/>
                <w:lang w:val="fr-CA"/>
              </w:rPr>
            </w:pPr>
            <w:r w:rsidRPr="009E2378">
              <w:rPr>
                <w:color w:val="000000"/>
                <w:sz w:val="20"/>
                <w:lang w:val="fr-CA" w:eastAsia="fr-CA"/>
              </w:rPr>
              <w:t xml:space="preserve">La société de Stan Sheppard, la demanderesse 6517633 Canada Ltd, a intenté contre l’intimée </w:t>
            </w:r>
            <w:proofErr w:type="spellStart"/>
            <w:r w:rsidRPr="009E2378">
              <w:rPr>
                <w:color w:val="000000"/>
                <w:sz w:val="20"/>
                <w:lang w:val="fr-CA" w:eastAsia="fr-CA"/>
              </w:rPr>
              <w:t>Knudsen</w:t>
            </w:r>
            <w:proofErr w:type="spellEnd"/>
            <w:r w:rsidRPr="009E2378">
              <w:rPr>
                <w:color w:val="000000"/>
                <w:sz w:val="20"/>
                <w:lang w:val="fr-CA" w:eastAsia="fr-CA"/>
              </w:rPr>
              <w:t xml:space="preserve"> &amp; Sons </w:t>
            </w:r>
            <w:proofErr w:type="spellStart"/>
            <w:r w:rsidRPr="009E2378">
              <w:rPr>
                <w:color w:val="000000"/>
                <w:sz w:val="20"/>
                <w:lang w:val="fr-CA" w:eastAsia="fr-CA"/>
              </w:rPr>
              <w:t>Muddy</w:t>
            </w:r>
            <w:proofErr w:type="spellEnd"/>
            <w:r w:rsidRPr="009E2378">
              <w:rPr>
                <w:color w:val="000000"/>
                <w:sz w:val="20"/>
                <w:lang w:val="fr-CA" w:eastAsia="fr-CA"/>
              </w:rPr>
              <w:t xml:space="preserve"> </w:t>
            </w:r>
            <w:proofErr w:type="spellStart"/>
            <w:r w:rsidRPr="009E2378">
              <w:rPr>
                <w:color w:val="000000"/>
                <w:sz w:val="20"/>
                <w:lang w:val="fr-CA" w:eastAsia="fr-CA"/>
              </w:rPr>
              <w:t>View</w:t>
            </w:r>
            <w:proofErr w:type="spellEnd"/>
            <w:r w:rsidRPr="009E2378">
              <w:rPr>
                <w:color w:val="000000"/>
                <w:sz w:val="20"/>
                <w:lang w:val="fr-CA" w:eastAsia="fr-CA"/>
              </w:rPr>
              <w:t xml:space="preserve"> Ranch Ltd. une poursuite, alléguant l’inexécution d’un contrat dans lequel elle s’était engagée à ensemencer « sur mesure » 1 050 acres de terrain pour </w:t>
            </w:r>
            <w:proofErr w:type="spellStart"/>
            <w:r w:rsidRPr="009E2378">
              <w:rPr>
                <w:color w:val="000000"/>
                <w:sz w:val="20"/>
                <w:lang w:val="fr-CA" w:eastAsia="fr-CA"/>
              </w:rPr>
              <w:t>Knudsen</w:t>
            </w:r>
            <w:proofErr w:type="spellEnd"/>
            <w:r w:rsidRPr="009E2378">
              <w:rPr>
                <w:color w:val="000000"/>
                <w:sz w:val="20"/>
                <w:lang w:val="fr-CA" w:eastAsia="fr-CA"/>
              </w:rPr>
              <w:t xml:space="preserve"> en échange d’un montant forfaitaire de </w:t>
            </w:r>
            <w:r w:rsidRPr="009E2378">
              <w:rPr>
                <w:sz w:val="20"/>
                <w:lang w:val="fr-CA"/>
              </w:rPr>
              <w:t>19 293</w:t>
            </w:r>
            <w:r w:rsidRPr="009E2378">
              <w:rPr>
                <w:color w:val="000000"/>
                <w:sz w:val="20"/>
                <w:lang w:val="fr-CA" w:eastAsia="fr-CA"/>
              </w:rPr>
              <w:t>,75 $. Le contrat a été signé le 29 mai 2014. Le lendemain soir, Gene </w:t>
            </w:r>
            <w:proofErr w:type="spellStart"/>
            <w:r w:rsidRPr="009E2378">
              <w:rPr>
                <w:color w:val="000000"/>
                <w:sz w:val="20"/>
                <w:lang w:val="fr-CA" w:eastAsia="fr-CA"/>
              </w:rPr>
              <w:t>Knudsen</w:t>
            </w:r>
            <w:proofErr w:type="spellEnd"/>
            <w:r w:rsidRPr="009E2378">
              <w:rPr>
                <w:color w:val="000000"/>
                <w:sz w:val="20"/>
                <w:lang w:val="fr-CA" w:eastAsia="fr-CA"/>
              </w:rPr>
              <w:t xml:space="preserve"> a téléphoné à M. Sheppard pour lui demander s’il était disposé à n’effectuer qu’une partie des travaux d’ensemencement et à [</w:t>
            </w:r>
            <w:r w:rsidRPr="009E2378">
              <w:rPr>
                <w:smallCaps/>
                <w:color w:val="000000"/>
                <w:sz w:val="20"/>
                <w:lang w:val="fr-CA" w:eastAsia="fr-CA"/>
              </w:rPr>
              <w:t>traduction</w:t>
            </w:r>
            <w:r w:rsidRPr="009E2378">
              <w:rPr>
                <w:color w:val="000000"/>
                <w:sz w:val="20"/>
                <w:lang w:val="fr-CA" w:eastAsia="fr-CA"/>
              </w:rPr>
              <w:t>] « travailler à nos côtés ». M. Sheppard a affirmé clairement qu’il s’agissait selon lui d’une violation de contrat, mais il a ajouté qu’il y réfléchirait. Vers midi le lendemain, soit le 31 mai, M. Sheppard a rappelé Gene </w:t>
            </w:r>
            <w:proofErr w:type="spellStart"/>
            <w:r w:rsidRPr="009E2378">
              <w:rPr>
                <w:color w:val="000000"/>
                <w:sz w:val="20"/>
                <w:lang w:val="fr-CA" w:eastAsia="fr-CA"/>
              </w:rPr>
              <w:t>Knudsen</w:t>
            </w:r>
            <w:proofErr w:type="spellEnd"/>
            <w:r w:rsidRPr="009E2378">
              <w:rPr>
                <w:color w:val="000000"/>
                <w:sz w:val="20"/>
                <w:lang w:val="fr-CA" w:eastAsia="fr-CA"/>
              </w:rPr>
              <w:t xml:space="preserve"> et lui a dit qu’il n’était pas prêt à faire de compromis. M. Sheppard a par la suite découvert un message vocal que lui avait laissé un plus tôt dans la journée Gene </w:t>
            </w:r>
            <w:proofErr w:type="spellStart"/>
            <w:r w:rsidRPr="009E2378">
              <w:rPr>
                <w:color w:val="000000"/>
                <w:sz w:val="20"/>
                <w:lang w:val="fr-CA" w:eastAsia="fr-CA"/>
              </w:rPr>
              <w:t>Knudsen</w:t>
            </w:r>
            <w:proofErr w:type="spellEnd"/>
            <w:r w:rsidRPr="009E2378">
              <w:rPr>
                <w:color w:val="000000"/>
                <w:sz w:val="20"/>
                <w:lang w:val="fr-CA" w:eastAsia="fr-CA"/>
              </w:rPr>
              <w:t>. Ce dernier y disait </w:t>
            </w:r>
            <w:r w:rsidRPr="009E2378">
              <w:rPr>
                <w:sz w:val="20"/>
                <w:lang w:val="fr-CA"/>
              </w:rPr>
              <w:t>:</w:t>
            </w:r>
            <w:r w:rsidRPr="009E2378">
              <w:rPr>
                <w:color w:val="000000"/>
                <w:sz w:val="20"/>
                <w:lang w:val="fr-CA" w:eastAsia="fr-CA"/>
              </w:rPr>
              <w:t xml:space="preserve"> « [N]</w:t>
            </w:r>
            <w:proofErr w:type="spellStart"/>
            <w:r w:rsidRPr="009E2378">
              <w:rPr>
                <w:color w:val="000000"/>
                <w:sz w:val="20"/>
                <w:lang w:val="fr-CA" w:eastAsia="fr-CA"/>
              </w:rPr>
              <w:t>ous</w:t>
            </w:r>
            <w:proofErr w:type="spellEnd"/>
            <w:r w:rsidRPr="009E2378">
              <w:rPr>
                <w:color w:val="000000"/>
                <w:sz w:val="20"/>
                <w:lang w:val="fr-CA" w:eastAsia="fr-CA"/>
              </w:rPr>
              <w:t xml:space="preserve"> avons trouvé quelqu’un », et ajoutait que M. Sheppard ne devait pas déplacer son équipement sur la propriété de </w:t>
            </w:r>
            <w:proofErr w:type="spellStart"/>
            <w:r w:rsidRPr="009E2378">
              <w:rPr>
                <w:color w:val="000000"/>
                <w:sz w:val="20"/>
                <w:lang w:val="fr-CA" w:eastAsia="fr-CA"/>
              </w:rPr>
              <w:t>Knudsen</w:t>
            </w:r>
            <w:proofErr w:type="spellEnd"/>
            <w:r w:rsidRPr="009E2378">
              <w:rPr>
                <w:color w:val="000000"/>
                <w:sz w:val="20"/>
                <w:lang w:val="fr-CA" w:eastAsia="fr-CA"/>
              </w:rPr>
              <w:t>. Le 2 juin, après avoir consulté son avocat, Gene </w:t>
            </w:r>
            <w:proofErr w:type="spellStart"/>
            <w:r w:rsidRPr="009E2378">
              <w:rPr>
                <w:color w:val="000000"/>
                <w:sz w:val="20"/>
                <w:lang w:val="fr-CA" w:eastAsia="fr-CA"/>
              </w:rPr>
              <w:t>Knudsen</w:t>
            </w:r>
            <w:proofErr w:type="spellEnd"/>
            <w:r w:rsidRPr="009E2378">
              <w:rPr>
                <w:color w:val="000000"/>
                <w:sz w:val="20"/>
                <w:lang w:val="fr-CA" w:eastAsia="fr-CA"/>
              </w:rPr>
              <w:t xml:space="preserve"> a appelé M. Sheppard et, selon ce qu’a conclu le juge de première instance, lui a dit que sa société pouvait ensemencer le bien</w:t>
            </w:r>
            <w:r w:rsidRPr="009E2378">
              <w:rPr>
                <w:color w:val="000000"/>
                <w:sz w:val="20"/>
                <w:lang w:val="fr-CA" w:eastAsia="fr-CA"/>
              </w:rPr>
              <w:noBreakHyphen/>
              <w:t>fonds jusqu’à ce que le travail soit terminé. À ce moment, entre 70 et 100 acres de terrain avaient déjà été ensemencés. M. Sheppard a refu</w:t>
            </w:r>
            <w:bookmarkStart w:id="0" w:name="_GoBack"/>
            <w:bookmarkEnd w:id="0"/>
            <w:r w:rsidRPr="009E2378">
              <w:rPr>
                <w:color w:val="000000"/>
                <w:sz w:val="20"/>
                <w:lang w:val="fr-CA" w:eastAsia="fr-CA"/>
              </w:rPr>
              <w:t xml:space="preserve">sé cette invitation et a poursuivi </w:t>
            </w:r>
            <w:proofErr w:type="spellStart"/>
            <w:r w:rsidRPr="009E2378">
              <w:rPr>
                <w:color w:val="000000"/>
                <w:sz w:val="20"/>
                <w:lang w:val="fr-CA" w:eastAsia="fr-CA"/>
              </w:rPr>
              <w:t>Knudsen</w:t>
            </w:r>
            <w:proofErr w:type="spellEnd"/>
            <w:r w:rsidRPr="009E2378">
              <w:rPr>
                <w:color w:val="000000"/>
                <w:sz w:val="20"/>
                <w:lang w:val="fr-CA" w:eastAsia="fr-CA"/>
              </w:rPr>
              <w:t xml:space="preserve"> pour 19 293,75 $, soit la valeur du contrat. </w:t>
            </w:r>
          </w:p>
        </w:tc>
      </w:tr>
      <w:tr w:rsidR="009E2378" w:rsidRPr="009E2378" w:rsidTr="009E2378">
        <w:tc>
          <w:tcPr>
            <w:tcW w:w="5000" w:type="pct"/>
            <w:gridSpan w:val="4"/>
          </w:tcPr>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17 novembre 2014</w:t>
            </w:r>
          </w:p>
          <w:p w:rsidR="009E2378" w:rsidRPr="009E2378" w:rsidRDefault="009E2378" w:rsidP="009E2378">
            <w:pPr>
              <w:jc w:val="both"/>
              <w:rPr>
                <w:sz w:val="20"/>
                <w:lang w:val="fr-CA"/>
              </w:rPr>
            </w:pPr>
            <w:r w:rsidRPr="009E2378">
              <w:rPr>
                <w:sz w:val="20"/>
                <w:lang w:val="fr-CA"/>
              </w:rPr>
              <w:t>Cour provinciale de la Saskatchewan</w:t>
            </w:r>
          </w:p>
          <w:p w:rsidR="009E2378" w:rsidRPr="009E2378" w:rsidRDefault="009E2378" w:rsidP="009E2378">
            <w:pPr>
              <w:jc w:val="both"/>
              <w:rPr>
                <w:sz w:val="20"/>
                <w:lang w:val="fr-CA"/>
              </w:rPr>
            </w:pPr>
            <w:r w:rsidRPr="009E2378">
              <w:rPr>
                <w:sz w:val="20"/>
                <w:lang w:val="fr-CA"/>
              </w:rPr>
              <w:t xml:space="preserve">(Juge </w:t>
            </w:r>
            <w:proofErr w:type="spellStart"/>
            <w:r w:rsidRPr="009E2378">
              <w:rPr>
                <w:sz w:val="20"/>
                <w:lang w:val="fr-CA"/>
              </w:rPr>
              <w:t>Demong</w:t>
            </w:r>
            <w:proofErr w:type="spellEnd"/>
            <w:r w:rsidRPr="009E2378">
              <w:rPr>
                <w:sz w:val="20"/>
                <w:lang w:val="fr-CA"/>
              </w:rPr>
              <w:t>)</w:t>
            </w:r>
          </w:p>
          <w:p w:rsidR="009E2378" w:rsidRPr="009E2378" w:rsidRDefault="009E2378" w:rsidP="009E2378">
            <w:pPr>
              <w:jc w:val="both"/>
              <w:rPr>
                <w:sz w:val="20"/>
                <w:lang w:val="fr-CA"/>
              </w:rPr>
            </w:pPr>
            <w:hyperlink r:id="rId26" w:history="1">
              <w:r w:rsidRPr="009E2378">
                <w:rPr>
                  <w:color w:val="0000FF" w:themeColor="hyperlink"/>
                  <w:sz w:val="20"/>
                  <w:u w:val="single"/>
                  <w:lang w:val="fr-CA" w:eastAsia="en-CA"/>
                </w:rPr>
                <w:t>2014 SKPC 202</w:t>
              </w:r>
            </w:hyperlink>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eastAsia="en-CA"/>
              </w:rPr>
              <w:t>Rejet de l’appel de la décision de la Cour des petites créances; le jugement de première instance est raisonnable et étayé par la preuve; le juge du procès a géré l’instance de façon équitable et efficace</w:t>
            </w:r>
            <w:r w:rsidRPr="009E2378">
              <w:rPr>
                <w:iCs/>
                <w:color w:val="000000"/>
                <w:sz w:val="20"/>
                <w:lang w:val="fr-CA" w:eastAsia="en-CA"/>
              </w:rPr>
              <w:t>.</w:t>
            </w: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26 juin 2015</w:t>
            </w:r>
          </w:p>
          <w:p w:rsidR="009E2378" w:rsidRPr="009E2378" w:rsidRDefault="009E2378" w:rsidP="009E2378">
            <w:pPr>
              <w:jc w:val="both"/>
              <w:rPr>
                <w:sz w:val="20"/>
                <w:lang w:val="fr-CA"/>
              </w:rPr>
            </w:pPr>
            <w:r w:rsidRPr="009E2378">
              <w:rPr>
                <w:sz w:val="20"/>
                <w:lang w:val="fr-CA"/>
              </w:rPr>
              <w:t>Cour d’appel de la Saskatchewan</w:t>
            </w:r>
          </w:p>
          <w:p w:rsidR="009E2378" w:rsidRPr="009E2378" w:rsidRDefault="009E2378" w:rsidP="009E2378">
            <w:pPr>
              <w:jc w:val="both"/>
              <w:rPr>
                <w:sz w:val="20"/>
                <w:lang w:val="fr-CA"/>
              </w:rPr>
            </w:pPr>
            <w:r w:rsidRPr="009E2378">
              <w:rPr>
                <w:sz w:val="20"/>
                <w:lang w:val="fr-CA"/>
              </w:rPr>
              <w:t>(Juge en chef Richards)</w:t>
            </w:r>
          </w:p>
          <w:p w:rsidR="009E2378" w:rsidRPr="009E2378" w:rsidRDefault="009E2378" w:rsidP="009E2378">
            <w:pPr>
              <w:jc w:val="both"/>
              <w:rPr>
                <w:sz w:val="20"/>
                <w:lang w:val="fr-CA" w:eastAsia="en-CA"/>
              </w:rPr>
            </w:pPr>
            <w:hyperlink r:id="rId27" w:history="1">
              <w:r w:rsidRPr="009E2378">
                <w:rPr>
                  <w:color w:val="0000FF" w:themeColor="hyperlink"/>
                  <w:sz w:val="20"/>
                  <w:u w:val="single"/>
                  <w:lang w:val="fr-CA" w:eastAsia="en-CA"/>
                </w:rPr>
                <w:t>2015 SKCA 77</w:t>
              </w:r>
            </w:hyperlink>
          </w:p>
          <w:p w:rsidR="009E2378" w:rsidRPr="009E2378" w:rsidRDefault="009E2378" w:rsidP="009E2378">
            <w:pPr>
              <w:jc w:val="both"/>
              <w:rPr>
                <w:sz w:val="20"/>
                <w:lang w:val="fr-CA"/>
              </w:rPr>
            </w:pP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eastAsia="en-CA"/>
              </w:rPr>
            </w:pPr>
            <w:r w:rsidRPr="009E2378">
              <w:rPr>
                <w:sz w:val="20"/>
                <w:lang w:val="fr-CA" w:eastAsia="en-CA"/>
              </w:rPr>
              <w:t xml:space="preserve">Rejet de la demande d’autorisation d’appel : </w:t>
            </w:r>
            <w:r w:rsidRPr="009E2378">
              <w:rPr>
                <w:iCs/>
                <w:color w:val="000000"/>
                <w:sz w:val="20"/>
                <w:lang w:val="fr-CA" w:eastAsia="en-CA"/>
              </w:rPr>
              <w:t>les moyens proposés portent principalement sur des questions de fait ou n’ayant par ailleurs aucun fondement.</w:t>
            </w: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23 septembre 2015</w:t>
            </w:r>
          </w:p>
          <w:p w:rsidR="009E2378" w:rsidRPr="009E2378" w:rsidRDefault="009E2378" w:rsidP="009E2378">
            <w:pPr>
              <w:jc w:val="both"/>
              <w:rPr>
                <w:sz w:val="20"/>
                <w:lang w:val="fr-CA"/>
              </w:rPr>
            </w:pPr>
            <w:r w:rsidRPr="009E2378">
              <w:rPr>
                <w:sz w:val="20"/>
                <w:lang w:val="fr-CA"/>
              </w:rPr>
              <w:t>Cour suprême du Canada</w:t>
            </w: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Dépôt de la demande d’autorisation d’appel.</w:t>
            </w:r>
          </w:p>
          <w:p w:rsidR="009E2378" w:rsidRPr="009E2378" w:rsidRDefault="009E2378" w:rsidP="009E2378">
            <w:pPr>
              <w:jc w:val="both"/>
              <w:rPr>
                <w:sz w:val="20"/>
                <w:lang w:val="fr-CA"/>
              </w:rPr>
            </w:pPr>
          </w:p>
        </w:tc>
      </w:tr>
    </w:tbl>
    <w:p w:rsidR="009E2378" w:rsidRPr="009E2378" w:rsidRDefault="009E2378" w:rsidP="009E2378">
      <w:pPr>
        <w:jc w:val="both"/>
        <w:rPr>
          <w:sz w:val="20"/>
          <w:lang w:val="fr-CA"/>
        </w:rPr>
      </w:pPr>
    </w:p>
    <w:p w:rsidR="009E2378" w:rsidRPr="009E2378" w:rsidRDefault="009E2378" w:rsidP="009E237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2378" w:rsidRPr="009E2378" w:rsidTr="009E2378">
        <w:tc>
          <w:tcPr>
            <w:tcW w:w="543" w:type="pct"/>
          </w:tcPr>
          <w:p w:rsidR="009E2378" w:rsidRPr="009E2378" w:rsidRDefault="009E2378" w:rsidP="009E2378">
            <w:pPr>
              <w:jc w:val="both"/>
              <w:rPr>
                <w:sz w:val="20"/>
              </w:rPr>
            </w:pPr>
            <w:r w:rsidRPr="009E2378">
              <w:rPr>
                <w:rStyle w:val="SCCFileNumberChar"/>
                <w:sz w:val="20"/>
                <w:szCs w:val="20"/>
              </w:rPr>
              <w:t>36663</w:t>
            </w:r>
          </w:p>
        </w:tc>
        <w:tc>
          <w:tcPr>
            <w:tcW w:w="4457" w:type="pct"/>
            <w:gridSpan w:val="3"/>
          </w:tcPr>
          <w:p w:rsidR="009E2378" w:rsidRPr="00F13B48" w:rsidRDefault="009E2378" w:rsidP="009E2378">
            <w:pPr>
              <w:pStyle w:val="SCCLsocParty"/>
              <w:jc w:val="both"/>
              <w:rPr>
                <w:b/>
                <w:sz w:val="20"/>
                <w:szCs w:val="20"/>
                <w:lang w:val="en-US"/>
              </w:rPr>
            </w:pPr>
            <w:r w:rsidRPr="00F13B48">
              <w:rPr>
                <w:b/>
                <w:sz w:val="20"/>
                <w:szCs w:val="20"/>
                <w:lang w:val="en-US"/>
              </w:rPr>
              <w:t xml:space="preserve">Martin </w:t>
            </w:r>
            <w:proofErr w:type="spellStart"/>
            <w:r w:rsidRPr="00F13B48">
              <w:rPr>
                <w:b/>
                <w:sz w:val="20"/>
                <w:szCs w:val="20"/>
                <w:lang w:val="en-US"/>
              </w:rPr>
              <w:t>Ravelo</w:t>
            </w:r>
            <w:proofErr w:type="spellEnd"/>
            <w:r w:rsidRPr="00F13B48">
              <w:rPr>
                <w:b/>
                <w:sz w:val="20"/>
                <w:szCs w:val="20"/>
                <w:lang w:val="en-US"/>
              </w:rPr>
              <w:t xml:space="preserve"> v. CIBC Mortgages Inc., Sherry Harper</w:t>
            </w:r>
          </w:p>
          <w:p w:rsidR="009E2378" w:rsidRPr="009E2378" w:rsidRDefault="009E2378" w:rsidP="009E2378">
            <w:pPr>
              <w:pStyle w:val="SCCLsocSubfileSeparator"/>
              <w:rPr>
                <w:sz w:val="20"/>
                <w:szCs w:val="20"/>
              </w:rPr>
            </w:pPr>
            <w:r w:rsidRPr="009E2378">
              <w:rPr>
                <w:sz w:val="20"/>
                <w:szCs w:val="20"/>
              </w:rPr>
              <w:t>- and between -</w:t>
            </w:r>
          </w:p>
          <w:p w:rsidR="009E2378" w:rsidRPr="00F13B48" w:rsidRDefault="009E2378" w:rsidP="009E2378">
            <w:pPr>
              <w:pStyle w:val="SCCLsocParty"/>
              <w:jc w:val="both"/>
              <w:rPr>
                <w:b/>
                <w:sz w:val="20"/>
                <w:szCs w:val="20"/>
                <w:lang w:val="en-US"/>
              </w:rPr>
            </w:pPr>
            <w:r w:rsidRPr="00F13B48">
              <w:rPr>
                <w:b/>
                <w:sz w:val="20"/>
                <w:szCs w:val="20"/>
                <w:lang w:val="en-US"/>
              </w:rPr>
              <w:t xml:space="preserve">Martin </w:t>
            </w:r>
            <w:proofErr w:type="spellStart"/>
            <w:r w:rsidRPr="00F13B48">
              <w:rPr>
                <w:b/>
                <w:sz w:val="20"/>
                <w:szCs w:val="20"/>
                <w:lang w:val="en-US"/>
              </w:rPr>
              <w:t>Ravelo</w:t>
            </w:r>
            <w:proofErr w:type="spellEnd"/>
            <w:r w:rsidRPr="00F13B48">
              <w:rPr>
                <w:b/>
                <w:sz w:val="20"/>
                <w:szCs w:val="20"/>
                <w:lang w:val="en-US"/>
              </w:rPr>
              <w:t xml:space="preserve"> v. CIBC Mortgages Inc.</w:t>
            </w:r>
          </w:p>
          <w:p w:rsidR="009E2378" w:rsidRPr="009E2378" w:rsidRDefault="009E2378" w:rsidP="009E2378">
            <w:pPr>
              <w:jc w:val="both"/>
              <w:rPr>
                <w:sz w:val="20"/>
              </w:rPr>
            </w:pPr>
            <w:r w:rsidRPr="009E2378">
              <w:rPr>
                <w:sz w:val="20"/>
              </w:rPr>
              <w:t>(B.C.) (Civil) (By Leave)</w:t>
            </w:r>
          </w:p>
        </w:tc>
      </w:tr>
      <w:tr w:rsidR="009E2378" w:rsidRPr="009E2378" w:rsidTr="009E2378">
        <w:tc>
          <w:tcPr>
            <w:tcW w:w="5000" w:type="pct"/>
            <w:gridSpan w:val="4"/>
          </w:tcPr>
          <w:p w:rsidR="009E2378" w:rsidRPr="009E2378" w:rsidRDefault="009E2378" w:rsidP="009E2378">
            <w:pPr>
              <w:jc w:val="both"/>
              <w:rPr>
                <w:sz w:val="20"/>
              </w:rPr>
            </w:pPr>
            <w:r w:rsidRPr="009E2378">
              <w:rPr>
                <w:sz w:val="20"/>
              </w:rPr>
              <w:t>Mortgages – Foreclosure – Application to vary – Whether the application to vary should have been dismissed.</w:t>
            </w:r>
          </w:p>
        </w:tc>
      </w:tr>
      <w:tr w:rsidR="009E2378" w:rsidRPr="009E2378" w:rsidTr="009E2378">
        <w:tc>
          <w:tcPr>
            <w:tcW w:w="5000" w:type="pct"/>
            <w:gridSpan w:val="4"/>
          </w:tcPr>
          <w:p w:rsidR="009E2378" w:rsidRPr="009E2378" w:rsidRDefault="009E2378" w:rsidP="009E2378">
            <w:pPr>
              <w:jc w:val="both"/>
              <w:rPr>
                <w:sz w:val="20"/>
              </w:rPr>
            </w:pPr>
          </w:p>
        </w:tc>
      </w:tr>
      <w:tr w:rsidR="009E2378" w:rsidRPr="009E2378" w:rsidTr="009E2378">
        <w:tc>
          <w:tcPr>
            <w:tcW w:w="5000" w:type="pct"/>
            <w:gridSpan w:val="4"/>
          </w:tcPr>
          <w:p w:rsidR="009E2378" w:rsidRPr="009E2378" w:rsidRDefault="009E2378" w:rsidP="009E2378">
            <w:pPr>
              <w:jc w:val="both"/>
              <w:rPr>
                <w:sz w:val="20"/>
              </w:rPr>
            </w:pPr>
            <w:r w:rsidRPr="009E2378">
              <w:rPr>
                <w:sz w:val="20"/>
              </w:rPr>
              <w:t xml:space="preserve">The Applicant, Mr. </w:t>
            </w:r>
            <w:proofErr w:type="spellStart"/>
            <w:r w:rsidRPr="009E2378">
              <w:rPr>
                <w:sz w:val="20"/>
              </w:rPr>
              <w:t>Ravelo</w:t>
            </w:r>
            <w:proofErr w:type="spellEnd"/>
            <w:r w:rsidRPr="009E2378">
              <w:rPr>
                <w:sz w:val="20"/>
              </w:rPr>
              <w:t xml:space="preserve"> and his spouse, Ms. Harper resided on property near Quesnel.  There was a mobile home on the property.  Mr. </w:t>
            </w:r>
            <w:proofErr w:type="spellStart"/>
            <w:r w:rsidRPr="009E2378">
              <w:rPr>
                <w:sz w:val="20"/>
              </w:rPr>
              <w:t>Ravelo</w:t>
            </w:r>
            <w:proofErr w:type="spellEnd"/>
            <w:r w:rsidRPr="009E2378">
              <w:rPr>
                <w:sz w:val="20"/>
              </w:rPr>
              <w:t xml:space="preserve"> decided to build a house on the property and commenced construction.  He spent at least $68,000 and in excess of 10,000 hours of his own labour in building the house.  Ms. Harper was granted a mortgage in respect of the property from the Respondent, CIBC Mortgage Inc.  While the mortgage was granted shortly after Mr. </w:t>
            </w:r>
            <w:proofErr w:type="spellStart"/>
            <w:r w:rsidRPr="009E2378">
              <w:rPr>
                <w:sz w:val="20"/>
              </w:rPr>
              <w:t>Ravelo</w:t>
            </w:r>
            <w:proofErr w:type="spellEnd"/>
            <w:r w:rsidRPr="009E2378">
              <w:rPr>
                <w:sz w:val="20"/>
              </w:rPr>
              <w:t xml:space="preserve"> commenced construction on the house, it was not a construction mortgage, and was not granted in contemplation of the house being built.  Mr. </w:t>
            </w:r>
            <w:proofErr w:type="spellStart"/>
            <w:r w:rsidRPr="009E2378">
              <w:rPr>
                <w:sz w:val="20"/>
              </w:rPr>
              <w:t>Ravelo</w:t>
            </w:r>
            <w:proofErr w:type="spellEnd"/>
            <w:r w:rsidRPr="009E2378">
              <w:rPr>
                <w:sz w:val="20"/>
              </w:rPr>
              <w:t xml:space="preserve"> and Ms. Harper separated.  Ms. Harper was the sole registered owner of the property, but Mr. </w:t>
            </w:r>
            <w:proofErr w:type="spellStart"/>
            <w:r w:rsidRPr="009E2378">
              <w:rPr>
                <w:sz w:val="20"/>
              </w:rPr>
              <w:t>Ravelo</w:t>
            </w:r>
            <w:proofErr w:type="spellEnd"/>
            <w:r w:rsidRPr="009E2378">
              <w:rPr>
                <w:sz w:val="20"/>
              </w:rPr>
              <w:t xml:space="preserve"> resided alone on the property.  The house was not complete, such that a sale to anyone but a limited category of purchasers was not possible under the </w:t>
            </w:r>
            <w:r w:rsidRPr="009E2378">
              <w:rPr>
                <w:i/>
                <w:sz w:val="20"/>
              </w:rPr>
              <w:t>Homeowner Protection Act</w:t>
            </w:r>
            <w:r w:rsidRPr="009E2378">
              <w:rPr>
                <w:sz w:val="20"/>
              </w:rPr>
              <w:t>, S.B.C. 1998, c. 31.  Ms. Harper went into bankruptcy and the mortgage fell seriously into arrears.  CIBC Mortgage commenced foreclosure proceedings and obtained an order absolute of foreclosure. The Court of Appeal refused the grant leave to appeal and an application to vary that order was dismissed.</w:t>
            </w:r>
          </w:p>
          <w:p w:rsidR="009E2378" w:rsidRPr="009E2378" w:rsidRDefault="009E2378" w:rsidP="009E2378">
            <w:pPr>
              <w:jc w:val="both"/>
              <w:rPr>
                <w:sz w:val="20"/>
              </w:rPr>
            </w:pPr>
          </w:p>
        </w:tc>
      </w:tr>
      <w:tr w:rsidR="009E2378" w:rsidRPr="009E2378" w:rsidTr="009E2378">
        <w:tc>
          <w:tcPr>
            <w:tcW w:w="2427" w:type="pct"/>
            <w:gridSpan w:val="2"/>
          </w:tcPr>
          <w:p w:rsidR="009E2378" w:rsidRPr="009E2378" w:rsidRDefault="009E2378" w:rsidP="009E2378">
            <w:pPr>
              <w:jc w:val="both"/>
              <w:rPr>
                <w:sz w:val="20"/>
              </w:rPr>
            </w:pPr>
            <w:r w:rsidRPr="009E2378">
              <w:rPr>
                <w:sz w:val="20"/>
              </w:rPr>
              <w:t>February 13, 2015</w:t>
            </w:r>
          </w:p>
          <w:p w:rsidR="009E2378" w:rsidRPr="009E2378" w:rsidRDefault="009E2378" w:rsidP="009E2378">
            <w:pPr>
              <w:jc w:val="both"/>
              <w:rPr>
                <w:sz w:val="20"/>
              </w:rPr>
            </w:pPr>
            <w:r w:rsidRPr="009E2378">
              <w:rPr>
                <w:sz w:val="20"/>
              </w:rPr>
              <w:t>Supreme Court of British Columbia</w:t>
            </w:r>
          </w:p>
          <w:p w:rsidR="009E2378" w:rsidRPr="009E2378" w:rsidRDefault="009E2378" w:rsidP="009E2378">
            <w:pPr>
              <w:jc w:val="both"/>
              <w:rPr>
                <w:sz w:val="20"/>
              </w:rPr>
            </w:pPr>
            <w:r w:rsidRPr="009E2378">
              <w:rPr>
                <w:sz w:val="20"/>
              </w:rPr>
              <w:t>(Sewell J.)</w:t>
            </w:r>
          </w:p>
          <w:p w:rsidR="009E2378" w:rsidRPr="009E2378" w:rsidRDefault="009E2378" w:rsidP="009E2378">
            <w:pPr>
              <w:jc w:val="both"/>
              <w:rPr>
                <w:sz w:val="20"/>
              </w:rPr>
            </w:pP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Application for an order absolute of foreclosure, granted</w:t>
            </w:r>
          </w:p>
        </w:tc>
      </w:tr>
      <w:tr w:rsidR="009E2378" w:rsidRPr="009E2378" w:rsidTr="009E2378">
        <w:tc>
          <w:tcPr>
            <w:tcW w:w="2427" w:type="pct"/>
            <w:gridSpan w:val="2"/>
          </w:tcPr>
          <w:p w:rsidR="009E2378" w:rsidRPr="009E2378" w:rsidRDefault="009E2378" w:rsidP="009E2378">
            <w:pPr>
              <w:jc w:val="both"/>
              <w:rPr>
                <w:sz w:val="20"/>
              </w:rPr>
            </w:pPr>
            <w:r w:rsidRPr="009E2378">
              <w:rPr>
                <w:sz w:val="20"/>
              </w:rPr>
              <w:t>May 15, 2015</w:t>
            </w:r>
          </w:p>
          <w:p w:rsidR="009E2378" w:rsidRPr="009E2378" w:rsidRDefault="009E2378" w:rsidP="009E2378">
            <w:pPr>
              <w:jc w:val="both"/>
              <w:rPr>
                <w:sz w:val="20"/>
              </w:rPr>
            </w:pPr>
            <w:r w:rsidRPr="009E2378">
              <w:rPr>
                <w:sz w:val="20"/>
              </w:rPr>
              <w:t>Court of Appeal for British Columbia</w:t>
            </w:r>
          </w:p>
          <w:p w:rsidR="009E2378" w:rsidRPr="009E2378" w:rsidRDefault="009E2378" w:rsidP="009E2378">
            <w:pPr>
              <w:jc w:val="both"/>
              <w:rPr>
                <w:sz w:val="20"/>
              </w:rPr>
            </w:pPr>
            <w:r w:rsidRPr="009E2378">
              <w:rPr>
                <w:sz w:val="20"/>
              </w:rPr>
              <w:t>(Vancouver)</w:t>
            </w:r>
          </w:p>
          <w:p w:rsidR="009E2378" w:rsidRPr="009E2378" w:rsidRDefault="009E2378" w:rsidP="009E2378">
            <w:pPr>
              <w:jc w:val="both"/>
              <w:rPr>
                <w:sz w:val="20"/>
              </w:rPr>
            </w:pPr>
            <w:r w:rsidRPr="009E2378">
              <w:rPr>
                <w:sz w:val="20"/>
              </w:rPr>
              <w:t>(</w:t>
            </w:r>
            <w:proofErr w:type="spellStart"/>
            <w:r w:rsidRPr="009E2378">
              <w:rPr>
                <w:sz w:val="20"/>
              </w:rPr>
              <w:t>Groberman</w:t>
            </w:r>
            <w:proofErr w:type="spellEnd"/>
            <w:r w:rsidRPr="009E2378">
              <w:rPr>
                <w:sz w:val="20"/>
              </w:rPr>
              <w:t xml:space="preserve"> J.A.)</w:t>
            </w:r>
          </w:p>
          <w:p w:rsidR="009E2378" w:rsidRPr="009E2378" w:rsidRDefault="009E2378" w:rsidP="009E2378">
            <w:pPr>
              <w:jc w:val="both"/>
              <w:rPr>
                <w:sz w:val="20"/>
              </w:rPr>
            </w:pP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Applications for leave to appeal, dismissed</w:t>
            </w:r>
          </w:p>
        </w:tc>
      </w:tr>
      <w:tr w:rsidR="009E2378" w:rsidRPr="009E2378" w:rsidTr="009E2378">
        <w:tc>
          <w:tcPr>
            <w:tcW w:w="2427" w:type="pct"/>
            <w:gridSpan w:val="2"/>
          </w:tcPr>
          <w:p w:rsidR="009E2378" w:rsidRPr="009E2378" w:rsidRDefault="009E2378" w:rsidP="009E2378">
            <w:pPr>
              <w:jc w:val="both"/>
              <w:rPr>
                <w:sz w:val="20"/>
              </w:rPr>
            </w:pPr>
            <w:r w:rsidRPr="009E2378">
              <w:rPr>
                <w:sz w:val="20"/>
              </w:rPr>
              <w:t>June 17, 2015</w:t>
            </w:r>
          </w:p>
          <w:p w:rsidR="009E2378" w:rsidRPr="009E2378" w:rsidRDefault="009E2378" w:rsidP="009E2378">
            <w:pPr>
              <w:jc w:val="both"/>
              <w:rPr>
                <w:sz w:val="20"/>
              </w:rPr>
            </w:pPr>
            <w:r w:rsidRPr="009E2378">
              <w:rPr>
                <w:sz w:val="20"/>
              </w:rPr>
              <w:t xml:space="preserve">Court of Appeal for British Columbia </w:t>
            </w:r>
          </w:p>
          <w:p w:rsidR="009E2378" w:rsidRPr="009E2378" w:rsidRDefault="009E2378" w:rsidP="009E2378">
            <w:pPr>
              <w:jc w:val="both"/>
              <w:rPr>
                <w:sz w:val="20"/>
              </w:rPr>
            </w:pPr>
            <w:r w:rsidRPr="009E2378">
              <w:rPr>
                <w:sz w:val="20"/>
              </w:rPr>
              <w:t>(Vancouver)</w:t>
            </w:r>
          </w:p>
          <w:p w:rsidR="009E2378" w:rsidRPr="009E2378" w:rsidRDefault="009E2378" w:rsidP="009E2378">
            <w:pPr>
              <w:jc w:val="both"/>
              <w:rPr>
                <w:sz w:val="20"/>
              </w:rPr>
            </w:pPr>
            <w:r w:rsidRPr="009E2378">
              <w:rPr>
                <w:sz w:val="20"/>
              </w:rPr>
              <w:t xml:space="preserve">(Saunders, </w:t>
            </w:r>
            <w:proofErr w:type="spellStart"/>
            <w:r w:rsidRPr="009E2378">
              <w:rPr>
                <w:sz w:val="20"/>
              </w:rPr>
              <w:t>Chiasson</w:t>
            </w:r>
            <w:proofErr w:type="spellEnd"/>
            <w:r w:rsidRPr="009E2378">
              <w:rPr>
                <w:sz w:val="20"/>
              </w:rPr>
              <w:t xml:space="preserve"> and Harris JJ.A.)</w:t>
            </w:r>
          </w:p>
          <w:p w:rsidR="009E2378" w:rsidRPr="009E2378" w:rsidRDefault="009E2378" w:rsidP="009E2378">
            <w:pPr>
              <w:jc w:val="both"/>
              <w:rPr>
                <w:sz w:val="20"/>
              </w:rPr>
            </w:pPr>
            <w:r w:rsidRPr="009E2378">
              <w:rPr>
                <w:sz w:val="20"/>
              </w:rPr>
              <w:t>2015 BCCA 284; CA42637; CA42788</w:t>
            </w:r>
          </w:p>
          <w:p w:rsidR="009E2378" w:rsidRPr="009E2378" w:rsidRDefault="009E2378" w:rsidP="009E2378">
            <w:pPr>
              <w:jc w:val="both"/>
              <w:rPr>
                <w:sz w:val="20"/>
              </w:rPr>
            </w:pP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Application to vary, dismissed</w:t>
            </w:r>
          </w:p>
        </w:tc>
      </w:tr>
      <w:tr w:rsidR="009E2378" w:rsidRPr="009E2378" w:rsidTr="009E2378">
        <w:tc>
          <w:tcPr>
            <w:tcW w:w="2427" w:type="pct"/>
            <w:gridSpan w:val="2"/>
          </w:tcPr>
          <w:p w:rsidR="009E2378" w:rsidRPr="009E2378" w:rsidRDefault="009E2378" w:rsidP="009E2378">
            <w:pPr>
              <w:jc w:val="both"/>
              <w:rPr>
                <w:sz w:val="20"/>
              </w:rPr>
            </w:pPr>
            <w:r w:rsidRPr="009E2378">
              <w:rPr>
                <w:sz w:val="20"/>
              </w:rPr>
              <w:t>September 16, 2015</w:t>
            </w:r>
          </w:p>
          <w:p w:rsidR="009E2378" w:rsidRPr="009E2378" w:rsidRDefault="009E2378" w:rsidP="009E2378">
            <w:pPr>
              <w:jc w:val="both"/>
              <w:rPr>
                <w:sz w:val="20"/>
              </w:rPr>
            </w:pPr>
            <w:r w:rsidRPr="009E2378">
              <w:rPr>
                <w:sz w:val="20"/>
              </w:rPr>
              <w:t>Supreme Court of Canada</w:t>
            </w:r>
          </w:p>
          <w:p w:rsidR="009E2378" w:rsidRPr="009E2378" w:rsidRDefault="009E2378" w:rsidP="009E2378">
            <w:pPr>
              <w:jc w:val="both"/>
              <w:rPr>
                <w:sz w:val="20"/>
              </w:rPr>
            </w:pP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Motion for an extension of time to serve the application for leave to appeal and Application for leave to appeal filed</w:t>
            </w:r>
          </w:p>
        </w:tc>
      </w:tr>
    </w:tbl>
    <w:p w:rsidR="009E2378" w:rsidRDefault="009E2378" w:rsidP="009E2378">
      <w:pPr>
        <w:jc w:val="both"/>
        <w:rPr>
          <w:sz w:val="20"/>
        </w:rPr>
      </w:pPr>
    </w:p>
    <w:p w:rsidR="00F13B48" w:rsidRPr="009E2378" w:rsidRDefault="00F13B48" w:rsidP="009E237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2378" w:rsidRPr="009E2378" w:rsidTr="009E2378">
        <w:tc>
          <w:tcPr>
            <w:tcW w:w="543" w:type="pct"/>
          </w:tcPr>
          <w:p w:rsidR="009E2378" w:rsidRPr="009E2378" w:rsidRDefault="009E2378" w:rsidP="009E2378">
            <w:pPr>
              <w:jc w:val="both"/>
              <w:rPr>
                <w:sz w:val="20"/>
                <w:lang w:val="fr-CA"/>
              </w:rPr>
            </w:pPr>
            <w:r w:rsidRPr="009E2378">
              <w:rPr>
                <w:rStyle w:val="SCCFileNumberChar"/>
                <w:sz w:val="20"/>
                <w:szCs w:val="20"/>
                <w:lang w:val="fr-CA"/>
              </w:rPr>
              <w:t>36663</w:t>
            </w:r>
          </w:p>
        </w:tc>
        <w:tc>
          <w:tcPr>
            <w:tcW w:w="4457" w:type="pct"/>
            <w:gridSpan w:val="3"/>
          </w:tcPr>
          <w:p w:rsidR="009E2378" w:rsidRPr="00F13B48" w:rsidRDefault="009E2378" w:rsidP="009E2378">
            <w:pPr>
              <w:pStyle w:val="SCCLsocParty"/>
              <w:jc w:val="both"/>
              <w:rPr>
                <w:b/>
                <w:sz w:val="20"/>
                <w:szCs w:val="20"/>
              </w:rPr>
            </w:pPr>
            <w:r w:rsidRPr="00F13B48">
              <w:rPr>
                <w:b/>
                <w:sz w:val="20"/>
                <w:szCs w:val="20"/>
              </w:rPr>
              <w:t xml:space="preserve">Martin </w:t>
            </w:r>
            <w:proofErr w:type="spellStart"/>
            <w:r w:rsidRPr="00F13B48">
              <w:rPr>
                <w:b/>
                <w:sz w:val="20"/>
                <w:szCs w:val="20"/>
              </w:rPr>
              <w:t>Ravelo</w:t>
            </w:r>
            <w:proofErr w:type="spellEnd"/>
            <w:r w:rsidRPr="00F13B48">
              <w:rPr>
                <w:b/>
                <w:sz w:val="20"/>
                <w:szCs w:val="20"/>
              </w:rPr>
              <w:t xml:space="preserve"> c. Hypothèques CIBC Inc., Sherry Harper</w:t>
            </w:r>
          </w:p>
          <w:p w:rsidR="009E2378" w:rsidRPr="009E2378" w:rsidRDefault="009E2378" w:rsidP="009E2378">
            <w:pPr>
              <w:pStyle w:val="SCCLsocSubfileSeparator"/>
              <w:rPr>
                <w:sz w:val="20"/>
                <w:szCs w:val="20"/>
                <w:lang w:val="fr-CA"/>
              </w:rPr>
            </w:pPr>
            <w:r w:rsidRPr="009E2378">
              <w:rPr>
                <w:sz w:val="20"/>
                <w:szCs w:val="20"/>
                <w:lang w:val="fr-CA"/>
              </w:rPr>
              <w:t>- et entre -</w:t>
            </w:r>
          </w:p>
          <w:p w:rsidR="009E2378" w:rsidRPr="00F13B48" w:rsidRDefault="009E2378" w:rsidP="009E2378">
            <w:pPr>
              <w:pStyle w:val="SCCLsocParty"/>
              <w:jc w:val="both"/>
              <w:rPr>
                <w:b/>
                <w:sz w:val="20"/>
                <w:szCs w:val="20"/>
              </w:rPr>
            </w:pPr>
            <w:r w:rsidRPr="00F13B48">
              <w:rPr>
                <w:b/>
                <w:sz w:val="20"/>
                <w:szCs w:val="20"/>
              </w:rPr>
              <w:t xml:space="preserve">Martin </w:t>
            </w:r>
            <w:proofErr w:type="spellStart"/>
            <w:r w:rsidRPr="00F13B48">
              <w:rPr>
                <w:b/>
                <w:sz w:val="20"/>
                <w:szCs w:val="20"/>
              </w:rPr>
              <w:t>Ravelo</w:t>
            </w:r>
            <w:proofErr w:type="spellEnd"/>
            <w:r w:rsidRPr="00F13B48">
              <w:rPr>
                <w:b/>
                <w:sz w:val="20"/>
                <w:szCs w:val="20"/>
              </w:rPr>
              <w:t xml:space="preserve"> c. Hypothèques CIBC Inc.</w:t>
            </w:r>
          </w:p>
          <w:p w:rsidR="009E2378" w:rsidRPr="009E2378" w:rsidRDefault="009E2378" w:rsidP="009E2378">
            <w:pPr>
              <w:jc w:val="both"/>
              <w:rPr>
                <w:sz w:val="20"/>
                <w:lang w:val="fr-CA"/>
              </w:rPr>
            </w:pPr>
            <w:r w:rsidRPr="009E2378">
              <w:rPr>
                <w:sz w:val="20"/>
                <w:lang w:val="fr-CA"/>
              </w:rPr>
              <w:t>(C.-B.) (Civile) (Sur autorisation)</w:t>
            </w:r>
          </w:p>
        </w:tc>
      </w:tr>
      <w:tr w:rsidR="009E2378" w:rsidRPr="009E2378" w:rsidTr="009E2378">
        <w:tc>
          <w:tcPr>
            <w:tcW w:w="5000" w:type="pct"/>
            <w:gridSpan w:val="4"/>
          </w:tcPr>
          <w:p w:rsidR="009E2378" w:rsidRPr="009E2378" w:rsidRDefault="009E2378" w:rsidP="009E2378">
            <w:pPr>
              <w:jc w:val="both"/>
              <w:rPr>
                <w:sz w:val="20"/>
                <w:lang w:val="fr-CA"/>
              </w:rPr>
            </w:pPr>
            <w:r w:rsidRPr="009E2378">
              <w:rPr>
                <w:sz w:val="20"/>
                <w:lang w:val="fr-CA"/>
              </w:rPr>
              <w:t>Hypothèques – Forclusion – Demande de modification – La demande de modification aurait-elle dû est rejetée?</w:t>
            </w:r>
          </w:p>
        </w:tc>
      </w:tr>
      <w:tr w:rsidR="009E2378" w:rsidRPr="009E2378" w:rsidTr="009E2378">
        <w:tc>
          <w:tcPr>
            <w:tcW w:w="5000" w:type="pct"/>
            <w:gridSpan w:val="4"/>
          </w:tcPr>
          <w:p w:rsidR="009E2378" w:rsidRPr="009E2378" w:rsidRDefault="009E2378" w:rsidP="009E2378">
            <w:pPr>
              <w:jc w:val="both"/>
              <w:rPr>
                <w:sz w:val="20"/>
                <w:lang w:val="fr-CA"/>
              </w:rPr>
            </w:pPr>
          </w:p>
        </w:tc>
      </w:tr>
      <w:tr w:rsidR="009E2378" w:rsidRPr="009E2378" w:rsidTr="009E2378">
        <w:tc>
          <w:tcPr>
            <w:tcW w:w="5000" w:type="pct"/>
            <w:gridSpan w:val="4"/>
          </w:tcPr>
          <w:p w:rsidR="009E2378" w:rsidRPr="009E2378" w:rsidRDefault="009E2378" w:rsidP="009E2378">
            <w:pPr>
              <w:jc w:val="both"/>
              <w:rPr>
                <w:sz w:val="20"/>
                <w:lang w:val="fr-CA"/>
              </w:rPr>
            </w:pPr>
            <w:r w:rsidRPr="009E2378">
              <w:rPr>
                <w:sz w:val="20"/>
                <w:lang w:val="fr-CA"/>
              </w:rPr>
              <w:t>Le demandeur, M. </w:t>
            </w:r>
            <w:proofErr w:type="spellStart"/>
            <w:r w:rsidRPr="009E2378">
              <w:rPr>
                <w:sz w:val="20"/>
                <w:lang w:val="fr-CA"/>
              </w:rPr>
              <w:t>Ravelo</w:t>
            </w:r>
            <w:proofErr w:type="spellEnd"/>
            <w:r w:rsidRPr="009E2378">
              <w:rPr>
                <w:sz w:val="20"/>
                <w:lang w:val="fr-CA"/>
              </w:rPr>
              <w:t xml:space="preserve"> et sa conjointe, Mme Harper, résidaient sur un </w:t>
            </w:r>
            <w:proofErr w:type="spellStart"/>
            <w:r w:rsidRPr="009E2378">
              <w:rPr>
                <w:sz w:val="20"/>
                <w:lang w:val="fr-CA"/>
              </w:rPr>
              <w:t>bien-fond</w:t>
            </w:r>
            <w:proofErr w:type="spellEnd"/>
            <w:r w:rsidRPr="009E2378">
              <w:rPr>
                <w:sz w:val="20"/>
                <w:lang w:val="fr-CA"/>
              </w:rPr>
              <w:t xml:space="preserve"> situé près de Quesnel. Il y avait une maison mobile sur celui-ci. M. </w:t>
            </w:r>
            <w:proofErr w:type="spellStart"/>
            <w:r w:rsidRPr="009E2378">
              <w:rPr>
                <w:sz w:val="20"/>
                <w:lang w:val="fr-CA"/>
              </w:rPr>
              <w:t>Ravelo</w:t>
            </w:r>
            <w:proofErr w:type="spellEnd"/>
            <w:r w:rsidRPr="009E2378">
              <w:rPr>
                <w:sz w:val="20"/>
                <w:lang w:val="fr-CA"/>
              </w:rPr>
              <w:t xml:space="preserve"> a décidé d’y construire une maison et a entrepris les travaux. Il a dépensé au moins 68 000 $ pour la construction de la maison et a consacré plus de 10 000 heures de travail à ce projet. L’intimée, Hypothèques CIBC Inc., a consenti à Mme Harper un prêt hypothécaire sur la propriété. Même s’il a été accordé peu après que M. </w:t>
            </w:r>
            <w:proofErr w:type="spellStart"/>
            <w:r w:rsidRPr="009E2378">
              <w:rPr>
                <w:sz w:val="20"/>
                <w:lang w:val="fr-CA"/>
              </w:rPr>
              <w:t>Ravelo</w:t>
            </w:r>
            <w:proofErr w:type="spellEnd"/>
            <w:r w:rsidRPr="009E2378">
              <w:rPr>
                <w:sz w:val="20"/>
                <w:lang w:val="fr-CA"/>
              </w:rPr>
              <w:t xml:space="preserve"> eut commencé la construction de la maison, il ne s’agissait pas d’un prêt hypothécaire de construction et ce prêt n’a pas été consenti en vue de la construction de la maison. M. </w:t>
            </w:r>
            <w:proofErr w:type="spellStart"/>
            <w:r w:rsidRPr="009E2378">
              <w:rPr>
                <w:sz w:val="20"/>
                <w:lang w:val="fr-CA"/>
              </w:rPr>
              <w:t>Ravelo</w:t>
            </w:r>
            <w:proofErr w:type="spellEnd"/>
            <w:r w:rsidRPr="009E2378">
              <w:rPr>
                <w:sz w:val="20"/>
                <w:lang w:val="fr-CA"/>
              </w:rPr>
              <w:t xml:space="preserve"> et Mme Harper se sont séparés. Mme Harper était la seule propriétaire inscrite, mais M. </w:t>
            </w:r>
            <w:proofErr w:type="spellStart"/>
            <w:r w:rsidRPr="009E2378">
              <w:rPr>
                <w:sz w:val="20"/>
                <w:lang w:val="fr-CA"/>
              </w:rPr>
              <w:t>Ravelo</w:t>
            </w:r>
            <w:proofErr w:type="spellEnd"/>
            <w:r w:rsidRPr="009E2378">
              <w:rPr>
                <w:sz w:val="20"/>
                <w:lang w:val="fr-CA"/>
              </w:rPr>
              <w:t xml:space="preserve"> résidait seul dans la propriété. Comme elle n’était pas terminée, la maison ne pouvait être vendue qu’à une catégorie limitée d’acheteurs sous le régime de la </w:t>
            </w:r>
            <w:proofErr w:type="spellStart"/>
            <w:r w:rsidRPr="009E2378">
              <w:rPr>
                <w:i/>
                <w:sz w:val="20"/>
                <w:lang w:val="fr-CA"/>
              </w:rPr>
              <w:t>Homeowner</w:t>
            </w:r>
            <w:proofErr w:type="spellEnd"/>
            <w:r w:rsidRPr="009E2378">
              <w:rPr>
                <w:i/>
                <w:sz w:val="20"/>
                <w:lang w:val="fr-CA"/>
              </w:rPr>
              <w:t xml:space="preserve"> Protection </w:t>
            </w:r>
            <w:proofErr w:type="spellStart"/>
            <w:r w:rsidRPr="009E2378">
              <w:rPr>
                <w:i/>
                <w:sz w:val="20"/>
                <w:lang w:val="fr-CA"/>
              </w:rPr>
              <w:t>Act</w:t>
            </w:r>
            <w:proofErr w:type="spellEnd"/>
            <w:r w:rsidRPr="009E2378">
              <w:rPr>
                <w:sz w:val="20"/>
                <w:lang w:val="fr-CA"/>
              </w:rPr>
              <w:t>, S.B.C. 1998, c. 31. Mme Harper a fait faillite et a pris un retard sérieux dans le remboursement de son prêt hypothécaire. Hypothèques CIBC a intenté une action en forclusion et a obtenu une ordonnance définitive de forclusion. La Cour d’appel a refusé d’accorder l’autorisation d’appel et a rejeté une demande visant à faire modifier cette ordonnance.</w:t>
            </w: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13 février 2015</w:t>
            </w:r>
          </w:p>
          <w:p w:rsidR="009E2378" w:rsidRPr="009E2378" w:rsidRDefault="009E2378" w:rsidP="009E2378">
            <w:pPr>
              <w:jc w:val="both"/>
              <w:rPr>
                <w:sz w:val="20"/>
                <w:lang w:val="fr-CA"/>
              </w:rPr>
            </w:pPr>
            <w:r w:rsidRPr="009E2378">
              <w:rPr>
                <w:sz w:val="20"/>
                <w:lang w:val="fr-CA"/>
              </w:rPr>
              <w:t>Cour suprême de la Colombie-Britannique</w:t>
            </w:r>
          </w:p>
          <w:p w:rsidR="009E2378" w:rsidRPr="009E2378" w:rsidRDefault="009E2378" w:rsidP="009E2378">
            <w:pPr>
              <w:jc w:val="both"/>
              <w:rPr>
                <w:sz w:val="20"/>
                <w:lang w:val="fr-CA"/>
              </w:rPr>
            </w:pPr>
            <w:r w:rsidRPr="009E2378">
              <w:rPr>
                <w:sz w:val="20"/>
                <w:lang w:val="fr-CA"/>
              </w:rPr>
              <w:t>(Juge Sewell)</w:t>
            </w:r>
          </w:p>
          <w:p w:rsidR="009E2378" w:rsidRPr="009E2378" w:rsidRDefault="009E2378" w:rsidP="009E2378">
            <w:pPr>
              <w:jc w:val="both"/>
              <w:rPr>
                <w:sz w:val="20"/>
                <w:lang w:val="fr-CA"/>
              </w:rPr>
            </w:pP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Décision accueillant la demande d’ordonnance définitive de forclusion</w:t>
            </w: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15 mai 2015</w:t>
            </w:r>
          </w:p>
          <w:p w:rsidR="009E2378" w:rsidRPr="009E2378" w:rsidRDefault="009E2378" w:rsidP="009E2378">
            <w:pPr>
              <w:jc w:val="both"/>
              <w:rPr>
                <w:sz w:val="20"/>
                <w:lang w:val="fr-CA"/>
              </w:rPr>
            </w:pPr>
            <w:r w:rsidRPr="009E2378">
              <w:rPr>
                <w:sz w:val="20"/>
                <w:lang w:val="fr-CA"/>
              </w:rPr>
              <w:t>Cour d’appel de la Colombie-Britannique</w:t>
            </w:r>
          </w:p>
          <w:p w:rsidR="009E2378" w:rsidRPr="009E2378" w:rsidRDefault="009E2378" w:rsidP="009E2378">
            <w:pPr>
              <w:jc w:val="both"/>
              <w:rPr>
                <w:sz w:val="20"/>
                <w:lang w:val="fr-CA"/>
              </w:rPr>
            </w:pPr>
            <w:r w:rsidRPr="009E2378">
              <w:rPr>
                <w:sz w:val="20"/>
                <w:lang w:val="fr-CA"/>
              </w:rPr>
              <w:t>(Vancouver)</w:t>
            </w:r>
          </w:p>
          <w:p w:rsidR="009E2378" w:rsidRPr="009E2378" w:rsidRDefault="009E2378" w:rsidP="009E2378">
            <w:pPr>
              <w:jc w:val="both"/>
              <w:rPr>
                <w:sz w:val="20"/>
                <w:lang w:val="fr-CA"/>
              </w:rPr>
            </w:pPr>
            <w:r w:rsidRPr="009E2378">
              <w:rPr>
                <w:sz w:val="20"/>
                <w:lang w:val="fr-CA"/>
              </w:rPr>
              <w:t xml:space="preserve">(Juge </w:t>
            </w:r>
            <w:proofErr w:type="spellStart"/>
            <w:r w:rsidRPr="009E2378">
              <w:rPr>
                <w:sz w:val="20"/>
                <w:lang w:val="fr-CA"/>
              </w:rPr>
              <w:t>Groberman</w:t>
            </w:r>
            <w:proofErr w:type="spellEnd"/>
            <w:r w:rsidRPr="009E2378">
              <w:rPr>
                <w:sz w:val="20"/>
                <w:lang w:val="fr-CA"/>
              </w:rPr>
              <w:t>)</w:t>
            </w:r>
          </w:p>
          <w:p w:rsidR="009E2378" w:rsidRPr="009E2378" w:rsidRDefault="009E2378" w:rsidP="009E2378">
            <w:pPr>
              <w:jc w:val="both"/>
              <w:rPr>
                <w:sz w:val="20"/>
                <w:lang w:val="fr-CA"/>
              </w:rPr>
            </w:pP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Rejet des demandes d’autorisation d’appel</w:t>
            </w: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17 juin 2015</w:t>
            </w:r>
          </w:p>
          <w:p w:rsidR="009E2378" w:rsidRPr="009E2378" w:rsidRDefault="009E2378" w:rsidP="009E2378">
            <w:pPr>
              <w:jc w:val="both"/>
              <w:rPr>
                <w:sz w:val="20"/>
                <w:lang w:val="fr-CA"/>
              </w:rPr>
            </w:pPr>
            <w:r w:rsidRPr="009E2378">
              <w:rPr>
                <w:sz w:val="20"/>
                <w:lang w:val="fr-CA"/>
              </w:rPr>
              <w:t xml:space="preserve">Cour d’appel de la Colombie-Britannique </w:t>
            </w:r>
          </w:p>
          <w:p w:rsidR="009E2378" w:rsidRPr="009E2378" w:rsidRDefault="009E2378" w:rsidP="009E2378">
            <w:pPr>
              <w:jc w:val="both"/>
              <w:rPr>
                <w:sz w:val="20"/>
                <w:lang w:val="fr-CA"/>
              </w:rPr>
            </w:pPr>
            <w:r w:rsidRPr="009E2378">
              <w:rPr>
                <w:sz w:val="20"/>
                <w:lang w:val="fr-CA"/>
              </w:rPr>
              <w:t>(Vancouver)</w:t>
            </w:r>
          </w:p>
          <w:p w:rsidR="009E2378" w:rsidRPr="009E2378" w:rsidRDefault="009E2378" w:rsidP="009E2378">
            <w:pPr>
              <w:jc w:val="both"/>
              <w:rPr>
                <w:sz w:val="20"/>
                <w:lang w:val="fr-CA"/>
              </w:rPr>
            </w:pPr>
            <w:r w:rsidRPr="009E2378">
              <w:rPr>
                <w:sz w:val="20"/>
                <w:lang w:val="fr-CA"/>
              </w:rPr>
              <w:t>(Juges Saunders, Chiasson et Harris)</w:t>
            </w:r>
          </w:p>
          <w:p w:rsidR="009E2378" w:rsidRPr="009E2378" w:rsidRDefault="009E2378" w:rsidP="009E2378">
            <w:pPr>
              <w:jc w:val="both"/>
              <w:rPr>
                <w:sz w:val="20"/>
                <w:lang w:val="fr-CA"/>
              </w:rPr>
            </w:pPr>
            <w:r w:rsidRPr="009E2378">
              <w:rPr>
                <w:sz w:val="20"/>
                <w:lang w:val="fr-CA"/>
              </w:rPr>
              <w:t>2015 BCCA 284; CA42637; CA42788</w:t>
            </w:r>
          </w:p>
          <w:p w:rsidR="009E2378" w:rsidRPr="009E2378" w:rsidRDefault="009E2378" w:rsidP="009E2378">
            <w:pPr>
              <w:jc w:val="both"/>
              <w:rPr>
                <w:sz w:val="20"/>
                <w:lang w:val="fr-CA"/>
              </w:rPr>
            </w:pP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Rejet de la demande de modification</w:t>
            </w: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16 septembre 2015</w:t>
            </w:r>
          </w:p>
          <w:p w:rsidR="009E2378" w:rsidRPr="009E2378" w:rsidRDefault="009E2378" w:rsidP="009E2378">
            <w:pPr>
              <w:jc w:val="both"/>
              <w:rPr>
                <w:sz w:val="20"/>
                <w:lang w:val="fr-CA"/>
              </w:rPr>
            </w:pPr>
            <w:r w:rsidRPr="009E2378">
              <w:rPr>
                <w:sz w:val="20"/>
                <w:lang w:val="fr-CA"/>
              </w:rPr>
              <w:t>Cour suprême du Canada</w:t>
            </w:r>
          </w:p>
          <w:p w:rsidR="009E2378" w:rsidRPr="009E2378" w:rsidRDefault="009E2378" w:rsidP="009E2378">
            <w:pPr>
              <w:jc w:val="both"/>
              <w:rPr>
                <w:sz w:val="20"/>
                <w:lang w:val="fr-CA"/>
              </w:rPr>
            </w:pP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Dépôt d’une requête en prorogation du délai pour signifier la demande d’autorisation d’appel, et dépôt de la demande d’autorisation d’appel</w:t>
            </w:r>
          </w:p>
        </w:tc>
      </w:tr>
    </w:tbl>
    <w:p w:rsidR="009E2378" w:rsidRDefault="009E2378" w:rsidP="009E2378">
      <w:pPr>
        <w:jc w:val="both"/>
        <w:rPr>
          <w:sz w:val="20"/>
          <w:lang w:val="fr-CA"/>
        </w:rPr>
      </w:pPr>
    </w:p>
    <w:p w:rsidR="00F13B48" w:rsidRPr="009E2378" w:rsidRDefault="00F13B48" w:rsidP="009E237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2378" w:rsidRPr="009E2378" w:rsidTr="009E2378">
        <w:tc>
          <w:tcPr>
            <w:tcW w:w="543" w:type="pct"/>
          </w:tcPr>
          <w:p w:rsidR="009E2378" w:rsidRPr="009E2378" w:rsidRDefault="009E2378" w:rsidP="009E2378">
            <w:pPr>
              <w:jc w:val="both"/>
              <w:rPr>
                <w:sz w:val="20"/>
              </w:rPr>
            </w:pPr>
            <w:r w:rsidRPr="009E2378">
              <w:rPr>
                <w:rStyle w:val="SCCFileNumberChar"/>
                <w:sz w:val="20"/>
                <w:szCs w:val="20"/>
              </w:rPr>
              <w:t>36610</w:t>
            </w:r>
          </w:p>
        </w:tc>
        <w:tc>
          <w:tcPr>
            <w:tcW w:w="4457" w:type="pct"/>
            <w:gridSpan w:val="3"/>
          </w:tcPr>
          <w:p w:rsidR="009E2378" w:rsidRPr="00F13B48" w:rsidRDefault="009E2378" w:rsidP="009E2378">
            <w:pPr>
              <w:pStyle w:val="SCCLsocParty"/>
              <w:jc w:val="both"/>
              <w:rPr>
                <w:b/>
                <w:sz w:val="20"/>
                <w:szCs w:val="20"/>
                <w:lang w:val="en-US"/>
              </w:rPr>
            </w:pPr>
            <w:r w:rsidRPr="00F13B48">
              <w:rPr>
                <w:b/>
                <w:sz w:val="20"/>
                <w:szCs w:val="20"/>
                <w:lang w:val="en-US"/>
              </w:rPr>
              <w:t>Carson Bingley v. Her Majesty the Queen</w:t>
            </w:r>
          </w:p>
          <w:p w:rsidR="009E2378" w:rsidRPr="009E2378" w:rsidRDefault="009E2378" w:rsidP="009E2378">
            <w:pPr>
              <w:jc w:val="both"/>
              <w:rPr>
                <w:sz w:val="20"/>
              </w:rPr>
            </w:pPr>
            <w:r w:rsidRPr="009E2378">
              <w:rPr>
                <w:sz w:val="20"/>
              </w:rPr>
              <w:t>(Ont.) (Criminal) (By Leave)</w:t>
            </w:r>
          </w:p>
        </w:tc>
      </w:tr>
      <w:tr w:rsidR="009E2378" w:rsidRPr="009E2378" w:rsidTr="009E2378">
        <w:tc>
          <w:tcPr>
            <w:tcW w:w="5000" w:type="pct"/>
            <w:gridSpan w:val="4"/>
          </w:tcPr>
          <w:p w:rsidR="009E2378" w:rsidRPr="009E2378" w:rsidRDefault="009E2378" w:rsidP="009E2378">
            <w:pPr>
              <w:jc w:val="both"/>
              <w:rPr>
                <w:sz w:val="20"/>
              </w:rPr>
            </w:pPr>
            <w:r w:rsidRPr="009E2378">
              <w:rPr>
                <w:sz w:val="20"/>
              </w:rPr>
              <w:t xml:space="preserve">Criminal law — Evidence — Expert evidence — Opinion evidence — Admissibility — Are the opinions of a Drug Recognition Expert conducting an evaluation of a suspected drug-impaired driver pursuant to s. 254(3.1) of the </w:t>
            </w:r>
            <w:r w:rsidRPr="009E2378">
              <w:rPr>
                <w:i/>
                <w:sz w:val="20"/>
              </w:rPr>
              <w:t>Criminal Code</w:t>
            </w:r>
            <w:r w:rsidRPr="009E2378">
              <w:rPr>
                <w:sz w:val="20"/>
              </w:rPr>
              <w:t xml:space="preserve"> admissible in evidence without a </w:t>
            </w:r>
            <w:proofErr w:type="spellStart"/>
            <w:r w:rsidRPr="009E2378">
              <w:rPr>
                <w:i/>
                <w:sz w:val="20"/>
              </w:rPr>
              <w:t>voir</w:t>
            </w:r>
            <w:proofErr w:type="spellEnd"/>
            <w:r w:rsidRPr="009E2378">
              <w:rPr>
                <w:i/>
                <w:sz w:val="20"/>
              </w:rPr>
              <w:t xml:space="preserve"> dire</w:t>
            </w:r>
            <w:r w:rsidRPr="009E2378">
              <w:rPr>
                <w:sz w:val="20"/>
              </w:rPr>
              <w:t xml:space="preserve"> in accordance with </w:t>
            </w:r>
            <w:r w:rsidRPr="009E2378">
              <w:rPr>
                <w:i/>
                <w:sz w:val="20"/>
              </w:rPr>
              <w:t>R. v. Mohan</w:t>
            </w:r>
            <w:r w:rsidRPr="009E2378">
              <w:rPr>
                <w:sz w:val="20"/>
              </w:rPr>
              <w:t xml:space="preserve">, [1994] 2 S.C.R. 9? — Or, are they “lay opinions” as contemplated by this Court in </w:t>
            </w:r>
            <w:r w:rsidRPr="009E2378">
              <w:rPr>
                <w:i/>
                <w:sz w:val="20"/>
              </w:rPr>
              <w:t xml:space="preserve">R. v. </w:t>
            </w:r>
            <w:proofErr w:type="spellStart"/>
            <w:r w:rsidRPr="009E2378">
              <w:rPr>
                <w:i/>
                <w:sz w:val="20"/>
              </w:rPr>
              <w:t>Graat</w:t>
            </w:r>
            <w:proofErr w:type="spellEnd"/>
            <w:r w:rsidRPr="009E2378">
              <w:rPr>
                <w:sz w:val="20"/>
              </w:rPr>
              <w:t xml:space="preserve">, [1982] 2 S.C.R. 819, and therefore, admissible in evidence without a </w:t>
            </w:r>
            <w:r w:rsidRPr="009E2378">
              <w:rPr>
                <w:i/>
                <w:sz w:val="20"/>
              </w:rPr>
              <w:t xml:space="preserve">Mohan </w:t>
            </w:r>
            <w:proofErr w:type="spellStart"/>
            <w:r w:rsidRPr="009E2378">
              <w:rPr>
                <w:i/>
                <w:sz w:val="20"/>
              </w:rPr>
              <w:t>voir</w:t>
            </w:r>
            <w:proofErr w:type="spellEnd"/>
            <w:r w:rsidRPr="009E2378">
              <w:rPr>
                <w:i/>
                <w:sz w:val="20"/>
              </w:rPr>
              <w:t xml:space="preserve"> dire</w:t>
            </w:r>
            <w:r w:rsidRPr="009E2378">
              <w:rPr>
                <w:sz w:val="20"/>
              </w:rPr>
              <w:t>?</w:t>
            </w:r>
          </w:p>
          <w:p w:rsidR="009E2378" w:rsidRPr="009E2378" w:rsidRDefault="009E2378" w:rsidP="009E2378">
            <w:pPr>
              <w:jc w:val="both"/>
              <w:rPr>
                <w:sz w:val="20"/>
              </w:rPr>
            </w:pPr>
          </w:p>
          <w:p w:rsidR="009E2378" w:rsidRPr="009E2378" w:rsidRDefault="009E2378" w:rsidP="009E2378">
            <w:pPr>
              <w:jc w:val="both"/>
              <w:rPr>
                <w:sz w:val="20"/>
              </w:rPr>
            </w:pPr>
            <w:r w:rsidRPr="009E2378">
              <w:rPr>
                <w:sz w:val="20"/>
              </w:rPr>
              <w:t xml:space="preserve">Police were called after the applicant, Mr. Bingley, struck a car. The officer noted signs of impairment. The results of a roadside test revealed a blood alcohol concentration well below the legal limit and inconsistent with the observed indicia of impairment. A Drug Recognition Expert (“DRE”) also administered standard sobriety tests to Mr. Bingley at the scene. When he failed the sobriety tests, Mr. Bingley was charged with driving while drug impaired. He admitted that he had smoked marijuana and taken two Xanax in the previous 12 hours. A urinalysis revealed the presence of cannabis, cocaine and Alprazolam. Mr. Bingley was tried for the offence of driving while drug impaired. He was acquitted but a summary conviction appeal led to the acquittal being overturned and a new trial ordered. The basis for overturning the acquittal was that the trial judge had failed to consider the cumulative effect of the evidence. As indicated, at the first trial, Mr. Bingley was acquitted. This despite the DRE’s evidence, which the first judge found could be received without a </w:t>
            </w:r>
            <w:r w:rsidRPr="009E2378">
              <w:rPr>
                <w:i/>
                <w:sz w:val="20"/>
              </w:rPr>
              <w:t xml:space="preserve">Mohan </w:t>
            </w:r>
            <w:proofErr w:type="spellStart"/>
            <w:r w:rsidRPr="009E2378">
              <w:rPr>
                <w:i/>
                <w:sz w:val="20"/>
              </w:rPr>
              <w:t>voir</w:t>
            </w:r>
            <w:proofErr w:type="spellEnd"/>
            <w:r w:rsidRPr="009E2378">
              <w:rPr>
                <w:i/>
                <w:sz w:val="20"/>
              </w:rPr>
              <w:t xml:space="preserve"> dire</w:t>
            </w:r>
            <w:r w:rsidRPr="009E2378">
              <w:rPr>
                <w:sz w:val="20"/>
              </w:rPr>
              <w:t xml:space="preserve">. At the second trial, a second judge found that the DRE evidence could not be received without a </w:t>
            </w:r>
            <w:proofErr w:type="spellStart"/>
            <w:r w:rsidRPr="009E2378">
              <w:rPr>
                <w:i/>
                <w:sz w:val="20"/>
              </w:rPr>
              <w:t>voir</w:t>
            </w:r>
            <w:proofErr w:type="spellEnd"/>
            <w:r w:rsidRPr="009E2378">
              <w:rPr>
                <w:i/>
                <w:sz w:val="20"/>
              </w:rPr>
              <w:t xml:space="preserve"> dire</w:t>
            </w:r>
            <w:r w:rsidRPr="009E2378">
              <w:rPr>
                <w:sz w:val="20"/>
              </w:rPr>
              <w:t xml:space="preserve">. On the </w:t>
            </w:r>
            <w:proofErr w:type="spellStart"/>
            <w:r w:rsidRPr="009E2378">
              <w:rPr>
                <w:i/>
                <w:sz w:val="20"/>
              </w:rPr>
              <w:t>voir</w:t>
            </w:r>
            <w:proofErr w:type="spellEnd"/>
            <w:r w:rsidRPr="009E2378">
              <w:rPr>
                <w:i/>
                <w:sz w:val="20"/>
              </w:rPr>
              <w:t xml:space="preserve"> dire</w:t>
            </w:r>
            <w:r w:rsidRPr="009E2378">
              <w:rPr>
                <w:sz w:val="20"/>
              </w:rPr>
              <w:t>, however, the judge determined that the DRE evidence was inadmissible and therefore, acquitted Mr. Bingley again. And, again, the Crown brought a summary conviction appeal. The summary conviction appeal judge allowed the Crown appeal and ordered yet a third trial. Mr. Bingley appealed in turn, but unsuccessfully.</w:t>
            </w:r>
          </w:p>
          <w:p w:rsidR="009E2378" w:rsidRPr="009E2378" w:rsidRDefault="009E2378" w:rsidP="009E2378">
            <w:pPr>
              <w:jc w:val="both"/>
              <w:rPr>
                <w:sz w:val="20"/>
              </w:rPr>
            </w:pPr>
          </w:p>
        </w:tc>
      </w:tr>
      <w:tr w:rsidR="009E2378" w:rsidRPr="009E2378" w:rsidTr="009E2378">
        <w:tc>
          <w:tcPr>
            <w:tcW w:w="2427" w:type="pct"/>
            <w:gridSpan w:val="2"/>
          </w:tcPr>
          <w:p w:rsidR="009E2378" w:rsidRPr="009E2378" w:rsidRDefault="009E2378" w:rsidP="009E2378">
            <w:pPr>
              <w:jc w:val="both"/>
              <w:rPr>
                <w:sz w:val="20"/>
              </w:rPr>
            </w:pPr>
            <w:r w:rsidRPr="009E2378">
              <w:rPr>
                <w:sz w:val="20"/>
              </w:rPr>
              <w:t>July 15, 2013</w:t>
            </w:r>
          </w:p>
          <w:p w:rsidR="009E2378" w:rsidRPr="009E2378" w:rsidRDefault="009E2378" w:rsidP="009E2378">
            <w:pPr>
              <w:jc w:val="both"/>
              <w:rPr>
                <w:sz w:val="20"/>
              </w:rPr>
            </w:pPr>
            <w:r w:rsidRPr="009E2378">
              <w:rPr>
                <w:sz w:val="20"/>
              </w:rPr>
              <w:t>Ontario Court of Justice</w:t>
            </w:r>
          </w:p>
          <w:p w:rsidR="009E2378" w:rsidRPr="009E2378" w:rsidRDefault="009E2378" w:rsidP="009E2378">
            <w:pPr>
              <w:jc w:val="both"/>
              <w:rPr>
                <w:sz w:val="20"/>
              </w:rPr>
            </w:pPr>
            <w:r w:rsidRPr="009E2378">
              <w:rPr>
                <w:sz w:val="20"/>
              </w:rPr>
              <w:t>(Frazer J.)</w:t>
            </w:r>
          </w:p>
          <w:p w:rsidR="009E2378" w:rsidRPr="009E2378" w:rsidRDefault="009E2378" w:rsidP="009E2378">
            <w:pPr>
              <w:jc w:val="both"/>
              <w:rPr>
                <w:sz w:val="20"/>
              </w:rPr>
            </w:pP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highlight w:val="yellow"/>
              </w:rPr>
            </w:pPr>
            <w:r w:rsidRPr="009E2378">
              <w:rPr>
                <w:sz w:val="20"/>
              </w:rPr>
              <w:t>Applicant acquitted of driving while drug impaired.</w:t>
            </w:r>
          </w:p>
          <w:p w:rsidR="009E2378" w:rsidRPr="009E2378" w:rsidRDefault="009E2378" w:rsidP="009E2378">
            <w:pPr>
              <w:jc w:val="both"/>
              <w:rPr>
                <w:sz w:val="20"/>
              </w:rPr>
            </w:pPr>
          </w:p>
        </w:tc>
      </w:tr>
      <w:tr w:rsidR="009E2378" w:rsidRPr="009E2378" w:rsidTr="009E2378">
        <w:tc>
          <w:tcPr>
            <w:tcW w:w="2427" w:type="pct"/>
            <w:gridSpan w:val="2"/>
          </w:tcPr>
          <w:p w:rsidR="009E2378" w:rsidRPr="009E2378" w:rsidRDefault="009E2378" w:rsidP="009E2378">
            <w:pPr>
              <w:jc w:val="both"/>
              <w:rPr>
                <w:sz w:val="20"/>
              </w:rPr>
            </w:pPr>
            <w:r w:rsidRPr="009E2378">
              <w:rPr>
                <w:sz w:val="20"/>
              </w:rPr>
              <w:t>May 22, 2014</w:t>
            </w:r>
          </w:p>
          <w:p w:rsidR="009E2378" w:rsidRPr="009E2378" w:rsidRDefault="009E2378" w:rsidP="009E2378">
            <w:pPr>
              <w:jc w:val="both"/>
              <w:rPr>
                <w:sz w:val="20"/>
              </w:rPr>
            </w:pPr>
            <w:r w:rsidRPr="009E2378">
              <w:rPr>
                <w:sz w:val="20"/>
              </w:rPr>
              <w:t>Ontario Superior Court of Justice</w:t>
            </w:r>
          </w:p>
          <w:p w:rsidR="009E2378" w:rsidRPr="009E2378" w:rsidRDefault="009E2378" w:rsidP="009E2378">
            <w:pPr>
              <w:jc w:val="both"/>
              <w:rPr>
                <w:sz w:val="20"/>
              </w:rPr>
            </w:pPr>
            <w:r w:rsidRPr="009E2378">
              <w:rPr>
                <w:sz w:val="20"/>
              </w:rPr>
              <w:t>(McLean J.)</w:t>
            </w:r>
          </w:p>
          <w:p w:rsidR="009E2378" w:rsidRPr="009E2378" w:rsidRDefault="009E2378" w:rsidP="009E2378">
            <w:pPr>
              <w:jc w:val="both"/>
              <w:rPr>
                <w:sz w:val="20"/>
              </w:rPr>
            </w:pPr>
            <w:hyperlink r:id="rId28" w:history="1">
              <w:r w:rsidRPr="009E2378">
                <w:rPr>
                  <w:rStyle w:val="Hyperlink"/>
                  <w:sz w:val="20"/>
                </w:rPr>
                <w:t>2014 ONSC 2432</w:t>
              </w:r>
            </w:hyperlink>
          </w:p>
          <w:p w:rsidR="009E2378" w:rsidRPr="009E2378" w:rsidRDefault="009E2378" w:rsidP="009E2378">
            <w:pPr>
              <w:jc w:val="both"/>
              <w:rPr>
                <w:sz w:val="20"/>
              </w:rPr>
            </w:pP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Appeal allowed and new trial ordered.</w:t>
            </w:r>
          </w:p>
          <w:p w:rsidR="009E2378" w:rsidRPr="009E2378" w:rsidRDefault="009E2378" w:rsidP="009E2378">
            <w:pPr>
              <w:jc w:val="both"/>
              <w:rPr>
                <w:sz w:val="20"/>
              </w:rPr>
            </w:pPr>
          </w:p>
        </w:tc>
      </w:tr>
      <w:tr w:rsidR="009E2378" w:rsidRPr="009E2378" w:rsidTr="009E2378">
        <w:tc>
          <w:tcPr>
            <w:tcW w:w="2427" w:type="pct"/>
            <w:gridSpan w:val="2"/>
          </w:tcPr>
          <w:p w:rsidR="009E2378" w:rsidRPr="009E2378" w:rsidRDefault="009E2378" w:rsidP="009E2378">
            <w:pPr>
              <w:jc w:val="both"/>
              <w:rPr>
                <w:sz w:val="20"/>
              </w:rPr>
            </w:pPr>
            <w:r w:rsidRPr="009E2378">
              <w:rPr>
                <w:sz w:val="20"/>
              </w:rPr>
              <w:t>June 17, 2015</w:t>
            </w:r>
          </w:p>
          <w:p w:rsidR="009E2378" w:rsidRPr="009E2378" w:rsidRDefault="009E2378" w:rsidP="009E2378">
            <w:pPr>
              <w:jc w:val="both"/>
              <w:rPr>
                <w:sz w:val="20"/>
              </w:rPr>
            </w:pPr>
            <w:r w:rsidRPr="009E2378">
              <w:rPr>
                <w:sz w:val="20"/>
              </w:rPr>
              <w:t>Court of Appeal for Ontario</w:t>
            </w:r>
          </w:p>
          <w:p w:rsidR="009E2378" w:rsidRPr="009E2378" w:rsidRDefault="009E2378" w:rsidP="009E2378">
            <w:pPr>
              <w:jc w:val="both"/>
              <w:rPr>
                <w:sz w:val="20"/>
              </w:rPr>
            </w:pPr>
            <w:r w:rsidRPr="009E2378">
              <w:rPr>
                <w:sz w:val="20"/>
              </w:rPr>
              <w:t xml:space="preserve">(Cronk, </w:t>
            </w:r>
            <w:proofErr w:type="spellStart"/>
            <w:r w:rsidRPr="009E2378">
              <w:rPr>
                <w:sz w:val="20"/>
              </w:rPr>
              <w:t>Gillese</w:t>
            </w:r>
            <w:proofErr w:type="spellEnd"/>
            <w:r w:rsidRPr="009E2378">
              <w:rPr>
                <w:sz w:val="20"/>
              </w:rPr>
              <w:t xml:space="preserve"> and </w:t>
            </w:r>
            <w:proofErr w:type="spellStart"/>
            <w:r w:rsidRPr="009E2378">
              <w:rPr>
                <w:sz w:val="20"/>
              </w:rPr>
              <w:t>Huscroft</w:t>
            </w:r>
            <w:proofErr w:type="spellEnd"/>
            <w:r w:rsidRPr="009E2378">
              <w:rPr>
                <w:sz w:val="20"/>
              </w:rPr>
              <w:t xml:space="preserve"> JJ.A.)</w:t>
            </w:r>
          </w:p>
          <w:p w:rsidR="009E2378" w:rsidRPr="009E2378" w:rsidRDefault="009E2378" w:rsidP="009E2378">
            <w:pPr>
              <w:jc w:val="both"/>
              <w:rPr>
                <w:sz w:val="20"/>
              </w:rPr>
            </w:pPr>
            <w:hyperlink r:id="rId29" w:history="1">
              <w:r w:rsidRPr="009E2378">
                <w:rPr>
                  <w:rStyle w:val="Hyperlink"/>
                  <w:sz w:val="20"/>
                </w:rPr>
                <w:t>2015 ONCA 439</w:t>
              </w:r>
            </w:hyperlink>
          </w:p>
          <w:p w:rsidR="009E2378" w:rsidRPr="009E2378" w:rsidRDefault="009E2378" w:rsidP="009E2378">
            <w:pPr>
              <w:jc w:val="both"/>
              <w:rPr>
                <w:sz w:val="20"/>
              </w:rPr>
            </w:pP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Appeal dismissed.</w:t>
            </w:r>
          </w:p>
          <w:p w:rsidR="009E2378" w:rsidRPr="009E2378" w:rsidRDefault="009E2378" w:rsidP="009E2378">
            <w:pPr>
              <w:jc w:val="both"/>
              <w:rPr>
                <w:sz w:val="20"/>
              </w:rPr>
            </w:pPr>
          </w:p>
        </w:tc>
      </w:tr>
      <w:tr w:rsidR="009E2378" w:rsidRPr="009E2378" w:rsidTr="009E2378">
        <w:tc>
          <w:tcPr>
            <w:tcW w:w="2427" w:type="pct"/>
            <w:gridSpan w:val="2"/>
          </w:tcPr>
          <w:p w:rsidR="009E2378" w:rsidRPr="009E2378" w:rsidRDefault="009E2378" w:rsidP="009E2378">
            <w:pPr>
              <w:jc w:val="both"/>
              <w:rPr>
                <w:sz w:val="20"/>
              </w:rPr>
            </w:pPr>
            <w:r w:rsidRPr="009E2378">
              <w:rPr>
                <w:sz w:val="20"/>
              </w:rPr>
              <w:t>September 15, 2015</w:t>
            </w:r>
          </w:p>
          <w:p w:rsidR="009E2378" w:rsidRPr="009E2378" w:rsidRDefault="009E2378" w:rsidP="009E2378">
            <w:pPr>
              <w:jc w:val="both"/>
              <w:rPr>
                <w:sz w:val="20"/>
              </w:rPr>
            </w:pPr>
            <w:r w:rsidRPr="009E2378">
              <w:rPr>
                <w:sz w:val="20"/>
              </w:rPr>
              <w:t>Supreme Court of Canada</w:t>
            </w: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Application for leave to appeal filed.</w:t>
            </w:r>
          </w:p>
        </w:tc>
      </w:tr>
    </w:tbl>
    <w:p w:rsidR="009E2378" w:rsidRDefault="009E2378" w:rsidP="009E2378">
      <w:pPr>
        <w:jc w:val="both"/>
        <w:rPr>
          <w:sz w:val="20"/>
        </w:rPr>
      </w:pPr>
    </w:p>
    <w:p w:rsidR="00F13B48" w:rsidRPr="009E2378" w:rsidRDefault="00F13B48" w:rsidP="009E237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2378" w:rsidRPr="009E2378" w:rsidTr="009E2378">
        <w:tc>
          <w:tcPr>
            <w:tcW w:w="543" w:type="pct"/>
          </w:tcPr>
          <w:p w:rsidR="009E2378" w:rsidRPr="009E2378" w:rsidRDefault="009E2378" w:rsidP="009E2378">
            <w:pPr>
              <w:jc w:val="both"/>
              <w:rPr>
                <w:sz w:val="20"/>
                <w:lang w:val="fr-CA"/>
              </w:rPr>
            </w:pPr>
            <w:r w:rsidRPr="009E2378">
              <w:rPr>
                <w:rStyle w:val="SCCFileNumberChar"/>
                <w:sz w:val="20"/>
                <w:szCs w:val="20"/>
                <w:lang w:val="fr-CA"/>
              </w:rPr>
              <w:t>36610</w:t>
            </w:r>
          </w:p>
        </w:tc>
        <w:tc>
          <w:tcPr>
            <w:tcW w:w="4457" w:type="pct"/>
            <w:gridSpan w:val="3"/>
          </w:tcPr>
          <w:p w:rsidR="009E2378" w:rsidRPr="00F13B48" w:rsidRDefault="009E2378" w:rsidP="009E2378">
            <w:pPr>
              <w:pStyle w:val="SCCLsocParty"/>
              <w:jc w:val="both"/>
              <w:rPr>
                <w:b/>
                <w:sz w:val="20"/>
                <w:szCs w:val="20"/>
              </w:rPr>
            </w:pPr>
            <w:r w:rsidRPr="00F13B48">
              <w:rPr>
                <w:b/>
                <w:sz w:val="20"/>
                <w:szCs w:val="20"/>
              </w:rPr>
              <w:t>Carson Bingley c. Sa Majesté la Reine</w:t>
            </w:r>
          </w:p>
          <w:p w:rsidR="009E2378" w:rsidRPr="009E2378" w:rsidRDefault="009E2378" w:rsidP="009E2378">
            <w:pPr>
              <w:jc w:val="both"/>
              <w:rPr>
                <w:sz w:val="20"/>
                <w:lang w:val="fr-CA"/>
              </w:rPr>
            </w:pPr>
            <w:r w:rsidRPr="009E2378">
              <w:rPr>
                <w:sz w:val="20"/>
                <w:lang w:val="fr-CA"/>
              </w:rPr>
              <w:t>(Ont.) (Criminelle) (Sur autorisation)</w:t>
            </w:r>
          </w:p>
        </w:tc>
      </w:tr>
      <w:tr w:rsidR="009E2378" w:rsidRPr="009E2378" w:rsidTr="009E2378">
        <w:tc>
          <w:tcPr>
            <w:tcW w:w="5000" w:type="pct"/>
            <w:gridSpan w:val="4"/>
          </w:tcPr>
          <w:p w:rsidR="009E2378" w:rsidRPr="009E2378" w:rsidRDefault="009E2378" w:rsidP="009E2378">
            <w:pPr>
              <w:jc w:val="both"/>
              <w:rPr>
                <w:sz w:val="20"/>
                <w:lang w:val="fr-CA"/>
              </w:rPr>
            </w:pPr>
            <w:r w:rsidRPr="009E2378">
              <w:rPr>
                <w:sz w:val="20"/>
                <w:lang w:val="fr-CA"/>
              </w:rPr>
              <w:t>Droit criminel — Preuve — Preuve d’expert — Preuve sous forme d’opinion — Admissibilité — Les opinions d’un expert en reconnaissance de drogues qui effectue l’évaluation d’un conducteur soupçonné d’avoir conduit avec les facultés affaiblies par la drogue en application du par. 254(3.1) du</w:t>
            </w:r>
            <w:r w:rsidRPr="009E2378">
              <w:rPr>
                <w:i/>
                <w:sz w:val="20"/>
                <w:lang w:val="fr-CA"/>
              </w:rPr>
              <w:t xml:space="preserve"> Code criminel</w:t>
            </w:r>
            <w:r w:rsidRPr="009E2378">
              <w:rPr>
                <w:sz w:val="20"/>
                <w:lang w:val="fr-CA"/>
              </w:rPr>
              <w:t xml:space="preserve"> sont-elles admissibles sans voir-dire conformément à l’arrêt </w:t>
            </w:r>
            <w:r w:rsidRPr="009E2378">
              <w:rPr>
                <w:i/>
                <w:sz w:val="20"/>
                <w:lang w:val="fr-CA"/>
              </w:rPr>
              <w:t>R. c. Mohan</w:t>
            </w:r>
            <w:r w:rsidRPr="009E2378">
              <w:rPr>
                <w:sz w:val="20"/>
                <w:lang w:val="fr-CA"/>
              </w:rPr>
              <w:t xml:space="preserve">, [1994] 2 R.C.S. 9? — Ces opinions sont-elles plutôt des « opinions de non-expert » visées par notre Cour dans </w:t>
            </w:r>
            <w:r w:rsidRPr="009E2378">
              <w:rPr>
                <w:i/>
                <w:sz w:val="20"/>
                <w:lang w:val="fr-CA"/>
              </w:rPr>
              <w:t>R. c. Graat</w:t>
            </w:r>
            <w:r w:rsidRPr="009E2378">
              <w:rPr>
                <w:sz w:val="20"/>
                <w:lang w:val="fr-CA"/>
              </w:rPr>
              <w:t xml:space="preserve">, [1982] 2 R.C.S. 819, et donc admissibles en preuve sans voir-dire en application de l’arrêt </w:t>
            </w:r>
            <w:r w:rsidRPr="009E2378">
              <w:rPr>
                <w:i/>
                <w:sz w:val="20"/>
                <w:lang w:val="fr-CA"/>
              </w:rPr>
              <w:t>Mohan</w:t>
            </w:r>
            <w:r w:rsidRPr="009E2378">
              <w:rPr>
                <w:sz w:val="20"/>
                <w:lang w:val="fr-CA"/>
              </w:rPr>
              <w:t>?</w:t>
            </w:r>
          </w:p>
          <w:p w:rsidR="009E2378" w:rsidRPr="009E2378" w:rsidRDefault="009E2378" w:rsidP="009E2378">
            <w:pPr>
              <w:jc w:val="both"/>
              <w:rPr>
                <w:sz w:val="20"/>
                <w:lang w:val="fr-CA"/>
              </w:rPr>
            </w:pPr>
          </w:p>
          <w:p w:rsidR="009E2378" w:rsidRPr="009E2378" w:rsidRDefault="009E2378" w:rsidP="009E2378">
            <w:pPr>
              <w:jc w:val="both"/>
              <w:rPr>
                <w:sz w:val="20"/>
                <w:lang w:val="fr-CA"/>
              </w:rPr>
            </w:pPr>
            <w:r w:rsidRPr="009E2378">
              <w:rPr>
                <w:sz w:val="20"/>
                <w:lang w:val="fr-CA"/>
              </w:rPr>
              <w:t>La police a été appelée après que le demandeur, M. Bingley, eut heurté une voiture. L’agent a noté des indices d’affaiblissement des facultés. Les résultats de l’analyse sur place ont révélé une alcoolémie bien en deçà de la limite légale et incompatible avec les indices observés d’affaiblissement des facultés. Un expert en reconnaissance de drogues (« ERD ») a à son tour administré sur place à M. </w:t>
            </w:r>
            <w:proofErr w:type="spellStart"/>
            <w:r w:rsidRPr="009E2378">
              <w:rPr>
                <w:sz w:val="20"/>
                <w:lang w:val="fr-CA"/>
              </w:rPr>
              <w:t>Bingley</w:t>
            </w:r>
            <w:proofErr w:type="spellEnd"/>
            <w:r w:rsidRPr="009E2378">
              <w:rPr>
                <w:sz w:val="20"/>
                <w:lang w:val="fr-CA"/>
              </w:rPr>
              <w:t xml:space="preserve"> des tests standard de sobriété. Lorsque M. </w:t>
            </w:r>
            <w:proofErr w:type="spellStart"/>
            <w:r w:rsidRPr="009E2378">
              <w:rPr>
                <w:sz w:val="20"/>
                <w:lang w:val="fr-CA"/>
              </w:rPr>
              <w:t>Bingley</w:t>
            </w:r>
            <w:proofErr w:type="spellEnd"/>
            <w:r w:rsidRPr="009E2378">
              <w:rPr>
                <w:sz w:val="20"/>
                <w:lang w:val="fr-CA"/>
              </w:rPr>
              <w:t xml:space="preserve"> a échoué aux tests de sobriété, il a été accusé de conduite avec les facultés affaiblies par la drogue. Il a admis avoir fumé de la marijuana et avoir pris deux comprimés de Xanax au cours des 12 heures précédentes. Une analyse d’urine a révélé la présence de cannabis, de cocaïne et d’Alprazolam. Monsieur </w:t>
            </w:r>
            <w:proofErr w:type="spellStart"/>
            <w:r w:rsidRPr="009E2378">
              <w:rPr>
                <w:sz w:val="20"/>
                <w:lang w:val="fr-CA"/>
              </w:rPr>
              <w:t>Bingley</w:t>
            </w:r>
            <w:proofErr w:type="spellEnd"/>
            <w:r w:rsidRPr="009E2378">
              <w:rPr>
                <w:sz w:val="20"/>
                <w:lang w:val="fr-CA"/>
              </w:rPr>
              <w:t xml:space="preserve"> a été jugé pour l’infraction de conduite avec les facultés affaiblies par la drogue. Il a été acquitté, mais un appel en matière de poursuites sommaires a donné lieu à l’annulation l’acquittement et un nouveau procès a été ordonné. Le motif d’annulation de l’acquittement était que le juge du procès n’avait pas pris en compte l’effet cumulatif de la preuve. Rappelons que Monsieur Bingley a été acquitté au terme du premier procès, et ce, malgré la preuve de l’ERD, que le premier juge a jugée recevable sans voir-dire en application de l’arrêt </w:t>
            </w:r>
            <w:r w:rsidRPr="009E2378">
              <w:rPr>
                <w:i/>
                <w:sz w:val="20"/>
                <w:lang w:val="fr-CA"/>
              </w:rPr>
              <w:t>Mohan</w:t>
            </w:r>
            <w:r w:rsidRPr="009E2378">
              <w:rPr>
                <w:sz w:val="20"/>
                <w:lang w:val="fr-CA"/>
              </w:rPr>
              <w:t xml:space="preserve">. Au deuxième procès, le juge a conclu que la preuve de l’ERD n’était pas recevable sans voir-dire. Toutefois, au terme d’un voir-dire, le juge a conclu que la preuve de l’ERD était inadmissible et il a donc acquitté M. Bingley de nouveau. Encore une fois, le ministère public a interjeté appel en matière de poursuites sommaires. Le juge saisi de l’appel a accueilli l’appel du ministère public et ordonné la tenue d’un troisième procès. Monsieur </w:t>
            </w:r>
            <w:proofErr w:type="spellStart"/>
            <w:r w:rsidRPr="009E2378">
              <w:rPr>
                <w:sz w:val="20"/>
                <w:lang w:val="fr-CA"/>
              </w:rPr>
              <w:t>Bingley</w:t>
            </w:r>
            <w:proofErr w:type="spellEnd"/>
            <w:r w:rsidRPr="009E2378">
              <w:rPr>
                <w:sz w:val="20"/>
                <w:lang w:val="fr-CA"/>
              </w:rPr>
              <w:t xml:space="preserve"> a ensuite interjeté appel, mais il a été débouté.</w:t>
            </w: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15 juillet 2013</w:t>
            </w:r>
          </w:p>
          <w:p w:rsidR="009E2378" w:rsidRPr="009E2378" w:rsidRDefault="009E2378" w:rsidP="009E2378">
            <w:pPr>
              <w:jc w:val="both"/>
              <w:rPr>
                <w:sz w:val="20"/>
                <w:lang w:val="fr-CA"/>
              </w:rPr>
            </w:pPr>
            <w:r w:rsidRPr="009E2378">
              <w:rPr>
                <w:sz w:val="20"/>
                <w:lang w:val="fr-CA"/>
              </w:rPr>
              <w:t xml:space="preserve">Cour de justice de l’Ontario </w:t>
            </w:r>
          </w:p>
          <w:p w:rsidR="009E2378" w:rsidRPr="009E2378" w:rsidRDefault="009E2378" w:rsidP="009E2378">
            <w:pPr>
              <w:jc w:val="both"/>
              <w:rPr>
                <w:sz w:val="20"/>
                <w:lang w:val="fr-CA"/>
              </w:rPr>
            </w:pPr>
            <w:r w:rsidRPr="009E2378">
              <w:rPr>
                <w:sz w:val="20"/>
                <w:lang w:val="fr-CA"/>
              </w:rPr>
              <w:t>(Juge Frazer)</w:t>
            </w:r>
          </w:p>
          <w:p w:rsidR="009E2378" w:rsidRPr="009E2378" w:rsidRDefault="009E2378" w:rsidP="009E2378">
            <w:pPr>
              <w:jc w:val="both"/>
              <w:rPr>
                <w:sz w:val="20"/>
                <w:lang w:val="fr-CA"/>
              </w:rPr>
            </w:pP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highlight w:val="yellow"/>
                <w:lang w:val="fr-CA"/>
              </w:rPr>
            </w:pPr>
            <w:r w:rsidRPr="009E2378">
              <w:rPr>
                <w:sz w:val="20"/>
                <w:lang w:val="fr-CA"/>
              </w:rPr>
              <w:t>Acquittement du demandeur de conduite avec les facultés affaiblies par la drogue.</w:t>
            </w: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22 mai 2014</w:t>
            </w:r>
          </w:p>
          <w:p w:rsidR="009E2378" w:rsidRPr="009E2378" w:rsidRDefault="009E2378" w:rsidP="009E2378">
            <w:pPr>
              <w:jc w:val="both"/>
              <w:rPr>
                <w:sz w:val="20"/>
                <w:lang w:val="fr-CA"/>
              </w:rPr>
            </w:pPr>
            <w:r w:rsidRPr="009E2378">
              <w:rPr>
                <w:sz w:val="20"/>
                <w:lang w:val="fr-CA"/>
              </w:rPr>
              <w:t xml:space="preserve">Cour supérieure de justice de l’Ontario </w:t>
            </w:r>
          </w:p>
          <w:p w:rsidR="009E2378" w:rsidRPr="009E2378" w:rsidRDefault="009E2378" w:rsidP="009E2378">
            <w:pPr>
              <w:jc w:val="both"/>
              <w:rPr>
                <w:sz w:val="20"/>
                <w:lang w:val="fr-CA"/>
              </w:rPr>
            </w:pPr>
            <w:r w:rsidRPr="009E2378">
              <w:rPr>
                <w:sz w:val="20"/>
                <w:lang w:val="fr-CA"/>
              </w:rPr>
              <w:t>(Juge McLean)</w:t>
            </w:r>
          </w:p>
          <w:p w:rsidR="009E2378" w:rsidRPr="009E2378" w:rsidRDefault="009E2378" w:rsidP="009E2378">
            <w:pPr>
              <w:jc w:val="both"/>
              <w:rPr>
                <w:sz w:val="20"/>
                <w:lang w:val="fr-CA"/>
              </w:rPr>
            </w:pPr>
            <w:hyperlink r:id="rId30" w:history="1">
              <w:r w:rsidRPr="009E2378">
                <w:rPr>
                  <w:rStyle w:val="Hyperlink"/>
                  <w:sz w:val="20"/>
                  <w:lang w:val="fr-CA"/>
                </w:rPr>
                <w:t>2014 ONSC 2432</w:t>
              </w:r>
            </w:hyperlink>
          </w:p>
          <w:p w:rsidR="009E2378" w:rsidRPr="009E2378" w:rsidRDefault="009E2378" w:rsidP="009E2378">
            <w:pPr>
              <w:jc w:val="both"/>
              <w:rPr>
                <w:sz w:val="20"/>
                <w:lang w:val="fr-CA"/>
              </w:rPr>
            </w:pP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Arrêt accueillant l’appel et ordonnant la tenue d’un nouveau procès.</w:t>
            </w: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17 juin 2015</w:t>
            </w:r>
          </w:p>
          <w:p w:rsidR="009E2378" w:rsidRPr="009E2378" w:rsidRDefault="009E2378" w:rsidP="009E2378">
            <w:pPr>
              <w:jc w:val="both"/>
              <w:rPr>
                <w:sz w:val="20"/>
                <w:lang w:val="fr-CA"/>
              </w:rPr>
            </w:pPr>
            <w:r w:rsidRPr="009E2378">
              <w:rPr>
                <w:sz w:val="20"/>
                <w:lang w:val="fr-CA"/>
              </w:rPr>
              <w:t xml:space="preserve">Cour d’appel de l’Ontario </w:t>
            </w:r>
          </w:p>
          <w:p w:rsidR="009E2378" w:rsidRPr="009E2378" w:rsidRDefault="009E2378" w:rsidP="009E2378">
            <w:pPr>
              <w:jc w:val="both"/>
              <w:rPr>
                <w:sz w:val="20"/>
                <w:lang w:val="fr-CA"/>
              </w:rPr>
            </w:pPr>
            <w:r w:rsidRPr="009E2378">
              <w:rPr>
                <w:sz w:val="20"/>
                <w:lang w:val="fr-CA"/>
              </w:rPr>
              <w:t>(Juges Cronk, Gillese et Huscroft)</w:t>
            </w:r>
          </w:p>
          <w:p w:rsidR="009E2378" w:rsidRPr="009E2378" w:rsidRDefault="009E2378" w:rsidP="009E2378">
            <w:pPr>
              <w:jc w:val="both"/>
              <w:rPr>
                <w:sz w:val="20"/>
                <w:lang w:val="fr-CA"/>
              </w:rPr>
            </w:pPr>
            <w:hyperlink r:id="rId31" w:history="1">
              <w:r w:rsidRPr="009E2378">
                <w:rPr>
                  <w:rStyle w:val="Hyperlink"/>
                  <w:sz w:val="20"/>
                  <w:lang w:val="fr-CA"/>
                </w:rPr>
                <w:t>2015 ONCA 439</w:t>
              </w:r>
            </w:hyperlink>
          </w:p>
          <w:p w:rsidR="009E2378" w:rsidRPr="009E2378" w:rsidRDefault="009E2378" w:rsidP="009E2378">
            <w:pPr>
              <w:jc w:val="both"/>
              <w:rPr>
                <w:sz w:val="20"/>
                <w:lang w:val="fr-CA"/>
              </w:rPr>
            </w:pP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Rejet de l’appel.</w:t>
            </w: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15 septembre 2015</w:t>
            </w:r>
          </w:p>
          <w:p w:rsidR="009E2378" w:rsidRPr="009E2378" w:rsidRDefault="009E2378" w:rsidP="009E2378">
            <w:pPr>
              <w:jc w:val="both"/>
              <w:rPr>
                <w:sz w:val="20"/>
                <w:lang w:val="fr-CA"/>
              </w:rPr>
            </w:pPr>
            <w:r w:rsidRPr="009E2378">
              <w:rPr>
                <w:sz w:val="20"/>
                <w:lang w:val="fr-CA"/>
              </w:rPr>
              <w:t>Cour suprême Canada</w:t>
            </w: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Dépôt de la demande d’autorisation d’appel.</w:t>
            </w:r>
          </w:p>
        </w:tc>
      </w:tr>
    </w:tbl>
    <w:p w:rsidR="009E2378" w:rsidRDefault="009E2378" w:rsidP="009E2378">
      <w:pPr>
        <w:jc w:val="both"/>
        <w:rPr>
          <w:sz w:val="20"/>
          <w:lang w:val="fr-CA"/>
        </w:rPr>
      </w:pPr>
    </w:p>
    <w:p w:rsidR="00F13B48" w:rsidRPr="009E2378" w:rsidRDefault="00F13B48" w:rsidP="009E237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2378" w:rsidRPr="009E2378" w:rsidTr="009E2378">
        <w:tc>
          <w:tcPr>
            <w:tcW w:w="543" w:type="pct"/>
          </w:tcPr>
          <w:p w:rsidR="009E2378" w:rsidRPr="009E2378" w:rsidRDefault="009E2378" w:rsidP="009E2378">
            <w:pPr>
              <w:jc w:val="both"/>
              <w:rPr>
                <w:sz w:val="20"/>
              </w:rPr>
            </w:pPr>
            <w:r w:rsidRPr="009E2378">
              <w:rPr>
                <w:rStyle w:val="SCCFileNumberChar"/>
                <w:sz w:val="20"/>
                <w:szCs w:val="20"/>
              </w:rPr>
              <w:t>36587</w:t>
            </w:r>
          </w:p>
        </w:tc>
        <w:tc>
          <w:tcPr>
            <w:tcW w:w="4457" w:type="pct"/>
            <w:gridSpan w:val="3"/>
          </w:tcPr>
          <w:p w:rsidR="009E2378" w:rsidRPr="00F13B48" w:rsidRDefault="009E2378" w:rsidP="009E2378">
            <w:pPr>
              <w:pStyle w:val="SCCLsocParty"/>
              <w:jc w:val="both"/>
              <w:rPr>
                <w:b/>
                <w:sz w:val="20"/>
                <w:szCs w:val="20"/>
                <w:lang w:val="en-US"/>
              </w:rPr>
            </w:pPr>
            <w:r w:rsidRPr="00F13B48">
              <w:rPr>
                <w:b/>
                <w:sz w:val="20"/>
                <w:szCs w:val="20"/>
                <w:lang w:val="en-US"/>
              </w:rPr>
              <w:t>Daniel Marshall v. Her Majesty the Queen</w:t>
            </w:r>
          </w:p>
          <w:p w:rsidR="009E2378" w:rsidRPr="009E2378" w:rsidRDefault="009E2378" w:rsidP="009E2378">
            <w:pPr>
              <w:jc w:val="both"/>
              <w:rPr>
                <w:sz w:val="20"/>
              </w:rPr>
            </w:pPr>
            <w:r w:rsidRPr="009E2378">
              <w:rPr>
                <w:sz w:val="20"/>
              </w:rPr>
              <w:t>(Ont.) (Criminal) (By Leave)</w:t>
            </w:r>
          </w:p>
        </w:tc>
      </w:tr>
      <w:tr w:rsidR="009E2378" w:rsidRPr="009E2378" w:rsidTr="009E2378">
        <w:tc>
          <w:tcPr>
            <w:tcW w:w="5000" w:type="pct"/>
            <w:gridSpan w:val="4"/>
          </w:tcPr>
          <w:p w:rsidR="009E2378" w:rsidRPr="009E2378" w:rsidRDefault="009E2378" w:rsidP="009E2378">
            <w:pPr>
              <w:pStyle w:val="SCCBanSummary"/>
              <w:rPr>
                <w:sz w:val="20"/>
                <w:szCs w:val="20"/>
              </w:rPr>
            </w:pPr>
            <w:r w:rsidRPr="009E2378">
              <w:rPr>
                <w:sz w:val="20"/>
                <w:szCs w:val="20"/>
              </w:rPr>
              <w:t>(Publication ban in case)</w:t>
            </w:r>
          </w:p>
          <w:p w:rsidR="009E2378" w:rsidRPr="009E2378" w:rsidRDefault="009E2378" w:rsidP="009E2378">
            <w:pPr>
              <w:jc w:val="both"/>
              <w:rPr>
                <w:sz w:val="20"/>
              </w:rPr>
            </w:pPr>
          </w:p>
        </w:tc>
      </w:tr>
      <w:tr w:rsidR="009E2378" w:rsidRPr="009E2378" w:rsidTr="009E2378">
        <w:tc>
          <w:tcPr>
            <w:tcW w:w="5000" w:type="pct"/>
            <w:gridSpan w:val="4"/>
          </w:tcPr>
          <w:p w:rsidR="009E2378" w:rsidRPr="009E2378" w:rsidRDefault="009E2378" w:rsidP="009E2378">
            <w:pPr>
              <w:jc w:val="both"/>
              <w:rPr>
                <w:spacing w:val="-1"/>
                <w:sz w:val="20"/>
              </w:rPr>
            </w:pPr>
            <w:r w:rsidRPr="009E2378">
              <w:rPr>
                <w:spacing w:val="-1"/>
                <w:sz w:val="20"/>
              </w:rPr>
              <w:t xml:space="preserve">Criminal law – Evidence – Admissibility – Fresh evidence – Whether </w:t>
            </w:r>
            <w:r w:rsidRPr="009E2378">
              <w:rPr>
                <w:sz w:val="20"/>
              </w:rPr>
              <w:t>the</w:t>
            </w:r>
            <w:r w:rsidRPr="009E2378">
              <w:rPr>
                <w:spacing w:val="1"/>
                <w:sz w:val="20"/>
              </w:rPr>
              <w:t xml:space="preserve"> </w:t>
            </w:r>
            <w:r w:rsidRPr="009E2378">
              <w:rPr>
                <w:spacing w:val="-1"/>
                <w:sz w:val="20"/>
              </w:rPr>
              <w:t>Court</w:t>
            </w:r>
            <w:r w:rsidRPr="009E2378">
              <w:rPr>
                <w:spacing w:val="2"/>
                <w:sz w:val="20"/>
              </w:rPr>
              <w:t xml:space="preserve"> </w:t>
            </w:r>
            <w:r w:rsidRPr="009E2378">
              <w:rPr>
                <w:sz w:val="20"/>
              </w:rPr>
              <w:t>of</w:t>
            </w:r>
            <w:r w:rsidRPr="009E2378">
              <w:rPr>
                <w:spacing w:val="4"/>
                <w:sz w:val="20"/>
              </w:rPr>
              <w:t xml:space="preserve"> </w:t>
            </w:r>
            <w:r w:rsidRPr="009E2378">
              <w:rPr>
                <w:spacing w:val="-1"/>
                <w:sz w:val="20"/>
              </w:rPr>
              <w:t>Appeal</w:t>
            </w:r>
            <w:r w:rsidRPr="009E2378">
              <w:rPr>
                <w:spacing w:val="5"/>
                <w:sz w:val="20"/>
              </w:rPr>
              <w:t xml:space="preserve"> </w:t>
            </w:r>
            <w:r w:rsidRPr="009E2378">
              <w:rPr>
                <w:spacing w:val="-1"/>
                <w:sz w:val="20"/>
              </w:rPr>
              <w:t>erred</w:t>
            </w:r>
            <w:r w:rsidRPr="009E2378">
              <w:rPr>
                <w:spacing w:val="1"/>
                <w:sz w:val="20"/>
              </w:rPr>
              <w:t xml:space="preserve"> </w:t>
            </w:r>
            <w:r w:rsidRPr="009E2378">
              <w:rPr>
                <w:sz w:val="20"/>
              </w:rPr>
              <w:t>in</w:t>
            </w:r>
            <w:r w:rsidRPr="009E2378">
              <w:rPr>
                <w:spacing w:val="2"/>
                <w:sz w:val="20"/>
              </w:rPr>
              <w:t xml:space="preserve"> </w:t>
            </w:r>
            <w:r w:rsidRPr="009E2378">
              <w:rPr>
                <w:sz w:val="20"/>
              </w:rPr>
              <w:t>not</w:t>
            </w:r>
            <w:r w:rsidRPr="009E2378">
              <w:rPr>
                <w:spacing w:val="5"/>
                <w:sz w:val="20"/>
              </w:rPr>
              <w:t xml:space="preserve"> </w:t>
            </w:r>
            <w:r w:rsidRPr="009E2378">
              <w:rPr>
                <w:spacing w:val="-1"/>
                <w:sz w:val="20"/>
              </w:rPr>
              <w:t>admitting</w:t>
            </w:r>
            <w:r w:rsidRPr="009E2378">
              <w:rPr>
                <w:sz w:val="20"/>
              </w:rPr>
              <w:t xml:space="preserve"> the</w:t>
            </w:r>
            <w:r w:rsidRPr="009E2378">
              <w:rPr>
                <w:spacing w:val="1"/>
                <w:sz w:val="20"/>
              </w:rPr>
              <w:t xml:space="preserve"> </w:t>
            </w:r>
            <w:r w:rsidRPr="009E2378">
              <w:rPr>
                <w:sz w:val="20"/>
              </w:rPr>
              <w:t>proposed</w:t>
            </w:r>
            <w:r w:rsidRPr="009E2378">
              <w:rPr>
                <w:spacing w:val="2"/>
                <w:sz w:val="20"/>
              </w:rPr>
              <w:t xml:space="preserve"> </w:t>
            </w:r>
            <w:r w:rsidRPr="009E2378">
              <w:rPr>
                <w:spacing w:val="-1"/>
                <w:sz w:val="20"/>
              </w:rPr>
              <w:t>fresh</w:t>
            </w:r>
            <w:r w:rsidRPr="009E2378">
              <w:rPr>
                <w:spacing w:val="2"/>
                <w:sz w:val="20"/>
              </w:rPr>
              <w:t xml:space="preserve"> </w:t>
            </w:r>
            <w:r w:rsidRPr="009E2378">
              <w:rPr>
                <w:spacing w:val="-1"/>
                <w:sz w:val="20"/>
              </w:rPr>
              <w:t>evidence,</w:t>
            </w:r>
            <w:r w:rsidRPr="009E2378">
              <w:rPr>
                <w:spacing w:val="4"/>
                <w:sz w:val="20"/>
              </w:rPr>
              <w:t xml:space="preserve"> </w:t>
            </w:r>
            <w:r w:rsidRPr="009E2378">
              <w:rPr>
                <w:sz w:val="20"/>
              </w:rPr>
              <w:t>and</w:t>
            </w:r>
            <w:r w:rsidRPr="009E2378">
              <w:rPr>
                <w:spacing w:val="2"/>
                <w:sz w:val="20"/>
              </w:rPr>
              <w:t xml:space="preserve"> </w:t>
            </w:r>
            <w:r w:rsidRPr="009E2378">
              <w:rPr>
                <w:sz w:val="20"/>
              </w:rPr>
              <w:t>in</w:t>
            </w:r>
            <w:r w:rsidRPr="009E2378">
              <w:rPr>
                <w:spacing w:val="2"/>
                <w:sz w:val="20"/>
              </w:rPr>
              <w:t xml:space="preserve"> </w:t>
            </w:r>
            <w:r w:rsidRPr="009E2378">
              <w:rPr>
                <w:sz w:val="20"/>
              </w:rPr>
              <w:t>so</w:t>
            </w:r>
            <w:r w:rsidRPr="009E2378">
              <w:rPr>
                <w:spacing w:val="2"/>
                <w:sz w:val="20"/>
              </w:rPr>
              <w:t xml:space="preserve"> </w:t>
            </w:r>
            <w:r w:rsidRPr="009E2378">
              <w:rPr>
                <w:sz w:val="20"/>
              </w:rPr>
              <w:t>doing</w:t>
            </w:r>
            <w:r w:rsidRPr="009E2378">
              <w:rPr>
                <w:b/>
                <w:sz w:val="20"/>
              </w:rPr>
              <w:t xml:space="preserve"> </w:t>
            </w:r>
            <w:r w:rsidRPr="009E2378">
              <w:rPr>
                <w:spacing w:val="-1"/>
                <w:sz w:val="20"/>
              </w:rPr>
              <w:t>place</w:t>
            </w:r>
            <w:r w:rsidRPr="009E2378">
              <w:rPr>
                <w:spacing w:val="20"/>
                <w:sz w:val="20"/>
              </w:rPr>
              <w:t xml:space="preserve"> </w:t>
            </w:r>
            <w:r w:rsidRPr="009E2378">
              <w:rPr>
                <w:sz w:val="20"/>
              </w:rPr>
              <w:t>a</w:t>
            </w:r>
            <w:r w:rsidRPr="009E2378">
              <w:rPr>
                <w:spacing w:val="18"/>
                <w:sz w:val="20"/>
              </w:rPr>
              <w:t xml:space="preserve"> </w:t>
            </w:r>
            <w:r w:rsidRPr="009E2378">
              <w:rPr>
                <w:sz w:val="20"/>
              </w:rPr>
              <w:t>burden</w:t>
            </w:r>
            <w:r w:rsidRPr="009E2378">
              <w:rPr>
                <w:spacing w:val="19"/>
                <w:sz w:val="20"/>
              </w:rPr>
              <w:t xml:space="preserve"> </w:t>
            </w:r>
            <w:r w:rsidRPr="009E2378">
              <w:rPr>
                <w:sz w:val="20"/>
              </w:rPr>
              <w:t>upon</w:t>
            </w:r>
            <w:r w:rsidRPr="009E2378">
              <w:rPr>
                <w:spacing w:val="21"/>
                <w:sz w:val="20"/>
              </w:rPr>
              <w:t xml:space="preserve"> </w:t>
            </w:r>
            <w:r w:rsidRPr="009E2378">
              <w:rPr>
                <w:sz w:val="20"/>
              </w:rPr>
              <w:t>the</w:t>
            </w:r>
            <w:r w:rsidRPr="009E2378">
              <w:rPr>
                <w:spacing w:val="20"/>
                <w:sz w:val="20"/>
              </w:rPr>
              <w:t xml:space="preserve"> </w:t>
            </w:r>
            <w:r w:rsidRPr="009E2378">
              <w:rPr>
                <w:spacing w:val="-1"/>
                <w:sz w:val="20"/>
              </w:rPr>
              <w:t>defense</w:t>
            </w:r>
            <w:r w:rsidRPr="009E2378">
              <w:rPr>
                <w:spacing w:val="20"/>
                <w:sz w:val="20"/>
              </w:rPr>
              <w:t xml:space="preserve"> </w:t>
            </w:r>
            <w:r w:rsidRPr="009E2378">
              <w:rPr>
                <w:sz w:val="20"/>
              </w:rPr>
              <w:t>to</w:t>
            </w:r>
            <w:r w:rsidRPr="009E2378">
              <w:rPr>
                <w:spacing w:val="19"/>
                <w:sz w:val="20"/>
              </w:rPr>
              <w:t xml:space="preserve"> </w:t>
            </w:r>
            <w:r w:rsidRPr="009E2378">
              <w:rPr>
                <w:sz w:val="20"/>
              </w:rPr>
              <w:t>seek</w:t>
            </w:r>
            <w:r w:rsidRPr="009E2378">
              <w:rPr>
                <w:spacing w:val="19"/>
                <w:sz w:val="20"/>
              </w:rPr>
              <w:t xml:space="preserve"> </w:t>
            </w:r>
            <w:r w:rsidRPr="009E2378">
              <w:rPr>
                <w:sz w:val="20"/>
              </w:rPr>
              <w:t>out</w:t>
            </w:r>
            <w:r w:rsidRPr="009E2378">
              <w:rPr>
                <w:spacing w:val="19"/>
                <w:sz w:val="20"/>
              </w:rPr>
              <w:t xml:space="preserve"> </w:t>
            </w:r>
            <w:r w:rsidRPr="009E2378">
              <w:rPr>
                <w:sz w:val="20"/>
              </w:rPr>
              <w:t>information</w:t>
            </w:r>
            <w:r w:rsidRPr="009E2378">
              <w:rPr>
                <w:spacing w:val="19"/>
                <w:sz w:val="20"/>
              </w:rPr>
              <w:t xml:space="preserve"> </w:t>
            </w:r>
            <w:r w:rsidRPr="009E2378">
              <w:rPr>
                <w:spacing w:val="-1"/>
                <w:sz w:val="20"/>
              </w:rPr>
              <w:t>about</w:t>
            </w:r>
            <w:r w:rsidRPr="009E2378">
              <w:rPr>
                <w:spacing w:val="19"/>
                <w:sz w:val="20"/>
              </w:rPr>
              <w:t xml:space="preserve"> </w:t>
            </w:r>
            <w:r w:rsidRPr="009E2378">
              <w:rPr>
                <w:sz w:val="20"/>
              </w:rPr>
              <w:t>the</w:t>
            </w:r>
            <w:r w:rsidRPr="009E2378">
              <w:rPr>
                <w:spacing w:val="20"/>
                <w:sz w:val="20"/>
              </w:rPr>
              <w:t xml:space="preserve"> </w:t>
            </w:r>
            <w:r w:rsidRPr="009E2378">
              <w:rPr>
                <w:spacing w:val="-1"/>
                <w:sz w:val="20"/>
              </w:rPr>
              <w:t>complainant</w:t>
            </w:r>
            <w:r w:rsidRPr="009E2378">
              <w:rPr>
                <w:spacing w:val="19"/>
                <w:sz w:val="20"/>
              </w:rPr>
              <w:t xml:space="preserve"> </w:t>
            </w:r>
            <w:r w:rsidRPr="009E2378">
              <w:rPr>
                <w:spacing w:val="-1"/>
                <w:sz w:val="20"/>
              </w:rPr>
              <w:t>through</w:t>
            </w:r>
            <w:r w:rsidRPr="009E2378">
              <w:rPr>
                <w:spacing w:val="51"/>
                <w:sz w:val="20"/>
              </w:rPr>
              <w:t xml:space="preserve"> </w:t>
            </w:r>
            <w:r w:rsidRPr="009E2378">
              <w:rPr>
                <w:sz w:val="20"/>
              </w:rPr>
              <w:t>online</w:t>
            </w:r>
            <w:r w:rsidRPr="009E2378">
              <w:rPr>
                <w:spacing w:val="-1"/>
                <w:sz w:val="20"/>
              </w:rPr>
              <w:t xml:space="preserve"> research,</w:t>
            </w:r>
            <w:r w:rsidRPr="009E2378">
              <w:rPr>
                <w:sz w:val="20"/>
              </w:rPr>
              <w:t xml:space="preserve"> when such </w:t>
            </w:r>
            <w:r w:rsidRPr="009E2378">
              <w:rPr>
                <w:spacing w:val="-1"/>
                <w:sz w:val="20"/>
              </w:rPr>
              <w:t>information</w:t>
            </w:r>
            <w:r w:rsidRPr="009E2378">
              <w:rPr>
                <w:sz w:val="20"/>
              </w:rPr>
              <w:t xml:space="preserve"> </w:t>
            </w:r>
            <w:r w:rsidRPr="009E2378">
              <w:rPr>
                <w:spacing w:val="-1"/>
                <w:sz w:val="20"/>
              </w:rPr>
              <w:t>had</w:t>
            </w:r>
            <w:r w:rsidRPr="009E2378">
              <w:rPr>
                <w:sz w:val="20"/>
              </w:rPr>
              <w:t xml:space="preserve"> not previously</w:t>
            </w:r>
            <w:r w:rsidRPr="009E2378">
              <w:rPr>
                <w:spacing w:val="-5"/>
                <w:sz w:val="20"/>
              </w:rPr>
              <w:t xml:space="preserve"> </w:t>
            </w:r>
            <w:r w:rsidRPr="009E2378">
              <w:rPr>
                <w:sz w:val="20"/>
              </w:rPr>
              <w:t xml:space="preserve">been </w:t>
            </w:r>
            <w:r w:rsidRPr="009E2378">
              <w:rPr>
                <w:spacing w:val="-1"/>
                <w:sz w:val="20"/>
              </w:rPr>
              <w:t xml:space="preserve">disclosed – </w:t>
            </w:r>
            <w:r w:rsidRPr="009E2378">
              <w:rPr>
                <w:sz w:val="20"/>
              </w:rPr>
              <w:t>Whether the</w:t>
            </w:r>
            <w:r w:rsidRPr="009E2378">
              <w:rPr>
                <w:spacing w:val="23"/>
                <w:sz w:val="20"/>
              </w:rPr>
              <w:t xml:space="preserve"> </w:t>
            </w:r>
            <w:r w:rsidRPr="009E2378">
              <w:rPr>
                <w:spacing w:val="-1"/>
                <w:sz w:val="20"/>
              </w:rPr>
              <w:t>Court</w:t>
            </w:r>
            <w:r w:rsidRPr="009E2378">
              <w:rPr>
                <w:spacing w:val="24"/>
                <w:sz w:val="20"/>
              </w:rPr>
              <w:t xml:space="preserve"> </w:t>
            </w:r>
            <w:r w:rsidRPr="009E2378">
              <w:rPr>
                <w:sz w:val="20"/>
              </w:rPr>
              <w:t>of</w:t>
            </w:r>
            <w:r w:rsidRPr="009E2378">
              <w:rPr>
                <w:spacing w:val="23"/>
                <w:sz w:val="20"/>
              </w:rPr>
              <w:t xml:space="preserve"> </w:t>
            </w:r>
            <w:r w:rsidRPr="009E2378">
              <w:rPr>
                <w:spacing w:val="-1"/>
                <w:sz w:val="20"/>
              </w:rPr>
              <w:t>Appeal</w:t>
            </w:r>
            <w:r w:rsidRPr="009E2378">
              <w:rPr>
                <w:spacing w:val="22"/>
                <w:sz w:val="20"/>
              </w:rPr>
              <w:t xml:space="preserve"> </w:t>
            </w:r>
            <w:r w:rsidRPr="009E2378">
              <w:rPr>
                <w:spacing w:val="-1"/>
                <w:sz w:val="20"/>
              </w:rPr>
              <w:t>placed</w:t>
            </w:r>
            <w:r w:rsidRPr="009E2378">
              <w:rPr>
                <w:spacing w:val="23"/>
                <w:sz w:val="20"/>
              </w:rPr>
              <w:t xml:space="preserve"> </w:t>
            </w:r>
            <w:r w:rsidRPr="009E2378">
              <w:rPr>
                <w:sz w:val="20"/>
              </w:rPr>
              <w:t>too</w:t>
            </w:r>
            <w:r w:rsidRPr="009E2378">
              <w:rPr>
                <w:spacing w:val="24"/>
                <w:sz w:val="20"/>
              </w:rPr>
              <w:t xml:space="preserve"> </w:t>
            </w:r>
            <w:r w:rsidRPr="009E2378">
              <w:rPr>
                <w:spacing w:val="-1"/>
                <w:sz w:val="20"/>
              </w:rPr>
              <w:t>much</w:t>
            </w:r>
            <w:r w:rsidRPr="009E2378">
              <w:rPr>
                <w:spacing w:val="24"/>
                <w:sz w:val="20"/>
              </w:rPr>
              <w:t xml:space="preserve"> </w:t>
            </w:r>
            <w:r w:rsidRPr="009E2378">
              <w:rPr>
                <w:spacing w:val="-1"/>
                <w:sz w:val="20"/>
              </w:rPr>
              <w:t>emphasis</w:t>
            </w:r>
            <w:r w:rsidRPr="009E2378">
              <w:rPr>
                <w:spacing w:val="24"/>
                <w:sz w:val="20"/>
              </w:rPr>
              <w:t xml:space="preserve"> </w:t>
            </w:r>
            <w:r w:rsidRPr="009E2378">
              <w:rPr>
                <w:sz w:val="20"/>
              </w:rPr>
              <w:t>on</w:t>
            </w:r>
            <w:r w:rsidRPr="009E2378">
              <w:rPr>
                <w:spacing w:val="24"/>
                <w:sz w:val="20"/>
              </w:rPr>
              <w:t xml:space="preserve"> </w:t>
            </w:r>
            <w:r w:rsidRPr="009E2378">
              <w:rPr>
                <w:sz w:val="20"/>
              </w:rPr>
              <w:t>the</w:t>
            </w:r>
            <w:r w:rsidRPr="009E2378">
              <w:rPr>
                <w:spacing w:val="23"/>
                <w:sz w:val="20"/>
              </w:rPr>
              <w:t xml:space="preserve"> </w:t>
            </w:r>
            <w:r w:rsidRPr="009E2378">
              <w:rPr>
                <w:spacing w:val="-1"/>
                <w:sz w:val="20"/>
              </w:rPr>
              <w:t>assumed</w:t>
            </w:r>
            <w:r w:rsidRPr="009E2378">
              <w:rPr>
                <w:spacing w:val="24"/>
                <w:sz w:val="20"/>
              </w:rPr>
              <w:t xml:space="preserve"> </w:t>
            </w:r>
            <w:r w:rsidRPr="009E2378">
              <w:rPr>
                <w:spacing w:val="-1"/>
                <w:sz w:val="20"/>
              </w:rPr>
              <w:t>“availability”</w:t>
            </w:r>
            <w:r w:rsidRPr="009E2378">
              <w:rPr>
                <w:spacing w:val="23"/>
                <w:sz w:val="20"/>
              </w:rPr>
              <w:t xml:space="preserve"> </w:t>
            </w:r>
            <w:r w:rsidRPr="009E2378">
              <w:rPr>
                <w:sz w:val="20"/>
              </w:rPr>
              <w:t>of</w:t>
            </w:r>
            <w:r w:rsidRPr="009E2378">
              <w:rPr>
                <w:spacing w:val="23"/>
                <w:sz w:val="20"/>
              </w:rPr>
              <w:t xml:space="preserve"> </w:t>
            </w:r>
            <w:r w:rsidRPr="009E2378">
              <w:rPr>
                <w:sz w:val="20"/>
              </w:rPr>
              <w:t>the</w:t>
            </w:r>
            <w:r w:rsidRPr="009E2378">
              <w:rPr>
                <w:spacing w:val="63"/>
                <w:sz w:val="20"/>
              </w:rPr>
              <w:t xml:space="preserve"> </w:t>
            </w:r>
            <w:r w:rsidRPr="009E2378">
              <w:rPr>
                <w:spacing w:val="-1"/>
                <w:sz w:val="20"/>
              </w:rPr>
              <w:t>proposed</w:t>
            </w:r>
            <w:r w:rsidRPr="009E2378">
              <w:rPr>
                <w:sz w:val="20"/>
              </w:rPr>
              <w:t xml:space="preserve"> </w:t>
            </w:r>
            <w:r w:rsidRPr="009E2378">
              <w:rPr>
                <w:spacing w:val="-1"/>
                <w:sz w:val="20"/>
              </w:rPr>
              <w:t>fresh</w:t>
            </w:r>
            <w:r w:rsidRPr="009E2378">
              <w:rPr>
                <w:sz w:val="20"/>
              </w:rPr>
              <w:t xml:space="preserve"> </w:t>
            </w:r>
            <w:r w:rsidRPr="009E2378">
              <w:rPr>
                <w:spacing w:val="-1"/>
                <w:sz w:val="20"/>
              </w:rPr>
              <w:t>evidence</w:t>
            </w:r>
            <w:r w:rsidRPr="009E2378">
              <w:rPr>
                <w:spacing w:val="1"/>
                <w:sz w:val="20"/>
              </w:rPr>
              <w:t xml:space="preserve"> </w:t>
            </w:r>
            <w:r w:rsidRPr="009E2378">
              <w:rPr>
                <w:spacing w:val="-1"/>
                <w:sz w:val="20"/>
              </w:rPr>
              <w:t>at</w:t>
            </w:r>
            <w:r w:rsidRPr="009E2378">
              <w:rPr>
                <w:sz w:val="20"/>
              </w:rPr>
              <w:t xml:space="preserve"> the</w:t>
            </w:r>
            <w:r w:rsidRPr="009E2378">
              <w:rPr>
                <w:spacing w:val="-1"/>
                <w:sz w:val="20"/>
              </w:rPr>
              <w:t xml:space="preserve"> </w:t>
            </w:r>
            <w:r w:rsidRPr="009E2378">
              <w:rPr>
                <w:sz w:val="20"/>
              </w:rPr>
              <w:t>time</w:t>
            </w:r>
            <w:r w:rsidRPr="009E2378">
              <w:rPr>
                <w:spacing w:val="-1"/>
                <w:sz w:val="20"/>
              </w:rPr>
              <w:t xml:space="preserve"> </w:t>
            </w:r>
            <w:r w:rsidRPr="009E2378">
              <w:rPr>
                <w:sz w:val="20"/>
              </w:rPr>
              <w:t>of</w:t>
            </w:r>
            <w:r w:rsidRPr="009E2378">
              <w:rPr>
                <w:spacing w:val="-1"/>
                <w:sz w:val="20"/>
              </w:rPr>
              <w:t xml:space="preserve"> trial,</w:t>
            </w:r>
            <w:r w:rsidRPr="009E2378">
              <w:rPr>
                <w:sz w:val="20"/>
              </w:rPr>
              <w:t xml:space="preserve"> in </w:t>
            </w:r>
            <w:r w:rsidRPr="009E2378">
              <w:rPr>
                <w:spacing w:val="-1"/>
                <w:sz w:val="20"/>
              </w:rPr>
              <w:t>weighing</w:t>
            </w:r>
            <w:r w:rsidRPr="009E2378">
              <w:rPr>
                <w:spacing w:val="-3"/>
                <w:sz w:val="20"/>
              </w:rPr>
              <w:t xml:space="preserve"> </w:t>
            </w:r>
            <w:r w:rsidRPr="009E2378">
              <w:rPr>
                <w:sz w:val="20"/>
              </w:rPr>
              <w:t xml:space="preserve">its </w:t>
            </w:r>
            <w:r w:rsidRPr="009E2378">
              <w:rPr>
                <w:spacing w:val="-1"/>
                <w:sz w:val="20"/>
              </w:rPr>
              <w:t xml:space="preserve">admissibility – Whether </w:t>
            </w:r>
            <w:r w:rsidRPr="009E2378">
              <w:rPr>
                <w:sz w:val="20"/>
              </w:rPr>
              <w:t>the</w:t>
            </w:r>
            <w:r w:rsidRPr="009E2378">
              <w:rPr>
                <w:spacing w:val="25"/>
                <w:sz w:val="20"/>
              </w:rPr>
              <w:t xml:space="preserve"> </w:t>
            </w:r>
            <w:r w:rsidRPr="009E2378">
              <w:rPr>
                <w:spacing w:val="-1"/>
                <w:sz w:val="20"/>
              </w:rPr>
              <w:t>Court</w:t>
            </w:r>
            <w:r w:rsidRPr="009E2378">
              <w:rPr>
                <w:spacing w:val="26"/>
                <w:sz w:val="20"/>
              </w:rPr>
              <w:t xml:space="preserve"> </w:t>
            </w:r>
            <w:r w:rsidRPr="009E2378">
              <w:rPr>
                <w:sz w:val="20"/>
              </w:rPr>
              <w:t>of</w:t>
            </w:r>
            <w:r w:rsidRPr="009E2378">
              <w:rPr>
                <w:spacing w:val="25"/>
                <w:sz w:val="20"/>
              </w:rPr>
              <w:t xml:space="preserve"> </w:t>
            </w:r>
            <w:r w:rsidRPr="009E2378">
              <w:rPr>
                <w:spacing w:val="-1"/>
                <w:sz w:val="20"/>
              </w:rPr>
              <w:t>Appeal</w:t>
            </w:r>
            <w:r w:rsidRPr="009E2378">
              <w:rPr>
                <w:spacing w:val="29"/>
                <w:sz w:val="20"/>
              </w:rPr>
              <w:t xml:space="preserve"> </w:t>
            </w:r>
            <w:r w:rsidRPr="009E2378">
              <w:rPr>
                <w:sz w:val="20"/>
              </w:rPr>
              <w:t>properly</w:t>
            </w:r>
            <w:r w:rsidRPr="009E2378">
              <w:rPr>
                <w:spacing w:val="21"/>
                <w:sz w:val="20"/>
              </w:rPr>
              <w:t xml:space="preserve"> </w:t>
            </w:r>
            <w:r w:rsidRPr="009E2378">
              <w:rPr>
                <w:sz w:val="20"/>
              </w:rPr>
              <w:t>concluded</w:t>
            </w:r>
            <w:r w:rsidRPr="009E2378">
              <w:rPr>
                <w:spacing w:val="25"/>
                <w:sz w:val="20"/>
              </w:rPr>
              <w:t xml:space="preserve"> </w:t>
            </w:r>
            <w:r w:rsidRPr="009E2378">
              <w:rPr>
                <w:spacing w:val="-1"/>
                <w:sz w:val="20"/>
              </w:rPr>
              <w:t>that</w:t>
            </w:r>
            <w:r w:rsidRPr="009E2378">
              <w:rPr>
                <w:spacing w:val="26"/>
                <w:sz w:val="20"/>
              </w:rPr>
              <w:t xml:space="preserve"> </w:t>
            </w:r>
            <w:r w:rsidRPr="009E2378">
              <w:rPr>
                <w:sz w:val="20"/>
              </w:rPr>
              <w:t>the</w:t>
            </w:r>
            <w:r w:rsidRPr="009E2378">
              <w:rPr>
                <w:spacing w:val="25"/>
                <w:sz w:val="20"/>
              </w:rPr>
              <w:t xml:space="preserve"> </w:t>
            </w:r>
            <w:r w:rsidRPr="009E2378">
              <w:rPr>
                <w:spacing w:val="-1"/>
                <w:sz w:val="20"/>
              </w:rPr>
              <w:t>proposed</w:t>
            </w:r>
            <w:r w:rsidRPr="009E2378">
              <w:rPr>
                <w:spacing w:val="26"/>
                <w:sz w:val="20"/>
              </w:rPr>
              <w:t xml:space="preserve"> </w:t>
            </w:r>
            <w:r w:rsidRPr="009E2378">
              <w:rPr>
                <w:spacing w:val="-1"/>
                <w:sz w:val="20"/>
              </w:rPr>
              <w:t>fresh</w:t>
            </w:r>
            <w:r w:rsidRPr="009E2378">
              <w:rPr>
                <w:spacing w:val="26"/>
                <w:sz w:val="20"/>
              </w:rPr>
              <w:t xml:space="preserve"> </w:t>
            </w:r>
            <w:r w:rsidRPr="009E2378">
              <w:rPr>
                <w:spacing w:val="-1"/>
                <w:sz w:val="20"/>
              </w:rPr>
              <w:t>evidence</w:t>
            </w:r>
            <w:r w:rsidRPr="009E2378">
              <w:rPr>
                <w:spacing w:val="25"/>
                <w:sz w:val="20"/>
              </w:rPr>
              <w:t xml:space="preserve"> </w:t>
            </w:r>
            <w:r w:rsidRPr="009E2378">
              <w:rPr>
                <w:sz w:val="20"/>
              </w:rPr>
              <w:t>“[did]</w:t>
            </w:r>
            <w:r w:rsidRPr="009E2378">
              <w:rPr>
                <w:spacing w:val="28"/>
                <w:sz w:val="20"/>
              </w:rPr>
              <w:t xml:space="preserve"> </w:t>
            </w:r>
            <w:r w:rsidRPr="009E2378">
              <w:rPr>
                <w:sz w:val="20"/>
              </w:rPr>
              <w:t>not</w:t>
            </w:r>
            <w:r w:rsidRPr="009E2378">
              <w:rPr>
                <w:spacing w:val="63"/>
                <w:sz w:val="20"/>
              </w:rPr>
              <w:t xml:space="preserve"> </w:t>
            </w:r>
            <w:r w:rsidRPr="009E2378">
              <w:rPr>
                <w:spacing w:val="-1"/>
                <w:sz w:val="20"/>
              </w:rPr>
              <w:t>bear</w:t>
            </w:r>
            <w:r w:rsidRPr="009E2378">
              <w:rPr>
                <w:spacing w:val="18"/>
                <w:sz w:val="20"/>
              </w:rPr>
              <w:t xml:space="preserve"> </w:t>
            </w:r>
            <w:r w:rsidRPr="009E2378">
              <w:rPr>
                <w:sz w:val="20"/>
              </w:rPr>
              <w:t>on</w:t>
            </w:r>
            <w:r w:rsidRPr="009E2378">
              <w:rPr>
                <w:spacing w:val="21"/>
                <w:sz w:val="20"/>
              </w:rPr>
              <w:t xml:space="preserve"> </w:t>
            </w:r>
            <w:r w:rsidRPr="009E2378">
              <w:rPr>
                <w:sz w:val="20"/>
              </w:rPr>
              <w:t>a</w:t>
            </w:r>
            <w:r w:rsidRPr="009E2378">
              <w:rPr>
                <w:spacing w:val="18"/>
                <w:sz w:val="20"/>
              </w:rPr>
              <w:t xml:space="preserve"> </w:t>
            </w:r>
            <w:r w:rsidRPr="009E2378">
              <w:rPr>
                <w:sz w:val="20"/>
              </w:rPr>
              <w:t>potentially</w:t>
            </w:r>
            <w:r w:rsidRPr="009E2378">
              <w:rPr>
                <w:spacing w:val="14"/>
                <w:sz w:val="20"/>
              </w:rPr>
              <w:t xml:space="preserve"> </w:t>
            </w:r>
            <w:r w:rsidRPr="009E2378">
              <w:rPr>
                <w:sz w:val="20"/>
              </w:rPr>
              <w:t>decisive</w:t>
            </w:r>
            <w:r w:rsidRPr="009E2378">
              <w:rPr>
                <w:spacing w:val="18"/>
                <w:sz w:val="20"/>
              </w:rPr>
              <w:t xml:space="preserve"> </w:t>
            </w:r>
            <w:r w:rsidRPr="009E2378">
              <w:rPr>
                <w:sz w:val="20"/>
              </w:rPr>
              <w:t>issue</w:t>
            </w:r>
            <w:r w:rsidRPr="009E2378">
              <w:rPr>
                <w:spacing w:val="18"/>
                <w:sz w:val="20"/>
              </w:rPr>
              <w:t xml:space="preserve"> </w:t>
            </w:r>
            <w:r w:rsidRPr="009E2378">
              <w:rPr>
                <w:sz w:val="20"/>
              </w:rPr>
              <w:t>in</w:t>
            </w:r>
            <w:r w:rsidRPr="009E2378">
              <w:rPr>
                <w:spacing w:val="19"/>
                <w:sz w:val="20"/>
              </w:rPr>
              <w:t xml:space="preserve"> </w:t>
            </w:r>
            <w:r w:rsidRPr="009E2378">
              <w:rPr>
                <w:sz w:val="20"/>
              </w:rPr>
              <w:t>the</w:t>
            </w:r>
            <w:r w:rsidRPr="009E2378">
              <w:rPr>
                <w:spacing w:val="18"/>
                <w:sz w:val="20"/>
              </w:rPr>
              <w:t xml:space="preserve"> </w:t>
            </w:r>
            <w:r w:rsidRPr="009E2378">
              <w:rPr>
                <w:spacing w:val="-1"/>
                <w:sz w:val="20"/>
              </w:rPr>
              <w:t>case”</w:t>
            </w:r>
            <w:r w:rsidRPr="009E2378">
              <w:rPr>
                <w:spacing w:val="18"/>
                <w:sz w:val="20"/>
              </w:rPr>
              <w:t xml:space="preserve"> </w:t>
            </w:r>
            <w:r w:rsidRPr="009E2378">
              <w:rPr>
                <w:sz w:val="20"/>
              </w:rPr>
              <w:t>and</w:t>
            </w:r>
            <w:r w:rsidRPr="009E2378">
              <w:rPr>
                <w:spacing w:val="19"/>
                <w:sz w:val="20"/>
              </w:rPr>
              <w:t xml:space="preserve"> </w:t>
            </w:r>
            <w:r w:rsidRPr="009E2378">
              <w:rPr>
                <w:spacing w:val="-1"/>
                <w:sz w:val="20"/>
              </w:rPr>
              <w:t>that</w:t>
            </w:r>
            <w:r w:rsidRPr="009E2378">
              <w:rPr>
                <w:spacing w:val="19"/>
                <w:sz w:val="20"/>
              </w:rPr>
              <w:t xml:space="preserve"> </w:t>
            </w:r>
            <w:r w:rsidRPr="009E2378">
              <w:rPr>
                <w:sz w:val="20"/>
              </w:rPr>
              <w:t>it</w:t>
            </w:r>
            <w:r w:rsidRPr="009E2378">
              <w:rPr>
                <w:spacing w:val="19"/>
                <w:sz w:val="20"/>
              </w:rPr>
              <w:t xml:space="preserve"> </w:t>
            </w:r>
            <w:r w:rsidRPr="009E2378">
              <w:rPr>
                <w:spacing w:val="-1"/>
                <w:sz w:val="20"/>
              </w:rPr>
              <w:t>would</w:t>
            </w:r>
            <w:r w:rsidRPr="009E2378">
              <w:rPr>
                <w:spacing w:val="19"/>
                <w:sz w:val="20"/>
              </w:rPr>
              <w:t xml:space="preserve"> </w:t>
            </w:r>
            <w:r w:rsidRPr="009E2378">
              <w:rPr>
                <w:spacing w:val="-1"/>
                <w:sz w:val="20"/>
              </w:rPr>
              <w:t>have</w:t>
            </w:r>
            <w:r w:rsidRPr="009E2378">
              <w:rPr>
                <w:spacing w:val="18"/>
                <w:sz w:val="20"/>
              </w:rPr>
              <w:t xml:space="preserve"> </w:t>
            </w:r>
            <w:r w:rsidRPr="009E2378">
              <w:rPr>
                <w:sz w:val="20"/>
              </w:rPr>
              <w:t>been</w:t>
            </w:r>
            <w:r w:rsidRPr="009E2378">
              <w:rPr>
                <w:spacing w:val="19"/>
                <w:sz w:val="20"/>
              </w:rPr>
              <w:t xml:space="preserve"> </w:t>
            </w:r>
            <w:r w:rsidRPr="009E2378">
              <w:rPr>
                <w:sz w:val="20"/>
              </w:rPr>
              <w:t>unlikely</w:t>
            </w:r>
            <w:r w:rsidRPr="009E2378">
              <w:rPr>
                <w:spacing w:val="14"/>
                <w:sz w:val="20"/>
              </w:rPr>
              <w:t xml:space="preserve"> </w:t>
            </w:r>
            <w:r w:rsidRPr="009E2378">
              <w:rPr>
                <w:sz w:val="20"/>
              </w:rPr>
              <w:t>to</w:t>
            </w:r>
            <w:r w:rsidRPr="009E2378">
              <w:rPr>
                <w:spacing w:val="-1"/>
                <w:sz w:val="20"/>
              </w:rPr>
              <w:t xml:space="preserve"> have affected</w:t>
            </w:r>
            <w:r w:rsidRPr="009E2378">
              <w:rPr>
                <w:sz w:val="20"/>
              </w:rPr>
              <w:t xml:space="preserve"> the</w:t>
            </w:r>
            <w:r w:rsidRPr="009E2378">
              <w:rPr>
                <w:spacing w:val="-1"/>
                <w:sz w:val="20"/>
              </w:rPr>
              <w:t xml:space="preserve"> </w:t>
            </w:r>
            <w:r w:rsidRPr="009E2378">
              <w:rPr>
                <w:sz w:val="20"/>
              </w:rPr>
              <w:t>outcome</w:t>
            </w:r>
            <w:r w:rsidRPr="009E2378">
              <w:rPr>
                <w:spacing w:val="-1"/>
                <w:sz w:val="20"/>
              </w:rPr>
              <w:t xml:space="preserve"> </w:t>
            </w:r>
            <w:r w:rsidRPr="009E2378">
              <w:rPr>
                <w:sz w:val="20"/>
              </w:rPr>
              <w:t>of</w:t>
            </w:r>
            <w:r w:rsidRPr="009E2378">
              <w:rPr>
                <w:spacing w:val="-1"/>
                <w:sz w:val="20"/>
              </w:rPr>
              <w:t xml:space="preserve"> </w:t>
            </w:r>
            <w:r w:rsidRPr="009E2378">
              <w:rPr>
                <w:sz w:val="20"/>
              </w:rPr>
              <w:t>the</w:t>
            </w:r>
            <w:r w:rsidRPr="009E2378">
              <w:rPr>
                <w:spacing w:val="-1"/>
                <w:sz w:val="20"/>
              </w:rPr>
              <w:t xml:space="preserve"> trial.</w:t>
            </w:r>
          </w:p>
        </w:tc>
      </w:tr>
      <w:tr w:rsidR="009E2378" w:rsidRPr="009E2378" w:rsidTr="009E2378">
        <w:tc>
          <w:tcPr>
            <w:tcW w:w="5000" w:type="pct"/>
            <w:gridSpan w:val="4"/>
          </w:tcPr>
          <w:p w:rsidR="009E2378" w:rsidRPr="009E2378" w:rsidRDefault="009E2378" w:rsidP="009E2378">
            <w:pPr>
              <w:jc w:val="both"/>
              <w:rPr>
                <w:spacing w:val="-1"/>
                <w:sz w:val="20"/>
              </w:rPr>
            </w:pPr>
          </w:p>
        </w:tc>
      </w:tr>
      <w:tr w:rsidR="009E2378" w:rsidRPr="009E2378" w:rsidTr="009E2378">
        <w:tc>
          <w:tcPr>
            <w:tcW w:w="5000" w:type="pct"/>
            <w:gridSpan w:val="4"/>
          </w:tcPr>
          <w:p w:rsidR="009E2378" w:rsidRPr="009E2378" w:rsidRDefault="009E2378" w:rsidP="009E2378">
            <w:pPr>
              <w:jc w:val="both"/>
              <w:rPr>
                <w:sz w:val="20"/>
              </w:rPr>
            </w:pPr>
            <w:r w:rsidRPr="009E2378">
              <w:rPr>
                <w:sz w:val="20"/>
              </w:rPr>
              <w:t>The applicant was convicted of one count of sexual assault. He was sentenced to eight months imprisonment (less six days pretrial custody). The Court of Appeal dismissed the conviction appeal; granted leave to appeal sentence, and dismissed the sentence appeal. The application to introduce fresh evidence was dismissed by the Court of Appeal.</w:t>
            </w:r>
          </w:p>
          <w:p w:rsidR="009E2378" w:rsidRPr="009E2378" w:rsidRDefault="009E2378" w:rsidP="009E2378">
            <w:pPr>
              <w:jc w:val="both"/>
              <w:rPr>
                <w:sz w:val="20"/>
              </w:rPr>
            </w:pPr>
          </w:p>
        </w:tc>
      </w:tr>
      <w:tr w:rsidR="009E2378" w:rsidRPr="009E2378" w:rsidTr="009E2378">
        <w:tc>
          <w:tcPr>
            <w:tcW w:w="2427" w:type="pct"/>
            <w:gridSpan w:val="2"/>
          </w:tcPr>
          <w:p w:rsidR="009E2378" w:rsidRPr="009E2378" w:rsidRDefault="009E2378" w:rsidP="009E2378">
            <w:pPr>
              <w:jc w:val="both"/>
              <w:rPr>
                <w:sz w:val="20"/>
              </w:rPr>
            </w:pPr>
            <w:r w:rsidRPr="009E2378">
              <w:rPr>
                <w:sz w:val="20"/>
              </w:rPr>
              <w:t xml:space="preserve">May 1, 2013 </w:t>
            </w:r>
          </w:p>
          <w:p w:rsidR="009E2378" w:rsidRPr="009E2378" w:rsidRDefault="009E2378" w:rsidP="009E2378">
            <w:pPr>
              <w:jc w:val="both"/>
              <w:rPr>
                <w:sz w:val="20"/>
              </w:rPr>
            </w:pPr>
            <w:r w:rsidRPr="009E2378">
              <w:rPr>
                <w:sz w:val="20"/>
              </w:rPr>
              <w:t>Ontario Superior Court of Justice</w:t>
            </w:r>
          </w:p>
          <w:p w:rsidR="009E2378" w:rsidRPr="009E2378" w:rsidRDefault="009E2378" w:rsidP="009E2378">
            <w:pPr>
              <w:jc w:val="both"/>
              <w:rPr>
                <w:sz w:val="20"/>
              </w:rPr>
            </w:pPr>
            <w:r w:rsidRPr="009E2378">
              <w:rPr>
                <w:sz w:val="20"/>
              </w:rPr>
              <w:t>(Reid J.)</w:t>
            </w:r>
          </w:p>
          <w:p w:rsidR="009E2378" w:rsidRPr="009E2378" w:rsidRDefault="009E2378" w:rsidP="009E2378">
            <w:pPr>
              <w:jc w:val="both"/>
              <w:rPr>
                <w:sz w:val="20"/>
              </w:rPr>
            </w:pPr>
            <w:r w:rsidRPr="009E2378">
              <w:rPr>
                <w:sz w:val="20"/>
              </w:rPr>
              <w:t>2013 ONSC 2603</w:t>
            </w:r>
          </w:p>
          <w:p w:rsidR="009E2378" w:rsidRPr="009E2378" w:rsidRDefault="009E2378" w:rsidP="009E2378">
            <w:pPr>
              <w:jc w:val="both"/>
              <w:rPr>
                <w:rStyle w:val="documentstaticurl"/>
                <w:sz w:val="20"/>
              </w:rPr>
            </w:pPr>
            <w:hyperlink r:id="rId32" w:history="1">
              <w:r w:rsidRPr="009E2378">
                <w:rPr>
                  <w:rStyle w:val="Hyperlink"/>
                  <w:rFonts w:eastAsiaTheme="majorEastAsia"/>
                  <w:sz w:val="20"/>
                </w:rPr>
                <w:t>http://canlii.ca/t/fx8j8</w:t>
              </w:r>
            </w:hyperlink>
          </w:p>
          <w:p w:rsidR="009E2378" w:rsidRPr="009E2378" w:rsidRDefault="009E2378" w:rsidP="009E2378">
            <w:pPr>
              <w:jc w:val="both"/>
              <w:rPr>
                <w:sz w:val="20"/>
              </w:rPr>
            </w:pP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Conviction: sexual assault</w:t>
            </w:r>
          </w:p>
          <w:p w:rsidR="009E2378" w:rsidRPr="009E2378" w:rsidRDefault="009E2378" w:rsidP="009E2378">
            <w:pPr>
              <w:jc w:val="both"/>
              <w:rPr>
                <w:sz w:val="20"/>
              </w:rPr>
            </w:pPr>
          </w:p>
          <w:p w:rsidR="009E2378" w:rsidRPr="009E2378" w:rsidRDefault="009E2378" w:rsidP="009E2378">
            <w:pPr>
              <w:jc w:val="both"/>
              <w:rPr>
                <w:sz w:val="20"/>
              </w:rPr>
            </w:pPr>
          </w:p>
        </w:tc>
      </w:tr>
      <w:tr w:rsidR="009E2378" w:rsidRPr="009E2378" w:rsidTr="009E2378">
        <w:tc>
          <w:tcPr>
            <w:tcW w:w="2427" w:type="pct"/>
            <w:gridSpan w:val="2"/>
          </w:tcPr>
          <w:p w:rsidR="009E2378" w:rsidRPr="009E2378" w:rsidRDefault="009E2378" w:rsidP="009E2378">
            <w:pPr>
              <w:jc w:val="both"/>
              <w:rPr>
                <w:sz w:val="20"/>
              </w:rPr>
            </w:pPr>
            <w:r w:rsidRPr="009E2378">
              <w:rPr>
                <w:sz w:val="20"/>
              </w:rPr>
              <w:t>July 3, 2013</w:t>
            </w:r>
          </w:p>
          <w:p w:rsidR="009E2378" w:rsidRPr="009E2378" w:rsidRDefault="009E2378" w:rsidP="009E2378">
            <w:pPr>
              <w:jc w:val="both"/>
              <w:rPr>
                <w:sz w:val="20"/>
              </w:rPr>
            </w:pPr>
            <w:r w:rsidRPr="009E2378">
              <w:rPr>
                <w:sz w:val="20"/>
              </w:rPr>
              <w:t>Ontario Superior Court of Justice</w:t>
            </w:r>
          </w:p>
          <w:p w:rsidR="009E2378" w:rsidRPr="009E2378" w:rsidRDefault="009E2378" w:rsidP="009E2378">
            <w:pPr>
              <w:jc w:val="both"/>
              <w:rPr>
                <w:sz w:val="20"/>
              </w:rPr>
            </w:pPr>
            <w:r w:rsidRPr="009E2378">
              <w:rPr>
                <w:sz w:val="20"/>
              </w:rPr>
              <w:t>(Reid J.)</w:t>
            </w:r>
          </w:p>
          <w:p w:rsidR="009E2378" w:rsidRPr="009E2378" w:rsidRDefault="009E2378" w:rsidP="009E2378">
            <w:pPr>
              <w:jc w:val="both"/>
              <w:rPr>
                <w:sz w:val="20"/>
              </w:rPr>
            </w:pP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Sentence: eight months imprisonment (less six days pretrial custody)</w:t>
            </w:r>
          </w:p>
          <w:p w:rsidR="009E2378" w:rsidRPr="009E2378" w:rsidRDefault="009E2378" w:rsidP="009E2378">
            <w:pPr>
              <w:jc w:val="both"/>
              <w:rPr>
                <w:sz w:val="20"/>
              </w:rPr>
            </w:pPr>
          </w:p>
          <w:p w:rsidR="009E2378" w:rsidRPr="009E2378" w:rsidRDefault="009E2378" w:rsidP="009E2378">
            <w:pPr>
              <w:jc w:val="both"/>
              <w:rPr>
                <w:sz w:val="20"/>
              </w:rPr>
            </w:pPr>
          </w:p>
        </w:tc>
      </w:tr>
      <w:tr w:rsidR="009E2378" w:rsidRPr="009E2378" w:rsidTr="009E2378">
        <w:tc>
          <w:tcPr>
            <w:tcW w:w="2427" w:type="pct"/>
            <w:gridSpan w:val="2"/>
          </w:tcPr>
          <w:p w:rsidR="009E2378" w:rsidRPr="009E2378" w:rsidRDefault="009E2378" w:rsidP="009E2378">
            <w:pPr>
              <w:jc w:val="both"/>
              <w:rPr>
                <w:sz w:val="20"/>
              </w:rPr>
            </w:pPr>
            <w:r w:rsidRPr="009E2378">
              <w:rPr>
                <w:sz w:val="20"/>
              </w:rPr>
              <w:t>July 9, 2015</w:t>
            </w:r>
          </w:p>
          <w:p w:rsidR="009E2378" w:rsidRPr="009E2378" w:rsidRDefault="009E2378" w:rsidP="009E2378">
            <w:pPr>
              <w:jc w:val="both"/>
              <w:rPr>
                <w:sz w:val="20"/>
              </w:rPr>
            </w:pPr>
            <w:r w:rsidRPr="009E2378">
              <w:rPr>
                <w:sz w:val="20"/>
              </w:rPr>
              <w:t>Court of Appeal for Ontario</w:t>
            </w:r>
          </w:p>
          <w:p w:rsidR="009E2378" w:rsidRPr="009E2378" w:rsidRDefault="009E2378" w:rsidP="009E2378">
            <w:pPr>
              <w:jc w:val="both"/>
              <w:rPr>
                <w:sz w:val="20"/>
              </w:rPr>
            </w:pPr>
            <w:r w:rsidRPr="009E2378">
              <w:rPr>
                <w:sz w:val="20"/>
              </w:rPr>
              <w:t xml:space="preserve">(Strathy C.J.O., MacPherson and </w:t>
            </w:r>
            <w:proofErr w:type="spellStart"/>
            <w:r w:rsidRPr="009E2378">
              <w:rPr>
                <w:sz w:val="20"/>
              </w:rPr>
              <w:t>Benotto</w:t>
            </w:r>
            <w:proofErr w:type="spellEnd"/>
            <w:r w:rsidRPr="009E2378">
              <w:rPr>
                <w:sz w:val="20"/>
              </w:rPr>
              <w:t xml:space="preserve"> JJ.A.)</w:t>
            </w:r>
          </w:p>
          <w:p w:rsidR="009E2378" w:rsidRPr="009E2378" w:rsidRDefault="009E2378" w:rsidP="009E2378">
            <w:pPr>
              <w:jc w:val="both"/>
              <w:rPr>
                <w:sz w:val="20"/>
              </w:rPr>
            </w:pPr>
            <w:r w:rsidRPr="009E2378">
              <w:rPr>
                <w:sz w:val="20"/>
              </w:rPr>
              <w:t>2015 ONCA 518, C57220</w:t>
            </w:r>
          </w:p>
          <w:p w:rsidR="009E2378" w:rsidRPr="009E2378" w:rsidRDefault="009E2378" w:rsidP="009E2378">
            <w:pPr>
              <w:jc w:val="both"/>
              <w:rPr>
                <w:rStyle w:val="documentstaticurl"/>
                <w:sz w:val="20"/>
              </w:rPr>
            </w:pPr>
            <w:hyperlink r:id="rId33" w:history="1">
              <w:r w:rsidRPr="009E2378">
                <w:rPr>
                  <w:rStyle w:val="Hyperlink"/>
                  <w:rFonts w:eastAsiaTheme="majorEastAsia"/>
                  <w:sz w:val="20"/>
                </w:rPr>
                <w:t>http://canlii.ca/t/gk0x8</w:t>
              </w:r>
            </w:hyperlink>
          </w:p>
          <w:p w:rsidR="009E2378" w:rsidRPr="009E2378" w:rsidRDefault="009E2378" w:rsidP="009E2378">
            <w:pPr>
              <w:jc w:val="both"/>
              <w:rPr>
                <w:sz w:val="20"/>
              </w:rPr>
            </w:pP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Conviction appeal dismissed; leave to appeal sentence granted, sentence appeal dismissed</w:t>
            </w:r>
          </w:p>
          <w:p w:rsidR="009E2378" w:rsidRPr="009E2378" w:rsidRDefault="009E2378" w:rsidP="009E2378">
            <w:pPr>
              <w:jc w:val="both"/>
              <w:rPr>
                <w:sz w:val="20"/>
              </w:rPr>
            </w:pPr>
          </w:p>
        </w:tc>
      </w:tr>
      <w:tr w:rsidR="009E2378" w:rsidRPr="009E2378" w:rsidTr="009E2378">
        <w:tc>
          <w:tcPr>
            <w:tcW w:w="2427" w:type="pct"/>
            <w:gridSpan w:val="2"/>
          </w:tcPr>
          <w:p w:rsidR="009E2378" w:rsidRPr="009E2378" w:rsidRDefault="009E2378" w:rsidP="009E2378">
            <w:pPr>
              <w:jc w:val="both"/>
              <w:rPr>
                <w:sz w:val="20"/>
              </w:rPr>
            </w:pPr>
            <w:r w:rsidRPr="009E2378">
              <w:rPr>
                <w:sz w:val="20"/>
              </w:rPr>
              <w:t>September 3, 2015</w:t>
            </w:r>
          </w:p>
          <w:p w:rsidR="009E2378" w:rsidRPr="009E2378" w:rsidRDefault="009E2378" w:rsidP="009E2378">
            <w:pPr>
              <w:jc w:val="both"/>
              <w:rPr>
                <w:sz w:val="20"/>
              </w:rPr>
            </w:pPr>
            <w:r w:rsidRPr="009E2378">
              <w:rPr>
                <w:sz w:val="20"/>
              </w:rPr>
              <w:t>Supreme Court of Canada</w:t>
            </w: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Application for leave to appeal filed</w:t>
            </w:r>
          </w:p>
        </w:tc>
      </w:tr>
    </w:tbl>
    <w:p w:rsidR="009E2378" w:rsidRDefault="009E2378" w:rsidP="009E2378">
      <w:pPr>
        <w:jc w:val="both"/>
        <w:rPr>
          <w:sz w:val="20"/>
        </w:rPr>
      </w:pPr>
    </w:p>
    <w:p w:rsidR="00F13B48" w:rsidRPr="009E2378" w:rsidRDefault="00F13B48" w:rsidP="009E237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2378" w:rsidRPr="009E2378" w:rsidTr="009E2378">
        <w:tc>
          <w:tcPr>
            <w:tcW w:w="543" w:type="pct"/>
          </w:tcPr>
          <w:p w:rsidR="009E2378" w:rsidRPr="009E2378" w:rsidRDefault="009E2378" w:rsidP="009E2378">
            <w:pPr>
              <w:jc w:val="both"/>
              <w:rPr>
                <w:sz w:val="20"/>
                <w:lang w:val="fr-CA"/>
              </w:rPr>
            </w:pPr>
            <w:r w:rsidRPr="009E2378">
              <w:rPr>
                <w:rStyle w:val="SCCFileNumberChar"/>
                <w:sz w:val="20"/>
                <w:szCs w:val="20"/>
                <w:lang w:val="fr-CA"/>
              </w:rPr>
              <w:t>36587</w:t>
            </w:r>
          </w:p>
        </w:tc>
        <w:tc>
          <w:tcPr>
            <w:tcW w:w="4457" w:type="pct"/>
            <w:gridSpan w:val="3"/>
          </w:tcPr>
          <w:p w:rsidR="009E2378" w:rsidRPr="00F13B48" w:rsidRDefault="009E2378" w:rsidP="009E2378">
            <w:pPr>
              <w:pStyle w:val="SCCLsocParty"/>
              <w:jc w:val="both"/>
              <w:rPr>
                <w:b/>
                <w:sz w:val="20"/>
                <w:szCs w:val="20"/>
              </w:rPr>
            </w:pPr>
            <w:r w:rsidRPr="00F13B48">
              <w:rPr>
                <w:b/>
                <w:sz w:val="20"/>
                <w:szCs w:val="20"/>
              </w:rPr>
              <w:t>Daniel Marshall c. Sa Majesté la Reine</w:t>
            </w:r>
          </w:p>
          <w:p w:rsidR="009E2378" w:rsidRPr="009E2378" w:rsidRDefault="009E2378" w:rsidP="009E2378">
            <w:pPr>
              <w:jc w:val="both"/>
              <w:rPr>
                <w:sz w:val="20"/>
                <w:lang w:val="fr-CA"/>
              </w:rPr>
            </w:pPr>
            <w:r w:rsidRPr="009E2378">
              <w:rPr>
                <w:sz w:val="20"/>
                <w:lang w:val="fr-CA"/>
              </w:rPr>
              <w:t>(Ont.) (Criminelle) (Sur autorisation)</w:t>
            </w:r>
          </w:p>
        </w:tc>
      </w:tr>
      <w:tr w:rsidR="009E2378" w:rsidRPr="009E2378" w:rsidTr="009E2378">
        <w:tc>
          <w:tcPr>
            <w:tcW w:w="5000" w:type="pct"/>
            <w:gridSpan w:val="4"/>
          </w:tcPr>
          <w:p w:rsidR="009E2378" w:rsidRPr="009E2378" w:rsidRDefault="009E2378" w:rsidP="009E2378">
            <w:pPr>
              <w:pStyle w:val="SCCBanSummary"/>
              <w:rPr>
                <w:sz w:val="20"/>
                <w:szCs w:val="20"/>
                <w:lang w:val="fr-CA"/>
              </w:rPr>
            </w:pPr>
            <w:r w:rsidRPr="009E2378">
              <w:rPr>
                <w:sz w:val="20"/>
                <w:szCs w:val="20"/>
                <w:lang w:val="fr-CA"/>
              </w:rPr>
              <w:t>(</w:t>
            </w:r>
            <w:r w:rsidRPr="009E2378">
              <w:rPr>
                <w:bCs/>
                <w:sz w:val="20"/>
                <w:szCs w:val="20"/>
                <w:lang w:val="fr-CA"/>
              </w:rPr>
              <w:t>Ordonnance de non-publication dans le dossier</w:t>
            </w:r>
            <w:r w:rsidRPr="009E2378">
              <w:rPr>
                <w:sz w:val="20"/>
                <w:szCs w:val="20"/>
                <w:lang w:val="fr-CA"/>
              </w:rPr>
              <w:t>)</w:t>
            </w:r>
          </w:p>
          <w:p w:rsidR="009E2378" w:rsidRPr="009E2378" w:rsidRDefault="009E2378" w:rsidP="009E2378">
            <w:pPr>
              <w:jc w:val="both"/>
              <w:rPr>
                <w:sz w:val="20"/>
                <w:lang w:val="fr-CA"/>
              </w:rPr>
            </w:pPr>
          </w:p>
        </w:tc>
      </w:tr>
      <w:tr w:rsidR="009E2378" w:rsidRPr="009E2378" w:rsidTr="009E2378">
        <w:tc>
          <w:tcPr>
            <w:tcW w:w="5000" w:type="pct"/>
            <w:gridSpan w:val="4"/>
          </w:tcPr>
          <w:p w:rsidR="009E2378" w:rsidRPr="009E2378" w:rsidRDefault="009E2378" w:rsidP="009E2378">
            <w:pPr>
              <w:jc w:val="both"/>
              <w:rPr>
                <w:spacing w:val="-1"/>
                <w:sz w:val="20"/>
                <w:lang w:val="fr-CA"/>
              </w:rPr>
            </w:pPr>
            <w:r w:rsidRPr="009E2378">
              <w:rPr>
                <w:spacing w:val="-1"/>
                <w:sz w:val="20"/>
                <w:lang w:val="fr-CA"/>
              </w:rPr>
              <w:t xml:space="preserve">Droit criminel – Preuve – Admissibilité – Nouvel élément de preuve – La Cour d’appel a-t-elle eu tort de refuser d’admettre les nouveaux éléments de preuve proposés, imposant de ce fait à la défense le fardeau de chercher en ligne des renseignements concernant le plaignant, alors que ces renseignements n’avaient pas été communiqués précédemment? – Lorsqu’elle a apprécié l’admissibilité des nouveaux éléments de preuve proposés, la Cour d’appel a-t-elle accordé trop d’importance à leur supposée « disponibilité » au moment du procès? – La Cour d’appel a-t-elle conclu à bon droit que les </w:t>
            </w:r>
            <w:proofErr w:type="spellStart"/>
            <w:r w:rsidRPr="009E2378">
              <w:rPr>
                <w:spacing w:val="-1"/>
                <w:sz w:val="20"/>
                <w:lang w:val="fr-CA"/>
              </w:rPr>
              <w:t>nouveux</w:t>
            </w:r>
            <w:proofErr w:type="spellEnd"/>
            <w:r w:rsidRPr="009E2378">
              <w:rPr>
                <w:spacing w:val="-1"/>
                <w:sz w:val="20"/>
                <w:lang w:val="fr-CA"/>
              </w:rPr>
              <w:t xml:space="preserve"> éléments de preuve proposés « ne port[aient] pas sur une question potentiellement décisive dans l’affaire » et n’auraient probablement pas influé sur l’issue du procès?</w:t>
            </w:r>
          </w:p>
        </w:tc>
      </w:tr>
      <w:tr w:rsidR="009E2378" w:rsidRPr="009E2378" w:rsidTr="009E2378">
        <w:tc>
          <w:tcPr>
            <w:tcW w:w="5000" w:type="pct"/>
            <w:gridSpan w:val="4"/>
          </w:tcPr>
          <w:p w:rsidR="009E2378" w:rsidRPr="009E2378" w:rsidRDefault="009E2378" w:rsidP="009E2378">
            <w:pPr>
              <w:jc w:val="both"/>
              <w:rPr>
                <w:spacing w:val="-1"/>
                <w:sz w:val="20"/>
                <w:lang w:val="fr-CA"/>
              </w:rPr>
            </w:pPr>
          </w:p>
        </w:tc>
      </w:tr>
      <w:tr w:rsidR="009E2378" w:rsidRPr="009E2378" w:rsidTr="009E2378">
        <w:tc>
          <w:tcPr>
            <w:tcW w:w="5000" w:type="pct"/>
            <w:gridSpan w:val="4"/>
          </w:tcPr>
          <w:p w:rsidR="009E2378" w:rsidRPr="009E2378" w:rsidRDefault="009E2378" w:rsidP="009E2378">
            <w:pPr>
              <w:jc w:val="both"/>
              <w:rPr>
                <w:iCs/>
                <w:sz w:val="20"/>
                <w:lang w:val="fr-CA"/>
              </w:rPr>
            </w:pPr>
            <w:r w:rsidRPr="009E2378">
              <w:rPr>
                <w:iCs/>
                <w:sz w:val="20"/>
                <w:lang w:val="fr-CA"/>
              </w:rPr>
              <w:t xml:space="preserve">Le demandeur a été déclaré coupable d’un chef d’agression sexuelle et condamné à huit mois d’emprisonnement (moins six jours de détention avant le procès). La Cour d’appel a rejeté l’appel de la déclaration de culpabilité interjeté par le demandeur; elle a autorisé l’appel de la peine, mais rejeté cet appel. La Cour d’appel a refusé la demande d’autorisation </w:t>
            </w:r>
            <w:r w:rsidRPr="009E2378">
              <w:rPr>
                <w:sz w:val="20"/>
                <w:lang w:val="fr-CA"/>
              </w:rPr>
              <w:t>de présenter de nouveaux éléments de preuve.</w:t>
            </w: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1</w:t>
            </w:r>
            <w:r w:rsidRPr="009E2378">
              <w:rPr>
                <w:sz w:val="20"/>
                <w:vertAlign w:val="superscript"/>
                <w:lang w:val="fr-CA"/>
              </w:rPr>
              <w:t>er</w:t>
            </w:r>
            <w:r w:rsidRPr="009E2378">
              <w:rPr>
                <w:sz w:val="20"/>
                <w:lang w:val="fr-CA"/>
              </w:rPr>
              <w:t xml:space="preserve"> mai 2013 </w:t>
            </w:r>
          </w:p>
          <w:p w:rsidR="009E2378" w:rsidRPr="009E2378" w:rsidRDefault="009E2378" w:rsidP="009E2378">
            <w:pPr>
              <w:jc w:val="both"/>
              <w:rPr>
                <w:sz w:val="20"/>
                <w:lang w:val="fr-CA"/>
              </w:rPr>
            </w:pPr>
            <w:r w:rsidRPr="009E2378">
              <w:rPr>
                <w:sz w:val="20"/>
                <w:lang w:val="fr-CA"/>
              </w:rPr>
              <w:t>Cour supérieure de justice de l’Ontario</w:t>
            </w:r>
          </w:p>
          <w:p w:rsidR="009E2378" w:rsidRPr="009E2378" w:rsidRDefault="009E2378" w:rsidP="009E2378">
            <w:pPr>
              <w:jc w:val="both"/>
              <w:rPr>
                <w:sz w:val="20"/>
                <w:lang w:val="fr-CA"/>
              </w:rPr>
            </w:pPr>
            <w:r w:rsidRPr="009E2378">
              <w:rPr>
                <w:sz w:val="20"/>
                <w:lang w:val="fr-CA"/>
              </w:rPr>
              <w:t>(Juge Reid)</w:t>
            </w:r>
          </w:p>
          <w:p w:rsidR="009E2378" w:rsidRPr="009E2378" w:rsidRDefault="009E2378" w:rsidP="009E2378">
            <w:pPr>
              <w:jc w:val="both"/>
              <w:rPr>
                <w:sz w:val="20"/>
                <w:lang w:val="fr-CA"/>
              </w:rPr>
            </w:pPr>
            <w:r w:rsidRPr="009E2378">
              <w:rPr>
                <w:sz w:val="20"/>
                <w:lang w:val="fr-CA"/>
              </w:rPr>
              <w:t>2013 ONSC 2603</w:t>
            </w:r>
          </w:p>
          <w:p w:rsidR="009E2378" w:rsidRPr="009E2378" w:rsidRDefault="009E2378" w:rsidP="009E2378">
            <w:pPr>
              <w:jc w:val="both"/>
              <w:rPr>
                <w:sz w:val="20"/>
                <w:lang w:val="fr-CA"/>
              </w:rPr>
            </w:pPr>
            <w:hyperlink r:id="rId34" w:history="1">
              <w:r w:rsidRPr="009E2378">
                <w:rPr>
                  <w:rStyle w:val="Hyperlink"/>
                  <w:sz w:val="20"/>
                  <w:lang w:val="fr-CA"/>
                </w:rPr>
                <w:t>http://canlii.ca/t/fx8j8</w:t>
              </w:r>
            </w:hyperlink>
          </w:p>
          <w:p w:rsidR="009E2378" w:rsidRPr="009E2378" w:rsidRDefault="009E2378" w:rsidP="009E2378">
            <w:pPr>
              <w:jc w:val="both"/>
              <w:rPr>
                <w:sz w:val="20"/>
                <w:lang w:val="fr-CA"/>
              </w:rPr>
            </w:pP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Déclaration de culpabilité : agression sexuelle</w:t>
            </w:r>
          </w:p>
          <w:p w:rsidR="009E2378" w:rsidRPr="009E2378" w:rsidRDefault="009E2378" w:rsidP="009E2378">
            <w:pPr>
              <w:jc w:val="both"/>
              <w:rPr>
                <w:sz w:val="20"/>
                <w:lang w:val="fr-CA"/>
              </w:rPr>
            </w:pP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3 juillet 2013</w:t>
            </w:r>
          </w:p>
          <w:p w:rsidR="009E2378" w:rsidRPr="009E2378" w:rsidRDefault="009E2378" w:rsidP="009E2378">
            <w:pPr>
              <w:jc w:val="both"/>
              <w:rPr>
                <w:sz w:val="20"/>
                <w:lang w:val="fr-CA"/>
              </w:rPr>
            </w:pPr>
            <w:r w:rsidRPr="009E2378">
              <w:rPr>
                <w:sz w:val="20"/>
                <w:lang w:val="fr-CA"/>
              </w:rPr>
              <w:t>Cour supérieure de justice de l’Ontario</w:t>
            </w:r>
          </w:p>
          <w:p w:rsidR="009E2378" w:rsidRPr="009E2378" w:rsidRDefault="009E2378" w:rsidP="009E2378">
            <w:pPr>
              <w:jc w:val="both"/>
              <w:rPr>
                <w:sz w:val="20"/>
                <w:lang w:val="fr-CA"/>
              </w:rPr>
            </w:pPr>
            <w:r w:rsidRPr="009E2378">
              <w:rPr>
                <w:sz w:val="20"/>
                <w:lang w:val="fr-CA"/>
              </w:rPr>
              <w:t>(Juge Reid)</w:t>
            </w:r>
          </w:p>
          <w:p w:rsidR="009E2378" w:rsidRPr="009E2378" w:rsidRDefault="009E2378" w:rsidP="009E2378">
            <w:pPr>
              <w:jc w:val="both"/>
              <w:rPr>
                <w:sz w:val="20"/>
                <w:lang w:val="fr-CA"/>
              </w:rPr>
            </w:pP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Peine infligée : huit mois d’emprisonnement (</w:t>
            </w:r>
            <w:r w:rsidRPr="009E2378">
              <w:rPr>
                <w:iCs/>
                <w:sz w:val="20"/>
                <w:lang w:val="fr-CA"/>
              </w:rPr>
              <w:t>moins six jours de détention avant le procès</w:t>
            </w:r>
            <w:r w:rsidRPr="009E2378">
              <w:rPr>
                <w:sz w:val="20"/>
                <w:lang w:val="fr-CA"/>
              </w:rPr>
              <w:t>)</w:t>
            </w:r>
          </w:p>
          <w:p w:rsidR="009E2378" w:rsidRPr="009E2378" w:rsidRDefault="009E2378" w:rsidP="009E2378">
            <w:pPr>
              <w:jc w:val="both"/>
              <w:rPr>
                <w:sz w:val="20"/>
                <w:lang w:val="fr-CA"/>
              </w:rPr>
            </w:pP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9 juillet 2015</w:t>
            </w:r>
          </w:p>
          <w:p w:rsidR="009E2378" w:rsidRPr="009E2378" w:rsidRDefault="009E2378" w:rsidP="009E2378">
            <w:pPr>
              <w:jc w:val="both"/>
              <w:rPr>
                <w:sz w:val="20"/>
                <w:lang w:val="fr-CA"/>
              </w:rPr>
            </w:pPr>
            <w:r w:rsidRPr="009E2378">
              <w:rPr>
                <w:sz w:val="20"/>
                <w:lang w:val="fr-CA"/>
              </w:rPr>
              <w:t>Cour d’appel de l’Ontario</w:t>
            </w:r>
          </w:p>
          <w:p w:rsidR="009E2378" w:rsidRPr="009E2378" w:rsidRDefault="009E2378" w:rsidP="009E2378">
            <w:pPr>
              <w:jc w:val="both"/>
              <w:rPr>
                <w:sz w:val="20"/>
                <w:lang w:val="fr-CA"/>
              </w:rPr>
            </w:pPr>
            <w:r w:rsidRPr="009E2378">
              <w:rPr>
                <w:sz w:val="20"/>
                <w:lang w:val="fr-CA"/>
              </w:rPr>
              <w:t xml:space="preserve">(Juge en chef </w:t>
            </w:r>
            <w:proofErr w:type="spellStart"/>
            <w:r w:rsidRPr="009E2378">
              <w:rPr>
                <w:sz w:val="20"/>
                <w:lang w:val="fr-CA"/>
              </w:rPr>
              <w:t>Strathy</w:t>
            </w:r>
            <w:proofErr w:type="spellEnd"/>
            <w:r w:rsidRPr="009E2378">
              <w:rPr>
                <w:sz w:val="20"/>
                <w:lang w:val="fr-CA"/>
              </w:rPr>
              <w:t xml:space="preserve">, juges </w:t>
            </w:r>
            <w:proofErr w:type="spellStart"/>
            <w:r w:rsidRPr="009E2378">
              <w:rPr>
                <w:sz w:val="20"/>
                <w:lang w:val="fr-CA"/>
              </w:rPr>
              <w:t>MacPherson</w:t>
            </w:r>
            <w:proofErr w:type="spellEnd"/>
            <w:r w:rsidRPr="009E2378">
              <w:rPr>
                <w:sz w:val="20"/>
                <w:lang w:val="fr-CA"/>
              </w:rPr>
              <w:t xml:space="preserve"> et </w:t>
            </w:r>
            <w:proofErr w:type="spellStart"/>
            <w:r w:rsidRPr="009E2378">
              <w:rPr>
                <w:sz w:val="20"/>
                <w:lang w:val="fr-CA"/>
              </w:rPr>
              <w:t>Benotto</w:t>
            </w:r>
            <w:proofErr w:type="spellEnd"/>
            <w:r w:rsidRPr="009E2378">
              <w:rPr>
                <w:sz w:val="20"/>
                <w:lang w:val="fr-CA"/>
              </w:rPr>
              <w:t>)</w:t>
            </w:r>
          </w:p>
          <w:p w:rsidR="009E2378" w:rsidRPr="009E2378" w:rsidRDefault="009E2378" w:rsidP="009E2378">
            <w:pPr>
              <w:jc w:val="both"/>
              <w:rPr>
                <w:sz w:val="20"/>
              </w:rPr>
            </w:pPr>
            <w:r w:rsidRPr="009E2378">
              <w:rPr>
                <w:sz w:val="20"/>
              </w:rPr>
              <w:t>2015 ONCA 518, C57220</w:t>
            </w:r>
          </w:p>
          <w:p w:rsidR="009E2378" w:rsidRPr="009E2378" w:rsidRDefault="009E2378" w:rsidP="009E2378">
            <w:pPr>
              <w:jc w:val="both"/>
              <w:rPr>
                <w:rStyle w:val="documentstaticurl"/>
                <w:sz w:val="20"/>
              </w:rPr>
            </w:pPr>
            <w:hyperlink r:id="rId35" w:history="1">
              <w:r w:rsidRPr="009E2378">
                <w:rPr>
                  <w:rStyle w:val="Hyperlink"/>
                  <w:rFonts w:eastAsiaTheme="majorEastAsia"/>
                  <w:sz w:val="20"/>
                </w:rPr>
                <w:t>http://canlii.ca/t/gk0x8</w:t>
              </w:r>
            </w:hyperlink>
          </w:p>
          <w:p w:rsidR="009E2378" w:rsidRPr="009E2378" w:rsidRDefault="009E2378" w:rsidP="009E2378">
            <w:pPr>
              <w:jc w:val="both"/>
              <w:rPr>
                <w:sz w:val="20"/>
              </w:rPr>
            </w:pP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lang w:val="fr-CA"/>
              </w:rPr>
            </w:pPr>
            <w:r w:rsidRPr="009E2378">
              <w:rPr>
                <w:sz w:val="20"/>
                <w:lang w:val="fr-CA"/>
              </w:rPr>
              <w:t>Rejet de l’appel de la déclaration de culpabilité, octroi de l’autorisation d’appeler de la peine et rejet de cet appel</w:t>
            </w:r>
          </w:p>
          <w:p w:rsidR="009E2378" w:rsidRPr="009E2378" w:rsidRDefault="009E2378" w:rsidP="009E2378">
            <w:pPr>
              <w:jc w:val="both"/>
              <w:rPr>
                <w:sz w:val="20"/>
                <w:lang w:val="fr-CA"/>
              </w:rPr>
            </w:pP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3 septembre 2015</w:t>
            </w:r>
          </w:p>
          <w:p w:rsidR="009E2378" w:rsidRPr="009E2378" w:rsidRDefault="009E2378" w:rsidP="009E2378">
            <w:pPr>
              <w:jc w:val="both"/>
              <w:rPr>
                <w:sz w:val="20"/>
                <w:lang w:val="fr-CA"/>
              </w:rPr>
            </w:pPr>
            <w:r w:rsidRPr="009E2378">
              <w:rPr>
                <w:sz w:val="20"/>
                <w:lang w:val="fr-CA"/>
              </w:rPr>
              <w:t xml:space="preserve">Cour suprême du Canada </w:t>
            </w:r>
          </w:p>
          <w:p w:rsidR="009E2378" w:rsidRPr="009E2378" w:rsidRDefault="009E2378" w:rsidP="009E2378">
            <w:pPr>
              <w:jc w:val="both"/>
              <w:rPr>
                <w:sz w:val="20"/>
                <w:lang w:val="fr-CA"/>
              </w:rPr>
            </w:pP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 xml:space="preserve">Dépôt de la demande d’autorisation d’appel </w:t>
            </w:r>
          </w:p>
          <w:p w:rsidR="009E2378" w:rsidRPr="009E2378" w:rsidRDefault="009E2378" w:rsidP="009E2378">
            <w:pPr>
              <w:jc w:val="both"/>
              <w:rPr>
                <w:sz w:val="20"/>
                <w:lang w:val="fr-CA"/>
              </w:rPr>
            </w:pPr>
          </w:p>
        </w:tc>
      </w:tr>
    </w:tbl>
    <w:p w:rsidR="009E2378" w:rsidRPr="009E2378" w:rsidRDefault="009E2378" w:rsidP="009E237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2378" w:rsidRPr="009E2378" w:rsidTr="009E2378">
        <w:tc>
          <w:tcPr>
            <w:tcW w:w="543" w:type="pct"/>
          </w:tcPr>
          <w:p w:rsidR="009E2378" w:rsidRPr="009E2378" w:rsidRDefault="009E2378" w:rsidP="009E2378">
            <w:pPr>
              <w:jc w:val="both"/>
              <w:rPr>
                <w:sz w:val="20"/>
                <w:lang w:val="en-CA"/>
              </w:rPr>
            </w:pPr>
            <w:r w:rsidRPr="009E2378">
              <w:rPr>
                <w:rStyle w:val="SCCFileNumberChar"/>
                <w:sz w:val="20"/>
                <w:szCs w:val="20"/>
              </w:rPr>
              <w:t>36513</w:t>
            </w:r>
          </w:p>
        </w:tc>
        <w:tc>
          <w:tcPr>
            <w:tcW w:w="4457" w:type="pct"/>
            <w:gridSpan w:val="3"/>
          </w:tcPr>
          <w:p w:rsidR="009E2378" w:rsidRPr="00F13B48" w:rsidRDefault="009E2378" w:rsidP="009E2378">
            <w:pPr>
              <w:pStyle w:val="SCCLsocParty"/>
              <w:jc w:val="both"/>
              <w:rPr>
                <w:b/>
                <w:sz w:val="20"/>
                <w:szCs w:val="20"/>
              </w:rPr>
            </w:pPr>
            <w:proofErr w:type="spellStart"/>
            <w:r w:rsidRPr="00F13B48">
              <w:rPr>
                <w:b/>
                <w:sz w:val="20"/>
                <w:szCs w:val="20"/>
              </w:rPr>
              <w:t>Nidal</w:t>
            </w:r>
            <w:proofErr w:type="spellEnd"/>
            <w:r w:rsidRPr="00F13B48">
              <w:rPr>
                <w:b/>
                <w:sz w:val="20"/>
                <w:szCs w:val="20"/>
              </w:rPr>
              <w:t xml:space="preserve"> Joad v. Les Portes et Châssis Eddy Boulet </w:t>
            </w:r>
            <w:proofErr w:type="spellStart"/>
            <w:r w:rsidRPr="00F13B48">
              <w:rPr>
                <w:b/>
                <w:sz w:val="20"/>
                <w:szCs w:val="20"/>
              </w:rPr>
              <w:t>inc.</w:t>
            </w:r>
            <w:proofErr w:type="spellEnd"/>
          </w:p>
          <w:p w:rsidR="009E2378" w:rsidRPr="009E2378" w:rsidRDefault="009E2378" w:rsidP="009E2378">
            <w:pPr>
              <w:jc w:val="both"/>
              <w:rPr>
                <w:sz w:val="20"/>
                <w:lang w:val="en-CA"/>
              </w:rPr>
            </w:pPr>
            <w:r w:rsidRPr="009E2378">
              <w:rPr>
                <w:sz w:val="20"/>
                <w:lang w:val="en-CA"/>
              </w:rPr>
              <w:t>(Que.) (Civil) (By Leave)</w:t>
            </w:r>
          </w:p>
        </w:tc>
      </w:tr>
      <w:tr w:rsidR="009E2378" w:rsidRPr="009E2378" w:rsidTr="009E2378">
        <w:tc>
          <w:tcPr>
            <w:tcW w:w="5000" w:type="pct"/>
            <w:gridSpan w:val="4"/>
          </w:tcPr>
          <w:p w:rsidR="009E2378" w:rsidRPr="009E2378" w:rsidRDefault="009E2378" w:rsidP="009E2378">
            <w:pPr>
              <w:jc w:val="both"/>
              <w:rPr>
                <w:sz w:val="20"/>
                <w:lang w:val="en-CA"/>
              </w:rPr>
            </w:pPr>
            <w:r w:rsidRPr="009E2378">
              <w:rPr>
                <w:sz w:val="20"/>
                <w:lang w:val="en-CA"/>
              </w:rPr>
              <w:t xml:space="preserve">Civil procedure – Hearing – Whether Court of Québec judge granted applicant’s request for costs under article 54.4 of </w:t>
            </w:r>
            <w:r w:rsidRPr="009E2378">
              <w:rPr>
                <w:i/>
                <w:sz w:val="20"/>
                <w:lang w:val="en-CA"/>
              </w:rPr>
              <w:t>Code of Civil Procedure</w:t>
            </w:r>
            <w:r w:rsidRPr="009E2378">
              <w:rPr>
                <w:sz w:val="20"/>
                <w:lang w:val="en-CA"/>
              </w:rPr>
              <w:t xml:space="preserve"> in amount of $3,500.</w:t>
            </w:r>
          </w:p>
          <w:p w:rsidR="009E2378" w:rsidRPr="009E2378" w:rsidRDefault="009E2378" w:rsidP="009E2378">
            <w:pPr>
              <w:jc w:val="both"/>
              <w:rPr>
                <w:sz w:val="20"/>
                <w:lang w:val="en-CA"/>
              </w:rPr>
            </w:pPr>
          </w:p>
        </w:tc>
      </w:tr>
      <w:tr w:rsidR="009E2378" w:rsidRPr="009E2378" w:rsidTr="009E2378">
        <w:tc>
          <w:tcPr>
            <w:tcW w:w="5000" w:type="pct"/>
            <w:gridSpan w:val="4"/>
          </w:tcPr>
          <w:p w:rsidR="009E2378" w:rsidRPr="009E2378" w:rsidRDefault="009E2378" w:rsidP="00F13B48">
            <w:pPr>
              <w:jc w:val="both"/>
              <w:rPr>
                <w:sz w:val="20"/>
                <w:lang w:val="en-CA"/>
              </w:rPr>
            </w:pPr>
            <w:r w:rsidRPr="009E2378">
              <w:rPr>
                <w:sz w:val="20"/>
                <w:lang w:val="en-CA"/>
              </w:rPr>
              <w:t xml:space="preserve">The applicant applied to the Court of Québec to have his name struck, on the basis of improper use of procedure, from a proceeding in which he was being sued together with Mrs. Cordeau by the respondent, Les </w:t>
            </w:r>
            <w:proofErr w:type="spellStart"/>
            <w:r w:rsidRPr="009E2378">
              <w:rPr>
                <w:sz w:val="20"/>
                <w:lang w:val="en-CA"/>
              </w:rPr>
              <w:t>Portes</w:t>
            </w:r>
            <w:proofErr w:type="spellEnd"/>
            <w:r w:rsidRPr="009E2378">
              <w:rPr>
                <w:sz w:val="20"/>
                <w:lang w:val="en-CA"/>
              </w:rPr>
              <w:t xml:space="preserve"> et </w:t>
            </w:r>
            <w:proofErr w:type="spellStart"/>
            <w:r w:rsidRPr="009E2378">
              <w:rPr>
                <w:sz w:val="20"/>
                <w:lang w:val="en-CA"/>
              </w:rPr>
              <w:t>Châssis</w:t>
            </w:r>
            <w:proofErr w:type="spellEnd"/>
            <w:r w:rsidRPr="009E2378">
              <w:rPr>
                <w:sz w:val="20"/>
                <w:lang w:val="en-CA"/>
              </w:rPr>
              <w:t xml:space="preserve"> Eddy Boulet </w:t>
            </w:r>
            <w:proofErr w:type="spellStart"/>
            <w:r w:rsidRPr="009E2378">
              <w:rPr>
                <w:sz w:val="20"/>
                <w:lang w:val="en-CA"/>
              </w:rPr>
              <w:t>inc.</w:t>
            </w:r>
            <w:proofErr w:type="spellEnd"/>
            <w:r w:rsidRPr="009E2378">
              <w:rPr>
                <w:sz w:val="20"/>
                <w:lang w:val="en-CA"/>
              </w:rPr>
              <w:t xml:space="preserve"> He also asked for the following: [</w:t>
            </w:r>
            <w:r w:rsidRPr="009E2378">
              <w:rPr>
                <w:smallCaps/>
                <w:sz w:val="20"/>
                <w:lang w:val="en-CA"/>
              </w:rPr>
              <w:t>translation</w:t>
            </w:r>
            <w:r w:rsidRPr="009E2378">
              <w:rPr>
                <w:sz w:val="20"/>
                <w:lang w:val="en-CA"/>
              </w:rPr>
              <w:t xml:space="preserve">] “Condemn counsel for the Respondent to pay </w:t>
            </w:r>
            <w:proofErr w:type="spellStart"/>
            <w:r w:rsidRPr="009E2378">
              <w:rPr>
                <w:sz w:val="20"/>
                <w:lang w:val="en-CA"/>
              </w:rPr>
              <w:t>Nidal</w:t>
            </w:r>
            <w:proofErr w:type="spellEnd"/>
            <w:r w:rsidRPr="009E2378">
              <w:rPr>
                <w:sz w:val="20"/>
                <w:lang w:val="en-CA"/>
              </w:rPr>
              <w:t xml:space="preserve"> Joad’s costs and also to pay him a minimum of $3,000 and a maximum of $10,000 in punitive and exemplary damages”. The respondent agreed at the hearing to remove the applicant’s name from the proceedings. A motion for leave to appeal to the Court of Appeal on the issue of costs was dismissed.</w:t>
            </w:r>
          </w:p>
        </w:tc>
      </w:tr>
      <w:tr w:rsidR="009E2378" w:rsidRPr="009E2378" w:rsidTr="009E2378">
        <w:tc>
          <w:tcPr>
            <w:tcW w:w="5000" w:type="pct"/>
            <w:gridSpan w:val="4"/>
          </w:tcPr>
          <w:p w:rsidR="009E2378" w:rsidRPr="009E2378" w:rsidRDefault="009E2378" w:rsidP="009E2378">
            <w:pPr>
              <w:jc w:val="both"/>
              <w:rPr>
                <w:sz w:val="20"/>
                <w:lang w:val="en-CA"/>
              </w:rPr>
            </w:pPr>
          </w:p>
        </w:tc>
      </w:tr>
      <w:tr w:rsidR="009E2378" w:rsidRPr="009E2378" w:rsidTr="009E2378">
        <w:tc>
          <w:tcPr>
            <w:tcW w:w="2427" w:type="pct"/>
            <w:gridSpan w:val="2"/>
          </w:tcPr>
          <w:p w:rsidR="009E2378" w:rsidRPr="009E2378" w:rsidRDefault="009E2378" w:rsidP="009E2378">
            <w:pPr>
              <w:jc w:val="both"/>
              <w:rPr>
                <w:sz w:val="20"/>
                <w:lang w:val="en-CA"/>
              </w:rPr>
            </w:pPr>
            <w:r w:rsidRPr="009E2378">
              <w:rPr>
                <w:sz w:val="20"/>
                <w:lang w:val="en-CA"/>
              </w:rPr>
              <w:t>November 19, 2014</w:t>
            </w:r>
          </w:p>
          <w:p w:rsidR="009E2378" w:rsidRPr="009E2378" w:rsidRDefault="009E2378" w:rsidP="009E2378">
            <w:pPr>
              <w:jc w:val="both"/>
              <w:rPr>
                <w:sz w:val="20"/>
                <w:lang w:val="en-CA"/>
              </w:rPr>
            </w:pPr>
            <w:r w:rsidRPr="009E2378">
              <w:rPr>
                <w:sz w:val="20"/>
                <w:lang w:val="en-CA"/>
              </w:rPr>
              <w:t>Court of Québec</w:t>
            </w:r>
          </w:p>
          <w:p w:rsidR="009E2378" w:rsidRPr="009E2378" w:rsidRDefault="009E2378" w:rsidP="009E2378">
            <w:pPr>
              <w:jc w:val="both"/>
              <w:rPr>
                <w:sz w:val="20"/>
                <w:lang w:val="en-CA"/>
              </w:rPr>
            </w:pPr>
            <w:r w:rsidRPr="009E2378">
              <w:rPr>
                <w:sz w:val="20"/>
                <w:lang w:val="en-CA"/>
              </w:rPr>
              <w:t>(Judge Buffoni)</w:t>
            </w:r>
          </w:p>
          <w:p w:rsidR="009E2378" w:rsidRPr="009E2378" w:rsidRDefault="009E2378" w:rsidP="009E2378">
            <w:pPr>
              <w:jc w:val="both"/>
              <w:rPr>
                <w:sz w:val="20"/>
                <w:lang w:val="en-CA"/>
              </w:rPr>
            </w:pPr>
          </w:p>
        </w:tc>
        <w:tc>
          <w:tcPr>
            <w:tcW w:w="243" w:type="pct"/>
          </w:tcPr>
          <w:p w:rsidR="009E2378" w:rsidRPr="009E2378" w:rsidRDefault="009E2378" w:rsidP="009E2378">
            <w:pPr>
              <w:jc w:val="both"/>
              <w:rPr>
                <w:sz w:val="20"/>
                <w:lang w:val="en-CA"/>
              </w:rPr>
            </w:pPr>
          </w:p>
        </w:tc>
        <w:tc>
          <w:tcPr>
            <w:tcW w:w="2330" w:type="pct"/>
          </w:tcPr>
          <w:p w:rsidR="009E2378" w:rsidRPr="009E2378" w:rsidRDefault="009E2378" w:rsidP="009E2378">
            <w:pPr>
              <w:jc w:val="both"/>
              <w:rPr>
                <w:sz w:val="20"/>
                <w:lang w:val="en-CA"/>
              </w:rPr>
            </w:pPr>
            <w:r w:rsidRPr="009E2378">
              <w:rPr>
                <w:sz w:val="20"/>
                <w:lang w:val="en-CA"/>
              </w:rPr>
              <w:t>Respondent’s motion for cross demand for declaration of improper use of procedure and request for damages deferred; hearing on merits of instant case fixed for January 15 and 16, 2016.</w:t>
            </w:r>
          </w:p>
          <w:p w:rsidR="009E2378" w:rsidRPr="009E2378" w:rsidRDefault="009E2378" w:rsidP="009E2378">
            <w:pPr>
              <w:jc w:val="both"/>
              <w:rPr>
                <w:sz w:val="20"/>
                <w:lang w:val="en-CA"/>
              </w:rPr>
            </w:pPr>
          </w:p>
        </w:tc>
      </w:tr>
      <w:tr w:rsidR="009E2378" w:rsidRPr="009E2378" w:rsidTr="009E2378">
        <w:tc>
          <w:tcPr>
            <w:tcW w:w="2427" w:type="pct"/>
            <w:gridSpan w:val="2"/>
          </w:tcPr>
          <w:p w:rsidR="009E2378" w:rsidRPr="009E2378" w:rsidRDefault="009E2378" w:rsidP="009E2378">
            <w:pPr>
              <w:jc w:val="both"/>
              <w:rPr>
                <w:sz w:val="20"/>
                <w:lang w:val="en-CA"/>
              </w:rPr>
            </w:pPr>
            <w:r w:rsidRPr="009E2378">
              <w:rPr>
                <w:sz w:val="20"/>
                <w:lang w:val="en-CA"/>
              </w:rPr>
              <w:t>April 17, 2015</w:t>
            </w:r>
          </w:p>
          <w:p w:rsidR="009E2378" w:rsidRPr="009E2378" w:rsidRDefault="009E2378" w:rsidP="009E2378">
            <w:pPr>
              <w:jc w:val="both"/>
              <w:rPr>
                <w:sz w:val="20"/>
                <w:lang w:val="en-CA"/>
              </w:rPr>
            </w:pPr>
            <w:r w:rsidRPr="009E2378">
              <w:rPr>
                <w:sz w:val="20"/>
                <w:lang w:val="en-CA"/>
              </w:rPr>
              <w:t>Quebec Court of Appeal (Montréal)</w:t>
            </w:r>
          </w:p>
          <w:p w:rsidR="009E2378" w:rsidRPr="009E2378" w:rsidRDefault="009E2378" w:rsidP="009E2378">
            <w:pPr>
              <w:jc w:val="both"/>
              <w:rPr>
                <w:sz w:val="20"/>
                <w:lang w:val="en-CA"/>
              </w:rPr>
            </w:pPr>
            <w:r w:rsidRPr="009E2378">
              <w:rPr>
                <w:sz w:val="20"/>
                <w:lang w:val="en-CA"/>
              </w:rPr>
              <w:t>(Marcotte J.A.)</w:t>
            </w:r>
          </w:p>
          <w:p w:rsidR="009E2378" w:rsidRPr="009E2378" w:rsidRDefault="009E2378" w:rsidP="009E2378">
            <w:pPr>
              <w:jc w:val="both"/>
              <w:rPr>
                <w:rStyle w:val="Hyperlink"/>
                <w:sz w:val="20"/>
                <w:lang w:val="en-CA"/>
              </w:rPr>
            </w:pPr>
            <w:hyperlink r:id="rId36" w:history="1">
              <w:r w:rsidRPr="009E2378">
                <w:rPr>
                  <w:rStyle w:val="Hyperlink"/>
                  <w:sz w:val="20"/>
                  <w:lang w:val="en-CA"/>
                </w:rPr>
                <w:t>2015 QCCA 675</w:t>
              </w:r>
            </w:hyperlink>
          </w:p>
          <w:p w:rsidR="009E2378" w:rsidRPr="009E2378" w:rsidRDefault="009E2378" w:rsidP="009E2378">
            <w:pPr>
              <w:jc w:val="both"/>
              <w:rPr>
                <w:sz w:val="20"/>
                <w:lang w:val="en-CA"/>
              </w:rPr>
            </w:pPr>
          </w:p>
        </w:tc>
        <w:tc>
          <w:tcPr>
            <w:tcW w:w="243" w:type="pct"/>
          </w:tcPr>
          <w:p w:rsidR="009E2378" w:rsidRPr="009E2378" w:rsidRDefault="009E2378" w:rsidP="009E2378">
            <w:pPr>
              <w:jc w:val="both"/>
              <w:rPr>
                <w:sz w:val="20"/>
                <w:lang w:val="en-CA"/>
              </w:rPr>
            </w:pPr>
          </w:p>
        </w:tc>
        <w:tc>
          <w:tcPr>
            <w:tcW w:w="2330" w:type="pct"/>
          </w:tcPr>
          <w:p w:rsidR="009E2378" w:rsidRPr="009E2378" w:rsidRDefault="009E2378" w:rsidP="009E2378">
            <w:pPr>
              <w:jc w:val="both"/>
              <w:rPr>
                <w:sz w:val="20"/>
                <w:lang w:val="en-CA" w:eastAsia="en-CA"/>
              </w:rPr>
            </w:pPr>
            <w:r w:rsidRPr="009E2378">
              <w:rPr>
                <w:sz w:val="20"/>
                <w:lang w:val="en-CA" w:eastAsia="en-CA"/>
              </w:rPr>
              <w:t>Motion for leave to appeal dismissed.</w:t>
            </w:r>
          </w:p>
          <w:p w:rsidR="009E2378" w:rsidRPr="009E2378" w:rsidRDefault="009E2378" w:rsidP="009E2378">
            <w:pPr>
              <w:jc w:val="both"/>
              <w:rPr>
                <w:sz w:val="20"/>
                <w:lang w:val="en-CA"/>
              </w:rPr>
            </w:pPr>
          </w:p>
        </w:tc>
      </w:tr>
      <w:tr w:rsidR="009E2378" w:rsidRPr="009E2378" w:rsidTr="009E2378">
        <w:tc>
          <w:tcPr>
            <w:tcW w:w="2427" w:type="pct"/>
            <w:gridSpan w:val="2"/>
          </w:tcPr>
          <w:p w:rsidR="009E2378" w:rsidRPr="009E2378" w:rsidRDefault="009E2378" w:rsidP="009E2378">
            <w:pPr>
              <w:jc w:val="both"/>
              <w:rPr>
                <w:sz w:val="20"/>
                <w:lang w:val="en-CA"/>
              </w:rPr>
            </w:pPr>
            <w:r w:rsidRPr="009E2378">
              <w:rPr>
                <w:sz w:val="20"/>
                <w:lang w:val="en-CA"/>
              </w:rPr>
              <w:t>June 10, 2015</w:t>
            </w:r>
          </w:p>
          <w:p w:rsidR="009E2378" w:rsidRPr="009E2378" w:rsidRDefault="009E2378" w:rsidP="009E2378">
            <w:pPr>
              <w:jc w:val="both"/>
              <w:rPr>
                <w:sz w:val="20"/>
                <w:lang w:val="en-CA"/>
              </w:rPr>
            </w:pPr>
            <w:r w:rsidRPr="009E2378">
              <w:rPr>
                <w:sz w:val="20"/>
                <w:lang w:val="en-CA"/>
              </w:rPr>
              <w:t>Supreme Court of Canada</w:t>
            </w:r>
          </w:p>
        </w:tc>
        <w:tc>
          <w:tcPr>
            <w:tcW w:w="243" w:type="pct"/>
          </w:tcPr>
          <w:p w:rsidR="009E2378" w:rsidRPr="009E2378" w:rsidRDefault="009E2378" w:rsidP="009E2378">
            <w:pPr>
              <w:jc w:val="both"/>
              <w:rPr>
                <w:sz w:val="20"/>
                <w:lang w:val="en-CA"/>
              </w:rPr>
            </w:pPr>
          </w:p>
        </w:tc>
        <w:tc>
          <w:tcPr>
            <w:tcW w:w="2330" w:type="pct"/>
          </w:tcPr>
          <w:p w:rsidR="009E2378" w:rsidRPr="009E2378" w:rsidRDefault="009E2378" w:rsidP="009E2378">
            <w:pPr>
              <w:jc w:val="both"/>
              <w:rPr>
                <w:sz w:val="20"/>
                <w:lang w:val="en-CA"/>
              </w:rPr>
            </w:pPr>
            <w:r w:rsidRPr="009E2378">
              <w:rPr>
                <w:sz w:val="20"/>
                <w:lang w:val="en-CA"/>
              </w:rPr>
              <w:t>Application for leave to appeal filed.</w:t>
            </w:r>
          </w:p>
          <w:p w:rsidR="009E2378" w:rsidRPr="009E2378" w:rsidRDefault="009E2378" w:rsidP="009E2378">
            <w:pPr>
              <w:jc w:val="both"/>
              <w:rPr>
                <w:sz w:val="20"/>
                <w:lang w:val="en-CA"/>
              </w:rPr>
            </w:pPr>
          </w:p>
        </w:tc>
      </w:tr>
    </w:tbl>
    <w:p w:rsidR="009E2378" w:rsidRDefault="009E2378" w:rsidP="009E2378">
      <w:pPr>
        <w:jc w:val="both"/>
        <w:rPr>
          <w:sz w:val="20"/>
          <w:lang w:val="en-CA"/>
        </w:rPr>
      </w:pPr>
    </w:p>
    <w:p w:rsidR="00F13B48" w:rsidRPr="009E2378" w:rsidRDefault="00F13B48" w:rsidP="009E237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2378" w:rsidRPr="009E2378" w:rsidTr="009E2378">
        <w:tc>
          <w:tcPr>
            <w:tcW w:w="543" w:type="pct"/>
          </w:tcPr>
          <w:p w:rsidR="009E2378" w:rsidRPr="009E2378" w:rsidRDefault="009E2378" w:rsidP="009E2378">
            <w:pPr>
              <w:jc w:val="both"/>
              <w:rPr>
                <w:sz w:val="20"/>
              </w:rPr>
            </w:pPr>
            <w:r w:rsidRPr="009E2378">
              <w:rPr>
                <w:rStyle w:val="SCCFileNumberChar"/>
                <w:sz w:val="20"/>
                <w:szCs w:val="20"/>
              </w:rPr>
              <w:t>36513</w:t>
            </w:r>
          </w:p>
        </w:tc>
        <w:tc>
          <w:tcPr>
            <w:tcW w:w="4457" w:type="pct"/>
            <w:gridSpan w:val="3"/>
          </w:tcPr>
          <w:p w:rsidR="009E2378" w:rsidRPr="00F13B48" w:rsidRDefault="009E2378" w:rsidP="009E2378">
            <w:pPr>
              <w:pStyle w:val="SCCLsocParty"/>
              <w:jc w:val="both"/>
              <w:rPr>
                <w:b/>
                <w:sz w:val="20"/>
                <w:szCs w:val="20"/>
              </w:rPr>
            </w:pPr>
            <w:r w:rsidRPr="00F13B48">
              <w:rPr>
                <w:b/>
                <w:sz w:val="20"/>
                <w:szCs w:val="20"/>
              </w:rPr>
              <w:t>Nidal Joad c. Les Portes et Châssis Eddy Boulet inc.</w:t>
            </w:r>
          </w:p>
          <w:p w:rsidR="009E2378" w:rsidRPr="009E2378" w:rsidRDefault="009E2378" w:rsidP="009E2378">
            <w:pPr>
              <w:jc w:val="both"/>
              <w:rPr>
                <w:sz w:val="20"/>
              </w:rPr>
            </w:pPr>
            <w:r w:rsidRPr="009E2378">
              <w:rPr>
                <w:sz w:val="20"/>
              </w:rPr>
              <w:t>(Qc) (Civile) (Autorisation)</w:t>
            </w:r>
          </w:p>
        </w:tc>
      </w:tr>
      <w:tr w:rsidR="009E2378" w:rsidRPr="009E2378" w:rsidTr="009E2378">
        <w:tc>
          <w:tcPr>
            <w:tcW w:w="5000" w:type="pct"/>
            <w:gridSpan w:val="4"/>
          </w:tcPr>
          <w:p w:rsidR="009E2378" w:rsidRPr="009E2378" w:rsidRDefault="009E2378" w:rsidP="009E2378">
            <w:pPr>
              <w:jc w:val="both"/>
              <w:rPr>
                <w:sz w:val="20"/>
                <w:lang w:val="fr-CA"/>
              </w:rPr>
            </w:pPr>
            <w:r w:rsidRPr="009E2378">
              <w:rPr>
                <w:sz w:val="20"/>
                <w:lang w:val="fr-CA"/>
              </w:rPr>
              <w:t xml:space="preserve">Procédure civile – Audition – Le juge de la Cour du Québec </w:t>
            </w:r>
            <w:proofErr w:type="spellStart"/>
            <w:r w:rsidRPr="009E2378">
              <w:rPr>
                <w:sz w:val="20"/>
                <w:lang w:val="fr-CA"/>
              </w:rPr>
              <w:t>a-t-il</w:t>
            </w:r>
            <w:proofErr w:type="spellEnd"/>
            <w:r w:rsidRPr="009E2378">
              <w:rPr>
                <w:sz w:val="20"/>
                <w:lang w:val="fr-CA"/>
              </w:rPr>
              <w:t xml:space="preserve"> entretenu la demande du demandeur de lui accorder les frais selon l’article 54.4 du </w:t>
            </w:r>
            <w:r w:rsidRPr="009E2378">
              <w:rPr>
                <w:i/>
                <w:sz w:val="20"/>
                <w:lang w:val="fr-CA"/>
              </w:rPr>
              <w:t>Code de procédure civile</w:t>
            </w:r>
            <w:r w:rsidRPr="009E2378">
              <w:rPr>
                <w:sz w:val="20"/>
                <w:lang w:val="fr-CA"/>
              </w:rPr>
              <w:t xml:space="preserve"> au montant de 3 500 $</w:t>
            </w:r>
          </w:p>
          <w:p w:rsidR="009E2378" w:rsidRPr="009E2378" w:rsidRDefault="009E2378" w:rsidP="009E2378">
            <w:pPr>
              <w:jc w:val="both"/>
              <w:rPr>
                <w:sz w:val="20"/>
                <w:lang w:val="fr-CA"/>
              </w:rPr>
            </w:pPr>
          </w:p>
        </w:tc>
      </w:tr>
      <w:tr w:rsidR="009E2378" w:rsidRPr="009E2378" w:rsidTr="009E2378">
        <w:tc>
          <w:tcPr>
            <w:tcW w:w="5000" w:type="pct"/>
            <w:gridSpan w:val="4"/>
          </w:tcPr>
          <w:p w:rsidR="009E2378" w:rsidRPr="009E2378" w:rsidRDefault="009E2378" w:rsidP="009E2378">
            <w:pPr>
              <w:jc w:val="both"/>
              <w:rPr>
                <w:sz w:val="20"/>
                <w:lang w:val="fr-CA"/>
              </w:rPr>
            </w:pPr>
            <w:r w:rsidRPr="009E2378">
              <w:rPr>
                <w:sz w:val="20"/>
                <w:lang w:val="fr-CA"/>
              </w:rPr>
              <w:t xml:space="preserve">Le demandeur demande à la Cour du Québec de rayer son nom de la procédure dans laquelle il était poursuivi avec Madame Cordeau par l’intimée, Les Portes et Châssis Eddy Boulet Inc., pour abus de procédure. Il demandait également ce qui suit « Condamner le procureur de l’Intimée de payer à </w:t>
            </w:r>
            <w:proofErr w:type="spellStart"/>
            <w:r w:rsidRPr="009E2378">
              <w:rPr>
                <w:sz w:val="20"/>
                <w:lang w:val="fr-CA"/>
              </w:rPr>
              <w:t>Nidal</w:t>
            </w:r>
            <w:proofErr w:type="spellEnd"/>
            <w:r w:rsidRPr="009E2378">
              <w:rPr>
                <w:sz w:val="20"/>
                <w:lang w:val="fr-CA"/>
              </w:rPr>
              <w:t xml:space="preserve"> Joad les frais et aussi de lui payer comme un minimum 3000 $ et comme un maximum, 10 000 $, en titre de dommages punitifs et exemplaire. » L’intimée a accepté de retirer le nom du demandeur des procédures en cours d’audience. La requête pour permission d’en appeler à la Cour d’appel au sujet des frais est rejetée.</w:t>
            </w:r>
          </w:p>
        </w:tc>
      </w:tr>
      <w:tr w:rsidR="009E2378" w:rsidRPr="009E2378" w:rsidTr="009E2378">
        <w:tc>
          <w:tcPr>
            <w:tcW w:w="5000" w:type="pct"/>
            <w:gridSpan w:val="4"/>
          </w:tcPr>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Le 19 novembre 2014</w:t>
            </w:r>
          </w:p>
          <w:p w:rsidR="009E2378" w:rsidRPr="009E2378" w:rsidRDefault="009E2378" w:rsidP="009E2378">
            <w:pPr>
              <w:jc w:val="both"/>
              <w:rPr>
                <w:sz w:val="20"/>
                <w:lang w:val="fr-CA"/>
              </w:rPr>
            </w:pPr>
            <w:r w:rsidRPr="009E2378">
              <w:rPr>
                <w:sz w:val="20"/>
                <w:lang w:val="fr-CA"/>
              </w:rPr>
              <w:t>Cour du Québec</w:t>
            </w:r>
          </w:p>
          <w:p w:rsidR="009E2378" w:rsidRPr="009E2378" w:rsidRDefault="009E2378" w:rsidP="009E2378">
            <w:pPr>
              <w:jc w:val="both"/>
              <w:rPr>
                <w:sz w:val="20"/>
                <w:lang w:val="fr-CA"/>
              </w:rPr>
            </w:pPr>
            <w:r w:rsidRPr="009E2378">
              <w:rPr>
                <w:sz w:val="20"/>
                <w:lang w:val="fr-CA"/>
              </w:rPr>
              <w:t xml:space="preserve">(Le juge </w:t>
            </w:r>
            <w:proofErr w:type="spellStart"/>
            <w:r w:rsidRPr="009E2378">
              <w:rPr>
                <w:sz w:val="20"/>
                <w:lang w:val="fr-CA"/>
              </w:rPr>
              <w:t>Buffoni</w:t>
            </w:r>
            <w:proofErr w:type="spellEnd"/>
            <w:r w:rsidRPr="009E2378">
              <w:rPr>
                <w:sz w:val="20"/>
                <w:lang w:val="fr-CA"/>
              </w:rPr>
              <w:t>)</w:t>
            </w:r>
          </w:p>
          <w:p w:rsidR="009E2378" w:rsidRPr="009E2378" w:rsidRDefault="009E2378" w:rsidP="009E2378">
            <w:pPr>
              <w:jc w:val="both"/>
              <w:rPr>
                <w:sz w:val="20"/>
                <w:lang w:val="fr-CA"/>
              </w:rPr>
            </w:pP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Requête de la demande reconventionnelle de l’intimée en déclaration d’abus et requête en dommages déférée; audition au fond du présent dossier fixer au 15 et 16 janvier 2016.</w:t>
            </w: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Le 17 avril 2015</w:t>
            </w:r>
          </w:p>
          <w:p w:rsidR="009E2378" w:rsidRPr="009E2378" w:rsidRDefault="009E2378" w:rsidP="009E2378">
            <w:pPr>
              <w:jc w:val="both"/>
              <w:rPr>
                <w:sz w:val="20"/>
                <w:lang w:val="fr-CA"/>
              </w:rPr>
            </w:pPr>
            <w:r w:rsidRPr="009E2378">
              <w:rPr>
                <w:sz w:val="20"/>
                <w:lang w:val="fr-CA"/>
              </w:rPr>
              <w:t>Cour d’appel du Québec (Montréal)</w:t>
            </w:r>
          </w:p>
          <w:p w:rsidR="009E2378" w:rsidRPr="009E2378" w:rsidRDefault="009E2378" w:rsidP="009E2378">
            <w:pPr>
              <w:jc w:val="both"/>
              <w:rPr>
                <w:sz w:val="20"/>
              </w:rPr>
            </w:pPr>
            <w:r w:rsidRPr="009E2378">
              <w:rPr>
                <w:sz w:val="20"/>
              </w:rPr>
              <w:t xml:space="preserve">(La </w:t>
            </w:r>
            <w:proofErr w:type="spellStart"/>
            <w:r w:rsidRPr="009E2378">
              <w:rPr>
                <w:sz w:val="20"/>
              </w:rPr>
              <w:t>juge</w:t>
            </w:r>
            <w:proofErr w:type="spellEnd"/>
            <w:r w:rsidRPr="009E2378">
              <w:rPr>
                <w:sz w:val="20"/>
              </w:rPr>
              <w:t xml:space="preserve"> </w:t>
            </w:r>
            <w:proofErr w:type="spellStart"/>
            <w:r w:rsidRPr="009E2378">
              <w:rPr>
                <w:sz w:val="20"/>
              </w:rPr>
              <w:t>Marcotte</w:t>
            </w:r>
            <w:proofErr w:type="spellEnd"/>
            <w:r w:rsidRPr="009E2378">
              <w:rPr>
                <w:sz w:val="20"/>
              </w:rPr>
              <w:t>)</w:t>
            </w:r>
          </w:p>
          <w:p w:rsidR="009E2378" w:rsidRPr="009E2378" w:rsidRDefault="009E2378" w:rsidP="009E2378">
            <w:pPr>
              <w:jc w:val="both"/>
              <w:rPr>
                <w:rStyle w:val="Hyperlink"/>
                <w:sz w:val="20"/>
              </w:rPr>
            </w:pPr>
            <w:r w:rsidRPr="009E2378">
              <w:rPr>
                <w:sz w:val="20"/>
              </w:rPr>
              <w:fldChar w:fldCharType="begin"/>
            </w:r>
            <w:r w:rsidRPr="009E2378">
              <w:rPr>
                <w:sz w:val="20"/>
              </w:rPr>
              <w:instrText xml:space="preserve"> HYPERLINK "http://canlii.ca/t/ghbjm%3e" </w:instrText>
            </w:r>
            <w:r w:rsidRPr="009E2378">
              <w:rPr>
                <w:sz w:val="20"/>
              </w:rPr>
              <w:fldChar w:fldCharType="separate"/>
            </w:r>
            <w:r w:rsidRPr="009E2378">
              <w:rPr>
                <w:rStyle w:val="Hyperlink"/>
                <w:sz w:val="20"/>
              </w:rPr>
              <w:t>2015 QCCA 675</w:t>
            </w:r>
          </w:p>
          <w:p w:rsidR="009E2378" w:rsidRPr="009E2378" w:rsidRDefault="009E2378" w:rsidP="009E2378">
            <w:pPr>
              <w:jc w:val="both"/>
              <w:rPr>
                <w:sz w:val="20"/>
              </w:rPr>
            </w:pPr>
            <w:r w:rsidRPr="009E2378">
              <w:rPr>
                <w:sz w:val="20"/>
              </w:rPr>
              <w:fldChar w:fldCharType="end"/>
            </w: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lang w:val="fr-CA" w:eastAsia="en-CA"/>
              </w:rPr>
            </w:pPr>
            <w:r w:rsidRPr="009E2378">
              <w:rPr>
                <w:sz w:val="20"/>
                <w:lang w:val="fr-CA" w:eastAsia="en-CA"/>
              </w:rPr>
              <w:t>Requête pour permission d’appeler rejetée.</w:t>
            </w:r>
          </w:p>
          <w:p w:rsidR="009E2378" w:rsidRPr="009E2378" w:rsidRDefault="009E2378" w:rsidP="009E2378">
            <w:pPr>
              <w:jc w:val="both"/>
              <w:rPr>
                <w:sz w:val="20"/>
                <w:lang w:val="fr-CA"/>
              </w:rPr>
            </w:pP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Le 10 juin 2015</w:t>
            </w:r>
          </w:p>
          <w:p w:rsidR="009E2378" w:rsidRPr="009E2378" w:rsidRDefault="009E2378" w:rsidP="009E2378">
            <w:pPr>
              <w:jc w:val="both"/>
              <w:rPr>
                <w:sz w:val="20"/>
                <w:lang w:val="fr-CA"/>
              </w:rPr>
            </w:pPr>
            <w:r w:rsidRPr="009E2378">
              <w:rPr>
                <w:sz w:val="20"/>
                <w:lang w:val="fr-CA"/>
              </w:rPr>
              <w:t>Cour suprême du Canada</w:t>
            </w: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rPr>
            </w:pPr>
            <w:proofErr w:type="spellStart"/>
            <w:r w:rsidRPr="009E2378">
              <w:rPr>
                <w:sz w:val="20"/>
              </w:rPr>
              <w:t>Demande</w:t>
            </w:r>
            <w:proofErr w:type="spellEnd"/>
            <w:r w:rsidRPr="009E2378">
              <w:rPr>
                <w:sz w:val="20"/>
              </w:rPr>
              <w:t xml:space="preserve"> </w:t>
            </w:r>
            <w:proofErr w:type="spellStart"/>
            <w:r w:rsidRPr="009E2378">
              <w:rPr>
                <w:sz w:val="20"/>
              </w:rPr>
              <w:t>d’autorisation</w:t>
            </w:r>
            <w:proofErr w:type="spellEnd"/>
            <w:r w:rsidRPr="009E2378">
              <w:rPr>
                <w:sz w:val="20"/>
              </w:rPr>
              <w:t xml:space="preserve"> </w:t>
            </w:r>
            <w:proofErr w:type="spellStart"/>
            <w:r w:rsidRPr="009E2378">
              <w:rPr>
                <w:sz w:val="20"/>
              </w:rPr>
              <w:t>d’appel</w:t>
            </w:r>
            <w:proofErr w:type="spellEnd"/>
            <w:r w:rsidRPr="009E2378">
              <w:rPr>
                <w:sz w:val="20"/>
              </w:rPr>
              <w:t xml:space="preserve"> </w:t>
            </w:r>
            <w:proofErr w:type="spellStart"/>
            <w:r w:rsidRPr="009E2378">
              <w:rPr>
                <w:sz w:val="20"/>
              </w:rPr>
              <w:t>déposée</w:t>
            </w:r>
            <w:proofErr w:type="spellEnd"/>
            <w:r w:rsidRPr="009E2378">
              <w:rPr>
                <w:sz w:val="20"/>
              </w:rPr>
              <w:t>.</w:t>
            </w:r>
          </w:p>
          <w:p w:rsidR="009E2378" w:rsidRPr="009E2378" w:rsidRDefault="009E2378" w:rsidP="009E2378">
            <w:pPr>
              <w:jc w:val="both"/>
              <w:rPr>
                <w:sz w:val="20"/>
              </w:rPr>
            </w:pPr>
          </w:p>
        </w:tc>
      </w:tr>
    </w:tbl>
    <w:p w:rsidR="009E2378" w:rsidRDefault="009E2378" w:rsidP="009E2378">
      <w:pPr>
        <w:jc w:val="both"/>
        <w:rPr>
          <w:sz w:val="20"/>
        </w:rPr>
      </w:pPr>
    </w:p>
    <w:p w:rsidR="00F13B48" w:rsidRPr="009E2378" w:rsidRDefault="00F13B48" w:rsidP="009E237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2378" w:rsidRPr="009E2378" w:rsidTr="009E2378">
        <w:tc>
          <w:tcPr>
            <w:tcW w:w="543" w:type="pct"/>
          </w:tcPr>
          <w:p w:rsidR="009E2378" w:rsidRPr="009E2378" w:rsidRDefault="009E2378" w:rsidP="009E2378">
            <w:pPr>
              <w:jc w:val="both"/>
              <w:rPr>
                <w:sz w:val="20"/>
                <w:lang w:val="en-CA"/>
              </w:rPr>
            </w:pPr>
            <w:r w:rsidRPr="009E2378">
              <w:rPr>
                <w:rStyle w:val="SCCFileNumberChar"/>
                <w:sz w:val="20"/>
                <w:szCs w:val="20"/>
              </w:rPr>
              <w:t>36514</w:t>
            </w:r>
          </w:p>
        </w:tc>
        <w:tc>
          <w:tcPr>
            <w:tcW w:w="4457" w:type="pct"/>
            <w:gridSpan w:val="3"/>
          </w:tcPr>
          <w:p w:rsidR="009E2378" w:rsidRPr="00F13B48" w:rsidRDefault="009E2378" w:rsidP="009E2378">
            <w:pPr>
              <w:pStyle w:val="SCCLsocParty"/>
              <w:jc w:val="both"/>
              <w:rPr>
                <w:b/>
                <w:sz w:val="20"/>
                <w:szCs w:val="20"/>
              </w:rPr>
            </w:pPr>
            <w:r w:rsidRPr="00F13B48">
              <w:rPr>
                <w:b/>
                <w:sz w:val="20"/>
                <w:szCs w:val="20"/>
              </w:rPr>
              <w:t xml:space="preserve">Marie-France Cordeau v. Portes et Châssis Eddy Boulet </w:t>
            </w:r>
            <w:proofErr w:type="spellStart"/>
            <w:r w:rsidRPr="00F13B48">
              <w:rPr>
                <w:b/>
                <w:sz w:val="20"/>
                <w:szCs w:val="20"/>
              </w:rPr>
              <w:t>inc.</w:t>
            </w:r>
            <w:proofErr w:type="spellEnd"/>
          </w:p>
          <w:p w:rsidR="009E2378" w:rsidRPr="009E2378" w:rsidRDefault="009E2378" w:rsidP="009E2378">
            <w:pPr>
              <w:jc w:val="both"/>
              <w:rPr>
                <w:sz w:val="20"/>
                <w:lang w:val="en-CA"/>
              </w:rPr>
            </w:pPr>
            <w:r w:rsidRPr="009E2378">
              <w:rPr>
                <w:sz w:val="20"/>
                <w:lang w:val="en-CA"/>
              </w:rPr>
              <w:t>(Que.) (Civil) (By Leave)</w:t>
            </w:r>
          </w:p>
        </w:tc>
      </w:tr>
      <w:tr w:rsidR="009E2378" w:rsidRPr="009E2378" w:rsidTr="009E2378">
        <w:tc>
          <w:tcPr>
            <w:tcW w:w="5000" w:type="pct"/>
            <w:gridSpan w:val="4"/>
          </w:tcPr>
          <w:p w:rsidR="009E2378" w:rsidRPr="009E2378" w:rsidRDefault="009E2378" w:rsidP="009E2378">
            <w:pPr>
              <w:jc w:val="both"/>
              <w:rPr>
                <w:sz w:val="20"/>
                <w:lang w:val="en-CA"/>
              </w:rPr>
            </w:pPr>
            <w:r w:rsidRPr="009E2378">
              <w:rPr>
                <w:sz w:val="20"/>
                <w:lang w:val="en-CA"/>
              </w:rPr>
              <w:t>Civil procedure – Contract – Evidence – Damages – Claim for reimbursement – Whether courts below erred in dismissing applicant’s action and respondent’s cross demand.</w:t>
            </w:r>
          </w:p>
        </w:tc>
      </w:tr>
      <w:tr w:rsidR="009E2378" w:rsidRPr="009E2378" w:rsidTr="009E2378">
        <w:tc>
          <w:tcPr>
            <w:tcW w:w="5000" w:type="pct"/>
            <w:gridSpan w:val="4"/>
          </w:tcPr>
          <w:p w:rsidR="009E2378" w:rsidRPr="009E2378" w:rsidRDefault="009E2378" w:rsidP="009E2378">
            <w:pPr>
              <w:jc w:val="both"/>
              <w:rPr>
                <w:sz w:val="20"/>
                <w:lang w:val="en-CA"/>
              </w:rPr>
            </w:pPr>
          </w:p>
        </w:tc>
      </w:tr>
      <w:tr w:rsidR="009E2378" w:rsidRPr="009E2378" w:rsidTr="009E2378">
        <w:tc>
          <w:tcPr>
            <w:tcW w:w="5000" w:type="pct"/>
            <w:gridSpan w:val="4"/>
          </w:tcPr>
          <w:p w:rsidR="009E2378" w:rsidRPr="009E2378" w:rsidRDefault="009E2378" w:rsidP="009E2378">
            <w:pPr>
              <w:jc w:val="both"/>
              <w:rPr>
                <w:sz w:val="20"/>
                <w:lang w:val="en-CA"/>
              </w:rPr>
            </w:pPr>
            <w:r w:rsidRPr="009E2378">
              <w:rPr>
                <w:sz w:val="20"/>
                <w:lang w:val="en-CA"/>
              </w:rPr>
              <w:t>The applicant claimed the reimbursement of $10,697 she had paid to the respondent as a deposit under a contract the parties had entered into on August 29, 2012. She also claimed an amount for loss of income and the reimbursement of extrajudicial fees. The respondent denied that the contract had become effective, because the condition for the contract had never materialized. It also claimed indirect damages, namely the reimbursement of its legal fees in light of the rules respecting vexatious litigants, and punitive damages.</w:t>
            </w:r>
          </w:p>
        </w:tc>
      </w:tr>
      <w:tr w:rsidR="009E2378" w:rsidRPr="009E2378" w:rsidTr="009E2378">
        <w:tc>
          <w:tcPr>
            <w:tcW w:w="5000" w:type="pct"/>
            <w:gridSpan w:val="4"/>
          </w:tcPr>
          <w:p w:rsidR="009E2378" w:rsidRPr="009E2378" w:rsidRDefault="009E2378" w:rsidP="009E2378">
            <w:pPr>
              <w:jc w:val="both"/>
              <w:rPr>
                <w:sz w:val="20"/>
                <w:lang w:val="en-CA"/>
              </w:rPr>
            </w:pPr>
          </w:p>
        </w:tc>
      </w:tr>
      <w:tr w:rsidR="009E2378" w:rsidRPr="009E2378" w:rsidTr="009E2378">
        <w:tc>
          <w:tcPr>
            <w:tcW w:w="2427" w:type="pct"/>
            <w:gridSpan w:val="2"/>
          </w:tcPr>
          <w:p w:rsidR="009E2378" w:rsidRPr="009E2378" w:rsidRDefault="009E2378" w:rsidP="009E2378">
            <w:pPr>
              <w:jc w:val="both"/>
              <w:rPr>
                <w:sz w:val="20"/>
                <w:lang w:val="en-CA"/>
              </w:rPr>
            </w:pPr>
            <w:r w:rsidRPr="009E2378">
              <w:rPr>
                <w:sz w:val="20"/>
                <w:lang w:val="en-CA"/>
              </w:rPr>
              <w:t>February 13, 2015</w:t>
            </w:r>
          </w:p>
          <w:p w:rsidR="009E2378" w:rsidRPr="009E2378" w:rsidRDefault="009E2378" w:rsidP="009E2378">
            <w:pPr>
              <w:jc w:val="both"/>
              <w:rPr>
                <w:sz w:val="20"/>
                <w:lang w:val="en-CA"/>
              </w:rPr>
            </w:pPr>
            <w:r w:rsidRPr="009E2378">
              <w:rPr>
                <w:sz w:val="20"/>
                <w:lang w:val="en-CA"/>
              </w:rPr>
              <w:t>Court of Québec</w:t>
            </w:r>
          </w:p>
          <w:p w:rsidR="009E2378" w:rsidRPr="009E2378" w:rsidRDefault="009E2378" w:rsidP="009E2378">
            <w:pPr>
              <w:jc w:val="both"/>
              <w:rPr>
                <w:sz w:val="20"/>
                <w:lang w:val="en-CA"/>
              </w:rPr>
            </w:pPr>
            <w:r w:rsidRPr="009E2378">
              <w:rPr>
                <w:sz w:val="20"/>
                <w:lang w:val="en-CA"/>
              </w:rPr>
              <w:t>(Judge Laporte)</w:t>
            </w:r>
          </w:p>
        </w:tc>
        <w:tc>
          <w:tcPr>
            <w:tcW w:w="243" w:type="pct"/>
          </w:tcPr>
          <w:p w:rsidR="009E2378" w:rsidRPr="009E2378" w:rsidRDefault="009E2378" w:rsidP="009E2378">
            <w:pPr>
              <w:jc w:val="both"/>
              <w:rPr>
                <w:sz w:val="20"/>
                <w:lang w:val="en-CA"/>
              </w:rPr>
            </w:pPr>
          </w:p>
        </w:tc>
        <w:tc>
          <w:tcPr>
            <w:tcW w:w="2330" w:type="pct"/>
          </w:tcPr>
          <w:p w:rsidR="009E2378" w:rsidRPr="009E2378" w:rsidRDefault="009E2378" w:rsidP="009E2378">
            <w:pPr>
              <w:jc w:val="both"/>
              <w:rPr>
                <w:sz w:val="20"/>
                <w:lang w:val="en-CA" w:eastAsia="en-CA"/>
              </w:rPr>
            </w:pPr>
            <w:r w:rsidRPr="009E2378">
              <w:rPr>
                <w:sz w:val="20"/>
                <w:lang w:val="en-CA" w:eastAsia="en-CA"/>
              </w:rPr>
              <w:t>Action for $10,697 dismissed; cross demand dismissed.</w:t>
            </w:r>
          </w:p>
          <w:p w:rsidR="009E2378" w:rsidRPr="009E2378" w:rsidRDefault="009E2378" w:rsidP="009E2378">
            <w:pPr>
              <w:jc w:val="both"/>
              <w:rPr>
                <w:sz w:val="20"/>
                <w:lang w:val="en-CA"/>
              </w:rPr>
            </w:pPr>
          </w:p>
          <w:p w:rsidR="009E2378" w:rsidRPr="009E2378" w:rsidRDefault="009E2378" w:rsidP="009E2378">
            <w:pPr>
              <w:jc w:val="both"/>
              <w:rPr>
                <w:sz w:val="20"/>
                <w:lang w:val="en-CA"/>
              </w:rPr>
            </w:pPr>
          </w:p>
        </w:tc>
      </w:tr>
      <w:tr w:rsidR="009E2378" w:rsidRPr="009E2378" w:rsidTr="009E2378">
        <w:tc>
          <w:tcPr>
            <w:tcW w:w="2427" w:type="pct"/>
            <w:gridSpan w:val="2"/>
          </w:tcPr>
          <w:p w:rsidR="009E2378" w:rsidRPr="009E2378" w:rsidRDefault="009E2378" w:rsidP="009E2378">
            <w:pPr>
              <w:jc w:val="both"/>
              <w:rPr>
                <w:sz w:val="20"/>
                <w:lang w:val="en-CA"/>
              </w:rPr>
            </w:pPr>
            <w:r w:rsidRPr="009E2378">
              <w:rPr>
                <w:sz w:val="20"/>
                <w:lang w:val="en-CA"/>
              </w:rPr>
              <w:t>April 17, 2015</w:t>
            </w:r>
          </w:p>
          <w:p w:rsidR="009E2378" w:rsidRPr="009E2378" w:rsidRDefault="009E2378" w:rsidP="009E2378">
            <w:pPr>
              <w:jc w:val="both"/>
              <w:rPr>
                <w:sz w:val="20"/>
                <w:lang w:val="en-CA"/>
              </w:rPr>
            </w:pPr>
            <w:r w:rsidRPr="009E2378">
              <w:rPr>
                <w:sz w:val="20"/>
                <w:lang w:val="en-CA"/>
              </w:rPr>
              <w:t>Quebec Court of Appeal (Montréal)</w:t>
            </w:r>
          </w:p>
          <w:p w:rsidR="009E2378" w:rsidRPr="009E2378" w:rsidRDefault="009E2378" w:rsidP="009E2378">
            <w:pPr>
              <w:jc w:val="both"/>
              <w:rPr>
                <w:sz w:val="20"/>
                <w:lang w:val="en-CA"/>
              </w:rPr>
            </w:pPr>
            <w:r w:rsidRPr="009E2378">
              <w:rPr>
                <w:sz w:val="20"/>
                <w:lang w:val="en-CA"/>
              </w:rPr>
              <w:t>(Marcotte J.A.)</w:t>
            </w:r>
          </w:p>
          <w:p w:rsidR="009E2378" w:rsidRPr="009E2378" w:rsidRDefault="009E2378" w:rsidP="009E2378">
            <w:pPr>
              <w:jc w:val="both"/>
              <w:rPr>
                <w:sz w:val="20"/>
                <w:lang w:val="en-CA"/>
              </w:rPr>
            </w:pPr>
            <w:hyperlink r:id="rId37" w:history="1">
              <w:r w:rsidRPr="009E2378">
                <w:rPr>
                  <w:rStyle w:val="Hyperlink"/>
                  <w:sz w:val="20"/>
                  <w:lang w:val="en-CA"/>
                </w:rPr>
                <w:t>2015 QCCA 678</w:t>
              </w:r>
            </w:hyperlink>
          </w:p>
          <w:p w:rsidR="009E2378" w:rsidRPr="009E2378" w:rsidRDefault="009E2378" w:rsidP="009E2378">
            <w:pPr>
              <w:jc w:val="both"/>
              <w:rPr>
                <w:sz w:val="20"/>
                <w:lang w:val="en-CA"/>
              </w:rPr>
            </w:pPr>
          </w:p>
        </w:tc>
        <w:tc>
          <w:tcPr>
            <w:tcW w:w="243" w:type="pct"/>
          </w:tcPr>
          <w:p w:rsidR="009E2378" w:rsidRPr="009E2378" w:rsidRDefault="009E2378" w:rsidP="009E2378">
            <w:pPr>
              <w:jc w:val="both"/>
              <w:rPr>
                <w:sz w:val="20"/>
                <w:lang w:val="en-CA"/>
              </w:rPr>
            </w:pPr>
          </w:p>
        </w:tc>
        <w:tc>
          <w:tcPr>
            <w:tcW w:w="2330" w:type="pct"/>
          </w:tcPr>
          <w:p w:rsidR="009E2378" w:rsidRPr="009E2378" w:rsidRDefault="009E2378" w:rsidP="009E2378">
            <w:pPr>
              <w:jc w:val="both"/>
              <w:rPr>
                <w:sz w:val="20"/>
                <w:lang w:val="en-CA" w:eastAsia="en-CA"/>
              </w:rPr>
            </w:pPr>
            <w:r w:rsidRPr="009E2378">
              <w:rPr>
                <w:sz w:val="20"/>
                <w:lang w:val="en-CA" w:eastAsia="en-CA"/>
              </w:rPr>
              <w:t>Motion for leave to appeal dismissed.</w:t>
            </w:r>
          </w:p>
          <w:p w:rsidR="009E2378" w:rsidRPr="009E2378" w:rsidRDefault="009E2378" w:rsidP="009E2378">
            <w:pPr>
              <w:jc w:val="both"/>
              <w:rPr>
                <w:sz w:val="20"/>
                <w:lang w:val="en-CA"/>
              </w:rPr>
            </w:pPr>
          </w:p>
          <w:p w:rsidR="009E2378" w:rsidRPr="009E2378" w:rsidRDefault="009E2378" w:rsidP="009E2378">
            <w:pPr>
              <w:jc w:val="both"/>
              <w:rPr>
                <w:sz w:val="20"/>
                <w:lang w:val="en-CA"/>
              </w:rPr>
            </w:pPr>
          </w:p>
        </w:tc>
      </w:tr>
      <w:tr w:rsidR="009E2378" w:rsidRPr="009E2378" w:rsidTr="009E2378">
        <w:tc>
          <w:tcPr>
            <w:tcW w:w="2427" w:type="pct"/>
            <w:gridSpan w:val="2"/>
          </w:tcPr>
          <w:p w:rsidR="009E2378" w:rsidRPr="009E2378" w:rsidRDefault="009E2378" w:rsidP="009E2378">
            <w:pPr>
              <w:jc w:val="both"/>
              <w:rPr>
                <w:sz w:val="20"/>
                <w:lang w:val="en-CA"/>
              </w:rPr>
            </w:pPr>
            <w:r w:rsidRPr="009E2378">
              <w:rPr>
                <w:sz w:val="20"/>
                <w:lang w:val="en-CA"/>
              </w:rPr>
              <w:t>June 10, 2015</w:t>
            </w:r>
          </w:p>
          <w:p w:rsidR="009E2378" w:rsidRPr="009E2378" w:rsidRDefault="009E2378" w:rsidP="009E2378">
            <w:pPr>
              <w:jc w:val="both"/>
              <w:rPr>
                <w:sz w:val="20"/>
                <w:lang w:val="en-CA"/>
              </w:rPr>
            </w:pPr>
            <w:r w:rsidRPr="009E2378">
              <w:rPr>
                <w:sz w:val="20"/>
                <w:lang w:val="en-CA"/>
              </w:rPr>
              <w:t>Supreme Court of Canada</w:t>
            </w:r>
          </w:p>
          <w:p w:rsidR="009E2378" w:rsidRPr="009E2378" w:rsidRDefault="009E2378" w:rsidP="009E2378">
            <w:pPr>
              <w:jc w:val="both"/>
              <w:rPr>
                <w:sz w:val="20"/>
                <w:lang w:val="en-CA"/>
              </w:rPr>
            </w:pPr>
          </w:p>
        </w:tc>
        <w:tc>
          <w:tcPr>
            <w:tcW w:w="243" w:type="pct"/>
          </w:tcPr>
          <w:p w:rsidR="009E2378" w:rsidRPr="009E2378" w:rsidRDefault="009E2378" w:rsidP="009E2378">
            <w:pPr>
              <w:jc w:val="both"/>
              <w:rPr>
                <w:sz w:val="20"/>
                <w:lang w:val="en-CA"/>
              </w:rPr>
            </w:pPr>
          </w:p>
        </w:tc>
        <w:tc>
          <w:tcPr>
            <w:tcW w:w="2330" w:type="pct"/>
          </w:tcPr>
          <w:p w:rsidR="009E2378" w:rsidRPr="009E2378" w:rsidRDefault="009E2378" w:rsidP="009E2378">
            <w:pPr>
              <w:jc w:val="both"/>
              <w:rPr>
                <w:sz w:val="20"/>
                <w:lang w:val="en-CA"/>
              </w:rPr>
            </w:pPr>
            <w:r w:rsidRPr="009E2378">
              <w:rPr>
                <w:sz w:val="20"/>
                <w:lang w:val="en-CA"/>
              </w:rPr>
              <w:t>Application for leave to appeal filed.</w:t>
            </w:r>
          </w:p>
          <w:p w:rsidR="009E2378" w:rsidRPr="009E2378" w:rsidRDefault="009E2378" w:rsidP="009E2378">
            <w:pPr>
              <w:jc w:val="both"/>
              <w:rPr>
                <w:sz w:val="20"/>
                <w:lang w:val="en-CA"/>
              </w:rPr>
            </w:pPr>
          </w:p>
        </w:tc>
      </w:tr>
    </w:tbl>
    <w:p w:rsidR="009E2378" w:rsidRPr="009E2378" w:rsidRDefault="009E2378" w:rsidP="009E237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2378" w:rsidRPr="009E2378" w:rsidTr="009E2378">
        <w:tc>
          <w:tcPr>
            <w:tcW w:w="543" w:type="pct"/>
          </w:tcPr>
          <w:p w:rsidR="009E2378" w:rsidRPr="009E2378" w:rsidRDefault="009E2378" w:rsidP="009E2378">
            <w:pPr>
              <w:jc w:val="both"/>
              <w:rPr>
                <w:sz w:val="20"/>
              </w:rPr>
            </w:pPr>
            <w:r w:rsidRPr="009E2378">
              <w:rPr>
                <w:rStyle w:val="SCCFileNumberChar"/>
                <w:sz w:val="20"/>
                <w:szCs w:val="20"/>
              </w:rPr>
              <w:t>36514</w:t>
            </w:r>
          </w:p>
        </w:tc>
        <w:tc>
          <w:tcPr>
            <w:tcW w:w="4457" w:type="pct"/>
            <w:gridSpan w:val="3"/>
          </w:tcPr>
          <w:p w:rsidR="009E2378" w:rsidRPr="00F13B48" w:rsidRDefault="009E2378" w:rsidP="009E2378">
            <w:pPr>
              <w:pStyle w:val="SCCLsocParty"/>
              <w:jc w:val="both"/>
              <w:rPr>
                <w:b/>
                <w:sz w:val="20"/>
                <w:szCs w:val="20"/>
              </w:rPr>
            </w:pPr>
            <w:r w:rsidRPr="00F13B48">
              <w:rPr>
                <w:b/>
                <w:sz w:val="20"/>
                <w:szCs w:val="20"/>
              </w:rPr>
              <w:t xml:space="preserve">Marie-France Cordeau c. Portes et Châssis Eddy Boulet </w:t>
            </w:r>
            <w:proofErr w:type="spellStart"/>
            <w:r w:rsidRPr="00F13B48">
              <w:rPr>
                <w:b/>
                <w:sz w:val="20"/>
                <w:szCs w:val="20"/>
              </w:rPr>
              <w:t>inc.</w:t>
            </w:r>
            <w:proofErr w:type="spellEnd"/>
          </w:p>
          <w:p w:rsidR="009E2378" w:rsidRPr="009E2378" w:rsidRDefault="009E2378" w:rsidP="009E2378">
            <w:pPr>
              <w:jc w:val="both"/>
              <w:rPr>
                <w:sz w:val="20"/>
              </w:rPr>
            </w:pPr>
            <w:r w:rsidRPr="009E2378">
              <w:rPr>
                <w:sz w:val="20"/>
              </w:rPr>
              <w:t>(Qc) (</w:t>
            </w:r>
            <w:proofErr w:type="spellStart"/>
            <w:r w:rsidRPr="009E2378">
              <w:rPr>
                <w:sz w:val="20"/>
              </w:rPr>
              <w:t>Civile</w:t>
            </w:r>
            <w:proofErr w:type="spellEnd"/>
            <w:r w:rsidRPr="009E2378">
              <w:rPr>
                <w:sz w:val="20"/>
              </w:rPr>
              <w:t>) (</w:t>
            </w:r>
            <w:proofErr w:type="spellStart"/>
            <w:r w:rsidRPr="009E2378">
              <w:rPr>
                <w:sz w:val="20"/>
              </w:rPr>
              <w:t>Autorisation</w:t>
            </w:r>
            <w:proofErr w:type="spellEnd"/>
            <w:r w:rsidRPr="009E2378">
              <w:rPr>
                <w:sz w:val="20"/>
              </w:rPr>
              <w:t>)</w:t>
            </w:r>
          </w:p>
        </w:tc>
      </w:tr>
      <w:tr w:rsidR="009E2378" w:rsidRPr="009E2378" w:rsidTr="009E2378">
        <w:tc>
          <w:tcPr>
            <w:tcW w:w="5000" w:type="pct"/>
            <w:gridSpan w:val="4"/>
          </w:tcPr>
          <w:p w:rsidR="009E2378" w:rsidRPr="009E2378" w:rsidRDefault="009E2378" w:rsidP="009E2378">
            <w:pPr>
              <w:jc w:val="both"/>
              <w:rPr>
                <w:sz w:val="20"/>
                <w:lang w:val="fr-CA"/>
              </w:rPr>
            </w:pPr>
            <w:r w:rsidRPr="009E2378">
              <w:rPr>
                <w:sz w:val="20"/>
                <w:lang w:val="fr-CA"/>
              </w:rPr>
              <w:t>Procédure civile – Contrat – Preuve – Dommages – Demande de remboursement – Est-ce que les cours inférieures ont erré en rejetant l’action de la demanderesse et la demande reconventionnelle de l’intimée?</w:t>
            </w:r>
          </w:p>
        </w:tc>
      </w:tr>
      <w:tr w:rsidR="009E2378" w:rsidRPr="009E2378" w:rsidTr="009E2378">
        <w:tc>
          <w:tcPr>
            <w:tcW w:w="5000" w:type="pct"/>
            <w:gridSpan w:val="4"/>
          </w:tcPr>
          <w:p w:rsidR="009E2378" w:rsidRPr="009E2378" w:rsidRDefault="009E2378" w:rsidP="009E2378">
            <w:pPr>
              <w:jc w:val="both"/>
              <w:rPr>
                <w:sz w:val="20"/>
                <w:lang w:val="fr-CA"/>
              </w:rPr>
            </w:pPr>
          </w:p>
        </w:tc>
      </w:tr>
      <w:tr w:rsidR="009E2378" w:rsidRPr="009E2378" w:rsidTr="009E2378">
        <w:tc>
          <w:tcPr>
            <w:tcW w:w="5000" w:type="pct"/>
            <w:gridSpan w:val="4"/>
          </w:tcPr>
          <w:p w:rsidR="009E2378" w:rsidRPr="009E2378" w:rsidRDefault="009E2378" w:rsidP="009E2378">
            <w:pPr>
              <w:jc w:val="both"/>
              <w:rPr>
                <w:sz w:val="20"/>
                <w:lang w:val="fr-CA"/>
              </w:rPr>
            </w:pPr>
            <w:r w:rsidRPr="009E2378">
              <w:rPr>
                <w:sz w:val="20"/>
                <w:lang w:val="fr-CA"/>
              </w:rPr>
              <w:t>La demanderesse réclame de l’intimée le remboursement d’une somme de 10 697 $ à titre d’acompte à la suite d’un contrat intervenu entre les parties, le 29 août 2012. Elle réclame aussi des pertes de revenus et le remboursement d’honoraires extrajudiciaires. L’intimée nie que le contrat ait pris naissance puisque la condition au contrat ne s’est jamais matérialisée. Elle réclame également des dommages indirects, soit le remboursement de ses honoraires d’avocat en but des règles concernant les plaideurs téméraires et des dommages punitifs.</w:t>
            </w:r>
          </w:p>
        </w:tc>
      </w:tr>
      <w:tr w:rsidR="009E2378" w:rsidRPr="009E2378" w:rsidTr="009E2378">
        <w:tc>
          <w:tcPr>
            <w:tcW w:w="5000" w:type="pct"/>
            <w:gridSpan w:val="4"/>
          </w:tcPr>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Le 13 février 2015</w:t>
            </w:r>
          </w:p>
          <w:p w:rsidR="009E2378" w:rsidRPr="009E2378" w:rsidRDefault="009E2378" w:rsidP="009E2378">
            <w:pPr>
              <w:jc w:val="both"/>
              <w:rPr>
                <w:sz w:val="20"/>
                <w:lang w:val="fr-CA"/>
              </w:rPr>
            </w:pPr>
            <w:r w:rsidRPr="009E2378">
              <w:rPr>
                <w:sz w:val="20"/>
                <w:lang w:val="fr-CA"/>
              </w:rPr>
              <w:t>Cour du Québec</w:t>
            </w:r>
          </w:p>
          <w:p w:rsidR="009E2378" w:rsidRPr="009E2378" w:rsidRDefault="009E2378" w:rsidP="009E2378">
            <w:pPr>
              <w:jc w:val="both"/>
              <w:rPr>
                <w:sz w:val="20"/>
                <w:lang w:val="fr-CA"/>
              </w:rPr>
            </w:pPr>
            <w:r w:rsidRPr="009E2378">
              <w:rPr>
                <w:sz w:val="20"/>
                <w:lang w:val="fr-CA"/>
              </w:rPr>
              <w:t>(Le juge Laporte)</w:t>
            </w: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eastAsia="en-CA"/>
              </w:rPr>
            </w:pPr>
            <w:r w:rsidRPr="009E2378">
              <w:rPr>
                <w:sz w:val="20"/>
                <w:lang w:val="fr-CA" w:eastAsia="en-CA"/>
              </w:rPr>
              <w:t>Action intentée pour montant de 10 697 $ rejetée; demande reconventionnelle rejetée.</w:t>
            </w:r>
          </w:p>
          <w:p w:rsidR="009E2378" w:rsidRPr="009E2378" w:rsidRDefault="009E2378" w:rsidP="009E2378">
            <w:pPr>
              <w:jc w:val="both"/>
              <w:rPr>
                <w:sz w:val="20"/>
                <w:lang w:val="fr-CA"/>
              </w:rPr>
            </w:pP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Le 17 avril 2015</w:t>
            </w:r>
          </w:p>
          <w:p w:rsidR="009E2378" w:rsidRPr="009E2378" w:rsidRDefault="009E2378" w:rsidP="009E2378">
            <w:pPr>
              <w:jc w:val="both"/>
              <w:rPr>
                <w:sz w:val="20"/>
                <w:lang w:val="fr-CA"/>
              </w:rPr>
            </w:pPr>
            <w:r w:rsidRPr="009E2378">
              <w:rPr>
                <w:sz w:val="20"/>
                <w:lang w:val="fr-CA"/>
              </w:rPr>
              <w:t>Cour d’appel du Québec (Montréal)</w:t>
            </w:r>
          </w:p>
          <w:p w:rsidR="009E2378" w:rsidRPr="009E2378" w:rsidRDefault="009E2378" w:rsidP="009E2378">
            <w:pPr>
              <w:jc w:val="both"/>
              <w:rPr>
                <w:sz w:val="20"/>
              </w:rPr>
            </w:pPr>
            <w:r w:rsidRPr="009E2378">
              <w:rPr>
                <w:sz w:val="20"/>
              </w:rPr>
              <w:t xml:space="preserve">(La </w:t>
            </w:r>
            <w:proofErr w:type="spellStart"/>
            <w:r w:rsidRPr="009E2378">
              <w:rPr>
                <w:sz w:val="20"/>
              </w:rPr>
              <w:t>juge</w:t>
            </w:r>
            <w:proofErr w:type="spellEnd"/>
            <w:r w:rsidRPr="009E2378">
              <w:rPr>
                <w:sz w:val="20"/>
              </w:rPr>
              <w:t xml:space="preserve"> </w:t>
            </w:r>
            <w:proofErr w:type="spellStart"/>
            <w:r w:rsidRPr="009E2378">
              <w:rPr>
                <w:sz w:val="20"/>
              </w:rPr>
              <w:t>Marcotte</w:t>
            </w:r>
            <w:proofErr w:type="spellEnd"/>
            <w:r w:rsidRPr="009E2378">
              <w:rPr>
                <w:sz w:val="20"/>
              </w:rPr>
              <w:t>)</w:t>
            </w:r>
          </w:p>
          <w:p w:rsidR="009E2378" w:rsidRPr="009E2378" w:rsidRDefault="009E2378" w:rsidP="009E2378">
            <w:pPr>
              <w:jc w:val="both"/>
              <w:rPr>
                <w:sz w:val="20"/>
              </w:rPr>
            </w:pPr>
            <w:hyperlink r:id="rId38" w:history="1">
              <w:r w:rsidRPr="009E2378">
                <w:rPr>
                  <w:rStyle w:val="Hyperlink"/>
                  <w:sz w:val="20"/>
                </w:rPr>
                <w:t>2015 QCCA 678</w:t>
              </w:r>
            </w:hyperlink>
          </w:p>
          <w:p w:rsidR="009E2378" w:rsidRPr="009E2378" w:rsidRDefault="009E2378" w:rsidP="009E2378">
            <w:pPr>
              <w:jc w:val="both"/>
              <w:rPr>
                <w:sz w:val="20"/>
              </w:rPr>
            </w:pPr>
          </w:p>
        </w:tc>
        <w:tc>
          <w:tcPr>
            <w:tcW w:w="243"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lang w:val="fr-CA" w:eastAsia="en-CA"/>
              </w:rPr>
            </w:pPr>
            <w:r w:rsidRPr="009E2378">
              <w:rPr>
                <w:sz w:val="20"/>
                <w:lang w:val="fr-CA" w:eastAsia="en-CA"/>
              </w:rPr>
              <w:t>Requête pour permission d’appeler rejetée.</w:t>
            </w:r>
          </w:p>
          <w:p w:rsidR="009E2378" w:rsidRPr="009E2378" w:rsidRDefault="009E2378" w:rsidP="009E2378">
            <w:pPr>
              <w:jc w:val="both"/>
              <w:rPr>
                <w:sz w:val="20"/>
                <w:lang w:val="fr-CA"/>
              </w:rPr>
            </w:pPr>
          </w:p>
          <w:p w:rsidR="009E2378" w:rsidRPr="009E2378" w:rsidRDefault="009E2378" w:rsidP="009E2378">
            <w:pPr>
              <w:jc w:val="both"/>
              <w:rPr>
                <w:sz w:val="20"/>
                <w:lang w:val="fr-CA"/>
              </w:rPr>
            </w:pPr>
          </w:p>
        </w:tc>
      </w:tr>
      <w:tr w:rsidR="009E2378" w:rsidRPr="009E2378" w:rsidTr="009E2378">
        <w:tc>
          <w:tcPr>
            <w:tcW w:w="2427" w:type="pct"/>
            <w:gridSpan w:val="2"/>
          </w:tcPr>
          <w:p w:rsidR="009E2378" w:rsidRPr="009E2378" w:rsidRDefault="009E2378" w:rsidP="009E2378">
            <w:pPr>
              <w:jc w:val="both"/>
              <w:rPr>
                <w:sz w:val="20"/>
                <w:lang w:val="fr-CA"/>
              </w:rPr>
            </w:pPr>
            <w:r w:rsidRPr="009E2378">
              <w:rPr>
                <w:sz w:val="20"/>
                <w:lang w:val="fr-CA"/>
              </w:rPr>
              <w:t>Le 10 juin 2015</w:t>
            </w:r>
          </w:p>
          <w:p w:rsidR="009E2378" w:rsidRPr="009E2378" w:rsidRDefault="009E2378" w:rsidP="009E2378">
            <w:pPr>
              <w:jc w:val="both"/>
              <w:rPr>
                <w:sz w:val="20"/>
                <w:lang w:val="fr-CA"/>
              </w:rPr>
            </w:pPr>
            <w:r w:rsidRPr="009E2378">
              <w:rPr>
                <w:sz w:val="20"/>
                <w:lang w:val="fr-CA"/>
              </w:rPr>
              <w:t>Cour suprême du Canada</w:t>
            </w:r>
          </w:p>
          <w:p w:rsidR="009E2378" w:rsidRPr="009E2378" w:rsidRDefault="009E2378" w:rsidP="009E2378">
            <w:pPr>
              <w:jc w:val="both"/>
              <w:rPr>
                <w:sz w:val="20"/>
                <w:lang w:val="fr-CA"/>
              </w:rPr>
            </w:pPr>
          </w:p>
        </w:tc>
        <w:tc>
          <w:tcPr>
            <w:tcW w:w="243"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rPr>
            </w:pPr>
            <w:proofErr w:type="spellStart"/>
            <w:r w:rsidRPr="009E2378">
              <w:rPr>
                <w:sz w:val="20"/>
              </w:rPr>
              <w:t>Demande</w:t>
            </w:r>
            <w:proofErr w:type="spellEnd"/>
            <w:r w:rsidRPr="009E2378">
              <w:rPr>
                <w:sz w:val="20"/>
              </w:rPr>
              <w:t xml:space="preserve"> </w:t>
            </w:r>
            <w:proofErr w:type="spellStart"/>
            <w:r w:rsidRPr="009E2378">
              <w:rPr>
                <w:sz w:val="20"/>
              </w:rPr>
              <w:t>d’autorisation</w:t>
            </w:r>
            <w:proofErr w:type="spellEnd"/>
            <w:r w:rsidRPr="009E2378">
              <w:rPr>
                <w:sz w:val="20"/>
              </w:rPr>
              <w:t xml:space="preserve"> </w:t>
            </w:r>
            <w:proofErr w:type="spellStart"/>
            <w:r w:rsidRPr="009E2378">
              <w:rPr>
                <w:sz w:val="20"/>
              </w:rPr>
              <w:t>d’appel</w:t>
            </w:r>
            <w:proofErr w:type="spellEnd"/>
            <w:r w:rsidRPr="009E2378">
              <w:rPr>
                <w:sz w:val="20"/>
              </w:rPr>
              <w:t xml:space="preserve"> </w:t>
            </w:r>
            <w:proofErr w:type="spellStart"/>
            <w:r w:rsidRPr="009E2378">
              <w:rPr>
                <w:sz w:val="20"/>
              </w:rPr>
              <w:t>déposée</w:t>
            </w:r>
            <w:proofErr w:type="spellEnd"/>
            <w:r w:rsidRPr="009E2378">
              <w:rPr>
                <w:sz w:val="20"/>
              </w:rPr>
              <w:t>.</w:t>
            </w:r>
          </w:p>
          <w:p w:rsidR="009E2378" w:rsidRPr="009E2378" w:rsidRDefault="009E2378" w:rsidP="009E2378">
            <w:pPr>
              <w:jc w:val="both"/>
              <w:rPr>
                <w:sz w:val="20"/>
              </w:rPr>
            </w:pPr>
          </w:p>
        </w:tc>
      </w:tr>
    </w:tbl>
    <w:p w:rsidR="009E2378" w:rsidRPr="009E2378" w:rsidRDefault="009E2378" w:rsidP="009E237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93"/>
        <w:gridCol w:w="452"/>
        <w:gridCol w:w="4320"/>
      </w:tblGrid>
      <w:tr w:rsidR="009E2378" w:rsidRPr="009E2378" w:rsidTr="00F13B48">
        <w:tc>
          <w:tcPr>
            <w:tcW w:w="542" w:type="pct"/>
          </w:tcPr>
          <w:p w:rsidR="009E2378" w:rsidRPr="009E2378" w:rsidRDefault="009E2378" w:rsidP="009E2378">
            <w:pPr>
              <w:jc w:val="both"/>
              <w:rPr>
                <w:sz w:val="20"/>
              </w:rPr>
            </w:pPr>
            <w:r w:rsidRPr="009E2378">
              <w:rPr>
                <w:rStyle w:val="SCCFileNumberChar"/>
                <w:sz w:val="20"/>
                <w:szCs w:val="20"/>
              </w:rPr>
              <w:t>36591</w:t>
            </w:r>
          </w:p>
        </w:tc>
        <w:tc>
          <w:tcPr>
            <w:tcW w:w="4458" w:type="pct"/>
            <w:gridSpan w:val="3"/>
          </w:tcPr>
          <w:p w:rsidR="009E2378" w:rsidRPr="00F13B48" w:rsidRDefault="009E2378" w:rsidP="009E2378">
            <w:pPr>
              <w:pStyle w:val="SCCLsocParty"/>
              <w:jc w:val="both"/>
              <w:rPr>
                <w:b/>
                <w:sz w:val="20"/>
                <w:szCs w:val="20"/>
                <w:lang w:val="en-US"/>
              </w:rPr>
            </w:pPr>
            <w:proofErr w:type="spellStart"/>
            <w:r w:rsidRPr="00F13B48">
              <w:rPr>
                <w:b/>
                <w:sz w:val="20"/>
                <w:szCs w:val="20"/>
                <w:lang w:val="en-US"/>
              </w:rPr>
              <w:t>Deepan</w:t>
            </w:r>
            <w:proofErr w:type="spellEnd"/>
            <w:r w:rsidRPr="00F13B48">
              <w:rPr>
                <w:b/>
                <w:sz w:val="20"/>
                <w:szCs w:val="20"/>
                <w:lang w:val="en-US"/>
              </w:rPr>
              <w:t xml:space="preserve"> </w:t>
            </w:r>
            <w:proofErr w:type="spellStart"/>
            <w:r w:rsidRPr="00F13B48">
              <w:rPr>
                <w:b/>
                <w:sz w:val="20"/>
                <w:szCs w:val="20"/>
                <w:lang w:val="en-US"/>
              </w:rPr>
              <w:t>Budlakoti</w:t>
            </w:r>
            <w:proofErr w:type="spellEnd"/>
            <w:r w:rsidRPr="00F13B48">
              <w:rPr>
                <w:b/>
                <w:sz w:val="20"/>
                <w:szCs w:val="20"/>
                <w:lang w:val="en-US"/>
              </w:rPr>
              <w:t xml:space="preserve"> v. Minister of Citizenship and Immigration</w:t>
            </w:r>
          </w:p>
          <w:p w:rsidR="009E2378" w:rsidRPr="009E2378" w:rsidRDefault="009E2378" w:rsidP="00F13B48">
            <w:pPr>
              <w:jc w:val="both"/>
              <w:rPr>
                <w:sz w:val="20"/>
              </w:rPr>
            </w:pPr>
            <w:r w:rsidRPr="009E2378">
              <w:rPr>
                <w:sz w:val="20"/>
              </w:rPr>
              <w:t>(FC) (Civil) (By Leave)</w:t>
            </w:r>
          </w:p>
        </w:tc>
      </w:tr>
      <w:tr w:rsidR="009E2378" w:rsidRPr="009E2378" w:rsidTr="00F13B48">
        <w:tc>
          <w:tcPr>
            <w:tcW w:w="5000" w:type="pct"/>
            <w:gridSpan w:val="4"/>
          </w:tcPr>
          <w:p w:rsidR="009E2378" w:rsidRPr="009E2378" w:rsidRDefault="009E2378" w:rsidP="009E2378">
            <w:pPr>
              <w:jc w:val="both"/>
              <w:rPr>
                <w:sz w:val="20"/>
              </w:rPr>
            </w:pPr>
            <w:r w:rsidRPr="009E2378">
              <w:rPr>
                <w:i/>
                <w:sz w:val="20"/>
              </w:rPr>
              <w:t>Charter of Rights</w:t>
            </w:r>
            <w:r w:rsidRPr="009E2378">
              <w:rPr>
                <w:sz w:val="20"/>
              </w:rPr>
              <w:t xml:space="preserve"> – Constitutional law – Citizenship – Judicial review – Issue estoppel – Adequate alternative remedy – Whether the</w:t>
            </w:r>
            <w:r w:rsidRPr="009E2378">
              <w:rPr>
                <w:spacing w:val="7"/>
                <w:sz w:val="20"/>
              </w:rPr>
              <w:t xml:space="preserve"> </w:t>
            </w:r>
            <w:r w:rsidRPr="009E2378">
              <w:rPr>
                <w:sz w:val="20"/>
              </w:rPr>
              <w:t>Court</w:t>
            </w:r>
            <w:r w:rsidRPr="009E2378">
              <w:rPr>
                <w:spacing w:val="6"/>
                <w:sz w:val="20"/>
              </w:rPr>
              <w:t xml:space="preserve"> </w:t>
            </w:r>
            <w:r w:rsidRPr="009E2378">
              <w:rPr>
                <w:sz w:val="20"/>
              </w:rPr>
              <w:t>of</w:t>
            </w:r>
            <w:r w:rsidRPr="009E2378">
              <w:rPr>
                <w:spacing w:val="-9"/>
                <w:sz w:val="20"/>
              </w:rPr>
              <w:t xml:space="preserve"> </w:t>
            </w:r>
            <w:r w:rsidRPr="009E2378">
              <w:rPr>
                <w:sz w:val="20"/>
              </w:rPr>
              <w:t>Appeal</w:t>
            </w:r>
            <w:r w:rsidRPr="009E2378">
              <w:rPr>
                <w:spacing w:val="15"/>
                <w:sz w:val="20"/>
              </w:rPr>
              <w:t xml:space="preserve"> </w:t>
            </w:r>
            <w:r w:rsidRPr="009E2378">
              <w:rPr>
                <w:sz w:val="20"/>
              </w:rPr>
              <w:t>erred:</w:t>
            </w:r>
            <w:r w:rsidRPr="009E2378">
              <w:rPr>
                <w:spacing w:val="17"/>
                <w:sz w:val="20"/>
              </w:rPr>
              <w:t xml:space="preserve"> (1) </w:t>
            </w:r>
            <w:r w:rsidRPr="009E2378">
              <w:rPr>
                <w:sz w:val="20"/>
              </w:rPr>
              <w:t>in</w:t>
            </w:r>
            <w:r w:rsidRPr="009E2378">
              <w:rPr>
                <w:spacing w:val="8"/>
                <w:sz w:val="20"/>
              </w:rPr>
              <w:t xml:space="preserve"> </w:t>
            </w:r>
            <w:r w:rsidRPr="009E2378">
              <w:rPr>
                <w:sz w:val="20"/>
              </w:rPr>
              <w:t>its</w:t>
            </w:r>
            <w:r w:rsidRPr="009E2378">
              <w:rPr>
                <w:spacing w:val="3"/>
                <w:sz w:val="20"/>
              </w:rPr>
              <w:t xml:space="preserve"> </w:t>
            </w:r>
            <w:r w:rsidRPr="009E2378">
              <w:rPr>
                <w:sz w:val="20"/>
              </w:rPr>
              <w:t>application</w:t>
            </w:r>
            <w:r w:rsidRPr="009E2378">
              <w:rPr>
                <w:spacing w:val="5"/>
                <w:sz w:val="20"/>
              </w:rPr>
              <w:t xml:space="preserve"> </w:t>
            </w:r>
            <w:r w:rsidRPr="009E2378">
              <w:rPr>
                <w:sz w:val="20"/>
              </w:rPr>
              <w:t>of</w:t>
            </w:r>
            <w:r w:rsidRPr="009E2378">
              <w:rPr>
                <w:spacing w:val="10"/>
                <w:sz w:val="20"/>
              </w:rPr>
              <w:t xml:space="preserve"> </w:t>
            </w:r>
            <w:r w:rsidRPr="009E2378">
              <w:rPr>
                <w:sz w:val="20"/>
              </w:rPr>
              <w:t>issue estoppel</w:t>
            </w:r>
            <w:r w:rsidRPr="009E2378">
              <w:rPr>
                <w:spacing w:val="23"/>
                <w:sz w:val="20"/>
              </w:rPr>
              <w:t>;</w:t>
            </w:r>
            <w:r w:rsidRPr="009E2378">
              <w:rPr>
                <w:sz w:val="20"/>
              </w:rPr>
              <w:t xml:space="preserve"> (2) in</w:t>
            </w:r>
            <w:r w:rsidRPr="009E2378">
              <w:rPr>
                <w:spacing w:val="-4"/>
                <w:sz w:val="20"/>
              </w:rPr>
              <w:t xml:space="preserve"> </w:t>
            </w:r>
            <w:r w:rsidRPr="009E2378">
              <w:rPr>
                <w:sz w:val="20"/>
              </w:rPr>
              <w:t>declining</w:t>
            </w:r>
            <w:r w:rsidRPr="009E2378">
              <w:rPr>
                <w:spacing w:val="3"/>
                <w:sz w:val="20"/>
              </w:rPr>
              <w:t xml:space="preserve"> </w:t>
            </w:r>
            <w:r w:rsidRPr="009E2378">
              <w:rPr>
                <w:sz w:val="20"/>
              </w:rPr>
              <w:t>jurisdiction</w:t>
            </w:r>
            <w:r w:rsidRPr="009E2378">
              <w:rPr>
                <w:w w:val="97"/>
                <w:sz w:val="20"/>
              </w:rPr>
              <w:t xml:space="preserve"> </w:t>
            </w:r>
            <w:r w:rsidRPr="009E2378">
              <w:rPr>
                <w:sz w:val="20"/>
              </w:rPr>
              <w:t>to</w:t>
            </w:r>
            <w:r w:rsidRPr="009E2378">
              <w:rPr>
                <w:spacing w:val="17"/>
                <w:sz w:val="20"/>
              </w:rPr>
              <w:t xml:space="preserve"> </w:t>
            </w:r>
            <w:r w:rsidRPr="009E2378">
              <w:rPr>
                <w:sz w:val="20"/>
              </w:rPr>
              <w:t>provide</w:t>
            </w:r>
            <w:r w:rsidRPr="009E2378">
              <w:rPr>
                <w:spacing w:val="17"/>
                <w:sz w:val="20"/>
              </w:rPr>
              <w:t xml:space="preserve"> </w:t>
            </w:r>
            <w:r w:rsidRPr="009E2378">
              <w:rPr>
                <w:sz w:val="20"/>
              </w:rPr>
              <w:t>a</w:t>
            </w:r>
            <w:r w:rsidRPr="009E2378">
              <w:rPr>
                <w:spacing w:val="12"/>
                <w:sz w:val="20"/>
              </w:rPr>
              <w:t xml:space="preserve"> </w:t>
            </w:r>
            <w:r w:rsidRPr="009E2378">
              <w:rPr>
                <w:sz w:val="20"/>
              </w:rPr>
              <w:t>declaration</w:t>
            </w:r>
            <w:r w:rsidRPr="009E2378">
              <w:rPr>
                <w:spacing w:val="32"/>
                <w:sz w:val="20"/>
              </w:rPr>
              <w:t xml:space="preserve"> </w:t>
            </w:r>
            <w:r w:rsidRPr="009E2378">
              <w:rPr>
                <w:sz w:val="20"/>
              </w:rPr>
              <w:t>regarding</w:t>
            </w:r>
            <w:r w:rsidRPr="009E2378">
              <w:rPr>
                <w:spacing w:val="19"/>
                <w:sz w:val="20"/>
              </w:rPr>
              <w:t xml:space="preserve"> </w:t>
            </w:r>
            <w:r w:rsidRPr="009E2378">
              <w:rPr>
                <w:sz w:val="20"/>
              </w:rPr>
              <w:t>citizenship</w:t>
            </w:r>
            <w:r w:rsidRPr="009E2378">
              <w:rPr>
                <w:spacing w:val="25"/>
                <w:sz w:val="20"/>
              </w:rPr>
              <w:t xml:space="preserve"> </w:t>
            </w:r>
            <w:r w:rsidRPr="009E2378">
              <w:rPr>
                <w:sz w:val="20"/>
              </w:rPr>
              <w:t>status</w:t>
            </w:r>
            <w:r w:rsidRPr="009E2378">
              <w:rPr>
                <w:spacing w:val="29"/>
                <w:sz w:val="20"/>
              </w:rPr>
              <w:t xml:space="preserve"> </w:t>
            </w:r>
            <w:r w:rsidRPr="009E2378">
              <w:rPr>
                <w:sz w:val="20"/>
              </w:rPr>
              <w:t>by</w:t>
            </w:r>
            <w:r w:rsidRPr="009E2378">
              <w:rPr>
                <w:spacing w:val="13"/>
                <w:sz w:val="20"/>
              </w:rPr>
              <w:t xml:space="preserve"> </w:t>
            </w:r>
            <w:r w:rsidRPr="009E2378">
              <w:rPr>
                <w:spacing w:val="-3"/>
                <w:sz w:val="20"/>
              </w:rPr>
              <w:t>invoking</w:t>
            </w:r>
            <w:r w:rsidRPr="009E2378">
              <w:rPr>
                <w:spacing w:val="32"/>
                <w:w w:val="99"/>
                <w:sz w:val="20"/>
              </w:rPr>
              <w:t xml:space="preserve"> </w:t>
            </w:r>
            <w:r w:rsidRPr="009E2378">
              <w:rPr>
                <w:sz w:val="20"/>
              </w:rPr>
              <w:t>doctrine</w:t>
            </w:r>
            <w:r w:rsidRPr="009E2378">
              <w:rPr>
                <w:spacing w:val="23"/>
                <w:sz w:val="20"/>
              </w:rPr>
              <w:t xml:space="preserve"> </w:t>
            </w:r>
            <w:r w:rsidRPr="009E2378">
              <w:rPr>
                <w:sz w:val="20"/>
              </w:rPr>
              <w:t>of</w:t>
            </w:r>
            <w:r w:rsidRPr="009E2378">
              <w:rPr>
                <w:spacing w:val="16"/>
                <w:sz w:val="20"/>
              </w:rPr>
              <w:t xml:space="preserve"> </w:t>
            </w:r>
            <w:r w:rsidRPr="009E2378">
              <w:rPr>
                <w:sz w:val="20"/>
              </w:rPr>
              <w:t>adequate</w:t>
            </w:r>
            <w:r w:rsidRPr="009E2378">
              <w:rPr>
                <w:spacing w:val="25"/>
                <w:sz w:val="20"/>
              </w:rPr>
              <w:t xml:space="preserve"> </w:t>
            </w:r>
            <w:r w:rsidRPr="009E2378">
              <w:rPr>
                <w:sz w:val="20"/>
              </w:rPr>
              <w:t>alternative</w:t>
            </w:r>
            <w:r w:rsidRPr="009E2378">
              <w:rPr>
                <w:spacing w:val="30"/>
                <w:sz w:val="20"/>
              </w:rPr>
              <w:t xml:space="preserve"> </w:t>
            </w:r>
            <w:r w:rsidRPr="009E2378">
              <w:rPr>
                <w:sz w:val="20"/>
              </w:rPr>
              <w:t>remedy; (3) in failing to</w:t>
            </w:r>
            <w:r w:rsidRPr="009E2378">
              <w:rPr>
                <w:spacing w:val="29"/>
                <w:sz w:val="20"/>
              </w:rPr>
              <w:t xml:space="preserve"> </w:t>
            </w:r>
            <w:r w:rsidRPr="009E2378">
              <w:rPr>
                <w:sz w:val="20"/>
              </w:rPr>
              <w:t>deal</w:t>
            </w:r>
            <w:r w:rsidRPr="009E2378">
              <w:rPr>
                <w:spacing w:val="22"/>
                <w:sz w:val="20"/>
              </w:rPr>
              <w:t xml:space="preserve"> </w:t>
            </w:r>
            <w:r w:rsidRPr="009E2378">
              <w:rPr>
                <w:sz w:val="20"/>
              </w:rPr>
              <w:t>with</w:t>
            </w:r>
            <w:r w:rsidRPr="009E2378">
              <w:rPr>
                <w:spacing w:val="30"/>
                <w:sz w:val="20"/>
              </w:rPr>
              <w:t xml:space="preserve"> </w:t>
            </w:r>
            <w:r w:rsidRPr="009E2378">
              <w:rPr>
                <w:sz w:val="20"/>
              </w:rPr>
              <w:t>alternative</w:t>
            </w:r>
            <w:r w:rsidRPr="009E2378">
              <w:rPr>
                <w:spacing w:val="19"/>
                <w:sz w:val="20"/>
              </w:rPr>
              <w:t xml:space="preserve"> </w:t>
            </w:r>
            <w:r w:rsidRPr="009E2378">
              <w:rPr>
                <w:sz w:val="20"/>
              </w:rPr>
              <w:t>request</w:t>
            </w:r>
            <w:r w:rsidRPr="009E2378">
              <w:rPr>
                <w:spacing w:val="1"/>
                <w:sz w:val="20"/>
              </w:rPr>
              <w:t xml:space="preserve"> </w:t>
            </w:r>
            <w:r w:rsidRPr="009E2378">
              <w:rPr>
                <w:sz w:val="20"/>
              </w:rPr>
              <w:t>for</w:t>
            </w:r>
            <w:r w:rsidRPr="009E2378">
              <w:rPr>
                <w:spacing w:val="6"/>
                <w:sz w:val="20"/>
              </w:rPr>
              <w:t xml:space="preserve"> </w:t>
            </w:r>
            <w:r w:rsidRPr="009E2378">
              <w:rPr>
                <w:sz w:val="20"/>
              </w:rPr>
              <w:t>constitutional</w:t>
            </w:r>
            <w:r w:rsidRPr="009E2378">
              <w:rPr>
                <w:spacing w:val="19"/>
                <w:sz w:val="20"/>
              </w:rPr>
              <w:t xml:space="preserve"> </w:t>
            </w:r>
            <w:r w:rsidRPr="009E2378">
              <w:rPr>
                <w:sz w:val="20"/>
              </w:rPr>
              <w:t>relief, and; (4) </w:t>
            </w:r>
            <w:r w:rsidRPr="009E2378">
              <w:rPr>
                <w:spacing w:val="-9"/>
                <w:sz w:val="20"/>
              </w:rPr>
              <w:t>i</w:t>
            </w:r>
            <w:r w:rsidRPr="009E2378">
              <w:rPr>
                <w:spacing w:val="-11"/>
                <w:sz w:val="20"/>
              </w:rPr>
              <w:t>n</w:t>
            </w:r>
            <w:r w:rsidRPr="009E2378">
              <w:rPr>
                <w:spacing w:val="-8"/>
                <w:sz w:val="20"/>
              </w:rPr>
              <w:t xml:space="preserve"> </w:t>
            </w:r>
            <w:r w:rsidRPr="009E2378">
              <w:rPr>
                <w:sz w:val="20"/>
              </w:rPr>
              <w:t>deciding</w:t>
            </w:r>
            <w:r w:rsidRPr="009E2378">
              <w:rPr>
                <w:spacing w:val="17"/>
                <w:sz w:val="20"/>
              </w:rPr>
              <w:t xml:space="preserve"> </w:t>
            </w:r>
            <w:r w:rsidRPr="009E2378">
              <w:rPr>
                <w:sz w:val="20"/>
              </w:rPr>
              <w:t>that</w:t>
            </w:r>
            <w:r w:rsidRPr="009E2378">
              <w:rPr>
                <w:spacing w:val="11"/>
                <w:sz w:val="20"/>
              </w:rPr>
              <w:t xml:space="preserve"> </w:t>
            </w:r>
            <w:r w:rsidRPr="009E2378">
              <w:rPr>
                <w:sz w:val="20"/>
              </w:rPr>
              <w:t>the</w:t>
            </w:r>
            <w:r w:rsidRPr="009E2378">
              <w:rPr>
                <w:spacing w:val="-1"/>
                <w:sz w:val="20"/>
              </w:rPr>
              <w:t xml:space="preserve"> </w:t>
            </w:r>
            <w:r w:rsidRPr="009E2378">
              <w:rPr>
                <w:sz w:val="20"/>
              </w:rPr>
              <w:t>onus is on</w:t>
            </w:r>
            <w:r w:rsidRPr="009E2378">
              <w:rPr>
                <w:spacing w:val="17"/>
                <w:sz w:val="20"/>
              </w:rPr>
              <w:t xml:space="preserve"> </w:t>
            </w:r>
            <w:r w:rsidRPr="009E2378">
              <w:rPr>
                <w:sz w:val="20"/>
              </w:rPr>
              <w:t>the</w:t>
            </w:r>
            <w:r w:rsidRPr="009E2378">
              <w:rPr>
                <w:spacing w:val="-1"/>
                <w:sz w:val="20"/>
              </w:rPr>
              <w:t xml:space="preserve"> </w:t>
            </w:r>
            <w:r w:rsidRPr="009E2378">
              <w:rPr>
                <w:spacing w:val="1"/>
                <w:sz w:val="20"/>
              </w:rPr>
              <w:t>applicant</w:t>
            </w:r>
            <w:r w:rsidRPr="009E2378">
              <w:rPr>
                <w:spacing w:val="-2"/>
                <w:sz w:val="20"/>
              </w:rPr>
              <w:t xml:space="preserve"> </w:t>
            </w:r>
            <w:r w:rsidRPr="009E2378">
              <w:rPr>
                <w:sz w:val="20"/>
              </w:rPr>
              <w:t>to</w:t>
            </w:r>
            <w:r w:rsidRPr="009E2378">
              <w:rPr>
                <w:spacing w:val="8"/>
                <w:sz w:val="20"/>
              </w:rPr>
              <w:t xml:space="preserve"> </w:t>
            </w:r>
            <w:r w:rsidRPr="009E2378">
              <w:rPr>
                <w:sz w:val="20"/>
              </w:rPr>
              <w:t>apply</w:t>
            </w:r>
            <w:r w:rsidRPr="009E2378">
              <w:rPr>
                <w:spacing w:val="3"/>
                <w:sz w:val="20"/>
              </w:rPr>
              <w:t xml:space="preserve"> </w:t>
            </w:r>
            <w:r w:rsidRPr="009E2378">
              <w:rPr>
                <w:sz w:val="20"/>
              </w:rPr>
              <w:t>for</w:t>
            </w:r>
            <w:r w:rsidRPr="009E2378">
              <w:rPr>
                <w:spacing w:val="9"/>
                <w:sz w:val="20"/>
              </w:rPr>
              <w:t xml:space="preserve"> </w:t>
            </w:r>
            <w:r w:rsidRPr="009E2378">
              <w:rPr>
                <w:sz w:val="20"/>
              </w:rPr>
              <w:t>citizenship</w:t>
            </w:r>
            <w:r w:rsidRPr="009E2378">
              <w:rPr>
                <w:spacing w:val="23"/>
                <w:sz w:val="20"/>
              </w:rPr>
              <w:t xml:space="preserve"> </w:t>
            </w:r>
            <w:r w:rsidRPr="009E2378">
              <w:rPr>
                <w:sz w:val="20"/>
              </w:rPr>
              <w:t>of</w:t>
            </w:r>
            <w:r w:rsidRPr="009E2378">
              <w:rPr>
                <w:spacing w:val="7"/>
                <w:sz w:val="20"/>
              </w:rPr>
              <w:t xml:space="preserve"> </w:t>
            </w:r>
            <w:r w:rsidRPr="009E2378">
              <w:rPr>
                <w:sz w:val="20"/>
              </w:rPr>
              <w:t>another</w:t>
            </w:r>
            <w:r w:rsidRPr="009E2378">
              <w:rPr>
                <w:spacing w:val="12"/>
                <w:sz w:val="20"/>
              </w:rPr>
              <w:t xml:space="preserve"> </w:t>
            </w:r>
            <w:r w:rsidRPr="009E2378">
              <w:rPr>
                <w:sz w:val="20"/>
              </w:rPr>
              <w:t>country</w:t>
            </w:r>
            <w:r w:rsidRPr="009E2378">
              <w:rPr>
                <w:spacing w:val="22"/>
                <w:sz w:val="20"/>
              </w:rPr>
              <w:t xml:space="preserve"> </w:t>
            </w:r>
            <w:r w:rsidRPr="009E2378">
              <w:rPr>
                <w:sz w:val="20"/>
              </w:rPr>
              <w:t>before</w:t>
            </w:r>
            <w:r w:rsidRPr="009E2378">
              <w:rPr>
                <w:spacing w:val="7"/>
                <w:sz w:val="20"/>
              </w:rPr>
              <w:t xml:space="preserve"> </w:t>
            </w:r>
            <w:r w:rsidRPr="009E2378">
              <w:rPr>
                <w:sz w:val="20"/>
              </w:rPr>
              <w:t>he</w:t>
            </w:r>
            <w:r w:rsidRPr="009E2378">
              <w:rPr>
                <w:spacing w:val="25"/>
                <w:sz w:val="20"/>
              </w:rPr>
              <w:t xml:space="preserve"> </w:t>
            </w:r>
            <w:r w:rsidRPr="009E2378">
              <w:rPr>
                <w:sz w:val="20"/>
              </w:rPr>
              <w:t>can</w:t>
            </w:r>
            <w:r w:rsidRPr="009E2378">
              <w:rPr>
                <w:spacing w:val="23"/>
                <w:sz w:val="20"/>
              </w:rPr>
              <w:t xml:space="preserve"> </w:t>
            </w:r>
            <w:r w:rsidRPr="009E2378">
              <w:rPr>
                <w:sz w:val="20"/>
              </w:rPr>
              <w:t>seek</w:t>
            </w:r>
            <w:r w:rsidRPr="009E2378">
              <w:rPr>
                <w:spacing w:val="42"/>
                <w:sz w:val="20"/>
              </w:rPr>
              <w:t xml:space="preserve"> </w:t>
            </w:r>
            <w:r w:rsidRPr="009E2378">
              <w:rPr>
                <w:sz w:val="20"/>
              </w:rPr>
              <w:t xml:space="preserve">protection – </w:t>
            </w:r>
            <w:r w:rsidRPr="009E2378">
              <w:rPr>
                <w:i/>
                <w:sz w:val="20"/>
              </w:rPr>
              <w:t>Canadian Charter of Rights and Freedoms</w:t>
            </w:r>
            <w:r w:rsidRPr="009E2378">
              <w:rPr>
                <w:sz w:val="20"/>
              </w:rPr>
              <w:t>, ss. 6-7.</w:t>
            </w:r>
          </w:p>
        </w:tc>
      </w:tr>
      <w:tr w:rsidR="009E2378" w:rsidRPr="009E2378" w:rsidTr="00F13B48">
        <w:tc>
          <w:tcPr>
            <w:tcW w:w="5000" w:type="pct"/>
            <w:gridSpan w:val="4"/>
          </w:tcPr>
          <w:p w:rsidR="009E2378" w:rsidRPr="009E2378" w:rsidRDefault="009E2378" w:rsidP="009E2378">
            <w:pPr>
              <w:jc w:val="both"/>
              <w:rPr>
                <w:sz w:val="20"/>
              </w:rPr>
            </w:pPr>
          </w:p>
        </w:tc>
      </w:tr>
      <w:tr w:rsidR="009E2378" w:rsidRPr="009E2378" w:rsidTr="00F13B48">
        <w:tc>
          <w:tcPr>
            <w:tcW w:w="5000" w:type="pct"/>
            <w:gridSpan w:val="4"/>
          </w:tcPr>
          <w:p w:rsidR="009E2378" w:rsidRPr="009E2378" w:rsidRDefault="009E2378" w:rsidP="009E2378">
            <w:pPr>
              <w:jc w:val="both"/>
              <w:rPr>
                <w:sz w:val="20"/>
              </w:rPr>
            </w:pPr>
            <w:r w:rsidRPr="009E2378">
              <w:rPr>
                <w:sz w:val="20"/>
              </w:rPr>
              <w:t xml:space="preserve">The applicant, </w:t>
            </w:r>
            <w:proofErr w:type="spellStart"/>
            <w:r w:rsidRPr="009E2378">
              <w:rPr>
                <w:sz w:val="20"/>
              </w:rPr>
              <w:t>Deepan</w:t>
            </w:r>
            <w:proofErr w:type="spellEnd"/>
            <w:r w:rsidRPr="009E2378">
              <w:rPr>
                <w:sz w:val="20"/>
              </w:rPr>
              <w:t xml:space="preserve"> </w:t>
            </w:r>
            <w:proofErr w:type="spellStart"/>
            <w:r w:rsidRPr="009E2378">
              <w:rPr>
                <w:sz w:val="20"/>
              </w:rPr>
              <w:t>Budlakoti</w:t>
            </w:r>
            <w:proofErr w:type="spellEnd"/>
            <w:r w:rsidRPr="009E2378">
              <w:rPr>
                <w:sz w:val="20"/>
              </w:rPr>
              <w:t xml:space="preserve">, was born in Canada.  His parents were Indian nationals. They all became permanent residents and in 1995 the parents were granted Canadian citizenship. No application for citizenship was made on the applicant’s behalf. While a permanent resident, the applicant was convicted of breaking and entering, weapons trafficking, possession of a firearm while prohibited, and trafficking in narcotics. He was sentenced to three years in jail. The Minister of Citizenship and Immigration investigated the applicant’s status, finding him to be a permanent resident, not a Canadian citizen, and declared him to be inadmissible to Canada because of the offences. On that basis, the Immigration and Refugee Board granted the Minister’s application permitting the removal of the applicant from Canada. On the issue of citizenship, the Board found that the applicant was born during his parents’ employment with the Indian High Commission and therefore he was not a citizen under the </w:t>
            </w:r>
            <w:r w:rsidRPr="009E2378">
              <w:rPr>
                <w:i/>
                <w:sz w:val="20"/>
              </w:rPr>
              <w:t>Citizenship Act</w:t>
            </w:r>
            <w:r w:rsidRPr="009E2378">
              <w:rPr>
                <w:sz w:val="20"/>
              </w:rPr>
              <w:t xml:space="preserve">, R.S.C. 1985, c. C-29. As a result, the removal order became effective. The Federal Court dismissed the applicant’s application for leave to commence a judicial review of the Board’s decision. The applicant remains in Canada subject to certain bonds and conditions imposed when he was released from custody. He has never applied to the Minister for citizenship under the </w:t>
            </w:r>
            <w:r w:rsidRPr="009E2378">
              <w:rPr>
                <w:i/>
                <w:sz w:val="20"/>
              </w:rPr>
              <w:t>Citizenship Act</w:t>
            </w:r>
            <w:r w:rsidRPr="009E2378">
              <w:rPr>
                <w:sz w:val="20"/>
              </w:rPr>
              <w:t xml:space="preserve"> on any grounds. Neither has he ever applied for Indian citizenship. In 2013, the applicant applied anew to the Federal Court for a declaration that he is a Canadian citizen.</w:t>
            </w:r>
          </w:p>
          <w:p w:rsidR="009E2378" w:rsidRPr="009E2378" w:rsidRDefault="009E2378" w:rsidP="009E2378">
            <w:pPr>
              <w:jc w:val="both"/>
              <w:rPr>
                <w:sz w:val="20"/>
              </w:rPr>
            </w:pPr>
          </w:p>
          <w:p w:rsidR="009E2378" w:rsidRPr="009E2378" w:rsidRDefault="009E2378" w:rsidP="009E2378">
            <w:pPr>
              <w:jc w:val="both"/>
              <w:rPr>
                <w:sz w:val="20"/>
              </w:rPr>
            </w:pPr>
            <w:r w:rsidRPr="009E2378">
              <w:rPr>
                <w:sz w:val="20"/>
              </w:rPr>
              <w:t xml:space="preserve">The Federal Court denied the application for a declaration that the applicant is a Canadian citizen.  The Federal Court of Appeal unanimously dismissed the applicant’s appeal. </w:t>
            </w:r>
          </w:p>
          <w:p w:rsidR="009E2378" w:rsidRPr="009E2378" w:rsidRDefault="009E2378" w:rsidP="009E2378">
            <w:pPr>
              <w:jc w:val="both"/>
              <w:rPr>
                <w:sz w:val="20"/>
              </w:rPr>
            </w:pPr>
            <w:r w:rsidRPr="009E2378">
              <w:rPr>
                <w:sz w:val="20"/>
              </w:rPr>
              <w:t xml:space="preserve"> </w:t>
            </w:r>
          </w:p>
        </w:tc>
      </w:tr>
      <w:tr w:rsidR="009E2378" w:rsidRPr="009E2378" w:rsidTr="00F13B48">
        <w:tc>
          <w:tcPr>
            <w:tcW w:w="2426" w:type="pct"/>
            <w:gridSpan w:val="2"/>
          </w:tcPr>
          <w:p w:rsidR="009E2378" w:rsidRPr="009E2378" w:rsidRDefault="009E2378" w:rsidP="009E2378">
            <w:pPr>
              <w:jc w:val="both"/>
              <w:rPr>
                <w:sz w:val="20"/>
              </w:rPr>
            </w:pPr>
            <w:r w:rsidRPr="009E2378">
              <w:rPr>
                <w:sz w:val="20"/>
              </w:rPr>
              <w:t>September 9, 2014</w:t>
            </w:r>
          </w:p>
          <w:p w:rsidR="009E2378" w:rsidRPr="009E2378" w:rsidRDefault="009E2378" w:rsidP="009E2378">
            <w:pPr>
              <w:jc w:val="both"/>
              <w:rPr>
                <w:sz w:val="20"/>
              </w:rPr>
            </w:pPr>
            <w:r w:rsidRPr="009E2378">
              <w:rPr>
                <w:sz w:val="20"/>
              </w:rPr>
              <w:t>Federal Court</w:t>
            </w:r>
          </w:p>
          <w:p w:rsidR="009E2378" w:rsidRPr="009E2378" w:rsidRDefault="009E2378" w:rsidP="009E2378">
            <w:pPr>
              <w:jc w:val="both"/>
              <w:rPr>
                <w:sz w:val="20"/>
              </w:rPr>
            </w:pPr>
            <w:r w:rsidRPr="009E2378">
              <w:rPr>
                <w:sz w:val="20"/>
              </w:rPr>
              <w:t>(Phelan J.)</w:t>
            </w:r>
          </w:p>
          <w:p w:rsidR="009E2378" w:rsidRPr="009E2378" w:rsidRDefault="009E2378" w:rsidP="009E2378">
            <w:pPr>
              <w:jc w:val="both"/>
              <w:rPr>
                <w:sz w:val="20"/>
              </w:rPr>
            </w:pPr>
            <w:hyperlink r:id="rId39" w:history="1">
              <w:r w:rsidRPr="009E2378">
                <w:rPr>
                  <w:rStyle w:val="Hyperlink"/>
                  <w:sz w:val="20"/>
                </w:rPr>
                <w:t>2014 FC 855</w:t>
              </w:r>
            </w:hyperlink>
          </w:p>
          <w:p w:rsidR="009E2378" w:rsidRPr="009E2378" w:rsidRDefault="009E2378" w:rsidP="009E2378">
            <w:pPr>
              <w:jc w:val="both"/>
              <w:rPr>
                <w:sz w:val="20"/>
              </w:rPr>
            </w:pPr>
          </w:p>
        </w:tc>
        <w:tc>
          <w:tcPr>
            <w:tcW w:w="244"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Applicant’s application for declaration that he is a Canadian citizen, dismissed.</w:t>
            </w:r>
          </w:p>
          <w:p w:rsidR="009E2378" w:rsidRPr="009E2378" w:rsidRDefault="009E2378" w:rsidP="009E2378">
            <w:pPr>
              <w:jc w:val="both"/>
              <w:rPr>
                <w:sz w:val="20"/>
              </w:rPr>
            </w:pPr>
          </w:p>
        </w:tc>
      </w:tr>
      <w:tr w:rsidR="009E2378" w:rsidRPr="009E2378" w:rsidTr="00F13B48">
        <w:tc>
          <w:tcPr>
            <w:tcW w:w="2426" w:type="pct"/>
            <w:gridSpan w:val="2"/>
          </w:tcPr>
          <w:p w:rsidR="009E2378" w:rsidRPr="009E2378" w:rsidRDefault="009E2378" w:rsidP="009E2378">
            <w:pPr>
              <w:jc w:val="both"/>
              <w:rPr>
                <w:sz w:val="20"/>
              </w:rPr>
            </w:pPr>
            <w:r w:rsidRPr="009E2378">
              <w:rPr>
                <w:sz w:val="20"/>
              </w:rPr>
              <w:t>June 4, 2015</w:t>
            </w:r>
          </w:p>
          <w:p w:rsidR="009E2378" w:rsidRPr="009E2378" w:rsidRDefault="009E2378" w:rsidP="009E2378">
            <w:pPr>
              <w:jc w:val="both"/>
              <w:rPr>
                <w:sz w:val="20"/>
              </w:rPr>
            </w:pPr>
            <w:r w:rsidRPr="009E2378">
              <w:rPr>
                <w:sz w:val="20"/>
              </w:rPr>
              <w:t>Federal Court of Appeal</w:t>
            </w:r>
          </w:p>
          <w:p w:rsidR="009E2378" w:rsidRPr="009E2378" w:rsidRDefault="009E2378" w:rsidP="009E2378">
            <w:pPr>
              <w:jc w:val="both"/>
              <w:rPr>
                <w:sz w:val="20"/>
              </w:rPr>
            </w:pPr>
            <w:r w:rsidRPr="009E2378">
              <w:rPr>
                <w:sz w:val="20"/>
              </w:rPr>
              <w:t>(</w:t>
            </w:r>
            <w:proofErr w:type="spellStart"/>
            <w:r w:rsidRPr="009E2378">
              <w:rPr>
                <w:sz w:val="20"/>
              </w:rPr>
              <w:t>Stratas</w:t>
            </w:r>
            <w:proofErr w:type="spellEnd"/>
            <w:r w:rsidRPr="009E2378">
              <w:rPr>
                <w:sz w:val="20"/>
              </w:rPr>
              <w:t xml:space="preserve">, </w:t>
            </w:r>
            <w:proofErr w:type="spellStart"/>
            <w:r w:rsidRPr="009E2378">
              <w:rPr>
                <w:sz w:val="20"/>
              </w:rPr>
              <w:t>Ryer</w:t>
            </w:r>
            <w:proofErr w:type="spellEnd"/>
            <w:r w:rsidRPr="009E2378">
              <w:rPr>
                <w:sz w:val="20"/>
              </w:rPr>
              <w:t xml:space="preserve"> and Rennie JJ.A.)</w:t>
            </w:r>
          </w:p>
          <w:p w:rsidR="009E2378" w:rsidRPr="009E2378" w:rsidRDefault="009E2378" w:rsidP="009E2378">
            <w:pPr>
              <w:jc w:val="both"/>
              <w:rPr>
                <w:sz w:val="20"/>
              </w:rPr>
            </w:pPr>
            <w:hyperlink r:id="rId40" w:history="1">
              <w:r w:rsidRPr="009E2378">
                <w:rPr>
                  <w:rStyle w:val="Hyperlink"/>
                  <w:sz w:val="20"/>
                </w:rPr>
                <w:t>2015 FCA 139</w:t>
              </w:r>
            </w:hyperlink>
          </w:p>
          <w:p w:rsidR="009E2378" w:rsidRPr="009E2378" w:rsidRDefault="009E2378" w:rsidP="009E2378">
            <w:pPr>
              <w:jc w:val="both"/>
              <w:rPr>
                <w:sz w:val="20"/>
              </w:rPr>
            </w:pPr>
          </w:p>
        </w:tc>
        <w:tc>
          <w:tcPr>
            <w:tcW w:w="244"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Applicant’s appeal, dismissed.</w:t>
            </w:r>
          </w:p>
          <w:p w:rsidR="009E2378" w:rsidRPr="009E2378" w:rsidRDefault="009E2378" w:rsidP="009E2378">
            <w:pPr>
              <w:jc w:val="both"/>
              <w:rPr>
                <w:sz w:val="20"/>
              </w:rPr>
            </w:pPr>
          </w:p>
        </w:tc>
      </w:tr>
      <w:tr w:rsidR="009E2378" w:rsidRPr="009E2378" w:rsidTr="00F13B48">
        <w:tc>
          <w:tcPr>
            <w:tcW w:w="2426" w:type="pct"/>
            <w:gridSpan w:val="2"/>
          </w:tcPr>
          <w:p w:rsidR="009E2378" w:rsidRPr="009E2378" w:rsidRDefault="009E2378" w:rsidP="009E2378">
            <w:pPr>
              <w:jc w:val="both"/>
              <w:rPr>
                <w:sz w:val="20"/>
              </w:rPr>
            </w:pPr>
            <w:r w:rsidRPr="009E2378">
              <w:rPr>
                <w:sz w:val="20"/>
              </w:rPr>
              <w:t>September 3, 2015</w:t>
            </w:r>
          </w:p>
          <w:p w:rsidR="009E2378" w:rsidRPr="009E2378" w:rsidRDefault="009E2378" w:rsidP="009E2378">
            <w:pPr>
              <w:jc w:val="both"/>
              <w:rPr>
                <w:sz w:val="20"/>
              </w:rPr>
            </w:pPr>
            <w:r w:rsidRPr="009E2378">
              <w:rPr>
                <w:sz w:val="20"/>
              </w:rPr>
              <w:t>Supreme Court of Canada</w:t>
            </w:r>
          </w:p>
        </w:tc>
        <w:tc>
          <w:tcPr>
            <w:tcW w:w="244" w:type="pct"/>
          </w:tcPr>
          <w:p w:rsidR="009E2378" w:rsidRPr="009E2378" w:rsidRDefault="009E2378" w:rsidP="009E2378">
            <w:pPr>
              <w:jc w:val="both"/>
              <w:rPr>
                <w:sz w:val="20"/>
              </w:rPr>
            </w:pPr>
          </w:p>
        </w:tc>
        <w:tc>
          <w:tcPr>
            <w:tcW w:w="2330" w:type="pct"/>
          </w:tcPr>
          <w:p w:rsidR="009E2378" w:rsidRPr="009E2378" w:rsidRDefault="009E2378" w:rsidP="009E2378">
            <w:pPr>
              <w:jc w:val="both"/>
              <w:rPr>
                <w:sz w:val="20"/>
              </w:rPr>
            </w:pPr>
            <w:r w:rsidRPr="009E2378">
              <w:rPr>
                <w:sz w:val="20"/>
              </w:rPr>
              <w:t>Application for leave to appeal, filed.</w:t>
            </w:r>
          </w:p>
        </w:tc>
      </w:tr>
    </w:tbl>
    <w:p w:rsidR="009E2378" w:rsidRDefault="009E2378" w:rsidP="009E2378">
      <w:pPr>
        <w:jc w:val="both"/>
        <w:rPr>
          <w:sz w:val="20"/>
        </w:rPr>
      </w:pPr>
    </w:p>
    <w:p w:rsidR="00F13B48" w:rsidRPr="009E2378" w:rsidRDefault="00F13B48" w:rsidP="009E237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93"/>
        <w:gridCol w:w="452"/>
        <w:gridCol w:w="4320"/>
      </w:tblGrid>
      <w:tr w:rsidR="009E2378" w:rsidRPr="009E2378" w:rsidTr="00F13B48">
        <w:tc>
          <w:tcPr>
            <w:tcW w:w="542" w:type="pct"/>
          </w:tcPr>
          <w:p w:rsidR="009E2378" w:rsidRPr="009E2378" w:rsidRDefault="009E2378" w:rsidP="009E2378">
            <w:pPr>
              <w:jc w:val="both"/>
              <w:rPr>
                <w:sz w:val="20"/>
                <w:lang w:val="fr-CA"/>
              </w:rPr>
            </w:pPr>
            <w:r w:rsidRPr="009E2378">
              <w:rPr>
                <w:rStyle w:val="SCCFileNumberChar"/>
                <w:sz w:val="20"/>
                <w:szCs w:val="20"/>
                <w:lang w:val="fr-CA"/>
              </w:rPr>
              <w:t>36591</w:t>
            </w:r>
          </w:p>
        </w:tc>
        <w:tc>
          <w:tcPr>
            <w:tcW w:w="4458" w:type="pct"/>
            <w:gridSpan w:val="3"/>
          </w:tcPr>
          <w:p w:rsidR="009E2378" w:rsidRPr="00F13B48" w:rsidRDefault="009E2378" w:rsidP="009E2378">
            <w:pPr>
              <w:pStyle w:val="SCCLsocParty"/>
              <w:jc w:val="both"/>
              <w:rPr>
                <w:b/>
                <w:sz w:val="20"/>
                <w:szCs w:val="20"/>
              </w:rPr>
            </w:pPr>
            <w:proofErr w:type="spellStart"/>
            <w:r w:rsidRPr="00F13B48">
              <w:rPr>
                <w:b/>
                <w:sz w:val="20"/>
                <w:szCs w:val="20"/>
              </w:rPr>
              <w:t>Deepan</w:t>
            </w:r>
            <w:proofErr w:type="spellEnd"/>
            <w:r w:rsidRPr="00F13B48">
              <w:rPr>
                <w:b/>
                <w:sz w:val="20"/>
                <w:szCs w:val="20"/>
              </w:rPr>
              <w:t xml:space="preserve"> </w:t>
            </w:r>
            <w:proofErr w:type="spellStart"/>
            <w:r w:rsidRPr="00F13B48">
              <w:rPr>
                <w:b/>
                <w:sz w:val="20"/>
                <w:szCs w:val="20"/>
              </w:rPr>
              <w:t>Budlakoti</w:t>
            </w:r>
            <w:proofErr w:type="spellEnd"/>
            <w:r w:rsidRPr="00F13B48">
              <w:rPr>
                <w:b/>
                <w:sz w:val="20"/>
                <w:szCs w:val="20"/>
              </w:rPr>
              <w:t xml:space="preserve"> c. Ministre de la Citoyenneté et de l’Immigration</w:t>
            </w:r>
          </w:p>
          <w:p w:rsidR="009E2378" w:rsidRPr="009E2378" w:rsidRDefault="009E2378" w:rsidP="00F13B48">
            <w:pPr>
              <w:jc w:val="both"/>
              <w:rPr>
                <w:sz w:val="20"/>
                <w:lang w:val="fr-CA"/>
              </w:rPr>
            </w:pPr>
            <w:r w:rsidRPr="009E2378">
              <w:rPr>
                <w:sz w:val="20"/>
                <w:lang w:val="fr-CA"/>
              </w:rPr>
              <w:t>(CF) (Civile) (Sur autorisation)</w:t>
            </w:r>
          </w:p>
        </w:tc>
      </w:tr>
      <w:tr w:rsidR="009E2378" w:rsidRPr="009E2378" w:rsidTr="00F13B48">
        <w:tc>
          <w:tcPr>
            <w:tcW w:w="5000" w:type="pct"/>
            <w:gridSpan w:val="4"/>
          </w:tcPr>
          <w:p w:rsidR="009E2378" w:rsidRPr="009E2378" w:rsidRDefault="009E2378" w:rsidP="009E2378">
            <w:pPr>
              <w:jc w:val="both"/>
              <w:rPr>
                <w:sz w:val="20"/>
                <w:lang w:val="fr-CA"/>
              </w:rPr>
            </w:pPr>
            <w:r w:rsidRPr="009E2378">
              <w:rPr>
                <w:i/>
                <w:sz w:val="20"/>
                <w:lang w:val="fr-CA"/>
              </w:rPr>
              <w:t>Charte des droits</w:t>
            </w:r>
            <w:r w:rsidRPr="009E2378">
              <w:rPr>
                <w:sz w:val="20"/>
                <w:lang w:val="fr-CA"/>
              </w:rPr>
              <w:t xml:space="preserve"> – Droit constitutionnel – Citoyenneté – Contrôle judiciaire – </w:t>
            </w:r>
            <w:proofErr w:type="spellStart"/>
            <w:r w:rsidRPr="009E2378">
              <w:rPr>
                <w:sz w:val="20"/>
                <w:lang w:val="fr-CA"/>
              </w:rPr>
              <w:t>Préclusion</w:t>
            </w:r>
            <w:proofErr w:type="spellEnd"/>
            <w:r w:rsidRPr="009E2378">
              <w:rPr>
                <w:sz w:val="20"/>
                <w:lang w:val="fr-CA"/>
              </w:rPr>
              <w:t xml:space="preserve"> découlant d’une question déjà tranchée – Autre recours adéquat – La Cour d’appel a-t-elle commis une erreur : 1) en appliquant la </w:t>
            </w:r>
            <w:proofErr w:type="spellStart"/>
            <w:r w:rsidRPr="009E2378">
              <w:rPr>
                <w:sz w:val="20"/>
                <w:lang w:val="fr-CA"/>
              </w:rPr>
              <w:t>préclusion</w:t>
            </w:r>
            <w:proofErr w:type="spellEnd"/>
            <w:r w:rsidRPr="009E2378">
              <w:rPr>
                <w:sz w:val="20"/>
                <w:lang w:val="fr-CA"/>
              </w:rPr>
              <w:t xml:space="preserve"> découlant d’une question déjà tranchée; 2) en se considérant incompétente, suivant la doctrine relative à l’existence d’un autre recours adéquat, pour prononcer un jugement déclaratoire concernant la citoyenneté; 3) en n’examinant pas la demande subsidiaire de réparation constitutionnelle; et 4) en décidant qu’il incombe au demandeur de présenter une demande de citoyenneté dans un autre pays avant de pouvoir réclamer protection? – </w:t>
            </w:r>
            <w:r w:rsidRPr="009E2378">
              <w:rPr>
                <w:i/>
                <w:sz w:val="20"/>
                <w:lang w:val="fr-CA"/>
              </w:rPr>
              <w:t>Charte canadienne des droits et libertés</w:t>
            </w:r>
            <w:r w:rsidRPr="009E2378">
              <w:rPr>
                <w:sz w:val="20"/>
                <w:lang w:val="fr-CA"/>
              </w:rPr>
              <w:t>, art. 6-7.</w:t>
            </w:r>
          </w:p>
        </w:tc>
      </w:tr>
      <w:tr w:rsidR="009E2378" w:rsidRPr="009E2378" w:rsidTr="00F13B48">
        <w:tc>
          <w:tcPr>
            <w:tcW w:w="5000" w:type="pct"/>
            <w:gridSpan w:val="4"/>
          </w:tcPr>
          <w:p w:rsidR="009E2378" w:rsidRPr="009E2378" w:rsidRDefault="009E2378" w:rsidP="009E2378">
            <w:pPr>
              <w:jc w:val="both"/>
              <w:rPr>
                <w:sz w:val="20"/>
                <w:lang w:val="fr-CA"/>
              </w:rPr>
            </w:pPr>
          </w:p>
        </w:tc>
      </w:tr>
      <w:tr w:rsidR="009E2378" w:rsidRPr="009E2378" w:rsidTr="00F13B48">
        <w:tc>
          <w:tcPr>
            <w:tcW w:w="5000" w:type="pct"/>
            <w:gridSpan w:val="4"/>
          </w:tcPr>
          <w:p w:rsidR="009E2378" w:rsidRPr="009E2378" w:rsidRDefault="009E2378" w:rsidP="009E2378">
            <w:pPr>
              <w:jc w:val="both"/>
              <w:rPr>
                <w:sz w:val="20"/>
                <w:lang w:val="fr-CA"/>
              </w:rPr>
            </w:pPr>
            <w:r w:rsidRPr="009E2378">
              <w:rPr>
                <w:sz w:val="20"/>
                <w:lang w:val="fr-CA"/>
              </w:rPr>
              <w:t xml:space="preserve">Le demandeur, </w:t>
            </w:r>
            <w:proofErr w:type="spellStart"/>
            <w:r w:rsidRPr="009E2378">
              <w:rPr>
                <w:sz w:val="20"/>
                <w:lang w:val="fr-CA"/>
              </w:rPr>
              <w:t>Deepan</w:t>
            </w:r>
            <w:proofErr w:type="spellEnd"/>
            <w:r w:rsidRPr="009E2378">
              <w:rPr>
                <w:sz w:val="20"/>
                <w:lang w:val="fr-CA"/>
              </w:rPr>
              <w:t xml:space="preserve"> </w:t>
            </w:r>
            <w:proofErr w:type="spellStart"/>
            <w:r w:rsidRPr="009E2378">
              <w:rPr>
                <w:sz w:val="20"/>
                <w:lang w:val="fr-CA"/>
              </w:rPr>
              <w:t>Budlakoti</w:t>
            </w:r>
            <w:proofErr w:type="spellEnd"/>
            <w:r w:rsidRPr="009E2378">
              <w:rPr>
                <w:sz w:val="20"/>
                <w:lang w:val="fr-CA"/>
              </w:rPr>
              <w:t>, est né au Canada de parents originaires de l’Inde. Ses parents et lui ont obtenu le statut de résidents permanents et les premiers ont obtenu la citoyenneté canadienne en 1995. Aucune demande de citoyenneté canadienne n’a été présentée au nom du demandeur. Alors qu’il était résident permanent, le demandeur a été déclaré coupable d’entrée par effraction, de trafic d’armes, de possession d’arme à feu prohibée et de trafic de stupéfiants. Il a été condamné à trois ans de prison. Après avoir fait enquête sur le statut du demandeur, le ministre de la Citoyenneté et de l’Immigration a conclu que ce dernier avait qualité de résident permanent et non de citoyen canadien, et il l’a déclaré interdit de territoire au Canada pour les infractions commises. Sur cette base, la Commission de l’immigration et du statut de réfugié a accueilli la demande du ministre sollicitant le renvoi du demandeur hors du Canada. Relativement à la question de la citoyenneté, la Commission a statué que le demandeur est né pendant que ses parents étaient au service du haut</w:t>
            </w:r>
            <w:r w:rsidRPr="009E2378">
              <w:rPr>
                <w:sz w:val="20"/>
                <w:lang w:val="fr-CA"/>
              </w:rPr>
              <w:noBreakHyphen/>
              <w:t xml:space="preserve">commissariat de l’Inde et qu’il n’est en conséquence pas citoyen canadien suivant la </w:t>
            </w:r>
            <w:r w:rsidRPr="009E2378">
              <w:rPr>
                <w:i/>
                <w:sz w:val="20"/>
                <w:lang w:val="fr-CA"/>
              </w:rPr>
              <w:t>Loi sur la citoyenneté</w:t>
            </w:r>
            <w:r w:rsidRPr="009E2378">
              <w:rPr>
                <w:sz w:val="20"/>
                <w:lang w:val="fr-CA"/>
              </w:rPr>
              <w:t xml:space="preserve">, L.R.C. 1985, c. C-29. La mesure de renvoi est donc devenue exécutoire. La Cour fédérale a refusé d’autoriser le demandeur à introduire une demande de contrôle judiciaire de la décision de la Commission. Ce dernier demeure toujours au Canada sous caution, en plus d’être assujetti aux conditions imposées lors de sa remise en liberté. Il n’a jamais présenté de demande de citoyenneté au ministre pour d’autres motifs au titre de la </w:t>
            </w:r>
            <w:r w:rsidRPr="009E2378">
              <w:rPr>
                <w:i/>
                <w:sz w:val="20"/>
                <w:lang w:val="fr-CA"/>
              </w:rPr>
              <w:t>Loi sur la citoyenneté</w:t>
            </w:r>
            <w:r w:rsidRPr="009E2378">
              <w:rPr>
                <w:sz w:val="20"/>
                <w:lang w:val="fr-CA"/>
              </w:rPr>
              <w:t>, ni demandé la citoyenneté indienne. En 2013, il a de nouveau demandé à la Cour fédérale un jugement le déclarant citoyen canadien.</w:t>
            </w:r>
          </w:p>
          <w:p w:rsidR="009E2378" w:rsidRPr="009E2378" w:rsidRDefault="009E2378" w:rsidP="009E2378">
            <w:pPr>
              <w:jc w:val="both"/>
              <w:rPr>
                <w:sz w:val="20"/>
                <w:lang w:val="fr-CA"/>
              </w:rPr>
            </w:pPr>
          </w:p>
          <w:p w:rsidR="009E2378" w:rsidRPr="009E2378" w:rsidRDefault="009E2378" w:rsidP="009E2378">
            <w:pPr>
              <w:jc w:val="both"/>
              <w:rPr>
                <w:sz w:val="20"/>
                <w:lang w:val="fr-CA"/>
              </w:rPr>
            </w:pPr>
            <w:r w:rsidRPr="009E2378">
              <w:rPr>
                <w:sz w:val="20"/>
                <w:lang w:val="fr-CA"/>
              </w:rPr>
              <w:t xml:space="preserve">La Cour fédérale a refusé de prononcer un jugement déclarant le demandeur citoyen canadien. La Cour d’appel fédérale a rejeté à l’unanimité l’appel du demandeur. </w:t>
            </w:r>
          </w:p>
          <w:p w:rsidR="009E2378" w:rsidRPr="009E2378" w:rsidRDefault="009E2378" w:rsidP="009E2378">
            <w:pPr>
              <w:jc w:val="both"/>
              <w:rPr>
                <w:sz w:val="20"/>
                <w:lang w:val="fr-CA"/>
              </w:rPr>
            </w:pPr>
          </w:p>
        </w:tc>
      </w:tr>
      <w:tr w:rsidR="009E2378" w:rsidRPr="009E2378" w:rsidTr="00F13B48">
        <w:tc>
          <w:tcPr>
            <w:tcW w:w="2426" w:type="pct"/>
            <w:gridSpan w:val="2"/>
          </w:tcPr>
          <w:p w:rsidR="009E2378" w:rsidRPr="009E2378" w:rsidRDefault="009E2378" w:rsidP="009E2378">
            <w:pPr>
              <w:jc w:val="both"/>
              <w:rPr>
                <w:sz w:val="20"/>
                <w:lang w:val="fr-CA"/>
              </w:rPr>
            </w:pPr>
            <w:r w:rsidRPr="009E2378">
              <w:rPr>
                <w:sz w:val="20"/>
                <w:lang w:val="fr-CA"/>
              </w:rPr>
              <w:t>9 septembre 2014</w:t>
            </w:r>
          </w:p>
          <w:p w:rsidR="009E2378" w:rsidRPr="009E2378" w:rsidRDefault="009E2378" w:rsidP="009E2378">
            <w:pPr>
              <w:jc w:val="both"/>
              <w:rPr>
                <w:sz w:val="20"/>
                <w:lang w:val="fr-CA"/>
              </w:rPr>
            </w:pPr>
            <w:r w:rsidRPr="009E2378">
              <w:rPr>
                <w:sz w:val="20"/>
                <w:lang w:val="fr-CA"/>
              </w:rPr>
              <w:t>Cour fédérale</w:t>
            </w:r>
          </w:p>
          <w:p w:rsidR="009E2378" w:rsidRPr="009E2378" w:rsidRDefault="009E2378" w:rsidP="009E2378">
            <w:pPr>
              <w:jc w:val="both"/>
              <w:rPr>
                <w:sz w:val="20"/>
                <w:lang w:val="fr-CA"/>
              </w:rPr>
            </w:pPr>
            <w:r w:rsidRPr="009E2378">
              <w:rPr>
                <w:sz w:val="20"/>
                <w:lang w:val="fr-CA"/>
              </w:rPr>
              <w:t>(Juge Phelan)</w:t>
            </w:r>
          </w:p>
          <w:p w:rsidR="009E2378" w:rsidRPr="009E2378" w:rsidRDefault="009E2378" w:rsidP="009E2378">
            <w:pPr>
              <w:jc w:val="both"/>
              <w:rPr>
                <w:sz w:val="20"/>
                <w:lang w:val="fr-CA"/>
              </w:rPr>
            </w:pPr>
            <w:hyperlink r:id="rId41" w:history="1">
              <w:r w:rsidRPr="009E2378">
                <w:rPr>
                  <w:rStyle w:val="Hyperlink"/>
                  <w:sz w:val="20"/>
                  <w:lang w:val="fr-CA"/>
                </w:rPr>
                <w:t>2014 FC 855</w:t>
              </w:r>
            </w:hyperlink>
          </w:p>
          <w:p w:rsidR="009E2378" w:rsidRPr="009E2378" w:rsidRDefault="009E2378" w:rsidP="009E2378">
            <w:pPr>
              <w:jc w:val="both"/>
              <w:rPr>
                <w:sz w:val="20"/>
                <w:lang w:val="fr-CA"/>
              </w:rPr>
            </w:pPr>
          </w:p>
        </w:tc>
        <w:tc>
          <w:tcPr>
            <w:tcW w:w="244"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Rejet de la demande présentée par le  demandeur en vue d’être déclaré citoyen canadien.</w:t>
            </w:r>
          </w:p>
          <w:p w:rsidR="009E2378" w:rsidRPr="009E2378" w:rsidRDefault="009E2378" w:rsidP="009E2378">
            <w:pPr>
              <w:jc w:val="both"/>
              <w:rPr>
                <w:sz w:val="20"/>
                <w:lang w:val="fr-CA"/>
              </w:rPr>
            </w:pPr>
          </w:p>
        </w:tc>
      </w:tr>
      <w:tr w:rsidR="009E2378" w:rsidRPr="009E2378" w:rsidTr="00F13B48">
        <w:tc>
          <w:tcPr>
            <w:tcW w:w="2426" w:type="pct"/>
            <w:gridSpan w:val="2"/>
          </w:tcPr>
          <w:p w:rsidR="009E2378" w:rsidRPr="009E2378" w:rsidRDefault="009E2378" w:rsidP="009E2378">
            <w:pPr>
              <w:jc w:val="both"/>
              <w:rPr>
                <w:sz w:val="20"/>
                <w:lang w:val="fr-CA"/>
              </w:rPr>
            </w:pPr>
            <w:r w:rsidRPr="009E2378">
              <w:rPr>
                <w:sz w:val="20"/>
                <w:lang w:val="fr-CA"/>
              </w:rPr>
              <w:t>4 juin 2015</w:t>
            </w:r>
          </w:p>
          <w:p w:rsidR="009E2378" w:rsidRPr="009E2378" w:rsidRDefault="009E2378" w:rsidP="009E2378">
            <w:pPr>
              <w:jc w:val="both"/>
              <w:rPr>
                <w:sz w:val="20"/>
                <w:lang w:val="fr-CA"/>
              </w:rPr>
            </w:pPr>
            <w:r w:rsidRPr="009E2378">
              <w:rPr>
                <w:sz w:val="20"/>
                <w:lang w:val="fr-CA"/>
              </w:rPr>
              <w:t>Cour d’appel fédérale</w:t>
            </w:r>
          </w:p>
          <w:p w:rsidR="009E2378" w:rsidRPr="009E2378" w:rsidRDefault="009E2378" w:rsidP="009E2378">
            <w:pPr>
              <w:jc w:val="both"/>
              <w:rPr>
                <w:sz w:val="20"/>
                <w:lang w:val="fr-CA"/>
              </w:rPr>
            </w:pPr>
            <w:r w:rsidRPr="009E2378">
              <w:rPr>
                <w:sz w:val="20"/>
                <w:lang w:val="fr-CA"/>
              </w:rPr>
              <w:t xml:space="preserve">(Juges </w:t>
            </w:r>
            <w:proofErr w:type="spellStart"/>
            <w:r w:rsidRPr="009E2378">
              <w:rPr>
                <w:sz w:val="20"/>
                <w:lang w:val="fr-CA"/>
              </w:rPr>
              <w:t>Stratas</w:t>
            </w:r>
            <w:proofErr w:type="spellEnd"/>
            <w:r w:rsidRPr="009E2378">
              <w:rPr>
                <w:sz w:val="20"/>
                <w:lang w:val="fr-CA"/>
              </w:rPr>
              <w:t xml:space="preserve">, </w:t>
            </w:r>
            <w:proofErr w:type="spellStart"/>
            <w:r w:rsidRPr="009E2378">
              <w:rPr>
                <w:sz w:val="20"/>
                <w:lang w:val="fr-CA"/>
              </w:rPr>
              <w:t>Ryer</w:t>
            </w:r>
            <w:proofErr w:type="spellEnd"/>
            <w:r w:rsidRPr="009E2378">
              <w:rPr>
                <w:sz w:val="20"/>
                <w:lang w:val="fr-CA"/>
              </w:rPr>
              <w:t xml:space="preserve"> et Rennie)</w:t>
            </w:r>
          </w:p>
          <w:p w:rsidR="009E2378" w:rsidRPr="009E2378" w:rsidRDefault="009E2378" w:rsidP="009E2378">
            <w:pPr>
              <w:jc w:val="both"/>
              <w:rPr>
                <w:sz w:val="20"/>
                <w:lang w:val="fr-CA"/>
              </w:rPr>
            </w:pPr>
            <w:hyperlink r:id="rId42" w:history="1">
              <w:r w:rsidRPr="009E2378">
                <w:rPr>
                  <w:rStyle w:val="Hyperlink"/>
                  <w:sz w:val="20"/>
                  <w:lang w:val="fr-CA"/>
                </w:rPr>
                <w:t>2015 FCA 139</w:t>
              </w:r>
            </w:hyperlink>
          </w:p>
          <w:p w:rsidR="009E2378" w:rsidRPr="009E2378" w:rsidRDefault="009E2378" w:rsidP="009E2378">
            <w:pPr>
              <w:jc w:val="both"/>
              <w:rPr>
                <w:sz w:val="20"/>
                <w:lang w:val="fr-CA"/>
              </w:rPr>
            </w:pPr>
          </w:p>
        </w:tc>
        <w:tc>
          <w:tcPr>
            <w:tcW w:w="244"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Rejet de l’appel du demandeur.</w:t>
            </w:r>
          </w:p>
          <w:p w:rsidR="009E2378" w:rsidRPr="009E2378" w:rsidRDefault="009E2378" w:rsidP="009E2378">
            <w:pPr>
              <w:jc w:val="both"/>
              <w:rPr>
                <w:sz w:val="20"/>
                <w:lang w:val="fr-CA"/>
              </w:rPr>
            </w:pPr>
          </w:p>
        </w:tc>
      </w:tr>
      <w:tr w:rsidR="009E2378" w:rsidRPr="009E2378" w:rsidTr="00F13B48">
        <w:tc>
          <w:tcPr>
            <w:tcW w:w="2426" w:type="pct"/>
            <w:gridSpan w:val="2"/>
          </w:tcPr>
          <w:p w:rsidR="009E2378" w:rsidRPr="009E2378" w:rsidRDefault="009E2378" w:rsidP="009E2378">
            <w:pPr>
              <w:jc w:val="both"/>
              <w:rPr>
                <w:sz w:val="20"/>
                <w:lang w:val="fr-CA"/>
              </w:rPr>
            </w:pPr>
            <w:r w:rsidRPr="009E2378">
              <w:rPr>
                <w:sz w:val="20"/>
                <w:lang w:val="fr-CA"/>
              </w:rPr>
              <w:t>3 septembre 2015</w:t>
            </w:r>
          </w:p>
          <w:p w:rsidR="009E2378" w:rsidRPr="009E2378" w:rsidRDefault="009E2378" w:rsidP="009E2378">
            <w:pPr>
              <w:jc w:val="both"/>
              <w:rPr>
                <w:sz w:val="20"/>
                <w:lang w:val="fr-CA"/>
              </w:rPr>
            </w:pPr>
            <w:r w:rsidRPr="009E2378">
              <w:rPr>
                <w:sz w:val="20"/>
                <w:lang w:val="fr-CA"/>
              </w:rPr>
              <w:t>Cour suprême du Canada</w:t>
            </w:r>
          </w:p>
        </w:tc>
        <w:tc>
          <w:tcPr>
            <w:tcW w:w="244" w:type="pct"/>
          </w:tcPr>
          <w:p w:rsidR="009E2378" w:rsidRPr="009E2378" w:rsidRDefault="009E2378" w:rsidP="009E2378">
            <w:pPr>
              <w:jc w:val="both"/>
              <w:rPr>
                <w:sz w:val="20"/>
                <w:lang w:val="fr-CA"/>
              </w:rPr>
            </w:pPr>
          </w:p>
        </w:tc>
        <w:tc>
          <w:tcPr>
            <w:tcW w:w="2330" w:type="pct"/>
          </w:tcPr>
          <w:p w:rsidR="009E2378" w:rsidRPr="009E2378" w:rsidRDefault="009E2378" w:rsidP="009E2378">
            <w:pPr>
              <w:jc w:val="both"/>
              <w:rPr>
                <w:sz w:val="20"/>
                <w:lang w:val="fr-CA"/>
              </w:rPr>
            </w:pPr>
            <w:r w:rsidRPr="009E2378">
              <w:rPr>
                <w:sz w:val="20"/>
                <w:lang w:val="fr-CA"/>
              </w:rPr>
              <w:t>Dépôt de la demande d’autorisation d’appel.</w:t>
            </w:r>
          </w:p>
        </w:tc>
      </w:tr>
    </w:tbl>
    <w:p w:rsidR="009E2378" w:rsidRPr="009E2378" w:rsidRDefault="009E2378" w:rsidP="009E2378">
      <w:pPr>
        <w:jc w:val="both"/>
        <w:rPr>
          <w:sz w:val="20"/>
          <w:lang w:val="fr-CA"/>
        </w:rPr>
      </w:pPr>
    </w:p>
    <w:p w:rsidR="009E2378" w:rsidRPr="009E2378" w:rsidRDefault="009E2378" w:rsidP="009550BB">
      <w:pPr>
        <w:ind w:left="360" w:hanging="360"/>
        <w:jc w:val="both"/>
        <w:rPr>
          <w:sz w:val="20"/>
          <w:lang w:val="fr-CA"/>
        </w:rPr>
      </w:pPr>
    </w:p>
    <w:p w:rsidR="009E2378" w:rsidRPr="009E2378" w:rsidRDefault="009E2378" w:rsidP="009550BB">
      <w:pPr>
        <w:ind w:left="360" w:hanging="360"/>
        <w:jc w:val="both"/>
        <w:rPr>
          <w:sz w:val="20"/>
          <w:lang w:val="fr-CA"/>
        </w:rPr>
      </w:pPr>
    </w:p>
    <w:p w:rsidR="009E2378" w:rsidRPr="009E2378" w:rsidRDefault="009E2378" w:rsidP="009550BB">
      <w:pPr>
        <w:ind w:left="360" w:hanging="360"/>
        <w:jc w:val="both"/>
        <w:rPr>
          <w:sz w:val="20"/>
          <w:lang w:val="fr-CA"/>
        </w:rPr>
      </w:pPr>
    </w:p>
    <w:p w:rsidR="009E2378" w:rsidRPr="009E2378" w:rsidRDefault="009E2378" w:rsidP="009550BB">
      <w:pPr>
        <w:ind w:left="360" w:hanging="360"/>
        <w:jc w:val="both"/>
        <w:rPr>
          <w:sz w:val="20"/>
          <w:lang w:val="fr-CA"/>
        </w:rPr>
      </w:pPr>
    </w:p>
    <w:p w:rsidR="00332E97" w:rsidRPr="009E2378" w:rsidRDefault="00332E97" w:rsidP="009550BB">
      <w:pPr>
        <w:ind w:left="360" w:hanging="360"/>
        <w:jc w:val="both"/>
        <w:rPr>
          <w:sz w:val="20"/>
          <w:lang w:val="fr-CA"/>
        </w:rPr>
      </w:pPr>
    </w:p>
    <w:p w:rsidR="00CB3A38" w:rsidRPr="009E2378" w:rsidRDefault="00CB3A38" w:rsidP="009550BB">
      <w:pPr>
        <w:ind w:left="360" w:hanging="360"/>
        <w:jc w:val="both"/>
        <w:rPr>
          <w:sz w:val="20"/>
          <w:lang w:val="fr-CA"/>
        </w:rPr>
      </w:pPr>
    </w:p>
    <w:p w:rsidR="00D3344A" w:rsidRPr="004B4D42" w:rsidRDefault="00D3344A" w:rsidP="00D3344A">
      <w:pPr>
        <w:widowControl w:val="0"/>
        <w:outlineLvl w:val="0"/>
      </w:pPr>
      <w:r w:rsidRPr="00E7483A">
        <w:t>Supreme</w:t>
      </w:r>
      <w:r w:rsidRPr="004B4D42">
        <w:t xml:space="preserve"> Court of Canada / Cour </w:t>
      </w:r>
      <w:proofErr w:type="spellStart"/>
      <w:r w:rsidRPr="004B4D42">
        <w:t>suprême</w:t>
      </w:r>
      <w:proofErr w:type="spellEnd"/>
      <w:r w:rsidRPr="004B4D42">
        <w:t xml:space="preserve"> du Canada : </w:t>
      </w:r>
    </w:p>
    <w:p w:rsidR="00D3344A" w:rsidRPr="004B4D42" w:rsidRDefault="009E2378" w:rsidP="00D3344A">
      <w:pPr>
        <w:widowControl w:val="0"/>
        <w:outlineLvl w:val="0"/>
        <w:rPr>
          <w:u w:val="single"/>
        </w:rPr>
      </w:pPr>
      <w:hyperlink r:id="rId43"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p w:rsidR="00F6251B" w:rsidRPr="004B4D42" w:rsidRDefault="00F6251B" w:rsidP="005C1453">
      <w:pPr>
        <w:pStyle w:val="Footer"/>
        <w:ind w:left="2160"/>
        <w:rPr>
          <w:sz w:val="20"/>
          <w:lang w:val="fr-CA"/>
        </w:rPr>
      </w:pPr>
      <w:r w:rsidRPr="004B4D42">
        <w:rPr>
          <w:color w:val="A6A6A6"/>
          <w:sz w:val="16"/>
          <w:szCs w:val="16"/>
          <w:lang w:val="fr-CA"/>
        </w:rPr>
        <w:t xml:space="preserve"> </w:t>
      </w:r>
    </w:p>
    <w:sectPr w:rsidR="00F6251B" w:rsidRPr="004B4D42" w:rsidSect="00524822">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378" w:rsidRDefault="009E2378" w:rsidP="0034178A">
      <w:r>
        <w:separator/>
      </w:r>
    </w:p>
  </w:endnote>
  <w:endnote w:type="continuationSeparator" w:id="0">
    <w:p w:rsidR="009E2378" w:rsidRDefault="009E2378"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1A" w:rsidRDefault="00087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378" w:rsidRPr="00EF33BF" w:rsidRDefault="009E2378"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1A" w:rsidRDefault="00087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378" w:rsidRDefault="009E2378" w:rsidP="0034178A">
      <w:r>
        <w:separator/>
      </w:r>
    </w:p>
  </w:footnote>
  <w:footnote w:type="continuationSeparator" w:id="0">
    <w:p w:rsidR="009E2378" w:rsidRDefault="009E2378"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1A" w:rsidRDefault="00087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1A" w:rsidRDefault="00087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1A" w:rsidRDefault="00087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53"/>
    <w:multiLevelType w:val="hybridMultilevel"/>
    <w:tmpl w:val="49EA0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D1251"/>
    <w:multiLevelType w:val="hybridMultilevel"/>
    <w:tmpl w:val="E946D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F7159"/>
    <w:multiLevelType w:val="hybridMultilevel"/>
    <w:tmpl w:val="E4F08F2E"/>
    <w:lvl w:ilvl="0" w:tplc="529EF38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F642EA3"/>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1FF0A29"/>
    <w:multiLevelType w:val="hybridMultilevel"/>
    <w:tmpl w:val="688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AB4D74"/>
    <w:multiLevelType w:val="hybridMultilevel"/>
    <w:tmpl w:val="59E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24C9D"/>
    <w:multiLevelType w:val="hybridMultilevel"/>
    <w:tmpl w:val="1B945A04"/>
    <w:lvl w:ilvl="0" w:tplc="CAC80DA6">
      <w:start w:val="5"/>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370564"/>
    <w:multiLevelType w:val="hybridMultilevel"/>
    <w:tmpl w:val="1B84F0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2624972"/>
    <w:multiLevelType w:val="hybridMultilevel"/>
    <w:tmpl w:val="24C4CE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34841DA"/>
    <w:multiLevelType w:val="hybridMultilevel"/>
    <w:tmpl w:val="02A82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5E3244"/>
    <w:multiLevelType w:val="hybridMultilevel"/>
    <w:tmpl w:val="0A9689B0"/>
    <w:lvl w:ilvl="0" w:tplc="C79C3DF2">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C416E41"/>
    <w:multiLevelType w:val="hybridMultilevel"/>
    <w:tmpl w:val="C81C71C8"/>
    <w:lvl w:ilvl="0" w:tplc="6F0A33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84F6E"/>
    <w:multiLevelType w:val="hybridMultilevel"/>
    <w:tmpl w:val="01EC0B2C"/>
    <w:lvl w:ilvl="0" w:tplc="D2DE26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E4B0B"/>
    <w:multiLevelType w:val="hybridMultilevel"/>
    <w:tmpl w:val="CF36FE66"/>
    <w:lvl w:ilvl="0" w:tplc="21841D76">
      <w:start w:val="3"/>
      <w:numFmt w:val="decimal"/>
      <w:lvlText w:val="%1."/>
      <w:lvlJc w:val="left"/>
      <w:pPr>
        <w:ind w:left="720" w:hanging="360"/>
      </w:pPr>
      <w:rPr>
        <w:b w:val="0"/>
        <w:i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318B7055"/>
    <w:multiLevelType w:val="hybridMultilevel"/>
    <w:tmpl w:val="7BFA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376DD"/>
    <w:multiLevelType w:val="hybridMultilevel"/>
    <w:tmpl w:val="0C7A1D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9DF6904"/>
    <w:multiLevelType w:val="hybridMultilevel"/>
    <w:tmpl w:val="0208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85F55"/>
    <w:multiLevelType w:val="hybridMultilevel"/>
    <w:tmpl w:val="D0027D34"/>
    <w:lvl w:ilvl="0" w:tplc="60922BE8">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5F0E31"/>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3F5B3A30"/>
    <w:multiLevelType w:val="hybridMultilevel"/>
    <w:tmpl w:val="03EC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300FA"/>
    <w:multiLevelType w:val="hybridMultilevel"/>
    <w:tmpl w:val="F82A16FC"/>
    <w:lvl w:ilvl="0" w:tplc="00143EA0">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48243DD3"/>
    <w:multiLevelType w:val="hybridMultilevel"/>
    <w:tmpl w:val="A1943E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A7BF1"/>
    <w:multiLevelType w:val="hybridMultilevel"/>
    <w:tmpl w:val="372C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21385"/>
    <w:multiLevelType w:val="hybridMultilevel"/>
    <w:tmpl w:val="EDFE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617AA"/>
    <w:multiLevelType w:val="hybridMultilevel"/>
    <w:tmpl w:val="0C4CF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40684"/>
    <w:multiLevelType w:val="hybridMultilevel"/>
    <w:tmpl w:val="36B0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63299"/>
    <w:multiLevelType w:val="hybridMultilevel"/>
    <w:tmpl w:val="8E945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3F90E7E"/>
    <w:multiLevelType w:val="hybridMultilevel"/>
    <w:tmpl w:val="09B24AFC"/>
    <w:lvl w:ilvl="0" w:tplc="1009000F">
      <w:start w:val="1"/>
      <w:numFmt w:val="decimal"/>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BA3741"/>
    <w:multiLevelType w:val="hybridMultilevel"/>
    <w:tmpl w:val="CFB6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58161A"/>
    <w:multiLevelType w:val="hybridMultilevel"/>
    <w:tmpl w:val="C5968F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8D24D5"/>
    <w:multiLevelType w:val="hybridMultilevel"/>
    <w:tmpl w:val="44A6E290"/>
    <w:lvl w:ilvl="0" w:tplc="549AE95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A797C07"/>
    <w:multiLevelType w:val="hybridMultilevel"/>
    <w:tmpl w:val="574A0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6BD92951"/>
    <w:multiLevelType w:val="hybridMultilevel"/>
    <w:tmpl w:val="ECA63B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E017142"/>
    <w:multiLevelType w:val="hybridMultilevel"/>
    <w:tmpl w:val="7E2C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61BF0"/>
    <w:multiLevelType w:val="hybridMultilevel"/>
    <w:tmpl w:val="2004AFDE"/>
    <w:lvl w:ilvl="0" w:tplc="A81E30C4">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757972ED"/>
    <w:multiLevelType w:val="hybridMultilevel"/>
    <w:tmpl w:val="7EC6F3E6"/>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12864"/>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3" w15:restartNumberingAfterBreak="0">
    <w:nsid w:val="7B6F3781"/>
    <w:multiLevelType w:val="hybridMultilevel"/>
    <w:tmpl w:val="417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677C8"/>
    <w:multiLevelType w:val="hybridMultilevel"/>
    <w:tmpl w:val="FE00F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202BB"/>
    <w:multiLevelType w:val="hybridMultilevel"/>
    <w:tmpl w:val="739235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2"/>
  </w:num>
  <w:num w:numId="2">
    <w:abstractNumId w:val="7"/>
  </w:num>
  <w:num w:numId="3">
    <w:abstractNumId w:val="0"/>
  </w:num>
  <w:num w:numId="4">
    <w:abstractNumId w:val="36"/>
  </w:num>
  <w:num w:numId="5">
    <w:abstractNumId w:val="1"/>
  </w:num>
  <w:num w:numId="6">
    <w:abstractNumId w:val="5"/>
  </w:num>
  <w:num w:numId="7">
    <w:abstractNumId w:val="6"/>
  </w:num>
  <w:num w:numId="8">
    <w:abstractNumId w:val="43"/>
  </w:num>
  <w:num w:numId="9">
    <w:abstractNumId w:val="39"/>
  </w:num>
  <w:num w:numId="10">
    <w:abstractNumId w:val="21"/>
  </w:num>
  <w:num w:numId="11">
    <w:abstractNumId w:val="32"/>
  </w:num>
  <w:num w:numId="12">
    <w:abstractNumId w:val="19"/>
  </w:num>
  <w:num w:numId="13">
    <w:abstractNumId w:val="8"/>
  </w:num>
  <w:num w:numId="14">
    <w:abstractNumId w:val="14"/>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5"/>
  </w:num>
  <w:num w:numId="27">
    <w:abstractNumId w:val="3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1"/>
  </w:num>
  <w:num w:numId="39">
    <w:abstractNumId w:val="38"/>
  </w:num>
  <w:num w:numId="40">
    <w:abstractNumId w:val="33"/>
  </w:num>
  <w:num w:numId="41">
    <w:abstractNumId w:val="2"/>
  </w:num>
  <w:num w:numId="42">
    <w:abstractNumId w:val="28"/>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41"/>
  </w:num>
  <w:num w:numId="47">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87A1A"/>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8EC"/>
    <w:rsid w:val="00194F2A"/>
    <w:rsid w:val="0019508F"/>
    <w:rsid w:val="001A06DE"/>
    <w:rsid w:val="001A08FF"/>
    <w:rsid w:val="001A1AE7"/>
    <w:rsid w:val="001A2314"/>
    <w:rsid w:val="001A3100"/>
    <w:rsid w:val="001A3A22"/>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2934"/>
    <w:rsid w:val="00233057"/>
    <w:rsid w:val="00234400"/>
    <w:rsid w:val="00234A3D"/>
    <w:rsid w:val="00235ACB"/>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04ACA"/>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E9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6755"/>
    <w:rsid w:val="0040709C"/>
    <w:rsid w:val="00407F30"/>
    <w:rsid w:val="004116DA"/>
    <w:rsid w:val="004117D6"/>
    <w:rsid w:val="00411834"/>
    <w:rsid w:val="00412A23"/>
    <w:rsid w:val="004149DA"/>
    <w:rsid w:val="00415755"/>
    <w:rsid w:val="00416211"/>
    <w:rsid w:val="0042035D"/>
    <w:rsid w:val="00420841"/>
    <w:rsid w:val="00423732"/>
    <w:rsid w:val="00425B31"/>
    <w:rsid w:val="0042648D"/>
    <w:rsid w:val="00426976"/>
    <w:rsid w:val="00427722"/>
    <w:rsid w:val="00427F4F"/>
    <w:rsid w:val="00431731"/>
    <w:rsid w:val="00431779"/>
    <w:rsid w:val="00431A2A"/>
    <w:rsid w:val="00431CE6"/>
    <w:rsid w:val="00433C3E"/>
    <w:rsid w:val="00440246"/>
    <w:rsid w:val="00441588"/>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E76FD"/>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353F"/>
    <w:rsid w:val="00654B60"/>
    <w:rsid w:val="00655090"/>
    <w:rsid w:val="0065588C"/>
    <w:rsid w:val="0066366C"/>
    <w:rsid w:val="006648D1"/>
    <w:rsid w:val="00664E1D"/>
    <w:rsid w:val="00666BA1"/>
    <w:rsid w:val="00667D20"/>
    <w:rsid w:val="006700CB"/>
    <w:rsid w:val="00670428"/>
    <w:rsid w:val="006708BC"/>
    <w:rsid w:val="006721DF"/>
    <w:rsid w:val="00672A20"/>
    <w:rsid w:val="00674329"/>
    <w:rsid w:val="00674808"/>
    <w:rsid w:val="00674CE6"/>
    <w:rsid w:val="00676BB6"/>
    <w:rsid w:val="00677279"/>
    <w:rsid w:val="00677979"/>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293F"/>
    <w:rsid w:val="006B35F3"/>
    <w:rsid w:val="006B40C1"/>
    <w:rsid w:val="006B6A20"/>
    <w:rsid w:val="006C1EDD"/>
    <w:rsid w:val="006C2F5C"/>
    <w:rsid w:val="006C4010"/>
    <w:rsid w:val="006C477E"/>
    <w:rsid w:val="006C6D7A"/>
    <w:rsid w:val="006D0C02"/>
    <w:rsid w:val="006D0F19"/>
    <w:rsid w:val="006D2B2B"/>
    <w:rsid w:val="006D3FB0"/>
    <w:rsid w:val="006D443D"/>
    <w:rsid w:val="006D614A"/>
    <w:rsid w:val="006D6B5E"/>
    <w:rsid w:val="006D6CA1"/>
    <w:rsid w:val="006D7DA7"/>
    <w:rsid w:val="006E27D1"/>
    <w:rsid w:val="006E2CD8"/>
    <w:rsid w:val="006E4462"/>
    <w:rsid w:val="006E465C"/>
    <w:rsid w:val="006E4B08"/>
    <w:rsid w:val="006E4EB7"/>
    <w:rsid w:val="006E7F81"/>
    <w:rsid w:val="006F1443"/>
    <w:rsid w:val="006F2579"/>
    <w:rsid w:val="006F2887"/>
    <w:rsid w:val="006F713E"/>
    <w:rsid w:val="006F750C"/>
    <w:rsid w:val="006F7EB1"/>
    <w:rsid w:val="00700AD5"/>
    <w:rsid w:val="00702D4F"/>
    <w:rsid w:val="00703D5F"/>
    <w:rsid w:val="007045FC"/>
    <w:rsid w:val="0070488F"/>
    <w:rsid w:val="00704CDE"/>
    <w:rsid w:val="00704CF9"/>
    <w:rsid w:val="0070582E"/>
    <w:rsid w:val="007073E2"/>
    <w:rsid w:val="00710713"/>
    <w:rsid w:val="007123C3"/>
    <w:rsid w:val="0071266E"/>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D3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4A09"/>
    <w:rsid w:val="007E4C9C"/>
    <w:rsid w:val="007E5486"/>
    <w:rsid w:val="007E6196"/>
    <w:rsid w:val="007E6656"/>
    <w:rsid w:val="007E70BF"/>
    <w:rsid w:val="007E735A"/>
    <w:rsid w:val="007F0085"/>
    <w:rsid w:val="007F080F"/>
    <w:rsid w:val="007F0F01"/>
    <w:rsid w:val="007F155F"/>
    <w:rsid w:val="007F1A99"/>
    <w:rsid w:val="007F22ED"/>
    <w:rsid w:val="007F3253"/>
    <w:rsid w:val="007F4F42"/>
    <w:rsid w:val="007F536B"/>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901457"/>
    <w:rsid w:val="0090233F"/>
    <w:rsid w:val="009035A2"/>
    <w:rsid w:val="009119D3"/>
    <w:rsid w:val="00922101"/>
    <w:rsid w:val="009244F7"/>
    <w:rsid w:val="00924C0D"/>
    <w:rsid w:val="0092587F"/>
    <w:rsid w:val="00925AA4"/>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09D7"/>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2378"/>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4F6"/>
    <w:rsid w:val="00A02A8B"/>
    <w:rsid w:val="00A041C7"/>
    <w:rsid w:val="00A06B3C"/>
    <w:rsid w:val="00A12CC9"/>
    <w:rsid w:val="00A13E9F"/>
    <w:rsid w:val="00A20173"/>
    <w:rsid w:val="00A2060D"/>
    <w:rsid w:val="00A216B7"/>
    <w:rsid w:val="00A21708"/>
    <w:rsid w:val="00A242EA"/>
    <w:rsid w:val="00A2504D"/>
    <w:rsid w:val="00A271B3"/>
    <w:rsid w:val="00A272BE"/>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418"/>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4A4"/>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A38"/>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1524"/>
    <w:rsid w:val="00D95433"/>
    <w:rsid w:val="00D95F43"/>
    <w:rsid w:val="00D9772E"/>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D7392"/>
    <w:rsid w:val="00DE11D6"/>
    <w:rsid w:val="00DE2212"/>
    <w:rsid w:val="00DE2457"/>
    <w:rsid w:val="00DE2C8D"/>
    <w:rsid w:val="00DE5E69"/>
    <w:rsid w:val="00DE610C"/>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3A8F"/>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654"/>
    <w:rsid w:val="00ED11BA"/>
    <w:rsid w:val="00ED1764"/>
    <w:rsid w:val="00ED200B"/>
    <w:rsid w:val="00ED2520"/>
    <w:rsid w:val="00ED2E12"/>
    <w:rsid w:val="00ED4F03"/>
    <w:rsid w:val="00ED52B2"/>
    <w:rsid w:val="00EE0ADC"/>
    <w:rsid w:val="00EE173D"/>
    <w:rsid w:val="00EE24D6"/>
    <w:rsid w:val="00EE59C6"/>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3B48"/>
    <w:rsid w:val="00F152B2"/>
    <w:rsid w:val="00F17D2D"/>
    <w:rsid w:val="00F20894"/>
    <w:rsid w:val="00F22AFE"/>
    <w:rsid w:val="00F237A4"/>
    <w:rsid w:val="00F24087"/>
    <w:rsid w:val="00F265F6"/>
    <w:rsid w:val="00F26653"/>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775"/>
    <w:rsid w:val="00FE0F88"/>
    <w:rsid w:val="00FE3782"/>
    <w:rsid w:val="00FE3AC5"/>
    <w:rsid w:val="00FE44CF"/>
    <w:rsid w:val="00FE4721"/>
    <w:rsid w:val="00FE4D2A"/>
    <w:rsid w:val="00FE4FD0"/>
    <w:rsid w:val="00FE5839"/>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italic1">
    <w:name w:val="italic1"/>
    <w:basedOn w:val="DefaultParagraphFont"/>
    <w:rsid w:val="009E2378"/>
    <w:rPr>
      <w:i/>
      <w:iCs/>
    </w:rPr>
  </w:style>
  <w:style w:type="paragraph" w:customStyle="1" w:styleId="SCCLsocSubfileSeparator">
    <w:name w:val="SCC.Lsoc.SubfileSeparator"/>
    <w:basedOn w:val="Normal"/>
    <w:next w:val="Normal"/>
    <w:link w:val="SCCLsocSubfileSeparatorChar"/>
    <w:rsid w:val="009E2378"/>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9E2378"/>
    <w:rPr>
      <w:rFonts w:ascii="Times New Roman" w:eastAsiaTheme="minorHAnsi" w:hAnsi="Times New Roman"/>
      <w:b/>
      <w:sz w:val="24"/>
      <w:szCs w:val="24"/>
      <w:lang w:val="en-CA"/>
    </w:rPr>
  </w:style>
  <w:style w:type="character" w:customStyle="1" w:styleId="documentstaticurl">
    <w:name w:val="documentstaticurl"/>
    <w:basedOn w:val="DefaultParagraphFont"/>
    <w:rsid w:val="009E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587" TargetMode="External"/><Relationship Id="rId18" Type="http://schemas.openxmlformats.org/officeDocument/2006/relationships/hyperlink" Target="http://www.canlii.org/en/bc/bcca/doc/2015/2015bcca205/2015bcca205.html?autocompleteStr=2015%20BCCA%20205&amp;autocompletePos=1" TargetMode="External"/><Relationship Id="rId26" Type="http://schemas.openxmlformats.org/officeDocument/2006/relationships/hyperlink" Target="http://www.canlii.org/en/sk/skpc/doc/2014/2014skpc202/2014skpc202.html?searchUrlHash=AAAAAQANMjAxNCBTS1BDIDIwMgAAAAAB&amp;resultIndex=1" TargetMode="External"/><Relationship Id="rId39" Type="http://schemas.openxmlformats.org/officeDocument/2006/relationships/hyperlink" Target="https://www.canlii.org/en/ca/fct/doc/2014/2014fc855/2014fc855.html" TargetMode="External"/><Relationship Id="rId3" Type="http://schemas.openxmlformats.org/officeDocument/2006/relationships/styles" Target="styles.xml"/><Relationship Id="rId21" Type="http://schemas.openxmlformats.org/officeDocument/2006/relationships/hyperlink" Target="http://canlii.ca/t/fzw9v" TargetMode="External"/><Relationship Id="rId34" Type="http://schemas.openxmlformats.org/officeDocument/2006/relationships/hyperlink" Target="http://canlii.ca/t/fx8j8" TargetMode="External"/><Relationship Id="rId42" Type="http://schemas.openxmlformats.org/officeDocument/2006/relationships/hyperlink" Target="https://www.canlii.org/fr/ca/caf/doc/2015/2015caf139/2015caf139.htm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c-csc.ca/case-dossier/info/sum-som-eng.aspx?cas=36610" TargetMode="External"/><Relationship Id="rId17" Type="http://schemas.openxmlformats.org/officeDocument/2006/relationships/hyperlink" Target="http://www.canlii.org/en/bc/bcsc/doc/2011/2011bcsc1728/2011bcsc1728.html" TargetMode="External"/><Relationship Id="rId25" Type="http://schemas.openxmlformats.org/officeDocument/2006/relationships/hyperlink" Target="http://canlii.ca/t/gfgdg" TargetMode="External"/><Relationship Id="rId33" Type="http://schemas.openxmlformats.org/officeDocument/2006/relationships/hyperlink" Target="http://canlii.ca/t/gk0x8" TargetMode="External"/><Relationship Id="rId38" Type="http://schemas.openxmlformats.org/officeDocument/2006/relationships/hyperlink" Target="http://canlii.ca/t/ghbhk%3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c-csc.ca/case-dossier/info/sum-som-eng.aspx?cas=36591" TargetMode="External"/><Relationship Id="rId20" Type="http://schemas.openxmlformats.org/officeDocument/2006/relationships/hyperlink" Target="http://www.canlii.org/en/bc/bcca/doc/2015/2015bcca205/2015bcca205.html?autocompleteStr=2015%20BCCA%20205&amp;autocompletePos=1" TargetMode="External"/><Relationship Id="rId29" Type="http://schemas.openxmlformats.org/officeDocument/2006/relationships/hyperlink" Target="http://www.canlii.org/en/on/onca/doc/2015/2015onca439/2015onca439.html?resultIndex=1" TargetMode="External"/><Relationship Id="rId41" Type="http://schemas.openxmlformats.org/officeDocument/2006/relationships/hyperlink" Target="https://www.canlii.org/fr/ca/cfpi/doc/2014/2014cf855/2014cf85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663" TargetMode="External"/><Relationship Id="rId24" Type="http://schemas.openxmlformats.org/officeDocument/2006/relationships/hyperlink" Target="http://canlii.ca/t/gh870" TargetMode="External"/><Relationship Id="rId32" Type="http://schemas.openxmlformats.org/officeDocument/2006/relationships/hyperlink" Target="http://canlii.ca/t/fx8j8" TargetMode="External"/><Relationship Id="rId37" Type="http://schemas.openxmlformats.org/officeDocument/2006/relationships/hyperlink" Target="http://www.canlii.org/fr/qc/qcca/doc/2015/2015qcca678/2015qcca678.html?autocompleteStr=2015%20qcca%20678&amp;autocompletePos=1" TargetMode="External"/><Relationship Id="rId40" Type="http://schemas.openxmlformats.org/officeDocument/2006/relationships/hyperlink" Target="https://www.canlii.org/en/ca/fca/doc/2015/2015fca139/2015fca139.html?autocompleteStr=2015%20FCA139&amp;autocompletePos=1"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cc-csc.ca/case-dossier/info/sum-som-fra.aspx?cas=36514" TargetMode="External"/><Relationship Id="rId23" Type="http://schemas.openxmlformats.org/officeDocument/2006/relationships/hyperlink" Target="http://canlii.ca/t/fzw9v" TargetMode="External"/><Relationship Id="rId28" Type="http://schemas.openxmlformats.org/officeDocument/2006/relationships/hyperlink" Target="http://www.canlii.org/en/on/onsc/doc/2014/2014onsc2432/2014onsc2432.html" TargetMode="External"/><Relationship Id="rId36" Type="http://schemas.openxmlformats.org/officeDocument/2006/relationships/hyperlink" Target="http://www.canlii.org/fr/qc/qcca/doc/2015/2015qcca675/2015qcca675.html?autocompleteStr=2015%20qcca%20675&amp;autocompletePos=1" TargetMode="External"/><Relationship Id="rId49" Type="http://schemas.openxmlformats.org/officeDocument/2006/relationships/footer" Target="footer3.xml"/><Relationship Id="rId10" Type="http://schemas.openxmlformats.org/officeDocument/2006/relationships/hyperlink" Target="http://www.scc-csc.ca/case-dossier/info/sum-som-eng.aspx?cas=36695" TargetMode="External"/><Relationship Id="rId19" Type="http://schemas.openxmlformats.org/officeDocument/2006/relationships/hyperlink" Target="http://www.canlii.org/en/bc/bcsc/doc/2011/2011bcsc1728/2011bcsc1728.html" TargetMode="External"/><Relationship Id="rId31" Type="http://schemas.openxmlformats.org/officeDocument/2006/relationships/hyperlink" Target="http://www.canlii.org/en/on/onca/doc/2015/2015onca439/2015onca439.html?resultIndex=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eng.aspx?cas=36482" TargetMode="External"/><Relationship Id="rId14" Type="http://schemas.openxmlformats.org/officeDocument/2006/relationships/hyperlink" Target="http://www.scc-csc.ca/case-dossier/info/sum-som-fra.aspx?cas=36513" TargetMode="External"/><Relationship Id="rId22" Type="http://schemas.openxmlformats.org/officeDocument/2006/relationships/hyperlink" Target="http://canlii.ca/t/gh870" TargetMode="External"/><Relationship Id="rId27" Type="http://schemas.openxmlformats.org/officeDocument/2006/relationships/hyperlink" Target="http://www.canlii.org/en/sk/skca/doc/2015/2015skca77/2015skca77.html?searchUrlHash=AAAAAQAKMjAxNXNrY2E3NwAAAAAB&amp;resultIndex=1" TargetMode="External"/><Relationship Id="rId30" Type="http://schemas.openxmlformats.org/officeDocument/2006/relationships/hyperlink" Target="http://www.canlii.org/en/on/onsc/doc/2014/2014onsc2432/2014onsc2432.html" TargetMode="External"/><Relationship Id="rId35" Type="http://schemas.openxmlformats.org/officeDocument/2006/relationships/hyperlink" Target="http://canlii.ca/t/gk0x8" TargetMode="External"/><Relationship Id="rId43" Type="http://schemas.openxmlformats.org/officeDocument/2006/relationships/hyperlink" Target="mailto:comments-commentaires@scc-csc.ca" TargetMode="External"/><Relationship Id="rId48" Type="http://schemas.openxmlformats.org/officeDocument/2006/relationships/header" Target="header3.xml"/><Relationship Id="rId8" Type="http://schemas.openxmlformats.org/officeDocument/2006/relationships/hyperlink" Target="http://www.scc-csc.ca/case-dossier/info/sum-som-eng.aspx?cas=36472"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70FC6-7C73-463E-B439-BFD59C8F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6590</Words>
  <Characters>37569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44071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2016-01-25T16:47:00Z</dcterms:created>
  <dcterms:modified xsi:type="dcterms:W3CDTF">2016-01-25T17:11:00Z</dcterms:modified>
</cp:coreProperties>
</file>