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w:t>
      </w:r>
      <w:proofErr w:type="spellStart"/>
      <w:r w:rsidRPr="004B4D42">
        <w:rPr>
          <w:b/>
          <w:sz w:val="32"/>
        </w:rPr>
        <w:t>Cour</w:t>
      </w:r>
      <w:proofErr w:type="spellEnd"/>
      <w:r w:rsidRPr="004B4D42">
        <w:rPr>
          <w:b/>
          <w:sz w:val="32"/>
        </w:rPr>
        <w:t xml:space="preserve">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w:t>
      </w:r>
      <w:proofErr w:type="gramStart"/>
      <w:r w:rsidRPr="004B4D42">
        <w:rPr>
          <w:i/>
        </w:rPr>
        <w:t>le</w:t>
      </w:r>
      <w:proofErr w:type="gramEnd"/>
      <w:r w:rsidRPr="004B4D42">
        <w:rPr>
          <w:i/>
        </w:rPr>
        <w:t xml:space="preserv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 TO B</w:t>
      </w:r>
      <w:r w:rsidR="00001846" w:rsidRPr="004B4D42">
        <w:rPr>
          <w:b/>
        </w:rPr>
        <w:t>E RENDERED IN LEAVE APPLICATION</w:t>
      </w:r>
    </w:p>
    <w:p w:rsidR="006F2579" w:rsidRPr="004B4D42" w:rsidRDefault="006F2579" w:rsidP="006F2579">
      <w:pPr>
        <w:widowControl w:val="0"/>
        <w:rPr>
          <w:b/>
        </w:rPr>
      </w:pPr>
    </w:p>
    <w:p w:rsidR="006F2579" w:rsidRPr="004B4D42" w:rsidRDefault="003817A9" w:rsidP="006F2579">
      <w:pPr>
        <w:widowControl w:val="0"/>
        <w:rPr>
          <w:b/>
        </w:rPr>
      </w:pPr>
      <w:r>
        <w:rPr>
          <w:b/>
        </w:rPr>
        <w:t xml:space="preserve">March </w:t>
      </w:r>
      <w:r w:rsidR="00151967">
        <w:rPr>
          <w:b/>
        </w:rPr>
        <w:t>2</w:t>
      </w:r>
      <w:r>
        <w:rPr>
          <w:b/>
        </w:rPr>
        <w:t>1</w:t>
      </w:r>
      <w:r w:rsidR="00AB5538">
        <w:rPr>
          <w:b/>
        </w:rPr>
        <w:t>,</w:t>
      </w:r>
      <w:r w:rsidR="006F2579" w:rsidRPr="004B4D42">
        <w:rPr>
          <w:b/>
        </w:rPr>
        <w:t xml:space="preserve"> </w:t>
      </w:r>
      <w:r w:rsidR="0054689F">
        <w:rPr>
          <w:b/>
        </w:rPr>
        <w:t>201</w:t>
      </w:r>
      <w:r w:rsidR="00674329">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 for leave to appeal will be delivered at 9:45 a.m. E</w:t>
      </w:r>
      <w:r w:rsidR="003817A9">
        <w:t>D</w:t>
      </w:r>
      <w:r w:rsidRPr="004B4D42">
        <w:t xml:space="preserve">T on </w:t>
      </w:r>
      <w:r w:rsidR="00151967">
        <w:t>Tues</w:t>
      </w:r>
      <w:r w:rsidRPr="004B4D42">
        <w:t xml:space="preserve">day, </w:t>
      </w:r>
      <w:r w:rsidR="007E112F">
        <w:t xml:space="preserve">March </w:t>
      </w:r>
      <w:r w:rsidR="00151967">
        <w:t>22</w:t>
      </w:r>
      <w:r w:rsidR="007E112F">
        <w:t>,</w:t>
      </w:r>
      <w:r w:rsidR="002F38D7" w:rsidRPr="004B4D42">
        <w:t xml:space="preserve"> </w:t>
      </w:r>
      <w:r w:rsidR="006648D1" w:rsidRPr="004B4D42">
        <w:t>201</w:t>
      </w:r>
      <w:r w:rsidR="00674329">
        <w:t>6</w:t>
      </w:r>
      <w:r w:rsidRPr="004B4D42">
        <w:t>.  This list is subject to change.</w:t>
      </w:r>
    </w:p>
    <w:p w:rsidR="00B43418" w:rsidRDefault="00B43418" w:rsidP="006F2579">
      <w:pPr>
        <w:widowControl w:val="0"/>
      </w:pPr>
    </w:p>
    <w:p w:rsidR="00EA0704" w:rsidRPr="004B4D42" w:rsidRDefault="00EA0704" w:rsidP="006F2579">
      <w:pPr>
        <w:widowControl w:val="0"/>
      </w:pPr>
    </w:p>
    <w:p w:rsidR="006F2579" w:rsidRPr="004B4D42" w:rsidRDefault="006F2579" w:rsidP="006F2579">
      <w:pPr>
        <w:widowControl w:val="0"/>
        <w:jc w:val="center"/>
        <w:rPr>
          <w:lang w:val="fr-CA"/>
        </w:rPr>
      </w:pPr>
      <w:r w:rsidRPr="004B4D42">
        <w:rPr>
          <w:b/>
          <w:lang w:val="fr-CA"/>
        </w:rPr>
        <w:t>PROCHAIN JUGEMENT</w:t>
      </w:r>
      <w:r w:rsidR="00001846" w:rsidRPr="004B4D42">
        <w:rPr>
          <w:b/>
          <w:lang w:val="fr-CA"/>
        </w:rPr>
        <w:t xml:space="preserve"> SUR DEMANDE</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151967">
        <w:rPr>
          <w:b/>
          <w:lang w:val="fr-CA"/>
        </w:rPr>
        <w:t>2</w:t>
      </w:r>
      <w:r w:rsidR="003817A9">
        <w:rPr>
          <w:b/>
          <w:lang w:val="fr-CA"/>
        </w:rPr>
        <w:t>1</w:t>
      </w:r>
      <w:r w:rsidR="007E112F">
        <w:rPr>
          <w:b/>
          <w:lang w:val="fr-CA"/>
        </w:rPr>
        <w:t xml:space="preserve"> mars</w:t>
      </w:r>
      <w:r w:rsidR="00674329">
        <w:rPr>
          <w:b/>
          <w:lang w:val="fr-CA"/>
        </w:rPr>
        <w:t xml:space="preserve">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AB5154" w:rsidRDefault="006F2579" w:rsidP="00AB5154">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CB54AD">
        <w:rPr>
          <w:lang w:val="fr-CA"/>
        </w:rPr>
        <w:t>a</w:t>
      </w:r>
      <w:r w:rsidRPr="004B4D42">
        <w:rPr>
          <w:lang w:val="fr-CA"/>
        </w:rPr>
        <w:t xml:space="preserve"> demande d</w:t>
      </w:r>
      <w:r w:rsidR="00001846" w:rsidRPr="004B4D42">
        <w:rPr>
          <w:lang w:val="fr-CA"/>
        </w:rPr>
        <w:t>’autorisation d’appel suivante</w:t>
      </w:r>
      <w:r w:rsidRPr="004B4D42">
        <w:rPr>
          <w:lang w:val="fr-CA"/>
        </w:rPr>
        <w:t xml:space="preserve"> le </w:t>
      </w:r>
      <w:r w:rsidR="00151967">
        <w:rPr>
          <w:lang w:val="fr-CA"/>
        </w:rPr>
        <w:t>mar</w:t>
      </w:r>
      <w:r w:rsidRPr="004B4D42">
        <w:rPr>
          <w:lang w:val="fr-CA"/>
        </w:rPr>
        <w:t xml:space="preserve">di </w:t>
      </w:r>
      <w:r w:rsidR="00151967">
        <w:rPr>
          <w:lang w:val="fr-CA"/>
        </w:rPr>
        <w:t>22</w:t>
      </w:r>
      <w:r w:rsidR="007E112F">
        <w:rPr>
          <w:lang w:val="fr-CA"/>
        </w:rPr>
        <w:t xml:space="preserve"> mars</w:t>
      </w:r>
      <w:r w:rsidR="00674329">
        <w:rPr>
          <w:lang w:val="fr-CA"/>
        </w:rPr>
        <w:t xml:space="preserve">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3817A9">
        <w:rPr>
          <w:lang w:val="fr-CA"/>
        </w:rPr>
        <w:t>A</w:t>
      </w:r>
      <w:r w:rsidRPr="004B4D42">
        <w:rPr>
          <w:lang w:val="fr-CA"/>
        </w:rPr>
        <w:t>E.  Cette liste est sujette à modifications.</w:t>
      </w:r>
      <w:bookmarkStart w:id="0" w:name="_GoBack"/>
      <w:bookmarkEnd w:id="0"/>
    </w:p>
    <w:p w:rsidR="00EA0704" w:rsidRDefault="00EA0704" w:rsidP="00AB5154">
      <w:pPr>
        <w:widowControl w:val="0"/>
        <w:rPr>
          <w:sz w:val="20"/>
          <w:lang w:val="fr-CA"/>
        </w:rPr>
      </w:pPr>
    </w:p>
    <w:p w:rsidR="001838E0" w:rsidRDefault="003D353C" w:rsidP="009B14F4">
      <w:pPr>
        <w:widowControl w:val="0"/>
        <w:jc w:val="both"/>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Pr="0017656E" w:rsidRDefault="007E112F" w:rsidP="00F32457">
      <w:pPr>
        <w:widowControl w:val="0"/>
        <w:jc w:val="both"/>
        <w:rPr>
          <w:i/>
          <w:sz w:val="20"/>
          <w:lang w:val="fr-CA" w:eastAsia="en-CA"/>
        </w:rPr>
      </w:pPr>
    </w:p>
    <w:p w:rsidR="00F32457" w:rsidRPr="00F32457" w:rsidRDefault="00530B6F" w:rsidP="00F32457">
      <w:pPr>
        <w:pStyle w:val="ListParagraph"/>
        <w:numPr>
          <w:ilvl w:val="0"/>
          <w:numId w:val="11"/>
        </w:numPr>
        <w:ind w:left="360"/>
        <w:jc w:val="both"/>
        <w:rPr>
          <w:sz w:val="20"/>
          <w:lang w:val="fr-FR" w:eastAsia="en-CA"/>
        </w:rPr>
      </w:pPr>
      <w:r>
        <w:rPr>
          <w:i/>
          <w:sz w:val="20"/>
          <w:lang w:val="fr-FR" w:eastAsia="en-CA"/>
        </w:rPr>
        <w:t>Sa Majesté la Reine</w:t>
      </w:r>
      <w:r w:rsidR="00F32457" w:rsidRPr="00F32457">
        <w:rPr>
          <w:i/>
          <w:sz w:val="20"/>
          <w:lang w:val="fr-FR" w:eastAsia="en-CA"/>
        </w:rPr>
        <w:t xml:space="preserve"> c. </w:t>
      </w:r>
      <w:r>
        <w:rPr>
          <w:i/>
          <w:sz w:val="20"/>
          <w:lang w:val="fr-FR" w:eastAsia="en-CA"/>
        </w:rPr>
        <w:t>J.G.A. Gagnon et autre</w:t>
      </w:r>
      <w:r w:rsidR="00F32457" w:rsidRPr="00F32457">
        <w:rPr>
          <w:sz w:val="20"/>
          <w:lang w:val="fr-FR" w:eastAsia="en-CA"/>
        </w:rPr>
        <w:t xml:space="preserve"> (</w:t>
      </w:r>
      <w:r>
        <w:rPr>
          <w:sz w:val="20"/>
          <w:lang w:val="fr-FR" w:eastAsia="en-CA"/>
        </w:rPr>
        <w:t>C.F.)</w:t>
      </w:r>
      <w:r w:rsidR="00F32457" w:rsidRPr="00F32457">
        <w:rPr>
          <w:sz w:val="20"/>
          <w:lang w:val="fr-FR" w:eastAsia="en-CA"/>
        </w:rPr>
        <w:t xml:space="preserve"> (Criminelle) (Autorisation) (</w:t>
      </w:r>
      <w:hyperlink r:id="rId8" w:history="1">
        <w:r w:rsidR="00F32457" w:rsidRPr="00733697">
          <w:rPr>
            <w:rStyle w:val="Hyperlink"/>
            <w:sz w:val="20"/>
            <w:lang w:val="fr-FR" w:eastAsia="en-CA"/>
          </w:rPr>
          <w:t>36</w:t>
        </w:r>
        <w:r>
          <w:rPr>
            <w:rStyle w:val="Hyperlink"/>
            <w:sz w:val="20"/>
            <w:lang w:val="fr-FR" w:eastAsia="en-CA"/>
          </w:rPr>
          <w:t>844</w:t>
        </w:r>
      </w:hyperlink>
      <w:r w:rsidR="00F32457" w:rsidRPr="00F32457">
        <w:rPr>
          <w:sz w:val="20"/>
          <w:lang w:val="fr-FR" w:eastAsia="en-CA"/>
        </w:rPr>
        <w:t>)</w:t>
      </w:r>
    </w:p>
    <w:p w:rsidR="00F32457" w:rsidRPr="00733697" w:rsidRDefault="00F32457" w:rsidP="00F32457">
      <w:pPr>
        <w:ind w:left="360" w:hanging="360"/>
        <w:jc w:val="both"/>
        <w:rPr>
          <w:sz w:val="20"/>
          <w:lang w:val="fr-CA" w:eastAsia="en-CA"/>
        </w:rPr>
      </w:pPr>
    </w:p>
    <w:p w:rsidR="003817A9" w:rsidRPr="002075B5" w:rsidRDefault="003817A9" w:rsidP="009F77F0">
      <w:pPr>
        <w:widowControl w:val="0"/>
        <w:ind w:left="360" w:hanging="360"/>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75B5" w:rsidRPr="002075B5" w:rsidTr="00E95A6A">
        <w:tc>
          <w:tcPr>
            <w:tcW w:w="543" w:type="pct"/>
          </w:tcPr>
          <w:p w:rsidR="002075B5" w:rsidRPr="002075B5" w:rsidRDefault="002075B5" w:rsidP="00EF253B">
            <w:pPr>
              <w:jc w:val="both"/>
              <w:rPr>
                <w:sz w:val="20"/>
                <w:lang w:val="en-CA"/>
              </w:rPr>
            </w:pPr>
            <w:r w:rsidRPr="002075B5">
              <w:rPr>
                <w:rStyle w:val="SCCFileNumberChar"/>
                <w:sz w:val="20"/>
                <w:szCs w:val="20"/>
              </w:rPr>
              <w:t>36844</w:t>
            </w:r>
          </w:p>
        </w:tc>
        <w:tc>
          <w:tcPr>
            <w:tcW w:w="4457" w:type="pct"/>
            <w:gridSpan w:val="3"/>
          </w:tcPr>
          <w:p w:rsidR="002075B5" w:rsidRPr="00AF46DD" w:rsidRDefault="002075B5" w:rsidP="00EF253B">
            <w:pPr>
              <w:pStyle w:val="SCCLsocParty"/>
              <w:jc w:val="both"/>
              <w:rPr>
                <w:b/>
                <w:sz w:val="20"/>
                <w:szCs w:val="20"/>
                <w:lang w:val="en-CA"/>
              </w:rPr>
            </w:pPr>
            <w:r w:rsidRPr="00AF46DD">
              <w:rPr>
                <w:b/>
                <w:sz w:val="20"/>
                <w:szCs w:val="20"/>
                <w:lang w:val="en-CA"/>
              </w:rPr>
              <w:t>Her Majesty the Queen v. J.G.A. Gagnon</w:t>
            </w:r>
          </w:p>
          <w:p w:rsidR="002075B5" w:rsidRPr="00AF46DD" w:rsidRDefault="002075B5" w:rsidP="00EF253B">
            <w:pPr>
              <w:pStyle w:val="SCCLsocSubfileSeparator"/>
              <w:rPr>
                <w:sz w:val="20"/>
                <w:szCs w:val="20"/>
                <w:lang w:val="en-CA"/>
              </w:rPr>
            </w:pPr>
            <w:r w:rsidRPr="00AF46DD">
              <w:rPr>
                <w:sz w:val="20"/>
                <w:szCs w:val="20"/>
                <w:lang w:val="en-CA"/>
              </w:rPr>
              <w:t>- and between -</w:t>
            </w:r>
          </w:p>
          <w:p w:rsidR="002075B5" w:rsidRPr="00AF46DD" w:rsidRDefault="002075B5" w:rsidP="00EF253B">
            <w:pPr>
              <w:pStyle w:val="SCCLsocParty"/>
              <w:jc w:val="both"/>
              <w:rPr>
                <w:b/>
                <w:sz w:val="20"/>
                <w:szCs w:val="20"/>
                <w:lang w:val="en-CA"/>
              </w:rPr>
            </w:pPr>
            <w:r w:rsidRPr="00AF46DD">
              <w:rPr>
                <w:b/>
                <w:sz w:val="20"/>
                <w:szCs w:val="20"/>
                <w:lang w:val="en-CA"/>
              </w:rPr>
              <w:t>Her Majesty the Queen v. A.J.R. Thibault</w:t>
            </w:r>
          </w:p>
          <w:p w:rsidR="002075B5" w:rsidRPr="002075B5" w:rsidRDefault="002075B5" w:rsidP="00EF253B">
            <w:pPr>
              <w:jc w:val="both"/>
              <w:rPr>
                <w:sz w:val="20"/>
                <w:lang w:val="en-CA"/>
              </w:rPr>
            </w:pPr>
            <w:r w:rsidRPr="002075B5">
              <w:rPr>
                <w:sz w:val="20"/>
                <w:lang w:val="en-CA"/>
              </w:rPr>
              <w:t>(FC) (Criminal) (By Leave)</w:t>
            </w:r>
          </w:p>
        </w:tc>
      </w:tr>
      <w:tr w:rsidR="002075B5" w:rsidRPr="002075B5" w:rsidTr="00E95A6A">
        <w:tc>
          <w:tcPr>
            <w:tcW w:w="5000" w:type="pct"/>
            <w:gridSpan w:val="4"/>
          </w:tcPr>
          <w:p w:rsidR="002075B5" w:rsidRPr="002075B5" w:rsidRDefault="002075B5" w:rsidP="00EF253B">
            <w:pPr>
              <w:jc w:val="both"/>
              <w:rPr>
                <w:sz w:val="20"/>
                <w:lang w:val="en-CA"/>
              </w:rPr>
            </w:pPr>
            <w:r w:rsidRPr="002075B5">
              <w:rPr>
                <w:i/>
                <w:sz w:val="20"/>
                <w:lang w:val="en-CA"/>
              </w:rPr>
              <w:t>Charter of Rights</w:t>
            </w:r>
            <w:r w:rsidRPr="002075B5">
              <w:rPr>
                <w:sz w:val="20"/>
                <w:lang w:val="en-CA"/>
              </w:rPr>
              <w:t xml:space="preserve"> – Fundamental justice – Prosecutorial independence – Appeals – Courts – Jurisdiction – Whether s. 230.1 of </w:t>
            </w:r>
            <w:r w:rsidRPr="002075B5">
              <w:rPr>
                <w:i/>
                <w:sz w:val="20"/>
                <w:lang w:val="en-CA"/>
              </w:rPr>
              <w:t>National Defence Act</w:t>
            </w:r>
            <w:r w:rsidRPr="002075B5">
              <w:rPr>
                <w:sz w:val="20"/>
                <w:lang w:val="en-CA"/>
              </w:rPr>
              <w:t xml:space="preserve">, R.S.C. 1985, c. N-5, infringes s. 7 of </w:t>
            </w:r>
            <w:r w:rsidRPr="002075B5">
              <w:rPr>
                <w:i/>
                <w:sz w:val="20"/>
                <w:lang w:val="en-CA"/>
              </w:rPr>
              <w:t>Canadian Charter of Rights and Freedoms</w:t>
            </w:r>
            <w:r w:rsidRPr="002075B5">
              <w:rPr>
                <w:sz w:val="20"/>
                <w:lang w:val="en-CA"/>
              </w:rPr>
              <w:t xml:space="preserve"> – If so, whether infringement is reasonable limit prescribed by law that can be demonstrably justified in free and democratic society under s. 1 of </w:t>
            </w:r>
            <w:r w:rsidRPr="002075B5">
              <w:rPr>
                <w:i/>
                <w:sz w:val="20"/>
                <w:lang w:val="en-CA"/>
              </w:rPr>
              <w:t>Charter</w:t>
            </w:r>
            <w:r w:rsidRPr="002075B5">
              <w:rPr>
                <w:sz w:val="20"/>
                <w:lang w:val="en-CA"/>
              </w:rPr>
              <w:t>.</w:t>
            </w:r>
          </w:p>
          <w:p w:rsidR="002075B5" w:rsidRPr="002075B5" w:rsidRDefault="002075B5" w:rsidP="00EF253B">
            <w:pPr>
              <w:jc w:val="both"/>
              <w:rPr>
                <w:sz w:val="20"/>
                <w:lang w:val="en-CA"/>
              </w:rPr>
            </w:pPr>
          </w:p>
        </w:tc>
      </w:tr>
      <w:tr w:rsidR="002075B5" w:rsidRPr="002075B5" w:rsidTr="00E95A6A">
        <w:tc>
          <w:tcPr>
            <w:tcW w:w="5000" w:type="pct"/>
            <w:gridSpan w:val="4"/>
          </w:tcPr>
          <w:p w:rsidR="002075B5" w:rsidRPr="002075B5" w:rsidRDefault="002075B5" w:rsidP="00EF253B">
            <w:pPr>
              <w:jc w:val="both"/>
              <w:rPr>
                <w:sz w:val="20"/>
                <w:lang w:val="en-CA" w:eastAsia="en-CA"/>
              </w:rPr>
            </w:pPr>
            <w:r w:rsidRPr="002075B5">
              <w:rPr>
                <w:sz w:val="20"/>
                <w:lang w:val="en-CA" w:eastAsia="en-CA"/>
              </w:rPr>
              <w:t xml:space="preserve">The two respondents, who were members of the Canadian Forces, </w:t>
            </w:r>
            <w:proofErr w:type="gramStart"/>
            <w:r w:rsidRPr="002075B5">
              <w:rPr>
                <w:sz w:val="20"/>
                <w:lang w:val="en-CA" w:eastAsia="en-CA"/>
              </w:rPr>
              <w:t>were charged</w:t>
            </w:r>
            <w:proofErr w:type="gramEnd"/>
            <w:r w:rsidRPr="002075B5">
              <w:rPr>
                <w:sz w:val="20"/>
                <w:lang w:val="en-CA" w:eastAsia="en-CA"/>
              </w:rPr>
              <w:t xml:space="preserve"> with sexual assault in two separate cases and were successful at trial. When the applicant appealed the verdicts, the respondents brought motions to quash and dismiss the appeals on the basis that s. 230.1 of the </w:t>
            </w:r>
            <w:r w:rsidRPr="002075B5">
              <w:rPr>
                <w:i/>
                <w:sz w:val="20"/>
                <w:lang w:val="en-CA" w:eastAsia="en-CA"/>
              </w:rPr>
              <w:t xml:space="preserve">National Defence Act </w:t>
            </w:r>
            <w:r w:rsidRPr="002075B5">
              <w:rPr>
                <w:sz w:val="20"/>
                <w:lang w:val="en-CA" w:eastAsia="en-CA"/>
              </w:rPr>
              <w:t xml:space="preserve">is inconsistent with the constitutional requirement of prosecutorial independence. The Court Martial Appeal Court held that s. 230.1 is invalid. The declaration of invalidity </w:t>
            </w:r>
            <w:proofErr w:type="gramStart"/>
            <w:r w:rsidRPr="002075B5">
              <w:rPr>
                <w:sz w:val="20"/>
                <w:lang w:val="en-CA" w:eastAsia="en-CA"/>
              </w:rPr>
              <w:t>was suspended</w:t>
            </w:r>
            <w:proofErr w:type="gramEnd"/>
            <w:r w:rsidRPr="002075B5">
              <w:rPr>
                <w:sz w:val="20"/>
                <w:lang w:val="en-CA" w:eastAsia="en-CA"/>
              </w:rPr>
              <w:t xml:space="preserve"> for a six-month period ending on June 21, 2016. The respondents’ motions </w:t>
            </w:r>
            <w:proofErr w:type="gramStart"/>
            <w:r w:rsidRPr="002075B5">
              <w:rPr>
                <w:sz w:val="20"/>
                <w:lang w:val="en-CA" w:eastAsia="en-CA"/>
              </w:rPr>
              <w:t>were dismissed</w:t>
            </w:r>
            <w:proofErr w:type="gramEnd"/>
            <w:r w:rsidRPr="002075B5">
              <w:rPr>
                <w:sz w:val="20"/>
                <w:lang w:val="en-CA" w:eastAsia="en-CA"/>
              </w:rPr>
              <w:t>, however, and the hearing of the appeals on the merits was adjourned to a date to be determined after the expiry of the period during which the effect of the declaration of invalidity was suspended.</w:t>
            </w:r>
          </w:p>
        </w:tc>
      </w:tr>
      <w:tr w:rsidR="002075B5" w:rsidRPr="002075B5" w:rsidTr="00E95A6A">
        <w:tc>
          <w:tcPr>
            <w:tcW w:w="5000" w:type="pct"/>
            <w:gridSpan w:val="4"/>
          </w:tcPr>
          <w:p w:rsidR="002075B5" w:rsidRPr="002075B5" w:rsidRDefault="002075B5" w:rsidP="00EF253B">
            <w:pPr>
              <w:jc w:val="both"/>
              <w:rPr>
                <w:sz w:val="20"/>
                <w:lang w:val="en-CA"/>
              </w:rPr>
            </w:pPr>
          </w:p>
        </w:tc>
      </w:tr>
      <w:tr w:rsidR="002075B5" w:rsidRPr="002075B5" w:rsidTr="00E95A6A">
        <w:tc>
          <w:tcPr>
            <w:tcW w:w="2427" w:type="pct"/>
            <w:gridSpan w:val="2"/>
          </w:tcPr>
          <w:p w:rsidR="002075B5" w:rsidRPr="002075B5" w:rsidRDefault="002075B5" w:rsidP="00EF253B">
            <w:pPr>
              <w:jc w:val="both"/>
              <w:rPr>
                <w:sz w:val="20"/>
                <w:lang w:val="en-CA" w:eastAsia="en-CA"/>
              </w:rPr>
            </w:pPr>
            <w:r w:rsidRPr="002075B5">
              <w:rPr>
                <w:sz w:val="20"/>
                <w:lang w:val="en-CA" w:eastAsia="en-CA"/>
              </w:rPr>
              <w:t>August 22, 2014</w:t>
            </w:r>
          </w:p>
          <w:p w:rsidR="002075B5" w:rsidRPr="002075B5" w:rsidRDefault="002075B5" w:rsidP="00EF253B">
            <w:pPr>
              <w:jc w:val="both"/>
              <w:rPr>
                <w:sz w:val="20"/>
                <w:lang w:val="en-CA" w:eastAsia="en-CA"/>
              </w:rPr>
            </w:pPr>
            <w:r w:rsidRPr="002075B5">
              <w:rPr>
                <w:sz w:val="20"/>
                <w:lang w:val="en-CA" w:eastAsia="en-CA"/>
              </w:rPr>
              <w:t>General Court Martial</w:t>
            </w:r>
          </w:p>
          <w:p w:rsidR="002075B5" w:rsidRPr="002075B5" w:rsidRDefault="002075B5" w:rsidP="00EF253B">
            <w:pPr>
              <w:jc w:val="both"/>
              <w:rPr>
                <w:sz w:val="20"/>
                <w:lang w:val="en-CA"/>
              </w:rPr>
            </w:pPr>
          </w:p>
        </w:tc>
        <w:tc>
          <w:tcPr>
            <w:tcW w:w="243" w:type="pct"/>
          </w:tcPr>
          <w:p w:rsidR="002075B5" w:rsidRPr="002075B5" w:rsidRDefault="002075B5" w:rsidP="00EF253B">
            <w:pPr>
              <w:jc w:val="both"/>
              <w:rPr>
                <w:sz w:val="20"/>
                <w:lang w:val="en-CA"/>
              </w:rPr>
            </w:pPr>
          </w:p>
        </w:tc>
        <w:tc>
          <w:tcPr>
            <w:tcW w:w="2330" w:type="pct"/>
          </w:tcPr>
          <w:p w:rsidR="002075B5" w:rsidRPr="002075B5" w:rsidRDefault="002075B5" w:rsidP="00EF253B">
            <w:pPr>
              <w:jc w:val="both"/>
              <w:rPr>
                <w:sz w:val="20"/>
                <w:lang w:val="en-CA"/>
              </w:rPr>
            </w:pPr>
            <w:r w:rsidRPr="002075B5">
              <w:rPr>
                <w:sz w:val="20"/>
                <w:lang w:val="en-CA"/>
              </w:rPr>
              <w:t>Respondent Gagnon acquitted on charge of sexual assault</w:t>
            </w:r>
          </w:p>
        </w:tc>
      </w:tr>
      <w:tr w:rsidR="002075B5" w:rsidRPr="002075B5" w:rsidTr="00E95A6A">
        <w:tc>
          <w:tcPr>
            <w:tcW w:w="2427" w:type="pct"/>
            <w:gridSpan w:val="2"/>
          </w:tcPr>
          <w:p w:rsidR="002075B5" w:rsidRPr="002075B5" w:rsidRDefault="002075B5" w:rsidP="00EF253B">
            <w:pPr>
              <w:jc w:val="both"/>
              <w:rPr>
                <w:sz w:val="20"/>
                <w:lang w:val="en-CA"/>
              </w:rPr>
            </w:pPr>
            <w:r w:rsidRPr="002075B5">
              <w:rPr>
                <w:sz w:val="20"/>
                <w:lang w:val="en-CA"/>
              </w:rPr>
              <w:t>January 13, 2015</w:t>
            </w:r>
          </w:p>
          <w:p w:rsidR="002075B5" w:rsidRPr="002075B5" w:rsidRDefault="002075B5" w:rsidP="00EF253B">
            <w:pPr>
              <w:jc w:val="both"/>
              <w:rPr>
                <w:sz w:val="20"/>
                <w:lang w:val="en-CA"/>
              </w:rPr>
            </w:pPr>
            <w:r w:rsidRPr="002075B5">
              <w:rPr>
                <w:sz w:val="20"/>
                <w:lang w:val="en-CA"/>
              </w:rPr>
              <w:t>Standing Court Martial</w:t>
            </w:r>
          </w:p>
          <w:p w:rsidR="002075B5" w:rsidRPr="002075B5" w:rsidRDefault="002075B5" w:rsidP="00EF253B">
            <w:pPr>
              <w:jc w:val="both"/>
              <w:rPr>
                <w:sz w:val="20"/>
                <w:lang w:val="en-CA"/>
              </w:rPr>
            </w:pPr>
            <w:r w:rsidRPr="002075B5">
              <w:rPr>
                <w:sz w:val="20"/>
                <w:lang w:val="en-CA"/>
              </w:rPr>
              <w:t>(Dutil M.J.)</w:t>
            </w:r>
          </w:p>
          <w:p w:rsidR="002075B5" w:rsidRDefault="002075B5" w:rsidP="00EF253B">
            <w:pPr>
              <w:jc w:val="both"/>
              <w:rPr>
                <w:color w:val="0000FF" w:themeColor="hyperlink"/>
                <w:sz w:val="20"/>
                <w:u w:val="single"/>
                <w:lang w:val="en-CA" w:eastAsia="en-CA"/>
              </w:rPr>
            </w:pPr>
            <w:hyperlink r:id="rId9" w:history="1">
              <w:r w:rsidRPr="002075B5">
                <w:rPr>
                  <w:color w:val="0000FF" w:themeColor="hyperlink"/>
                  <w:sz w:val="20"/>
                  <w:u w:val="single"/>
                  <w:lang w:val="en-CA" w:eastAsia="en-CA"/>
                </w:rPr>
                <w:t>2015 CM 1001</w:t>
              </w:r>
            </w:hyperlink>
          </w:p>
          <w:p w:rsidR="00AF46DD" w:rsidRPr="002075B5" w:rsidRDefault="00AF46DD" w:rsidP="00EF253B">
            <w:pPr>
              <w:jc w:val="both"/>
              <w:rPr>
                <w:sz w:val="20"/>
                <w:lang w:val="en-CA"/>
              </w:rPr>
            </w:pPr>
          </w:p>
        </w:tc>
        <w:tc>
          <w:tcPr>
            <w:tcW w:w="243" w:type="pct"/>
          </w:tcPr>
          <w:p w:rsidR="002075B5" w:rsidRPr="002075B5" w:rsidRDefault="002075B5" w:rsidP="00EF253B">
            <w:pPr>
              <w:jc w:val="both"/>
              <w:rPr>
                <w:sz w:val="20"/>
                <w:lang w:val="en-CA"/>
              </w:rPr>
            </w:pPr>
          </w:p>
        </w:tc>
        <w:tc>
          <w:tcPr>
            <w:tcW w:w="2330" w:type="pct"/>
          </w:tcPr>
          <w:p w:rsidR="002075B5" w:rsidRPr="002075B5" w:rsidRDefault="002075B5" w:rsidP="00EF253B">
            <w:pPr>
              <w:jc w:val="both"/>
              <w:rPr>
                <w:sz w:val="20"/>
                <w:lang w:val="en-CA"/>
              </w:rPr>
            </w:pPr>
            <w:r w:rsidRPr="002075B5">
              <w:rPr>
                <w:sz w:val="20"/>
                <w:lang w:val="en-CA" w:eastAsia="en-CA"/>
              </w:rPr>
              <w:t>Respondent Thibault’s plea in bar of trial allowed: charge of sexual assault against respondent Thibault did not disclose service offence</w:t>
            </w:r>
          </w:p>
          <w:p w:rsidR="002075B5" w:rsidRPr="002075B5" w:rsidRDefault="002075B5" w:rsidP="00EF253B">
            <w:pPr>
              <w:jc w:val="both"/>
              <w:rPr>
                <w:sz w:val="20"/>
                <w:lang w:val="en-CA"/>
              </w:rPr>
            </w:pPr>
          </w:p>
        </w:tc>
      </w:tr>
      <w:tr w:rsidR="002075B5" w:rsidRPr="002075B5" w:rsidTr="00E95A6A">
        <w:tc>
          <w:tcPr>
            <w:tcW w:w="2427" w:type="pct"/>
            <w:gridSpan w:val="2"/>
          </w:tcPr>
          <w:p w:rsidR="002075B5" w:rsidRPr="002075B5" w:rsidRDefault="002075B5" w:rsidP="00EF253B">
            <w:pPr>
              <w:jc w:val="both"/>
              <w:rPr>
                <w:sz w:val="20"/>
                <w:lang w:val="en-CA"/>
              </w:rPr>
            </w:pPr>
            <w:r w:rsidRPr="002075B5">
              <w:rPr>
                <w:sz w:val="20"/>
                <w:lang w:val="en-CA"/>
              </w:rPr>
              <w:t>December 21, 2015</w:t>
            </w:r>
          </w:p>
          <w:p w:rsidR="002075B5" w:rsidRPr="002075B5" w:rsidRDefault="002075B5" w:rsidP="00EF253B">
            <w:pPr>
              <w:jc w:val="both"/>
              <w:rPr>
                <w:sz w:val="20"/>
                <w:lang w:val="en-CA"/>
              </w:rPr>
            </w:pPr>
            <w:r w:rsidRPr="002075B5">
              <w:rPr>
                <w:sz w:val="20"/>
                <w:lang w:val="en-CA"/>
              </w:rPr>
              <w:t>Court Martial Appeal Court of Canada</w:t>
            </w:r>
          </w:p>
          <w:p w:rsidR="002075B5" w:rsidRPr="002075B5" w:rsidRDefault="002075B5" w:rsidP="00EF253B">
            <w:pPr>
              <w:jc w:val="both"/>
              <w:rPr>
                <w:sz w:val="20"/>
                <w:lang w:val="en-CA"/>
              </w:rPr>
            </w:pPr>
            <w:r w:rsidRPr="002075B5">
              <w:rPr>
                <w:sz w:val="20"/>
                <w:lang w:val="en-CA"/>
              </w:rPr>
              <w:t>(Bell C.J. and Deschênes and Cournoyer JJ.A.)</w:t>
            </w:r>
          </w:p>
          <w:p w:rsidR="002075B5" w:rsidRPr="002075B5" w:rsidRDefault="002075B5" w:rsidP="00EF253B">
            <w:pPr>
              <w:jc w:val="both"/>
              <w:rPr>
                <w:sz w:val="20"/>
                <w:lang w:val="en-CA" w:eastAsia="en-CA"/>
              </w:rPr>
            </w:pPr>
            <w:hyperlink r:id="rId10" w:history="1">
              <w:r w:rsidRPr="002075B5">
                <w:rPr>
                  <w:color w:val="0000FF" w:themeColor="hyperlink"/>
                  <w:sz w:val="20"/>
                  <w:u w:val="single"/>
                  <w:lang w:val="en-CA" w:eastAsia="en-CA"/>
                </w:rPr>
                <w:t>2015 CMAC 2</w:t>
              </w:r>
            </w:hyperlink>
          </w:p>
          <w:p w:rsidR="002075B5" w:rsidRPr="002075B5" w:rsidRDefault="002075B5" w:rsidP="00EF253B">
            <w:pPr>
              <w:jc w:val="both"/>
              <w:rPr>
                <w:sz w:val="20"/>
                <w:lang w:val="en-CA"/>
              </w:rPr>
            </w:pPr>
          </w:p>
        </w:tc>
        <w:tc>
          <w:tcPr>
            <w:tcW w:w="243" w:type="pct"/>
          </w:tcPr>
          <w:p w:rsidR="002075B5" w:rsidRPr="002075B5" w:rsidRDefault="002075B5" w:rsidP="00EF253B">
            <w:pPr>
              <w:jc w:val="both"/>
              <w:rPr>
                <w:sz w:val="20"/>
                <w:lang w:val="en-CA"/>
              </w:rPr>
            </w:pPr>
          </w:p>
        </w:tc>
        <w:tc>
          <w:tcPr>
            <w:tcW w:w="2330" w:type="pct"/>
          </w:tcPr>
          <w:p w:rsidR="002075B5" w:rsidRPr="002075B5" w:rsidRDefault="002075B5" w:rsidP="00EF253B">
            <w:pPr>
              <w:jc w:val="both"/>
              <w:rPr>
                <w:sz w:val="20"/>
                <w:lang w:val="en-CA"/>
              </w:rPr>
            </w:pPr>
            <w:r w:rsidRPr="002075B5">
              <w:rPr>
                <w:sz w:val="20"/>
                <w:lang w:val="en-CA" w:eastAsia="en-CA"/>
              </w:rPr>
              <w:t xml:space="preserve">Respondents’ motions to quash and dismiss applicant’s appeals dismissed; s. 230.1 of </w:t>
            </w:r>
            <w:r w:rsidRPr="002075B5">
              <w:rPr>
                <w:i/>
                <w:sz w:val="20"/>
                <w:lang w:val="en-CA" w:eastAsia="en-CA"/>
              </w:rPr>
              <w:t>National Defence Act</w:t>
            </w:r>
            <w:r w:rsidRPr="002075B5">
              <w:rPr>
                <w:sz w:val="20"/>
                <w:lang w:val="en-CA" w:eastAsia="en-CA"/>
              </w:rPr>
              <w:t xml:space="preserve"> held to be invalid, and declaration of invalidity suspended for six months; hearing of appeals on merits adjourned</w:t>
            </w:r>
          </w:p>
          <w:p w:rsidR="002075B5" w:rsidRPr="002075B5" w:rsidRDefault="002075B5" w:rsidP="00EF253B">
            <w:pPr>
              <w:jc w:val="both"/>
              <w:rPr>
                <w:sz w:val="20"/>
                <w:lang w:val="en-CA"/>
              </w:rPr>
            </w:pPr>
          </w:p>
        </w:tc>
      </w:tr>
      <w:tr w:rsidR="002075B5" w:rsidRPr="002075B5" w:rsidTr="00E95A6A">
        <w:tc>
          <w:tcPr>
            <w:tcW w:w="2427" w:type="pct"/>
            <w:gridSpan w:val="2"/>
          </w:tcPr>
          <w:p w:rsidR="002075B5" w:rsidRPr="002075B5" w:rsidRDefault="002075B5" w:rsidP="00EF253B">
            <w:pPr>
              <w:jc w:val="both"/>
              <w:rPr>
                <w:sz w:val="20"/>
                <w:lang w:val="en-CA"/>
              </w:rPr>
            </w:pPr>
            <w:r w:rsidRPr="002075B5">
              <w:rPr>
                <w:sz w:val="20"/>
                <w:lang w:val="en-CA"/>
              </w:rPr>
              <w:t>February 9, 2016</w:t>
            </w:r>
          </w:p>
          <w:p w:rsidR="002075B5" w:rsidRDefault="002075B5" w:rsidP="00EF253B">
            <w:pPr>
              <w:jc w:val="both"/>
              <w:rPr>
                <w:sz w:val="20"/>
                <w:lang w:val="en-CA"/>
              </w:rPr>
            </w:pPr>
            <w:r w:rsidRPr="002075B5">
              <w:rPr>
                <w:sz w:val="20"/>
                <w:lang w:val="en-CA"/>
              </w:rPr>
              <w:t>Supreme Court of Canada</w:t>
            </w:r>
          </w:p>
          <w:p w:rsidR="00E97AD7" w:rsidRPr="002075B5" w:rsidRDefault="00E97AD7" w:rsidP="00EF253B">
            <w:pPr>
              <w:jc w:val="both"/>
              <w:rPr>
                <w:sz w:val="20"/>
                <w:lang w:val="en-CA"/>
              </w:rPr>
            </w:pPr>
          </w:p>
        </w:tc>
        <w:tc>
          <w:tcPr>
            <w:tcW w:w="243" w:type="pct"/>
          </w:tcPr>
          <w:p w:rsidR="002075B5" w:rsidRPr="002075B5" w:rsidRDefault="002075B5" w:rsidP="00EF253B">
            <w:pPr>
              <w:jc w:val="both"/>
              <w:rPr>
                <w:sz w:val="20"/>
                <w:lang w:val="en-CA"/>
              </w:rPr>
            </w:pPr>
          </w:p>
        </w:tc>
        <w:tc>
          <w:tcPr>
            <w:tcW w:w="2330" w:type="pct"/>
          </w:tcPr>
          <w:p w:rsidR="002075B5" w:rsidRPr="002075B5" w:rsidRDefault="002075B5" w:rsidP="00EF253B">
            <w:pPr>
              <w:jc w:val="both"/>
              <w:rPr>
                <w:sz w:val="20"/>
                <w:lang w:val="en-CA"/>
              </w:rPr>
            </w:pPr>
            <w:r w:rsidRPr="002075B5">
              <w:rPr>
                <w:sz w:val="20"/>
                <w:lang w:val="en-CA"/>
              </w:rPr>
              <w:t>Application for leave to appeal filed</w:t>
            </w:r>
          </w:p>
          <w:p w:rsidR="002075B5" w:rsidRPr="002075B5" w:rsidRDefault="002075B5" w:rsidP="00EF253B">
            <w:pPr>
              <w:jc w:val="both"/>
              <w:rPr>
                <w:sz w:val="20"/>
                <w:lang w:val="en-CA"/>
              </w:rPr>
            </w:pPr>
          </w:p>
        </w:tc>
      </w:tr>
    </w:tbl>
    <w:p w:rsidR="002075B5" w:rsidRPr="002075B5" w:rsidRDefault="002075B5" w:rsidP="00EF253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75B5" w:rsidRPr="002075B5" w:rsidTr="00E95A6A">
        <w:tc>
          <w:tcPr>
            <w:tcW w:w="543" w:type="pct"/>
          </w:tcPr>
          <w:p w:rsidR="002075B5" w:rsidRPr="002075B5" w:rsidRDefault="002075B5" w:rsidP="00EF253B">
            <w:pPr>
              <w:jc w:val="both"/>
              <w:rPr>
                <w:sz w:val="20"/>
              </w:rPr>
            </w:pPr>
            <w:r w:rsidRPr="002075B5">
              <w:rPr>
                <w:rStyle w:val="SCCFileNumberChar"/>
                <w:sz w:val="20"/>
                <w:szCs w:val="20"/>
              </w:rPr>
              <w:t>36844</w:t>
            </w:r>
          </w:p>
        </w:tc>
        <w:tc>
          <w:tcPr>
            <w:tcW w:w="4457" w:type="pct"/>
            <w:gridSpan w:val="3"/>
          </w:tcPr>
          <w:p w:rsidR="002075B5" w:rsidRPr="00433537" w:rsidRDefault="002075B5" w:rsidP="00EF253B">
            <w:pPr>
              <w:pStyle w:val="SCCLsocParty"/>
              <w:jc w:val="both"/>
              <w:rPr>
                <w:b/>
                <w:sz w:val="20"/>
                <w:szCs w:val="20"/>
              </w:rPr>
            </w:pPr>
            <w:r w:rsidRPr="00433537">
              <w:rPr>
                <w:b/>
                <w:sz w:val="20"/>
                <w:szCs w:val="20"/>
              </w:rPr>
              <w:t>Sa Majesté la Reine c. J.G.A. Gagnon</w:t>
            </w:r>
          </w:p>
          <w:p w:rsidR="002075B5" w:rsidRPr="00433537" w:rsidRDefault="002075B5" w:rsidP="00EF253B">
            <w:pPr>
              <w:pStyle w:val="SCCLsocSubfileSeparator"/>
              <w:rPr>
                <w:sz w:val="20"/>
                <w:szCs w:val="20"/>
              </w:rPr>
            </w:pPr>
            <w:r w:rsidRPr="00433537">
              <w:rPr>
                <w:sz w:val="20"/>
                <w:szCs w:val="20"/>
              </w:rPr>
              <w:t>- et entre -</w:t>
            </w:r>
          </w:p>
          <w:p w:rsidR="002075B5" w:rsidRPr="00433537" w:rsidRDefault="002075B5" w:rsidP="00EF253B">
            <w:pPr>
              <w:pStyle w:val="SCCLsocParty"/>
              <w:jc w:val="both"/>
              <w:rPr>
                <w:b/>
                <w:sz w:val="20"/>
                <w:szCs w:val="20"/>
              </w:rPr>
            </w:pPr>
            <w:r w:rsidRPr="00433537">
              <w:rPr>
                <w:b/>
                <w:sz w:val="20"/>
                <w:szCs w:val="20"/>
              </w:rPr>
              <w:t>Sa Majesté la Reine c. A.J.R. Thibault</w:t>
            </w:r>
          </w:p>
          <w:p w:rsidR="002075B5" w:rsidRPr="002075B5" w:rsidRDefault="002075B5" w:rsidP="00EF253B">
            <w:pPr>
              <w:jc w:val="both"/>
              <w:rPr>
                <w:sz w:val="20"/>
              </w:rPr>
            </w:pPr>
            <w:r w:rsidRPr="002075B5">
              <w:rPr>
                <w:sz w:val="20"/>
              </w:rPr>
              <w:t>(CF) (Criminelle) (Autorisation)</w:t>
            </w:r>
          </w:p>
        </w:tc>
      </w:tr>
      <w:tr w:rsidR="002075B5" w:rsidRPr="002075B5" w:rsidTr="00E95A6A">
        <w:tc>
          <w:tcPr>
            <w:tcW w:w="5000" w:type="pct"/>
            <w:gridSpan w:val="4"/>
          </w:tcPr>
          <w:p w:rsidR="002075B5" w:rsidRPr="002075B5" w:rsidRDefault="002075B5" w:rsidP="00EF253B">
            <w:pPr>
              <w:jc w:val="both"/>
              <w:rPr>
                <w:sz w:val="20"/>
              </w:rPr>
            </w:pPr>
            <w:proofErr w:type="spellStart"/>
            <w:r w:rsidRPr="002075B5">
              <w:rPr>
                <w:i/>
                <w:sz w:val="20"/>
              </w:rPr>
              <w:t>Charte</w:t>
            </w:r>
            <w:proofErr w:type="spellEnd"/>
            <w:r w:rsidRPr="002075B5">
              <w:rPr>
                <w:i/>
                <w:sz w:val="20"/>
              </w:rPr>
              <w:t xml:space="preserve"> des droits</w:t>
            </w:r>
            <w:r w:rsidRPr="002075B5">
              <w:rPr>
                <w:sz w:val="20"/>
              </w:rPr>
              <w:t xml:space="preserve"> – Justice fondamentale – Indépendance du poursuivant – Appels – Tribunaux – Compétence – L’article 230.1 de la </w:t>
            </w:r>
            <w:r w:rsidRPr="002075B5">
              <w:rPr>
                <w:i/>
                <w:sz w:val="20"/>
              </w:rPr>
              <w:t>Loi sur la défense nationale</w:t>
            </w:r>
            <w:r w:rsidRPr="002075B5">
              <w:rPr>
                <w:sz w:val="20"/>
              </w:rPr>
              <w:t xml:space="preserve">, L.R.C. 1985, c. N-5, viole-t-il l’art. 7 de la </w:t>
            </w:r>
            <w:r w:rsidRPr="002075B5">
              <w:rPr>
                <w:i/>
                <w:sz w:val="20"/>
              </w:rPr>
              <w:t>Charte canadienne des droits et libertés</w:t>
            </w:r>
            <w:r w:rsidRPr="002075B5">
              <w:rPr>
                <w:sz w:val="20"/>
              </w:rPr>
              <w:t xml:space="preserve">? </w:t>
            </w:r>
            <w:proofErr w:type="gramStart"/>
            <w:r w:rsidRPr="002075B5">
              <w:rPr>
                <w:sz w:val="20"/>
              </w:rPr>
              <w:t>– Dans</w:t>
            </w:r>
            <w:proofErr w:type="gramEnd"/>
            <w:r w:rsidRPr="002075B5">
              <w:rPr>
                <w:sz w:val="20"/>
              </w:rPr>
              <w:t xml:space="preserve"> l’affirmative, cette atteinte constitue-t-elle une limite raisonnable prescrite par une règle de droit dont la justification peut se démontrer dans le cadre d’une société libre et démocratique suivant l’article premier de la </w:t>
            </w:r>
            <w:r w:rsidRPr="002075B5">
              <w:rPr>
                <w:i/>
                <w:sz w:val="20"/>
              </w:rPr>
              <w:t>Charte</w:t>
            </w:r>
            <w:r w:rsidRPr="002075B5">
              <w:rPr>
                <w:sz w:val="20"/>
              </w:rPr>
              <w:t>?</w:t>
            </w:r>
          </w:p>
          <w:p w:rsidR="002075B5" w:rsidRPr="002075B5" w:rsidRDefault="002075B5" w:rsidP="00EF253B">
            <w:pPr>
              <w:jc w:val="both"/>
              <w:rPr>
                <w:sz w:val="20"/>
              </w:rPr>
            </w:pPr>
          </w:p>
        </w:tc>
      </w:tr>
      <w:tr w:rsidR="002075B5" w:rsidRPr="002075B5" w:rsidTr="00E95A6A">
        <w:tc>
          <w:tcPr>
            <w:tcW w:w="5000" w:type="pct"/>
            <w:gridSpan w:val="4"/>
          </w:tcPr>
          <w:p w:rsidR="002075B5" w:rsidRPr="002075B5" w:rsidRDefault="002075B5" w:rsidP="00EF253B">
            <w:pPr>
              <w:jc w:val="both"/>
              <w:rPr>
                <w:sz w:val="20"/>
                <w:lang w:eastAsia="en-CA"/>
              </w:rPr>
            </w:pPr>
            <w:r w:rsidRPr="002075B5">
              <w:rPr>
                <w:sz w:val="20"/>
                <w:lang w:eastAsia="en-CA"/>
              </w:rPr>
              <w:t xml:space="preserve">Les deux intimés, membres des Forces canadiennes, ont été accusés d’agression sexuelle dans deux dossiers distincts et ont eu gain de cause en première instance. Lors des appels interjetés par la demanderesse, les intimés ont présenté des requêtes en annulation et rejet des appels, se fondant sur la prétention que l’art. 230.1 de la </w:t>
            </w:r>
            <w:r w:rsidRPr="002075B5">
              <w:rPr>
                <w:i/>
                <w:sz w:val="20"/>
                <w:lang w:eastAsia="en-CA"/>
              </w:rPr>
              <w:t xml:space="preserve">Loi sur la défense nationale </w:t>
            </w:r>
            <w:r w:rsidRPr="002075B5">
              <w:rPr>
                <w:sz w:val="20"/>
                <w:lang w:eastAsia="en-CA"/>
              </w:rPr>
              <w:t xml:space="preserve">ne respectait pas l’exigence constitutionnelle d’indépendance du poursuivant. La Cour d’appel de la cour martiale a jugé que l’art. 230.1 était invalide. La déclaration d’invalidité </w:t>
            </w:r>
            <w:proofErr w:type="gramStart"/>
            <w:r w:rsidRPr="002075B5">
              <w:rPr>
                <w:sz w:val="20"/>
                <w:lang w:eastAsia="en-CA"/>
              </w:rPr>
              <w:t>a</w:t>
            </w:r>
            <w:proofErr w:type="gramEnd"/>
            <w:r w:rsidRPr="002075B5">
              <w:rPr>
                <w:sz w:val="20"/>
                <w:lang w:eastAsia="en-CA"/>
              </w:rPr>
              <w:t xml:space="preserve"> été suspendue pour une période de six mois, qui se termine le 21 juin 2016. Les requêtes des intimés ont toutefois été rejetées et l’audition des appels au fond a été ajournée à une date à déterminer après la période de suspension de l’effet de la déclaration d’invalidité.</w:t>
            </w:r>
          </w:p>
        </w:tc>
      </w:tr>
      <w:tr w:rsidR="002075B5" w:rsidRPr="002075B5" w:rsidTr="00E95A6A">
        <w:tc>
          <w:tcPr>
            <w:tcW w:w="5000" w:type="pct"/>
            <w:gridSpan w:val="4"/>
          </w:tcPr>
          <w:p w:rsidR="002075B5" w:rsidRPr="002075B5" w:rsidRDefault="002075B5" w:rsidP="00EF253B">
            <w:pPr>
              <w:jc w:val="both"/>
              <w:rPr>
                <w:sz w:val="20"/>
              </w:rPr>
            </w:pPr>
          </w:p>
        </w:tc>
      </w:tr>
      <w:tr w:rsidR="002075B5" w:rsidRPr="002075B5" w:rsidTr="00E95A6A">
        <w:tc>
          <w:tcPr>
            <w:tcW w:w="2427" w:type="pct"/>
            <w:gridSpan w:val="2"/>
          </w:tcPr>
          <w:p w:rsidR="002075B5" w:rsidRPr="002075B5" w:rsidRDefault="002075B5" w:rsidP="00EF253B">
            <w:pPr>
              <w:jc w:val="both"/>
              <w:rPr>
                <w:sz w:val="20"/>
                <w:lang w:eastAsia="en-CA"/>
              </w:rPr>
            </w:pPr>
            <w:r w:rsidRPr="002075B5">
              <w:rPr>
                <w:sz w:val="20"/>
                <w:lang w:eastAsia="en-CA"/>
              </w:rPr>
              <w:t>Le 22 août 2014</w:t>
            </w:r>
          </w:p>
          <w:p w:rsidR="002075B5" w:rsidRPr="002075B5" w:rsidRDefault="002075B5" w:rsidP="00EF253B">
            <w:pPr>
              <w:jc w:val="both"/>
              <w:rPr>
                <w:sz w:val="20"/>
                <w:lang w:eastAsia="en-CA"/>
              </w:rPr>
            </w:pPr>
            <w:r w:rsidRPr="002075B5">
              <w:rPr>
                <w:sz w:val="20"/>
                <w:lang w:eastAsia="en-CA"/>
              </w:rPr>
              <w:t>Cour martiale générale</w:t>
            </w:r>
          </w:p>
          <w:p w:rsidR="002075B5" w:rsidRPr="002075B5" w:rsidRDefault="002075B5" w:rsidP="00EF253B">
            <w:pPr>
              <w:jc w:val="both"/>
              <w:rPr>
                <w:sz w:val="20"/>
              </w:rPr>
            </w:pPr>
          </w:p>
        </w:tc>
        <w:tc>
          <w:tcPr>
            <w:tcW w:w="243" w:type="pct"/>
          </w:tcPr>
          <w:p w:rsidR="002075B5" w:rsidRPr="002075B5" w:rsidRDefault="002075B5" w:rsidP="00EF253B">
            <w:pPr>
              <w:jc w:val="both"/>
              <w:rPr>
                <w:sz w:val="20"/>
              </w:rPr>
            </w:pPr>
          </w:p>
        </w:tc>
        <w:tc>
          <w:tcPr>
            <w:tcW w:w="2330" w:type="pct"/>
          </w:tcPr>
          <w:p w:rsidR="002075B5" w:rsidRPr="002075B5" w:rsidRDefault="002075B5" w:rsidP="00EF253B">
            <w:pPr>
              <w:jc w:val="both"/>
              <w:rPr>
                <w:sz w:val="20"/>
              </w:rPr>
            </w:pPr>
            <w:r w:rsidRPr="002075B5">
              <w:rPr>
                <w:sz w:val="20"/>
              </w:rPr>
              <w:t>Intimé Gagnon acquitté d’une accusation d’agression sexuelle</w:t>
            </w:r>
          </w:p>
        </w:tc>
      </w:tr>
      <w:tr w:rsidR="002075B5" w:rsidRPr="002075B5" w:rsidTr="00E95A6A">
        <w:tc>
          <w:tcPr>
            <w:tcW w:w="2427" w:type="pct"/>
            <w:gridSpan w:val="2"/>
          </w:tcPr>
          <w:p w:rsidR="002075B5" w:rsidRPr="002075B5" w:rsidRDefault="002075B5" w:rsidP="00EF253B">
            <w:pPr>
              <w:jc w:val="both"/>
              <w:rPr>
                <w:sz w:val="20"/>
              </w:rPr>
            </w:pPr>
            <w:r w:rsidRPr="002075B5">
              <w:rPr>
                <w:sz w:val="20"/>
              </w:rPr>
              <w:t>Le 13 janvier 2015</w:t>
            </w:r>
          </w:p>
          <w:p w:rsidR="002075B5" w:rsidRPr="002075B5" w:rsidRDefault="002075B5" w:rsidP="00EF253B">
            <w:pPr>
              <w:jc w:val="both"/>
              <w:rPr>
                <w:sz w:val="20"/>
              </w:rPr>
            </w:pPr>
            <w:r w:rsidRPr="002075B5">
              <w:rPr>
                <w:sz w:val="20"/>
              </w:rPr>
              <w:t>Cour martiale permanente</w:t>
            </w:r>
          </w:p>
          <w:p w:rsidR="002075B5" w:rsidRPr="002075B5" w:rsidRDefault="002075B5" w:rsidP="00EF253B">
            <w:pPr>
              <w:jc w:val="both"/>
              <w:rPr>
                <w:sz w:val="20"/>
              </w:rPr>
            </w:pPr>
            <w:r w:rsidRPr="002075B5">
              <w:rPr>
                <w:sz w:val="20"/>
              </w:rPr>
              <w:t xml:space="preserve">(Le </w:t>
            </w:r>
            <w:proofErr w:type="spellStart"/>
            <w:r w:rsidRPr="002075B5">
              <w:rPr>
                <w:sz w:val="20"/>
              </w:rPr>
              <w:t>juge</w:t>
            </w:r>
            <w:proofErr w:type="spellEnd"/>
            <w:r w:rsidRPr="002075B5">
              <w:rPr>
                <w:sz w:val="20"/>
              </w:rPr>
              <w:t xml:space="preserve"> </w:t>
            </w:r>
            <w:proofErr w:type="spellStart"/>
            <w:r w:rsidRPr="002075B5">
              <w:rPr>
                <w:sz w:val="20"/>
              </w:rPr>
              <w:t>militaire</w:t>
            </w:r>
            <w:proofErr w:type="spellEnd"/>
            <w:r w:rsidRPr="002075B5">
              <w:rPr>
                <w:sz w:val="20"/>
              </w:rPr>
              <w:t xml:space="preserve"> </w:t>
            </w:r>
            <w:proofErr w:type="spellStart"/>
            <w:r w:rsidRPr="002075B5">
              <w:rPr>
                <w:sz w:val="20"/>
              </w:rPr>
              <w:t>Dutil</w:t>
            </w:r>
            <w:proofErr w:type="spellEnd"/>
            <w:r w:rsidRPr="002075B5">
              <w:rPr>
                <w:sz w:val="20"/>
              </w:rPr>
              <w:t>)</w:t>
            </w:r>
          </w:p>
          <w:p w:rsidR="002075B5" w:rsidRDefault="002075B5" w:rsidP="00EF253B">
            <w:pPr>
              <w:jc w:val="both"/>
              <w:rPr>
                <w:color w:val="0000FF" w:themeColor="hyperlink"/>
                <w:sz w:val="20"/>
                <w:u w:val="single"/>
                <w:lang w:eastAsia="en-CA"/>
              </w:rPr>
            </w:pPr>
            <w:hyperlink r:id="rId11" w:history="1">
              <w:r w:rsidRPr="002075B5">
                <w:rPr>
                  <w:color w:val="0000FF" w:themeColor="hyperlink"/>
                  <w:sz w:val="20"/>
                  <w:u w:val="single"/>
                  <w:lang w:eastAsia="en-CA"/>
                </w:rPr>
                <w:t>2015 CM 1001</w:t>
              </w:r>
            </w:hyperlink>
          </w:p>
          <w:p w:rsidR="00433537" w:rsidRPr="002075B5" w:rsidRDefault="00433537" w:rsidP="00EF253B">
            <w:pPr>
              <w:jc w:val="both"/>
              <w:rPr>
                <w:sz w:val="20"/>
              </w:rPr>
            </w:pPr>
          </w:p>
        </w:tc>
        <w:tc>
          <w:tcPr>
            <w:tcW w:w="243" w:type="pct"/>
          </w:tcPr>
          <w:p w:rsidR="002075B5" w:rsidRPr="002075B5" w:rsidRDefault="002075B5" w:rsidP="00EF253B">
            <w:pPr>
              <w:jc w:val="both"/>
              <w:rPr>
                <w:sz w:val="20"/>
              </w:rPr>
            </w:pPr>
          </w:p>
        </w:tc>
        <w:tc>
          <w:tcPr>
            <w:tcW w:w="2330" w:type="pct"/>
          </w:tcPr>
          <w:p w:rsidR="002075B5" w:rsidRPr="002075B5" w:rsidRDefault="002075B5" w:rsidP="00EF253B">
            <w:pPr>
              <w:jc w:val="both"/>
              <w:rPr>
                <w:sz w:val="20"/>
              </w:rPr>
            </w:pPr>
            <w:r w:rsidRPr="002075B5">
              <w:rPr>
                <w:sz w:val="20"/>
                <w:lang w:eastAsia="en-CA"/>
              </w:rPr>
              <w:t>Fin de non-recevoir de l’intimé Thibault accueillie : l’accusation d’agression sexuelle contre l’intimé Thibault ne révèle pas une infraction d’ordre militaire</w:t>
            </w:r>
          </w:p>
          <w:p w:rsidR="002075B5" w:rsidRPr="002075B5" w:rsidRDefault="002075B5" w:rsidP="00EF253B">
            <w:pPr>
              <w:jc w:val="both"/>
              <w:rPr>
                <w:sz w:val="20"/>
              </w:rPr>
            </w:pPr>
          </w:p>
        </w:tc>
      </w:tr>
      <w:tr w:rsidR="002075B5" w:rsidRPr="002075B5" w:rsidTr="00E95A6A">
        <w:tc>
          <w:tcPr>
            <w:tcW w:w="2427" w:type="pct"/>
            <w:gridSpan w:val="2"/>
          </w:tcPr>
          <w:p w:rsidR="002075B5" w:rsidRPr="002075B5" w:rsidRDefault="002075B5" w:rsidP="00EF253B">
            <w:pPr>
              <w:jc w:val="both"/>
              <w:rPr>
                <w:sz w:val="20"/>
              </w:rPr>
            </w:pPr>
            <w:r w:rsidRPr="002075B5">
              <w:rPr>
                <w:sz w:val="20"/>
              </w:rPr>
              <w:t>Le 21 décembre 2015</w:t>
            </w:r>
          </w:p>
          <w:p w:rsidR="002075B5" w:rsidRPr="002075B5" w:rsidRDefault="002075B5" w:rsidP="00EF253B">
            <w:pPr>
              <w:jc w:val="both"/>
              <w:rPr>
                <w:sz w:val="20"/>
              </w:rPr>
            </w:pPr>
            <w:r w:rsidRPr="002075B5">
              <w:rPr>
                <w:sz w:val="20"/>
              </w:rPr>
              <w:t>Cour d’appel de la cour martiale du Canada</w:t>
            </w:r>
          </w:p>
          <w:p w:rsidR="002075B5" w:rsidRPr="002075B5" w:rsidRDefault="002075B5" w:rsidP="00EF253B">
            <w:pPr>
              <w:jc w:val="both"/>
              <w:rPr>
                <w:sz w:val="20"/>
              </w:rPr>
            </w:pPr>
            <w:r w:rsidRPr="002075B5">
              <w:rPr>
                <w:sz w:val="20"/>
              </w:rPr>
              <w:t xml:space="preserve">(Le juge en chef Bell et les </w:t>
            </w:r>
            <w:proofErr w:type="spellStart"/>
            <w:r w:rsidRPr="002075B5">
              <w:rPr>
                <w:sz w:val="20"/>
              </w:rPr>
              <w:t>juges</w:t>
            </w:r>
            <w:proofErr w:type="spellEnd"/>
            <w:r w:rsidRPr="002075B5">
              <w:rPr>
                <w:sz w:val="20"/>
              </w:rPr>
              <w:t xml:space="preserve"> </w:t>
            </w:r>
            <w:proofErr w:type="spellStart"/>
            <w:r w:rsidRPr="002075B5">
              <w:rPr>
                <w:sz w:val="20"/>
              </w:rPr>
              <w:t>Deschênes</w:t>
            </w:r>
            <w:proofErr w:type="spellEnd"/>
            <w:r w:rsidRPr="002075B5">
              <w:rPr>
                <w:sz w:val="20"/>
              </w:rPr>
              <w:t xml:space="preserve"> et </w:t>
            </w:r>
            <w:proofErr w:type="spellStart"/>
            <w:r w:rsidRPr="002075B5">
              <w:rPr>
                <w:sz w:val="20"/>
              </w:rPr>
              <w:t>Cournoyer</w:t>
            </w:r>
            <w:proofErr w:type="spellEnd"/>
            <w:r w:rsidRPr="002075B5">
              <w:rPr>
                <w:sz w:val="20"/>
              </w:rPr>
              <w:t>)</w:t>
            </w:r>
          </w:p>
          <w:p w:rsidR="002075B5" w:rsidRPr="002075B5" w:rsidRDefault="002075B5" w:rsidP="00EF253B">
            <w:pPr>
              <w:jc w:val="both"/>
              <w:rPr>
                <w:sz w:val="20"/>
                <w:lang w:eastAsia="en-CA"/>
              </w:rPr>
            </w:pPr>
            <w:hyperlink r:id="rId12" w:history="1">
              <w:r w:rsidRPr="002075B5">
                <w:rPr>
                  <w:color w:val="0000FF" w:themeColor="hyperlink"/>
                  <w:sz w:val="20"/>
                  <w:u w:val="single"/>
                  <w:lang w:eastAsia="en-CA"/>
                </w:rPr>
                <w:t>2015 CACM 2</w:t>
              </w:r>
            </w:hyperlink>
          </w:p>
          <w:p w:rsidR="002075B5" w:rsidRPr="002075B5" w:rsidRDefault="002075B5" w:rsidP="00EF253B">
            <w:pPr>
              <w:jc w:val="both"/>
              <w:rPr>
                <w:sz w:val="20"/>
              </w:rPr>
            </w:pPr>
          </w:p>
        </w:tc>
        <w:tc>
          <w:tcPr>
            <w:tcW w:w="243" w:type="pct"/>
          </w:tcPr>
          <w:p w:rsidR="002075B5" w:rsidRPr="002075B5" w:rsidRDefault="002075B5" w:rsidP="00EF253B">
            <w:pPr>
              <w:jc w:val="both"/>
              <w:rPr>
                <w:sz w:val="20"/>
              </w:rPr>
            </w:pPr>
          </w:p>
        </w:tc>
        <w:tc>
          <w:tcPr>
            <w:tcW w:w="2330" w:type="pct"/>
          </w:tcPr>
          <w:p w:rsidR="002075B5" w:rsidRPr="002075B5" w:rsidRDefault="002075B5" w:rsidP="00EF253B">
            <w:pPr>
              <w:jc w:val="both"/>
              <w:rPr>
                <w:sz w:val="20"/>
              </w:rPr>
            </w:pPr>
            <w:r w:rsidRPr="002075B5">
              <w:rPr>
                <w:sz w:val="20"/>
                <w:lang w:eastAsia="en-CA"/>
              </w:rPr>
              <w:t xml:space="preserve">Requêtes des intimés en annulation et rejet des appels de la demanderesse rejetées; article 230.1 de la </w:t>
            </w:r>
            <w:r w:rsidRPr="002075B5">
              <w:rPr>
                <w:i/>
                <w:sz w:val="20"/>
                <w:lang w:eastAsia="en-CA"/>
              </w:rPr>
              <w:t>Loi sur la défense nationale</w:t>
            </w:r>
            <w:r w:rsidRPr="002075B5">
              <w:rPr>
                <w:sz w:val="20"/>
                <w:lang w:eastAsia="en-CA"/>
              </w:rPr>
              <w:t xml:space="preserve"> invalidé et déclaration d’invalidité suspendue pour un délai de six mois; audition des appels au fond ajournée</w:t>
            </w:r>
          </w:p>
          <w:p w:rsidR="002075B5" w:rsidRPr="002075B5" w:rsidRDefault="002075B5" w:rsidP="00EF253B">
            <w:pPr>
              <w:jc w:val="both"/>
              <w:rPr>
                <w:sz w:val="20"/>
              </w:rPr>
            </w:pPr>
          </w:p>
        </w:tc>
      </w:tr>
      <w:tr w:rsidR="002075B5" w:rsidRPr="002075B5" w:rsidTr="00E95A6A">
        <w:tc>
          <w:tcPr>
            <w:tcW w:w="2427" w:type="pct"/>
            <w:gridSpan w:val="2"/>
          </w:tcPr>
          <w:p w:rsidR="002075B5" w:rsidRPr="002075B5" w:rsidRDefault="002075B5" w:rsidP="00EF253B">
            <w:pPr>
              <w:jc w:val="both"/>
              <w:rPr>
                <w:sz w:val="20"/>
              </w:rPr>
            </w:pPr>
            <w:r w:rsidRPr="002075B5">
              <w:rPr>
                <w:sz w:val="20"/>
              </w:rPr>
              <w:t>Le 9 février 2016</w:t>
            </w:r>
          </w:p>
          <w:p w:rsidR="002075B5" w:rsidRDefault="002075B5" w:rsidP="00EF253B">
            <w:pPr>
              <w:jc w:val="both"/>
              <w:rPr>
                <w:sz w:val="20"/>
              </w:rPr>
            </w:pPr>
            <w:proofErr w:type="spellStart"/>
            <w:r w:rsidRPr="002075B5">
              <w:rPr>
                <w:sz w:val="20"/>
              </w:rPr>
              <w:t>Cour</w:t>
            </w:r>
            <w:proofErr w:type="spellEnd"/>
            <w:r w:rsidRPr="002075B5">
              <w:rPr>
                <w:sz w:val="20"/>
              </w:rPr>
              <w:t xml:space="preserve"> </w:t>
            </w:r>
            <w:proofErr w:type="spellStart"/>
            <w:r w:rsidRPr="002075B5">
              <w:rPr>
                <w:sz w:val="20"/>
              </w:rPr>
              <w:t>suprême</w:t>
            </w:r>
            <w:proofErr w:type="spellEnd"/>
            <w:r w:rsidRPr="002075B5">
              <w:rPr>
                <w:sz w:val="20"/>
              </w:rPr>
              <w:t xml:space="preserve"> du Canada</w:t>
            </w:r>
          </w:p>
          <w:p w:rsidR="00E97AD7" w:rsidRPr="002075B5" w:rsidRDefault="00E97AD7" w:rsidP="00EF253B">
            <w:pPr>
              <w:jc w:val="both"/>
              <w:rPr>
                <w:sz w:val="20"/>
              </w:rPr>
            </w:pPr>
          </w:p>
        </w:tc>
        <w:tc>
          <w:tcPr>
            <w:tcW w:w="243" w:type="pct"/>
          </w:tcPr>
          <w:p w:rsidR="002075B5" w:rsidRPr="002075B5" w:rsidRDefault="002075B5" w:rsidP="00EF253B">
            <w:pPr>
              <w:jc w:val="both"/>
              <w:rPr>
                <w:sz w:val="20"/>
              </w:rPr>
            </w:pPr>
          </w:p>
        </w:tc>
        <w:tc>
          <w:tcPr>
            <w:tcW w:w="2330" w:type="pct"/>
          </w:tcPr>
          <w:p w:rsidR="002075B5" w:rsidRPr="002075B5" w:rsidRDefault="002075B5" w:rsidP="00EF253B">
            <w:pPr>
              <w:jc w:val="both"/>
              <w:rPr>
                <w:sz w:val="20"/>
              </w:rPr>
            </w:pPr>
            <w:r w:rsidRPr="002075B5">
              <w:rPr>
                <w:sz w:val="20"/>
              </w:rPr>
              <w:t>Demande d'autorisation d'appel déposée</w:t>
            </w:r>
          </w:p>
          <w:p w:rsidR="002075B5" w:rsidRPr="002075B5" w:rsidRDefault="002075B5" w:rsidP="00EF253B">
            <w:pPr>
              <w:jc w:val="both"/>
              <w:rPr>
                <w:sz w:val="20"/>
              </w:rPr>
            </w:pPr>
          </w:p>
        </w:tc>
      </w:tr>
    </w:tbl>
    <w:p w:rsidR="003817A9" w:rsidRDefault="003817A9" w:rsidP="009F77F0">
      <w:pPr>
        <w:widowControl w:val="0"/>
        <w:ind w:left="360" w:hanging="360"/>
        <w:jc w:val="both"/>
        <w:rPr>
          <w:sz w:val="20"/>
          <w:szCs w:val="24"/>
          <w:lang w:val="en-CA" w:eastAsia="en-CA"/>
        </w:rPr>
      </w:pPr>
    </w:p>
    <w:p w:rsidR="003817A9" w:rsidRPr="003817A9" w:rsidRDefault="003817A9" w:rsidP="009F77F0">
      <w:pPr>
        <w:widowControl w:val="0"/>
        <w:ind w:left="360" w:hanging="360"/>
        <w:jc w:val="both"/>
        <w:rPr>
          <w:sz w:val="20"/>
          <w:lang w:val="en-CA"/>
        </w:rPr>
      </w:pPr>
    </w:p>
    <w:p w:rsidR="009F77F0" w:rsidRDefault="009F77F0" w:rsidP="00124EFD">
      <w:pPr>
        <w:jc w:val="both"/>
        <w:rPr>
          <w:i/>
          <w:sz w:val="20"/>
          <w:lang w:val="en-CA" w:eastAsia="en-CA"/>
        </w:rPr>
      </w:pPr>
    </w:p>
    <w:p w:rsidR="00D3344A" w:rsidRPr="004B4D42" w:rsidRDefault="00D3344A" w:rsidP="00D3344A">
      <w:pPr>
        <w:widowControl w:val="0"/>
        <w:outlineLvl w:val="0"/>
      </w:pPr>
      <w:r w:rsidRPr="00E7483A">
        <w:t>Supreme</w:t>
      </w:r>
      <w:r w:rsidRPr="004B4D42">
        <w:t xml:space="preserve"> Court of Canada / </w:t>
      </w:r>
      <w:proofErr w:type="spellStart"/>
      <w:r w:rsidRPr="004B4D42">
        <w:t>Cour</w:t>
      </w:r>
      <w:proofErr w:type="spellEnd"/>
      <w:r w:rsidRPr="004B4D42">
        <w:t xml:space="preserve"> </w:t>
      </w:r>
      <w:proofErr w:type="spellStart"/>
      <w:r w:rsidRPr="004B4D42">
        <w:t>suprême</w:t>
      </w:r>
      <w:proofErr w:type="spellEnd"/>
      <w:r w:rsidRPr="004B4D42">
        <w:t xml:space="preserve"> du </w:t>
      </w:r>
      <w:proofErr w:type="gramStart"/>
      <w:r w:rsidRPr="004B4D42">
        <w:t>Canada :</w:t>
      </w:r>
      <w:proofErr w:type="gramEnd"/>
      <w:r w:rsidRPr="004B4D42">
        <w:t xml:space="preserve"> </w:t>
      </w:r>
    </w:p>
    <w:p w:rsidR="00D3344A" w:rsidRPr="004B4D42" w:rsidRDefault="00CB54AD" w:rsidP="00D3344A">
      <w:pPr>
        <w:widowControl w:val="0"/>
        <w:outlineLvl w:val="0"/>
        <w:rPr>
          <w:u w:val="single"/>
        </w:rPr>
      </w:pPr>
      <w:hyperlink r:id="rId13"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p w:rsidR="00F6251B" w:rsidRPr="004B4D42" w:rsidRDefault="00F6251B" w:rsidP="00F6251B">
      <w:pPr>
        <w:pStyle w:val="Footer"/>
        <w:jc w:val="center"/>
      </w:pPr>
    </w:p>
    <w:sectPr w:rsidR="00F6251B" w:rsidRPr="004B4D42" w:rsidSect="0052482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9E2"/>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1967"/>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1F3F"/>
    <w:rsid w:val="001F27B1"/>
    <w:rsid w:val="001F2F00"/>
    <w:rsid w:val="001F5B11"/>
    <w:rsid w:val="00200F31"/>
    <w:rsid w:val="0020221F"/>
    <w:rsid w:val="00203AEA"/>
    <w:rsid w:val="00205051"/>
    <w:rsid w:val="002075B5"/>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2FD2"/>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1CFC"/>
    <w:rsid w:val="0033241A"/>
    <w:rsid w:val="00332627"/>
    <w:rsid w:val="00332E97"/>
    <w:rsid w:val="00332F1F"/>
    <w:rsid w:val="0033535C"/>
    <w:rsid w:val="0033625F"/>
    <w:rsid w:val="003379DC"/>
    <w:rsid w:val="00340D7B"/>
    <w:rsid w:val="00341556"/>
    <w:rsid w:val="0034178A"/>
    <w:rsid w:val="003429E0"/>
    <w:rsid w:val="00343A3B"/>
    <w:rsid w:val="00343C1E"/>
    <w:rsid w:val="003441F0"/>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537"/>
    <w:rsid w:val="00433C3E"/>
    <w:rsid w:val="00434AC5"/>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2276"/>
    <w:rsid w:val="00494CD1"/>
    <w:rsid w:val="004957BA"/>
    <w:rsid w:val="004963CC"/>
    <w:rsid w:val="004970C9"/>
    <w:rsid w:val="00497B5E"/>
    <w:rsid w:val="004A224A"/>
    <w:rsid w:val="004A28DD"/>
    <w:rsid w:val="004A3074"/>
    <w:rsid w:val="004A570E"/>
    <w:rsid w:val="004A59B2"/>
    <w:rsid w:val="004A7CEC"/>
    <w:rsid w:val="004B06E1"/>
    <w:rsid w:val="004B129A"/>
    <w:rsid w:val="004B1BD7"/>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139F9"/>
    <w:rsid w:val="005208AC"/>
    <w:rsid w:val="00520B14"/>
    <w:rsid w:val="00521DC2"/>
    <w:rsid w:val="00521EFA"/>
    <w:rsid w:val="0052230A"/>
    <w:rsid w:val="00523237"/>
    <w:rsid w:val="00523A16"/>
    <w:rsid w:val="00523D2D"/>
    <w:rsid w:val="00524822"/>
    <w:rsid w:val="005256DB"/>
    <w:rsid w:val="00525B79"/>
    <w:rsid w:val="005264A5"/>
    <w:rsid w:val="00526D01"/>
    <w:rsid w:val="00530B6F"/>
    <w:rsid w:val="00532EB0"/>
    <w:rsid w:val="00533CD5"/>
    <w:rsid w:val="00534871"/>
    <w:rsid w:val="00535069"/>
    <w:rsid w:val="00535A60"/>
    <w:rsid w:val="005372AF"/>
    <w:rsid w:val="00540D5C"/>
    <w:rsid w:val="00541FF9"/>
    <w:rsid w:val="00544481"/>
    <w:rsid w:val="0054689F"/>
    <w:rsid w:val="00546DAD"/>
    <w:rsid w:val="00546E27"/>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2579"/>
    <w:rsid w:val="006F2887"/>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7632"/>
    <w:rsid w:val="007301CB"/>
    <w:rsid w:val="00731957"/>
    <w:rsid w:val="0073369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63D7"/>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0688C"/>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20173"/>
    <w:rsid w:val="00A2060D"/>
    <w:rsid w:val="00A20B21"/>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154"/>
    <w:rsid w:val="00AB5528"/>
    <w:rsid w:val="00AB5538"/>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46DD"/>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B1766"/>
    <w:rsid w:val="00CB1E90"/>
    <w:rsid w:val="00CB1EB4"/>
    <w:rsid w:val="00CB328F"/>
    <w:rsid w:val="00CB3A38"/>
    <w:rsid w:val="00CB3B10"/>
    <w:rsid w:val="00CB4831"/>
    <w:rsid w:val="00CB54AD"/>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28A3"/>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AD7"/>
    <w:rsid w:val="00E97E2B"/>
    <w:rsid w:val="00EA0704"/>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53B"/>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A4"/>
    <w:rsid w:val="00F24087"/>
    <w:rsid w:val="00F24A5E"/>
    <w:rsid w:val="00F265F6"/>
    <w:rsid w:val="00F26653"/>
    <w:rsid w:val="00F27291"/>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478F"/>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2075B5"/>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2075B5"/>
    <w:rPr>
      <w:rFonts w:ascii="Times New Roman" w:eastAsiaTheme="minorHAnsi" w:hAnsi="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844"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lii.org/fr/ca/cacm/doc/2015/2015cacm2/2015cacm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fr/ca/cm/doc/2015/2015cm1001/2015cm100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nlii.org/fr/ca/cacm/doc/2015/2015cacm2/2015cacm2.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nlii.org/en/ca/cm/doc/2015/2015cm1001/2015cm100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606A7-CAD3-4FA1-938D-90A53AC8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2016-03-21T19:13:00Z</dcterms:created>
  <dcterms:modified xsi:type="dcterms:W3CDTF">2016-03-21T19:26:00Z</dcterms:modified>
</cp:coreProperties>
</file>