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10D3F" w:rsidRDefault="003F43E6" w:rsidP="00122CE1">
      <w:pPr>
        <w:pStyle w:val="Header"/>
        <w:tabs>
          <w:tab w:val="left" w:pos="1620"/>
          <w:tab w:val="left" w:pos="1710"/>
        </w:tabs>
        <w:jc w:val="center"/>
        <w:rPr>
          <w:b/>
          <w:sz w:val="32"/>
        </w:rPr>
      </w:pPr>
      <w:r w:rsidRPr="00D10D3F">
        <w:rPr>
          <w:b/>
          <w:sz w:val="32"/>
        </w:rPr>
        <w:t xml:space="preserve">Supreme Court of Canada / </w:t>
      </w:r>
      <w:proofErr w:type="spellStart"/>
      <w:r w:rsidRPr="00D10D3F">
        <w:rPr>
          <w:b/>
          <w:sz w:val="32"/>
        </w:rPr>
        <w:t>Cour</w:t>
      </w:r>
      <w:proofErr w:type="spellEnd"/>
      <w:r w:rsidRPr="00D10D3F">
        <w:rPr>
          <w:b/>
          <w:sz w:val="32"/>
        </w:rPr>
        <w:t xml:space="preserve"> </w:t>
      </w:r>
      <w:proofErr w:type="spellStart"/>
      <w:r w:rsidRPr="00D10D3F">
        <w:rPr>
          <w:b/>
          <w:sz w:val="32"/>
        </w:rPr>
        <w:t>suprême</w:t>
      </w:r>
      <w:proofErr w:type="spellEnd"/>
      <w:r w:rsidRPr="00D10D3F">
        <w:rPr>
          <w:b/>
          <w:sz w:val="32"/>
        </w:rPr>
        <w:t xml:space="preserve"> du Canada</w:t>
      </w:r>
    </w:p>
    <w:p w:rsidR="003F43E6" w:rsidRPr="00D10D3F" w:rsidRDefault="003F43E6" w:rsidP="006F2579">
      <w:pPr>
        <w:widowControl w:val="0"/>
        <w:rPr>
          <w:i/>
        </w:rPr>
      </w:pPr>
    </w:p>
    <w:p w:rsidR="006F2579" w:rsidRPr="00D10D3F" w:rsidRDefault="006F2579" w:rsidP="006F2579">
      <w:pPr>
        <w:widowControl w:val="0"/>
        <w:rPr>
          <w:i/>
        </w:rPr>
      </w:pPr>
      <w:r w:rsidRPr="00D10D3F">
        <w:rPr>
          <w:i/>
        </w:rPr>
        <w:t>(</w:t>
      </w:r>
      <w:proofErr w:type="gramStart"/>
      <w:r w:rsidRPr="00D10D3F">
        <w:rPr>
          <w:i/>
        </w:rPr>
        <w:t>le</w:t>
      </w:r>
      <w:proofErr w:type="gramEnd"/>
      <w:r w:rsidRPr="00D10D3F">
        <w:rPr>
          <w:i/>
        </w:rPr>
        <w:t xml:space="preserve"> </w:t>
      </w:r>
      <w:proofErr w:type="spellStart"/>
      <w:r w:rsidRPr="00D10D3F">
        <w:rPr>
          <w:i/>
        </w:rPr>
        <w:t>français</w:t>
      </w:r>
      <w:proofErr w:type="spellEnd"/>
      <w:r w:rsidRPr="00D10D3F">
        <w:rPr>
          <w:i/>
        </w:rPr>
        <w:t xml:space="preserve"> suit)</w:t>
      </w:r>
    </w:p>
    <w:p w:rsidR="006F2579" w:rsidRPr="00D10D3F" w:rsidRDefault="006F2579" w:rsidP="006F2579">
      <w:pPr>
        <w:widowControl w:val="0"/>
      </w:pPr>
    </w:p>
    <w:p w:rsidR="006F2579" w:rsidRPr="00D10D3F" w:rsidRDefault="00B07908" w:rsidP="006F2579">
      <w:pPr>
        <w:widowControl w:val="0"/>
        <w:jc w:val="center"/>
        <w:rPr>
          <w:b/>
        </w:rPr>
      </w:pPr>
      <w:r w:rsidRPr="00D10D3F">
        <w:fldChar w:fldCharType="begin"/>
      </w:r>
      <w:r w:rsidR="006F2579" w:rsidRPr="00D10D3F">
        <w:instrText xml:space="preserve"> SEQ CHAPTER \h \r 1</w:instrText>
      </w:r>
      <w:r w:rsidRPr="00D10D3F">
        <w:fldChar w:fldCharType="end"/>
      </w:r>
      <w:r w:rsidR="006F2579" w:rsidRPr="00D10D3F">
        <w:rPr>
          <w:b/>
        </w:rPr>
        <w:t>JUDGMENT</w:t>
      </w:r>
      <w:r w:rsidR="00B17AAC" w:rsidRPr="00D10D3F">
        <w:rPr>
          <w:b/>
        </w:rPr>
        <w:t>S</w:t>
      </w:r>
      <w:r w:rsidR="006F2579" w:rsidRPr="00D10D3F">
        <w:rPr>
          <w:b/>
        </w:rPr>
        <w:t xml:space="preserve"> TO B</w:t>
      </w:r>
      <w:r w:rsidR="00001846" w:rsidRPr="00D10D3F">
        <w:rPr>
          <w:b/>
        </w:rPr>
        <w:t>E RENDERED IN LEAVE APPLICATION</w:t>
      </w:r>
      <w:r w:rsidR="00B17AAC" w:rsidRPr="00D10D3F">
        <w:rPr>
          <w:b/>
        </w:rPr>
        <w:t>S</w:t>
      </w:r>
    </w:p>
    <w:p w:rsidR="006F2579" w:rsidRPr="00D10D3F" w:rsidRDefault="006F2579" w:rsidP="006F2579">
      <w:pPr>
        <w:widowControl w:val="0"/>
        <w:rPr>
          <w:b/>
        </w:rPr>
      </w:pPr>
    </w:p>
    <w:p w:rsidR="006F2579" w:rsidRPr="00D10D3F" w:rsidRDefault="004030D5" w:rsidP="006F2579">
      <w:pPr>
        <w:widowControl w:val="0"/>
        <w:rPr>
          <w:b/>
        </w:rPr>
      </w:pPr>
      <w:r w:rsidRPr="00D10D3F">
        <w:rPr>
          <w:b/>
        </w:rPr>
        <w:t>May</w:t>
      </w:r>
      <w:r w:rsidR="003817A9" w:rsidRPr="00D10D3F">
        <w:rPr>
          <w:b/>
        </w:rPr>
        <w:t xml:space="preserve"> </w:t>
      </w:r>
      <w:r w:rsidR="004B26C7" w:rsidRPr="00D10D3F">
        <w:rPr>
          <w:b/>
        </w:rPr>
        <w:t>9</w:t>
      </w:r>
      <w:r w:rsidR="00AB5538" w:rsidRPr="00D10D3F">
        <w:rPr>
          <w:b/>
        </w:rPr>
        <w:t>,</w:t>
      </w:r>
      <w:r w:rsidR="006F2579" w:rsidRPr="00D10D3F">
        <w:rPr>
          <w:b/>
        </w:rPr>
        <w:t xml:space="preserve"> </w:t>
      </w:r>
      <w:r w:rsidR="0054689F" w:rsidRPr="00D10D3F">
        <w:rPr>
          <w:b/>
        </w:rPr>
        <w:t>201</w:t>
      </w:r>
      <w:r w:rsidR="00674329" w:rsidRPr="00D10D3F">
        <w:rPr>
          <w:b/>
        </w:rPr>
        <w:t>6</w:t>
      </w:r>
    </w:p>
    <w:p w:rsidR="006F2579" w:rsidRPr="00D10D3F" w:rsidRDefault="006F2579" w:rsidP="006F2579">
      <w:pPr>
        <w:widowControl w:val="0"/>
        <w:rPr>
          <w:b/>
        </w:rPr>
      </w:pPr>
      <w:r w:rsidRPr="00D10D3F">
        <w:rPr>
          <w:b/>
        </w:rPr>
        <w:t>For immediate release</w:t>
      </w:r>
    </w:p>
    <w:p w:rsidR="006F2579" w:rsidRPr="00D10D3F" w:rsidRDefault="006F2579" w:rsidP="006F2579">
      <w:pPr>
        <w:widowControl w:val="0"/>
      </w:pPr>
    </w:p>
    <w:p w:rsidR="006F2579" w:rsidRPr="00D10D3F" w:rsidRDefault="006F2579" w:rsidP="006F2579">
      <w:pPr>
        <w:widowControl w:val="0"/>
      </w:pPr>
      <w:r w:rsidRPr="00D10D3F">
        <w:rPr>
          <w:b/>
        </w:rPr>
        <w:t>OTTAWA</w:t>
      </w:r>
      <w:r w:rsidRPr="00D10D3F">
        <w:t xml:space="preserve"> – The Supreme Court of Canada announced today that judgment in the following application</w:t>
      </w:r>
      <w:r w:rsidR="008600ED" w:rsidRPr="00D10D3F">
        <w:t>s</w:t>
      </w:r>
      <w:r w:rsidRPr="00D10D3F">
        <w:t xml:space="preserve"> for leave to appeal will be delivered at 9:45 a.m. E</w:t>
      </w:r>
      <w:r w:rsidR="003817A9" w:rsidRPr="00D10D3F">
        <w:t>D</w:t>
      </w:r>
      <w:r w:rsidRPr="00D10D3F">
        <w:t xml:space="preserve">T on Thursday, </w:t>
      </w:r>
      <w:r w:rsidR="004030D5" w:rsidRPr="00D10D3F">
        <w:t>May</w:t>
      </w:r>
      <w:r w:rsidR="007E112F" w:rsidRPr="00D10D3F">
        <w:t xml:space="preserve"> </w:t>
      </w:r>
      <w:r w:rsidR="004B26C7" w:rsidRPr="00D10D3F">
        <w:t>12</w:t>
      </w:r>
      <w:r w:rsidR="007E112F" w:rsidRPr="00D10D3F">
        <w:t>,</w:t>
      </w:r>
      <w:r w:rsidR="002F38D7" w:rsidRPr="00D10D3F">
        <w:t xml:space="preserve"> </w:t>
      </w:r>
      <w:r w:rsidR="006648D1" w:rsidRPr="00D10D3F">
        <w:t>201</w:t>
      </w:r>
      <w:r w:rsidR="00674329" w:rsidRPr="00D10D3F">
        <w:t>6</w:t>
      </w:r>
      <w:r w:rsidRPr="00D10D3F">
        <w:t>.  This list is subject to change.</w:t>
      </w:r>
    </w:p>
    <w:p w:rsidR="00FF5AA4" w:rsidRPr="00D10D3F" w:rsidRDefault="00FF5AA4" w:rsidP="006F2579">
      <w:pPr>
        <w:widowControl w:val="0"/>
      </w:pPr>
    </w:p>
    <w:p w:rsidR="00B43418" w:rsidRPr="00D10D3F" w:rsidRDefault="00B43418" w:rsidP="006F2579">
      <w:pPr>
        <w:widowControl w:val="0"/>
      </w:pPr>
    </w:p>
    <w:p w:rsidR="006F2579" w:rsidRPr="00D10D3F" w:rsidRDefault="006F2579" w:rsidP="006F2579">
      <w:pPr>
        <w:widowControl w:val="0"/>
        <w:jc w:val="center"/>
        <w:rPr>
          <w:lang w:val="fr-CA"/>
        </w:rPr>
      </w:pPr>
      <w:r w:rsidRPr="00D10D3F">
        <w:rPr>
          <w:b/>
          <w:lang w:val="fr-CA"/>
        </w:rPr>
        <w:t>PROCHAIN</w:t>
      </w:r>
      <w:r w:rsidR="00B17AAC" w:rsidRPr="00D10D3F">
        <w:rPr>
          <w:b/>
          <w:lang w:val="fr-CA"/>
        </w:rPr>
        <w:t>S</w:t>
      </w:r>
      <w:r w:rsidRPr="00D10D3F">
        <w:rPr>
          <w:b/>
          <w:lang w:val="fr-CA"/>
        </w:rPr>
        <w:t xml:space="preserve"> JUGEMENT</w:t>
      </w:r>
      <w:r w:rsidR="00B17AAC" w:rsidRPr="00D10D3F">
        <w:rPr>
          <w:b/>
          <w:lang w:val="fr-CA"/>
        </w:rPr>
        <w:t>S</w:t>
      </w:r>
      <w:r w:rsidR="00001846" w:rsidRPr="00D10D3F">
        <w:rPr>
          <w:b/>
          <w:lang w:val="fr-CA"/>
        </w:rPr>
        <w:t xml:space="preserve"> SUR DEMANDE</w:t>
      </w:r>
      <w:r w:rsidR="00B17AAC" w:rsidRPr="00D10D3F">
        <w:rPr>
          <w:b/>
          <w:lang w:val="fr-CA"/>
        </w:rPr>
        <w:t>S</w:t>
      </w:r>
      <w:r w:rsidRPr="00D10D3F">
        <w:rPr>
          <w:b/>
          <w:lang w:val="fr-CA"/>
        </w:rPr>
        <w:t xml:space="preserve"> D’AUTORISATION</w:t>
      </w:r>
    </w:p>
    <w:p w:rsidR="006F2579" w:rsidRPr="00D10D3F" w:rsidRDefault="006F2579" w:rsidP="006F2579">
      <w:pPr>
        <w:widowControl w:val="0"/>
        <w:rPr>
          <w:lang w:val="fr-CA"/>
        </w:rPr>
      </w:pPr>
    </w:p>
    <w:p w:rsidR="006F2579" w:rsidRPr="00D10D3F" w:rsidRDefault="006F2579" w:rsidP="006F2579">
      <w:pPr>
        <w:widowControl w:val="0"/>
        <w:rPr>
          <w:b/>
          <w:lang w:val="fr-CA"/>
        </w:rPr>
      </w:pPr>
      <w:r w:rsidRPr="00D10D3F">
        <w:rPr>
          <w:b/>
          <w:lang w:val="fr-CA"/>
        </w:rPr>
        <w:t>Le</w:t>
      </w:r>
      <w:r w:rsidR="00957A76" w:rsidRPr="00D10D3F">
        <w:rPr>
          <w:b/>
          <w:lang w:val="fr-CA"/>
        </w:rPr>
        <w:t xml:space="preserve"> </w:t>
      </w:r>
      <w:r w:rsidR="004B26C7" w:rsidRPr="00D10D3F">
        <w:rPr>
          <w:b/>
          <w:lang w:val="fr-CA"/>
        </w:rPr>
        <w:t>9</w:t>
      </w:r>
      <w:r w:rsidR="007E112F" w:rsidRPr="00D10D3F">
        <w:rPr>
          <w:b/>
          <w:lang w:val="fr-CA"/>
        </w:rPr>
        <w:t xml:space="preserve"> </w:t>
      </w:r>
      <w:r w:rsidR="004030D5" w:rsidRPr="00D10D3F">
        <w:rPr>
          <w:b/>
          <w:lang w:val="fr-CA"/>
        </w:rPr>
        <w:t>m</w:t>
      </w:r>
      <w:r w:rsidR="007E112F" w:rsidRPr="00D10D3F">
        <w:rPr>
          <w:b/>
          <w:lang w:val="fr-CA"/>
        </w:rPr>
        <w:t>a</w:t>
      </w:r>
      <w:r w:rsidR="001878EB" w:rsidRPr="00D10D3F">
        <w:rPr>
          <w:b/>
          <w:lang w:val="fr-CA"/>
        </w:rPr>
        <w:t>i</w:t>
      </w:r>
      <w:r w:rsidR="00674329" w:rsidRPr="00D10D3F">
        <w:rPr>
          <w:b/>
          <w:lang w:val="fr-CA"/>
        </w:rPr>
        <w:t xml:space="preserve"> 2016</w:t>
      </w:r>
    </w:p>
    <w:p w:rsidR="006F2579" w:rsidRPr="00D10D3F" w:rsidRDefault="006F2579" w:rsidP="006F2579">
      <w:pPr>
        <w:widowControl w:val="0"/>
        <w:rPr>
          <w:b/>
          <w:lang w:val="fr-CA"/>
        </w:rPr>
      </w:pPr>
      <w:r w:rsidRPr="00D10D3F">
        <w:rPr>
          <w:b/>
          <w:lang w:val="fr-CA"/>
        </w:rPr>
        <w:t>Pour diffusion immédiate</w:t>
      </w:r>
    </w:p>
    <w:p w:rsidR="006F2579" w:rsidRPr="00D10D3F" w:rsidRDefault="006F2579" w:rsidP="006F2579">
      <w:pPr>
        <w:widowControl w:val="0"/>
        <w:rPr>
          <w:b/>
          <w:lang w:val="fr-CA"/>
        </w:rPr>
      </w:pPr>
    </w:p>
    <w:p w:rsidR="006F2579" w:rsidRPr="00D10D3F" w:rsidRDefault="006F2579" w:rsidP="006F2579">
      <w:pPr>
        <w:widowControl w:val="0"/>
        <w:rPr>
          <w:lang w:val="fr-CA"/>
        </w:rPr>
      </w:pPr>
      <w:r w:rsidRPr="00D10D3F">
        <w:rPr>
          <w:b/>
          <w:lang w:val="fr-CA"/>
        </w:rPr>
        <w:t>OTTAWA</w:t>
      </w:r>
      <w:r w:rsidRPr="00D10D3F">
        <w:rPr>
          <w:lang w:val="fr-CA"/>
        </w:rPr>
        <w:t xml:space="preserve"> – La Cour suprême du Canada annonce que jugement ser</w:t>
      </w:r>
      <w:r w:rsidR="008600ED" w:rsidRPr="00D10D3F">
        <w:rPr>
          <w:lang w:val="fr-CA"/>
        </w:rPr>
        <w:t>a</w:t>
      </w:r>
      <w:r w:rsidRPr="00D10D3F">
        <w:rPr>
          <w:lang w:val="fr-CA"/>
        </w:rPr>
        <w:t xml:space="preserve"> rendu dans l</w:t>
      </w:r>
      <w:r w:rsidR="008600ED" w:rsidRPr="00D10D3F">
        <w:rPr>
          <w:lang w:val="fr-CA"/>
        </w:rPr>
        <w:t>es</w:t>
      </w:r>
      <w:r w:rsidRPr="00D10D3F">
        <w:rPr>
          <w:lang w:val="fr-CA"/>
        </w:rPr>
        <w:t xml:space="preserve"> demande</w:t>
      </w:r>
      <w:r w:rsidR="008600ED" w:rsidRPr="00D10D3F">
        <w:rPr>
          <w:lang w:val="fr-CA"/>
        </w:rPr>
        <w:t>s</w:t>
      </w:r>
      <w:r w:rsidRPr="00D10D3F">
        <w:rPr>
          <w:lang w:val="fr-CA"/>
        </w:rPr>
        <w:t xml:space="preserve"> d</w:t>
      </w:r>
      <w:r w:rsidR="00001846" w:rsidRPr="00D10D3F">
        <w:rPr>
          <w:lang w:val="fr-CA"/>
        </w:rPr>
        <w:t>’autorisation d’appel suivante</w:t>
      </w:r>
      <w:r w:rsidR="008600ED" w:rsidRPr="00D10D3F">
        <w:rPr>
          <w:lang w:val="fr-CA"/>
        </w:rPr>
        <w:t>s</w:t>
      </w:r>
      <w:r w:rsidRPr="00D10D3F">
        <w:rPr>
          <w:lang w:val="fr-CA"/>
        </w:rPr>
        <w:t xml:space="preserve"> le jeudi </w:t>
      </w:r>
      <w:r w:rsidR="004B26C7" w:rsidRPr="00D10D3F">
        <w:rPr>
          <w:lang w:val="fr-CA"/>
        </w:rPr>
        <w:t>12</w:t>
      </w:r>
      <w:r w:rsidR="007E112F" w:rsidRPr="00D10D3F">
        <w:rPr>
          <w:lang w:val="fr-CA"/>
        </w:rPr>
        <w:t xml:space="preserve"> </w:t>
      </w:r>
      <w:r w:rsidR="004030D5" w:rsidRPr="00D10D3F">
        <w:rPr>
          <w:lang w:val="fr-CA"/>
        </w:rPr>
        <w:t>ma</w:t>
      </w:r>
      <w:r w:rsidR="001878EB" w:rsidRPr="00D10D3F">
        <w:rPr>
          <w:lang w:val="fr-CA"/>
        </w:rPr>
        <w:t>i</w:t>
      </w:r>
      <w:r w:rsidR="00674329" w:rsidRPr="00D10D3F">
        <w:rPr>
          <w:lang w:val="fr-CA"/>
        </w:rPr>
        <w:t xml:space="preserve"> </w:t>
      </w:r>
      <w:r w:rsidR="006648D1" w:rsidRPr="00D10D3F">
        <w:rPr>
          <w:lang w:val="fr-CA"/>
        </w:rPr>
        <w:t>201</w:t>
      </w:r>
      <w:r w:rsidR="00674329" w:rsidRPr="00D10D3F">
        <w:rPr>
          <w:lang w:val="fr-CA"/>
        </w:rPr>
        <w:t>6</w:t>
      </w:r>
      <w:r w:rsidRPr="00D10D3F">
        <w:rPr>
          <w:lang w:val="fr-CA"/>
        </w:rPr>
        <w:t xml:space="preserve">, à 9 h 45 </w:t>
      </w:r>
      <w:r w:rsidR="000627A2" w:rsidRPr="00D10D3F">
        <w:rPr>
          <w:lang w:val="fr-CA"/>
        </w:rPr>
        <w:t>H</w:t>
      </w:r>
      <w:r w:rsidR="003817A9" w:rsidRPr="00D10D3F">
        <w:rPr>
          <w:lang w:val="fr-CA"/>
        </w:rPr>
        <w:t>A</w:t>
      </w:r>
      <w:r w:rsidRPr="00D10D3F">
        <w:rPr>
          <w:lang w:val="fr-CA"/>
        </w:rPr>
        <w:t>E.  Cette liste est sujette à modifications.</w:t>
      </w:r>
    </w:p>
    <w:p w:rsidR="0080556B" w:rsidRPr="00D10D3F" w:rsidRDefault="0080556B" w:rsidP="009B14F4">
      <w:pPr>
        <w:widowControl w:val="0"/>
        <w:jc w:val="both"/>
        <w:rPr>
          <w:sz w:val="20"/>
          <w:lang w:val="fr-CA"/>
        </w:rPr>
      </w:pPr>
    </w:p>
    <w:p w:rsidR="001838E0" w:rsidRPr="00D10D3F" w:rsidRDefault="003D353C" w:rsidP="009B14F4">
      <w:pPr>
        <w:widowControl w:val="0"/>
        <w:jc w:val="both"/>
        <w:rPr>
          <w:sz w:val="20"/>
          <w:lang w:val="fr-CA"/>
        </w:rPr>
      </w:pPr>
      <w:r w:rsidRPr="00D10D3F">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C34A03" w:rsidRPr="00D10D3F" w:rsidRDefault="00C34A03" w:rsidP="004B26C7">
      <w:pPr>
        <w:widowControl w:val="0"/>
        <w:ind w:left="360" w:hanging="360"/>
        <w:rPr>
          <w:sz w:val="20"/>
          <w:lang w:val="fr-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 xml:space="preserve">Derek Joseph Campeau v. Her Majesty the Queen </w:t>
      </w:r>
      <w:r w:rsidRPr="00D10D3F">
        <w:rPr>
          <w:sz w:val="20"/>
          <w:lang w:val="en-CA" w:eastAsia="en-CA"/>
        </w:rPr>
        <w:t>(Alta.) (Criminal) (By Leave)</w:t>
      </w:r>
      <w:r w:rsidR="00A61446" w:rsidRPr="00D10D3F">
        <w:rPr>
          <w:sz w:val="20"/>
          <w:lang w:val="en-CA" w:eastAsia="en-CA"/>
        </w:rPr>
        <w:t xml:space="preserve"> </w:t>
      </w:r>
      <w:r w:rsidR="00A61446" w:rsidRPr="00D10D3F">
        <w:rPr>
          <w:sz w:val="20"/>
          <w:lang w:val="en-CA"/>
        </w:rPr>
        <w:t>(</w:t>
      </w:r>
      <w:hyperlink r:id="rId8" w:history="1">
        <w:r w:rsidR="00A61446" w:rsidRPr="00D10D3F">
          <w:rPr>
            <w:rStyle w:val="Hyperlink"/>
            <w:sz w:val="20"/>
            <w:szCs w:val="20"/>
            <w:lang w:val="en-CA"/>
          </w:rPr>
          <w:t>36822</w:t>
        </w:r>
      </w:hyperlink>
      <w:r w:rsidR="00A61446"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 xml:space="preserve">Mirza </w:t>
      </w:r>
      <w:proofErr w:type="spellStart"/>
      <w:r w:rsidRPr="00D10D3F">
        <w:rPr>
          <w:i/>
          <w:sz w:val="20"/>
          <w:lang w:val="en-CA" w:eastAsia="en-CA"/>
        </w:rPr>
        <w:t>Nammo</w:t>
      </w:r>
      <w:proofErr w:type="spellEnd"/>
      <w:r w:rsidRPr="00D10D3F">
        <w:rPr>
          <w:i/>
          <w:sz w:val="20"/>
          <w:lang w:val="en-CA" w:eastAsia="en-CA"/>
        </w:rPr>
        <w:t xml:space="preserve"> v. Her Majesty the Queen in Right of Canada et al.</w:t>
      </w:r>
      <w:r w:rsidRPr="00D10D3F">
        <w:rPr>
          <w:sz w:val="20"/>
          <w:lang w:val="en-CA" w:eastAsia="en-CA"/>
        </w:rPr>
        <w:t xml:space="preserve"> (Alta.) (Civil) (By Leave)</w:t>
      </w:r>
      <w:r w:rsidR="00B60A02" w:rsidRPr="00D10D3F">
        <w:rPr>
          <w:sz w:val="20"/>
          <w:lang w:val="en-CA" w:eastAsia="en-CA"/>
        </w:rPr>
        <w:t xml:space="preserve"> </w:t>
      </w:r>
      <w:r w:rsidR="00B60A02" w:rsidRPr="00D10D3F">
        <w:rPr>
          <w:sz w:val="20"/>
          <w:lang w:val="en-CA"/>
        </w:rPr>
        <w:t>(</w:t>
      </w:r>
      <w:hyperlink r:id="rId9" w:history="1">
        <w:r w:rsidR="00B60A02" w:rsidRPr="00D10D3F">
          <w:rPr>
            <w:rStyle w:val="Hyperlink"/>
            <w:sz w:val="20"/>
            <w:szCs w:val="20"/>
            <w:lang w:val="en-CA"/>
          </w:rPr>
          <w:t>36849</w:t>
        </w:r>
      </w:hyperlink>
      <w:r w:rsidR="00B60A02"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Bruce Brine v. Industrial Alliance Insurance and Financial Services Inc.</w:t>
      </w:r>
      <w:r w:rsidRPr="00D10D3F">
        <w:rPr>
          <w:sz w:val="20"/>
          <w:lang w:val="en-CA" w:eastAsia="en-CA"/>
        </w:rPr>
        <w:t xml:space="preserve"> (N.S.) (Civil) (By Leave)</w:t>
      </w:r>
      <w:r w:rsidR="00D40B0A" w:rsidRPr="00D10D3F">
        <w:rPr>
          <w:sz w:val="20"/>
          <w:lang w:val="en-CA" w:eastAsia="en-CA"/>
        </w:rPr>
        <w:t xml:space="preserve"> </w:t>
      </w:r>
      <w:r w:rsidR="00D40B0A" w:rsidRPr="00D10D3F">
        <w:rPr>
          <w:sz w:val="20"/>
          <w:lang w:val="en-CA"/>
        </w:rPr>
        <w:t>(</w:t>
      </w:r>
      <w:hyperlink r:id="rId10" w:history="1">
        <w:r w:rsidR="00D40B0A" w:rsidRPr="00D10D3F">
          <w:rPr>
            <w:rStyle w:val="Hyperlink"/>
            <w:sz w:val="20"/>
            <w:szCs w:val="20"/>
            <w:lang w:val="en-CA"/>
          </w:rPr>
          <w:t>36809</w:t>
        </w:r>
      </w:hyperlink>
      <w:r w:rsidR="00D40B0A"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Rachel Exeter v. Attorney General of Canada</w:t>
      </w:r>
      <w:r w:rsidRPr="00D10D3F">
        <w:rPr>
          <w:sz w:val="20"/>
          <w:lang w:val="en-CA" w:eastAsia="en-CA"/>
        </w:rPr>
        <w:t xml:space="preserve"> (F</w:t>
      </w:r>
      <w:r w:rsidR="00D35AA2" w:rsidRPr="00D10D3F">
        <w:rPr>
          <w:sz w:val="20"/>
          <w:lang w:val="en-CA" w:eastAsia="en-CA"/>
        </w:rPr>
        <w:t>.</w:t>
      </w:r>
      <w:r w:rsidRPr="00D10D3F">
        <w:rPr>
          <w:sz w:val="20"/>
          <w:lang w:val="en-CA" w:eastAsia="en-CA"/>
        </w:rPr>
        <w:t>C</w:t>
      </w:r>
      <w:r w:rsidR="00D35AA2" w:rsidRPr="00D10D3F">
        <w:rPr>
          <w:sz w:val="20"/>
          <w:lang w:val="en-CA" w:eastAsia="en-CA"/>
        </w:rPr>
        <w:t>.</w:t>
      </w:r>
      <w:r w:rsidRPr="00D10D3F">
        <w:rPr>
          <w:sz w:val="20"/>
          <w:lang w:val="en-CA" w:eastAsia="en-CA"/>
        </w:rPr>
        <w:t>) (Civil) (By Leave)</w:t>
      </w:r>
      <w:r w:rsidR="00D35AA2" w:rsidRPr="00D10D3F">
        <w:rPr>
          <w:sz w:val="20"/>
          <w:lang w:val="en-CA" w:eastAsia="en-CA"/>
        </w:rPr>
        <w:t xml:space="preserve"> </w:t>
      </w:r>
      <w:r w:rsidR="00D35AA2" w:rsidRPr="00D10D3F">
        <w:rPr>
          <w:sz w:val="20"/>
          <w:lang w:val="en-CA"/>
        </w:rPr>
        <w:t>(</w:t>
      </w:r>
      <w:hyperlink r:id="rId11" w:history="1">
        <w:r w:rsidR="00D35AA2" w:rsidRPr="00D10D3F">
          <w:rPr>
            <w:rStyle w:val="Hyperlink"/>
            <w:sz w:val="20"/>
            <w:szCs w:val="20"/>
            <w:lang w:val="en-CA"/>
          </w:rPr>
          <w:t>36858</w:t>
        </w:r>
      </w:hyperlink>
      <w:r w:rsidR="00D35AA2"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 xml:space="preserve">ENMAX Energy Corporation v. </w:t>
      </w:r>
      <w:proofErr w:type="spellStart"/>
      <w:r w:rsidRPr="00D10D3F">
        <w:rPr>
          <w:i/>
          <w:sz w:val="20"/>
          <w:lang w:val="en-CA" w:eastAsia="en-CA"/>
        </w:rPr>
        <w:t>TransAlta</w:t>
      </w:r>
      <w:proofErr w:type="spellEnd"/>
      <w:r w:rsidRPr="00D10D3F">
        <w:rPr>
          <w:i/>
          <w:sz w:val="20"/>
          <w:lang w:val="en-CA" w:eastAsia="en-CA"/>
        </w:rPr>
        <w:t xml:space="preserve"> Generation Partnership</w:t>
      </w:r>
      <w:r w:rsidRPr="00D10D3F">
        <w:rPr>
          <w:sz w:val="20"/>
          <w:lang w:val="en-CA" w:eastAsia="en-CA"/>
        </w:rPr>
        <w:t xml:space="preserve"> (Alta.) (Civil) (By Leave)</w:t>
      </w:r>
      <w:r w:rsidR="00BB0472" w:rsidRPr="00D10D3F">
        <w:rPr>
          <w:sz w:val="20"/>
          <w:lang w:val="en-CA"/>
        </w:rPr>
        <w:t xml:space="preserve"> (</w:t>
      </w:r>
      <w:hyperlink r:id="rId12" w:history="1">
        <w:r w:rsidR="00BB0472" w:rsidRPr="00D10D3F">
          <w:rPr>
            <w:rStyle w:val="Hyperlink"/>
            <w:sz w:val="20"/>
            <w:szCs w:val="20"/>
            <w:lang w:val="en-CA"/>
          </w:rPr>
          <w:t>36846</w:t>
        </w:r>
      </w:hyperlink>
      <w:r w:rsidR="00BB0472" w:rsidRPr="00D10D3F">
        <w:rPr>
          <w:sz w:val="20"/>
          <w:lang w:val="en-CA"/>
        </w:rPr>
        <w:t>)</w:t>
      </w:r>
    </w:p>
    <w:p w:rsidR="004B26C7" w:rsidRPr="00D10D3F" w:rsidRDefault="004B26C7" w:rsidP="004B26C7">
      <w:pPr>
        <w:tabs>
          <w:tab w:val="center" w:pos="720"/>
        </w:tabs>
        <w:ind w:left="360" w:hanging="360"/>
        <w:rPr>
          <w:sz w:val="20"/>
          <w:lang w:val="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 xml:space="preserve">Glenn Harley </w:t>
      </w:r>
      <w:proofErr w:type="spellStart"/>
      <w:r w:rsidRPr="00D10D3F">
        <w:rPr>
          <w:i/>
          <w:sz w:val="20"/>
          <w:lang w:val="en-CA" w:eastAsia="en-CA"/>
        </w:rPr>
        <w:t>Tesuji</w:t>
      </w:r>
      <w:proofErr w:type="spellEnd"/>
      <w:r w:rsidRPr="00D10D3F">
        <w:rPr>
          <w:i/>
          <w:sz w:val="20"/>
          <w:lang w:val="en-CA" w:eastAsia="en-CA"/>
        </w:rPr>
        <w:t xml:space="preserve"> </w:t>
      </w:r>
      <w:proofErr w:type="spellStart"/>
      <w:r w:rsidRPr="00D10D3F">
        <w:rPr>
          <w:i/>
          <w:sz w:val="20"/>
          <w:lang w:val="en-CA" w:eastAsia="en-CA"/>
        </w:rPr>
        <w:t>Sheck</w:t>
      </w:r>
      <w:proofErr w:type="spellEnd"/>
      <w:r w:rsidRPr="00D10D3F">
        <w:rPr>
          <w:i/>
          <w:sz w:val="20"/>
          <w:lang w:val="en-CA" w:eastAsia="en-CA"/>
        </w:rPr>
        <w:t xml:space="preserve"> v. Her Majesty the Queen </w:t>
      </w:r>
      <w:r w:rsidRPr="00D10D3F">
        <w:rPr>
          <w:sz w:val="20"/>
          <w:lang w:val="en-CA" w:eastAsia="en-CA"/>
        </w:rPr>
        <w:t>(B.C.) (Criminal) (By Leave)</w:t>
      </w:r>
      <w:r w:rsidR="0075561B" w:rsidRPr="00D10D3F">
        <w:rPr>
          <w:sz w:val="20"/>
          <w:lang w:val="en-CA" w:eastAsia="en-CA"/>
        </w:rPr>
        <w:t xml:space="preserve"> </w:t>
      </w:r>
      <w:r w:rsidR="0075561B" w:rsidRPr="00D10D3F">
        <w:rPr>
          <w:sz w:val="20"/>
          <w:lang w:val="en-CA"/>
        </w:rPr>
        <w:t>(</w:t>
      </w:r>
      <w:hyperlink r:id="rId13" w:history="1">
        <w:r w:rsidR="0075561B" w:rsidRPr="00D10D3F">
          <w:rPr>
            <w:rStyle w:val="Hyperlink"/>
            <w:sz w:val="20"/>
            <w:szCs w:val="20"/>
            <w:lang w:val="en-CA"/>
          </w:rPr>
          <w:t>36736</w:t>
        </w:r>
      </w:hyperlink>
      <w:r w:rsidR="0075561B"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Keith A. Baker</w:t>
      </w:r>
      <w:r w:rsidR="0075561B" w:rsidRPr="00D10D3F">
        <w:rPr>
          <w:i/>
          <w:sz w:val="20"/>
          <w:lang w:val="en-CA" w:eastAsia="en-CA"/>
        </w:rPr>
        <w:t xml:space="preserve"> </w:t>
      </w:r>
      <w:r w:rsidRPr="00D10D3F">
        <w:rPr>
          <w:i/>
          <w:sz w:val="20"/>
          <w:lang w:val="en-CA" w:eastAsia="en-CA"/>
        </w:rPr>
        <w:t>et al. v. Bell Media Inc. et al.</w:t>
      </w:r>
      <w:r w:rsidRPr="00D10D3F">
        <w:rPr>
          <w:sz w:val="20"/>
          <w:lang w:val="en-CA" w:eastAsia="en-CA"/>
        </w:rPr>
        <w:t xml:space="preserve"> (Ont.) (Civil) (By Leave)</w:t>
      </w:r>
      <w:r w:rsidR="0075561B" w:rsidRPr="00D10D3F">
        <w:rPr>
          <w:sz w:val="20"/>
          <w:lang w:val="en-CA"/>
        </w:rPr>
        <w:t xml:space="preserve"> (</w:t>
      </w:r>
      <w:hyperlink r:id="rId14" w:history="1">
        <w:r w:rsidR="0075561B" w:rsidRPr="00D10D3F">
          <w:rPr>
            <w:rStyle w:val="Hyperlink"/>
            <w:sz w:val="20"/>
            <w:szCs w:val="20"/>
            <w:lang w:val="en-CA"/>
          </w:rPr>
          <w:t>36828</w:t>
        </w:r>
      </w:hyperlink>
      <w:r w:rsidR="0075561B"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r w:rsidRPr="00D10D3F">
        <w:rPr>
          <w:i/>
          <w:sz w:val="20"/>
          <w:lang w:val="en-CA" w:eastAsia="en-CA"/>
        </w:rPr>
        <w:t>Paul James v. York University et al</w:t>
      </w:r>
      <w:r w:rsidRPr="00D10D3F">
        <w:rPr>
          <w:sz w:val="20"/>
          <w:lang w:val="en-CA" w:eastAsia="en-CA"/>
        </w:rPr>
        <w:t>. (Ont.) (Civil) (By Leave)</w:t>
      </w:r>
      <w:r w:rsidR="007B3AFD" w:rsidRPr="00D10D3F">
        <w:rPr>
          <w:sz w:val="20"/>
          <w:lang w:val="en-CA" w:eastAsia="en-CA"/>
        </w:rPr>
        <w:t xml:space="preserve"> </w:t>
      </w:r>
      <w:r w:rsidR="007B3AFD" w:rsidRPr="00D10D3F">
        <w:rPr>
          <w:sz w:val="20"/>
          <w:lang w:val="en-CA"/>
        </w:rPr>
        <w:t>(</w:t>
      </w:r>
      <w:hyperlink r:id="rId15" w:history="1">
        <w:r w:rsidR="007B3AFD" w:rsidRPr="00D10D3F">
          <w:rPr>
            <w:rStyle w:val="Hyperlink"/>
            <w:sz w:val="20"/>
            <w:szCs w:val="20"/>
            <w:lang w:val="en-CA"/>
          </w:rPr>
          <w:t>36795</w:t>
        </w:r>
      </w:hyperlink>
      <w:r w:rsidR="007B3AFD" w:rsidRPr="00D10D3F">
        <w:rPr>
          <w:sz w:val="20"/>
          <w:lang w:val="en-CA"/>
        </w:rPr>
        <w:t>)</w:t>
      </w:r>
    </w:p>
    <w:p w:rsidR="004B26C7" w:rsidRPr="00D10D3F" w:rsidRDefault="004B26C7" w:rsidP="004B26C7">
      <w:pPr>
        <w:ind w:left="360" w:hanging="360"/>
        <w:rPr>
          <w:sz w:val="20"/>
          <w:lang w:val="en-CA" w:eastAsia="en-CA"/>
        </w:rPr>
      </w:pPr>
    </w:p>
    <w:p w:rsidR="004B26C7" w:rsidRPr="00D10D3F" w:rsidRDefault="004B26C7" w:rsidP="004B26C7">
      <w:pPr>
        <w:pStyle w:val="ListParagraph"/>
        <w:numPr>
          <w:ilvl w:val="0"/>
          <w:numId w:val="25"/>
        </w:numPr>
        <w:ind w:left="360"/>
        <w:rPr>
          <w:sz w:val="20"/>
          <w:lang w:val="en-CA" w:eastAsia="en-CA"/>
        </w:rPr>
      </w:pPr>
      <w:proofErr w:type="spellStart"/>
      <w:r w:rsidRPr="00D10D3F">
        <w:rPr>
          <w:i/>
          <w:sz w:val="20"/>
          <w:lang w:val="en-CA" w:eastAsia="en-CA"/>
        </w:rPr>
        <w:t>Speciale</w:t>
      </w:r>
      <w:proofErr w:type="spellEnd"/>
      <w:r w:rsidRPr="00D10D3F">
        <w:rPr>
          <w:i/>
          <w:sz w:val="20"/>
          <w:lang w:val="en-CA" w:eastAsia="en-CA"/>
        </w:rPr>
        <w:t xml:space="preserve"> Law Professional Corporation et al. v. </w:t>
      </w:r>
      <w:proofErr w:type="spellStart"/>
      <w:r w:rsidRPr="00D10D3F">
        <w:rPr>
          <w:i/>
          <w:sz w:val="20"/>
          <w:lang w:val="en-CA" w:eastAsia="en-CA"/>
        </w:rPr>
        <w:t>Shrader</w:t>
      </w:r>
      <w:proofErr w:type="spellEnd"/>
      <w:r w:rsidRPr="00D10D3F">
        <w:rPr>
          <w:i/>
          <w:sz w:val="20"/>
          <w:lang w:val="en-CA" w:eastAsia="en-CA"/>
        </w:rPr>
        <w:t xml:space="preserve"> Canada Limited</w:t>
      </w:r>
      <w:r w:rsidRPr="00D10D3F">
        <w:rPr>
          <w:sz w:val="20"/>
          <w:lang w:val="en-CA" w:eastAsia="en-CA"/>
        </w:rPr>
        <w:t xml:space="preserve"> (Ont.) (Civil) (By Leave)</w:t>
      </w:r>
      <w:r w:rsidR="0074467F" w:rsidRPr="00D10D3F">
        <w:rPr>
          <w:sz w:val="20"/>
          <w:lang w:val="en-CA" w:eastAsia="en-CA"/>
        </w:rPr>
        <w:t xml:space="preserve"> </w:t>
      </w:r>
      <w:r w:rsidR="0074467F" w:rsidRPr="00D10D3F">
        <w:rPr>
          <w:sz w:val="20"/>
          <w:lang w:val="en-CA"/>
        </w:rPr>
        <w:t>(</w:t>
      </w:r>
      <w:hyperlink r:id="rId16" w:history="1">
        <w:r w:rsidR="0074467F" w:rsidRPr="00D10D3F">
          <w:rPr>
            <w:rStyle w:val="Hyperlink"/>
            <w:sz w:val="20"/>
            <w:szCs w:val="20"/>
            <w:lang w:val="en-CA"/>
          </w:rPr>
          <w:t>36851</w:t>
        </w:r>
      </w:hyperlink>
      <w:r w:rsidR="0074467F" w:rsidRPr="00D10D3F">
        <w:rPr>
          <w:sz w:val="20"/>
          <w:lang w:val="en-CA"/>
        </w:rPr>
        <w:t>)</w:t>
      </w:r>
    </w:p>
    <w:p w:rsidR="004B26C7" w:rsidRPr="00D10D3F" w:rsidRDefault="004B26C7" w:rsidP="004B26C7">
      <w:pPr>
        <w:widowControl w:val="0"/>
        <w:ind w:left="360" w:hanging="360"/>
        <w:rPr>
          <w:sz w:val="20"/>
          <w:lang w:val="fr-CA" w:eastAsia="en-CA"/>
        </w:rPr>
      </w:pPr>
    </w:p>
    <w:p w:rsidR="004B26C7" w:rsidRPr="00D10D3F" w:rsidRDefault="004B26C7" w:rsidP="005B44AC">
      <w:pPr>
        <w:widowControl w:val="0"/>
        <w:ind w:left="360" w:hanging="360"/>
        <w:jc w:val="both"/>
        <w:rPr>
          <w:sz w:val="20"/>
          <w:lang w:val="fr-FR"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B44AC" w:rsidRPr="00D10D3F" w:rsidTr="00350EBF">
        <w:trPr>
          <w:gridAfter w:val="1"/>
          <w:wAfter w:w="48" w:type="pct"/>
        </w:trPr>
        <w:tc>
          <w:tcPr>
            <w:tcW w:w="537" w:type="pct"/>
          </w:tcPr>
          <w:p w:rsidR="005B44AC" w:rsidRPr="00D10D3F" w:rsidRDefault="005B44AC" w:rsidP="005B44AC">
            <w:pPr>
              <w:jc w:val="both"/>
              <w:rPr>
                <w:sz w:val="20"/>
              </w:rPr>
            </w:pPr>
            <w:r w:rsidRPr="00D10D3F">
              <w:rPr>
                <w:rStyle w:val="SCCFileNumberChar"/>
                <w:sz w:val="20"/>
                <w:szCs w:val="20"/>
              </w:rPr>
              <w:t>36822</w:t>
            </w:r>
          </w:p>
        </w:tc>
        <w:tc>
          <w:tcPr>
            <w:tcW w:w="4415" w:type="pct"/>
            <w:gridSpan w:val="3"/>
          </w:tcPr>
          <w:p w:rsidR="005B44AC" w:rsidRPr="00D10D3F" w:rsidRDefault="005B44AC" w:rsidP="005B44AC">
            <w:pPr>
              <w:pStyle w:val="SCCLsocParty"/>
              <w:jc w:val="both"/>
              <w:rPr>
                <w:b/>
                <w:sz w:val="20"/>
                <w:szCs w:val="20"/>
              </w:rPr>
            </w:pPr>
            <w:r w:rsidRPr="00D10D3F">
              <w:rPr>
                <w:b/>
                <w:sz w:val="20"/>
                <w:szCs w:val="20"/>
              </w:rPr>
              <w:t>Derek Joseph Campeau v. Her Majesty the Queen</w:t>
            </w:r>
          </w:p>
          <w:p w:rsidR="005B44AC" w:rsidRPr="00D10D3F" w:rsidRDefault="005B44AC" w:rsidP="005B44AC">
            <w:pPr>
              <w:jc w:val="both"/>
              <w:rPr>
                <w:sz w:val="20"/>
              </w:rPr>
            </w:pPr>
            <w:r w:rsidRPr="00D10D3F">
              <w:rPr>
                <w:sz w:val="20"/>
              </w:rPr>
              <w:t>(Alta.) (Criminal) (By Leave)</w:t>
            </w:r>
          </w:p>
        </w:tc>
      </w:tr>
      <w:tr w:rsidR="005B44AC" w:rsidRPr="00D10D3F" w:rsidTr="00350EBF">
        <w:trPr>
          <w:gridAfter w:val="1"/>
          <w:wAfter w:w="48" w:type="pct"/>
        </w:trPr>
        <w:tc>
          <w:tcPr>
            <w:tcW w:w="4952" w:type="pct"/>
            <w:gridSpan w:val="4"/>
          </w:tcPr>
          <w:p w:rsidR="005B44AC" w:rsidRPr="00D10D3F" w:rsidRDefault="005B44AC" w:rsidP="005B44AC">
            <w:pPr>
              <w:pStyle w:val="SCCBanSummary"/>
              <w:rPr>
                <w:sz w:val="20"/>
                <w:szCs w:val="20"/>
              </w:rPr>
            </w:pPr>
            <w:r w:rsidRPr="00D10D3F">
              <w:rPr>
                <w:sz w:val="20"/>
                <w:szCs w:val="20"/>
              </w:rPr>
              <w:t>(Publication ban in case)</w:t>
            </w:r>
          </w:p>
          <w:p w:rsidR="005B44AC" w:rsidRPr="00D10D3F" w:rsidRDefault="005B44AC" w:rsidP="005B44AC">
            <w:pPr>
              <w:jc w:val="both"/>
              <w:rPr>
                <w:sz w:val="20"/>
              </w:rPr>
            </w:pPr>
          </w:p>
          <w:p w:rsidR="005B44AC" w:rsidRPr="00D10D3F" w:rsidRDefault="005B44AC" w:rsidP="005B44AC">
            <w:pPr>
              <w:jc w:val="both"/>
              <w:rPr>
                <w:sz w:val="20"/>
              </w:rPr>
            </w:pPr>
            <w:r w:rsidRPr="00D10D3F">
              <w:rPr>
                <w:sz w:val="20"/>
              </w:rPr>
              <w:lastRenderedPageBreak/>
              <w:t>Criminal Law – Evidence – Elements of offence – Mr. Big evidence – Whether evidence should have been admitted at trial for truth of its contents – Whether mere presence at scene of crime is sufficient to render accused a party to an offence.</w:t>
            </w:r>
          </w:p>
        </w:tc>
      </w:tr>
      <w:tr w:rsidR="005B44AC" w:rsidRPr="00D10D3F" w:rsidTr="00350EBF">
        <w:trPr>
          <w:gridAfter w:val="1"/>
          <w:wAfter w:w="48" w:type="pct"/>
        </w:trPr>
        <w:tc>
          <w:tcPr>
            <w:tcW w:w="4952" w:type="pct"/>
            <w:gridSpan w:val="4"/>
          </w:tcPr>
          <w:p w:rsidR="005B44AC" w:rsidRPr="00D10D3F" w:rsidRDefault="005B44AC" w:rsidP="005B44AC">
            <w:pPr>
              <w:jc w:val="both"/>
              <w:rPr>
                <w:sz w:val="20"/>
              </w:rPr>
            </w:pPr>
          </w:p>
        </w:tc>
      </w:tr>
      <w:tr w:rsidR="005B44AC" w:rsidRPr="00D10D3F" w:rsidTr="00350EBF">
        <w:trPr>
          <w:gridAfter w:val="1"/>
          <w:wAfter w:w="48" w:type="pct"/>
        </w:trPr>
        <w:tc>
          <w:tcPr>
            <w:tcW w:w="4952" w:type="pct"/>
            <w:gridSpan w:val="4"/>
          </w:tcPr>
          <w:p w:rsidR="005B44AC" w:rsidRPr="00D10D3F" w:rsidRDefault="005B44AC" w:rsidP="005B44AC">
            <w:pPr>
              <w:autoSpaceDE w:val="0"/>
              <w:autoSpaceDN w:val="0"/>
              <w:adjustRightInd w:val="0"/>
              <w:jc w:val="both"/>
              <w:rPr>
                <w:sz w:val="20"/>
              </w:rPr>
            </w:pPr>
            <w:r w:rsidRPr="00D10D3F">
              <w:rPr>
                <w:sz w:val="20"/>
              </w:rPr>
              <w:t>D</w:t>
            </w:r>
            <w:r w:rsidRPr="00D10D3F">
              <w:rPr>
                <w:bCs/>
                <w:sz w:val="20"/>
              </w:rPr>
              <w:t>aniel Levesque was killed in his home on June 28 or 29, 2008. A Mr. Big operation targeted Mr. </w:t>
            </w:r>
            <w:proofErr w:type="spellStart"/>
            <w:r w:rsidRPr="00D10D3F">
              <w:rPr>
                <w:bCs/>
                <w:sz w:val="20"/>
              </w:rPr>
              <w:t>Worme</w:t>
            </w:r>
            <w:proofErr w:type="spellEnd"/>
            <w:r w:rsidRPr="00D10D3F">
              <w:rPr>
                <w:bCs/>
                <w:sz w:val="20"/>
              </w:rPr>
              <w:t>, who ultimately was tried alone and found guilty of first degree murder. During the Mr. Big operation and at his own trial, Mr. </w:t>
            </w:r>
            <w:proofErr w:type="spellStart"/>
            <w:r w:rsidRPr="00D10D3F">
              <w:rPr>
                <w:bCs/>
                <w:sz w:val="20"/>
              </w:rPr>
              <w:t>Worme</w:t>
            </w:r>
            <w:proofErr w:type="spellEnd"/>
            <w:r w:rsidRPr="00D10D3F">
              <w:rPr>
                <w:bCs/>
                <w:sz w:val="20"/>
              </w:rPr>
              <w:t xml:space="preserve"> gave different versions of events. Some of his statements to Mr. Big implicated Mr. Campeau and Mr. Stevens. Mr. Campeau and Mr. Stevens were tried together. Mr. </w:t>
            </w:r>
            <w:proofErr w:type="spellStart"/>
            <w:r w:rsidRPr="00D10D3F">
              <w:rPr>
                <w:bCs/>
                <w:sz w:val="20"/>
              </w:rPr>
              <w:t>Worme</w:t>
            </w:r>
            <w:proofErr w:type="spellEnd"/>
            <w:r w:rsidRPr="00D10D3F">
              <w:rPr>
                <w:bCs/>
                <w:sz w:val="20"/>
              </w:rPr>
              <w:t xml:space="preserve"> was subpoenaed but refused to testify at their trial</w:t>
            </w:r>
            <w:r w:rsidRPr="00D10D3F">
              <w:rPr>
                <w:sz w:val="20"/>
              </w:rPr>
              <w:t xml:space="preserve">. </w:t>
            </w:r>
            <w:r w:rsidRPr="00D10D3F">
              <w:rPr>
                <w:bCs/>
                <w:sz w:val="20"/>
              </w:rPr>
              <w:t>MacLeod J. admitted the Mr. Big evidence, including Mr. </w:t>
            </w:r>
            <w:proofErr w:type="spellStart"/>
            <w:r w:rsidRPr="00D10D3F">
              <w:rPr>
                <w:bCs/>
                <w:sz w:val="20"/>
              </w:rPr>
              <w:t>Worme’s</w:t>
            </w:r>
            <w:proofErr w:type="spellEnd"/>
            <w:r w:rsidRPr="00D10D3F">
              <w:rPr>
                <w:bCs/>
                <w:sz w:val="20"/>
              </w:rPr>
              <w:t xml:space="preserve"> allegations against Mr. Campeau and Mr. Stevens. Mr. Campeau and Mr. Stevens were convicted of manslaughter. The Court of Appeal dismissed Mr. Campeau’s appeal from his conviction.</w:t>
            </w:r>
          </w:p>
          <w:p w:rsidR="005B44AC" w:rsidRPr="00D10D3F" w:rsidRDefault="005B44AC" w:rsidP="005B44AC">
            <w:pPr>
              <w:autoSpaceDE w:val="0"/>
              <w:autoSpaceDN w:val="0"/>
              <w:adjustRightInd w:val="0"/>
              <w:jc w:val="both"/>
              <w:rPr>
                <w:bCs/>
                <w:sz w:val="20"/>
              </w:rPr>
            </w:pPr>
          </w:p>
        </w:tc>
      </w:tr>
      <w:tr w:rsidR="005B44AC" w:rsidRPr="00D10D3F" w:rsidTr="00350EBF">
        <w:tblPrEx>
          <w:tblCellMar>
            <w:bottom w:w="0" w:type="dxa"/>
          </w:tblCellMar>
        </w:tblPrEx>
        <w:tc>
          <w:tcPr>
            <w:tcW w:w="2367" w:type="pct"/>
            <w:gridSpan w:val="2"/>
          </w:tcPr>
          <w:p w:rsidR="005B44AC" w:rsidRPr="00D10D3F" w:rsidRDefault="005B44AC" w:rsidP="005B44AC">
            <w:pPr>
              <w:jc w:val="both"/>
              <w:rPr>
                <w:sz w:val="20"/>
              </w:rPr>
            </w:pPr>
            <w:r w:rsidRPr="00D10D3F">
              <w:rPr>
                <w:sz w:val="20"/>
              </w:rPr>
              <w:t>June 17, 2013</w:t>
            </w:r>
          </w:p>
          <w:p w:rsidR="005B44AC" w:rsidRPr="00D10D3F" w:rsidRDefault="005B44AC" w:rsidP="005B44AC">
            <w:pPr>
              <w:jc w:val="both"/>
              <w:rPr>
                <w:sz w:val="20"/>
              </w:rPr>
            </w:pPr>
            <w:r w:rsidRPr="00D10D3F">
              <w:rPr>
                <w:sz w:val="20"/>
              </w:rPr>
              <w:t>Court of Queen’s Bench of Alberta</w:t>
            </w:r>
          </w:p>
          <w:p w:rsidR="005B44AC" w:rsidRPr="00D10D3F" w:rsidRDefault="005B44AC" w:rsidP="005B44AC">
            <w:pPr>
              <w:jc w:val="both"/>
              <w:rPr>
                <w:sz w:val="20"/>
              </w:rPr>
            </w:pPr>
            <w:r w:rsidRPr="00D10D3F">
              <w:rPr>
                <w:sz w:val="20"/>
              </w:rPr>
              <w:t>(Macleod J.)</w:t>
            </w:r>
          </w:p>
          <w:p w:rsidR="005B44AC" w:rsidRPr="00D10D3F" w:rsidRDefault="005B44AC" w:rsidP="005B44AC">
            <w:pPr>
              <w:jc w:val="both"/>
              <w:rPr>
                <w:sz w:val="20"/>
              </w:rPr>
            </w:pPr>
            <w:r w:rsidRPr="00D10D3F">
              <w:rPr>
                <w:sz w:val="20"/>
              </w:rPr>
              <w:t>(Unreported)</w:t>
            </w:r>
          </w:p>
          <w:p w:rsidR="005B44AC" w:rsidRPr="00D10D3F" w:rsidRDefault="005B44AC" w:rsidP="005B44AC">
            <w:pPr>
              <w:jc w:val="both"/>
              <w:rPr>
                <w:sz w:val="20"/>
              </w:rPr>
            </w:pPr>
          </w:p>
        </w:tc>
        <w:tc>
          <w:tcPr>
            <w:tcW w:w="267" w:type="pct"/>
          </w:tcPr>
          <w:p w:rsidR="005B44AC" w:rsidRPr="00D10D3F" w:rsidRDefault="005B44AC" w:rsidP="005B44AC">
            <w:pPr>
              <w:jc w:val="both"/>
              <w:rPr>
                <w:sz w:val="20"/>
              </w:rPr>
            </w:pPr>
          </w:p>
        </w:tc>
        <w:tc>
          <w:tcPr>
            <w:tcW w:w="2366" w:type="pct"/>
            <w:gridSpan w:val="2"/>
          </w:tcPr>
          <w:p w:rsidR="005B44AC" w:rsidRPr="00D10D3F" w:rsidRDefault="005B44AC" w:rsidP="005B44AC">
            <w:pPr>
              <w:jc w:val="both"/>
              <w:rPr>
                <w:sz w:val="20"/>
              </w:rPr>
            </w:pPr>
            <w:r w:rsidRPr="00D10D3F">
              <w:rPr>
                <w:sz w:val="20"/>
              </w:rPr>
              <w:t>Conviction for manslaughter</w:t>
            </w:r>
          </w:p>
          <w:p w:rsidR="005B44AC" w:rsidRPr="00D10D3F" w:rsidRDefault="005B44AC" w:rsidP="005B44AC">
            <w:pPr>
              <w:jc w:val="both"/>
              <w:rPr>
                <w:sz w:val="20"/>
              </w:rPr>
            </w:pPr>
          </w:p>
        </w:tc>
      </w:tr>
      <w:tr w:rsidR="005B44AC" w:rsidRPr="00D10D3F" w:rsidTr="00350EBF">
        <w:tblPrEx>
          <w:tblCellMar>
            <w:bottom w:w="0" w:type="dxa"/>
          </w:tblCellMar>
        </w:tblPrEx>
        <w:tc>
          <w:tcPr>
            <w:tcW w:w="2367" w:type="pct"/>
            <w:gridSpan w:val="2"/>
          </w:tcPr>
          <w:p w:rsidR="005B44AC" w:rsidRPr="00D10D3F" w:rsidRDefault="005B44AC" w:rsidP="005B44AC">
            <w:pPr>
              <w:jc w:val="both"/>
              <w:rPr>
                <w:sz w:val="20"/>
              </w:rPr>
            </w:pPr>
            <w:r w:rsidRPr="00D10D3F">
              <w:rPr>
                <w:sz w:val="20"/>
              </w:rPr>
              <w:t>June 18, 2015</w:t>
            </w:r>
          </w:p>
          <w:p w:rsidR="005B44AC" w:rsidRPr="00D10D3F" w:rsidRDefault="005B44AC" w:rsidP="005B44AC">
            <w:pPr>
              <w:jc w:val="both"/>
              <w:rPr>
                <w:sz w:val="20"/>
              </w:rPr>
            </w:pPr>
            <w:r w:rsidRPr="00D10D3F">
              <w:rPr>
                <w:sz w:val="20"/>
              </w:rPr>
              <w:t>Court of Appeal of Alberta (Calgary)</w:t>
            </w:r>
          </w:p>
          <w:p w:rsidR="005B44AC" w:rsidRPr="00D10D3F" w:rsidRDefault="005B44AC" w:rsidP="005B44AC">
            <w:pPr>
              <w:jc w:val="both"/>
              <w:rPr>
                <w:sz w:val="20"/>
                <w:lang w:val="fr-CA"/>
              </w:rPr>
            </w:pPr>
            <w:r w:rsidRPr="00D10D3F">
              <w:rPr>
                <w:sz w:val="20"/>
                <w:lang w:val="fr-CA"/>
              </w:rPr>
              <w:t xml:space="preserve">(Watson, </w:t>
            </w:r>
            <w:proofErr w:type="spellStart"/>
            <w:r w:rsidRPr="00D10D3F">
              <w:rPr>
                <w:sz w:val="20"/>
                <w:lang w:val="fr-CA"/>
              </w:rPr>
              <w:t>O’Ferrall</w:t>
            </w:r>
            <w:proofErr w:type="spellEnd"/>
            <w:r w:rsidRPr="00D10D3F">
              <w:rPr>
                <w:sz w:val="20"/>
                <w:lang w:val="fr-CA"/>
              </w:rPr>
              <w:t xml:space="preserve"> (</w:t>
            </w:r>
            <w:proofErr w:type="spellStart"/>
            <w:r w:rsidRPr="00D10D3F">
              <w:rPr>
                <w:sz w:val="20"/>
                <w:lang w:val="fr-CA"/>
              </w:rPr>
              <w:t>concurring</w:t>
            </w:r>
            <w:proofErr w:type="spellEnd"/>
            <w:r w:rsidRPr="00D10D3F">
              <w:rPr>
                <w:sz w:val="20"/>
                <w:lang w:val="fr-CA"/>
              </w:rPr>
              <w:t>), Côté JJ.A.)</w:t>
            </w:r>
          </w:p>
          <w:p w:rsidR="005B44AC" w:rsidRPr="00D10D3F" w:rsidRDefault="005B44AC" w:rsidP="005B44AC">
            <w:pPr>
              <w:jc w:val="both"/>
              <w:rPr>
                <w:sz w:val="20"/>
              </w:rPr>
            </w:pPr>
            <w:r w:rsidRPr="00D10D3F">
              <w:rPr>
                <w:sz w:val="20"/>
              </w:rPr>
              <w:t xml:space="preserve">1301-0342-A; </w:t>
            </w:r>
            <w:hyperlink r:id="rId17" w:history="1">
              <w:r w:rsidRPr="00D10D3F">
                <w:rPr>
                  <w:rStyle w:val="Hyperlink"/>
                  <w:sz w:val="20"/>
                </w:rPr>
                <w:t>2015 ABCA 210</w:t>
              </w:r>
            </w:hyperlink>
          </w:p>
          <w:p w:rsidR="005B44AC" w:rsidRPr="00D10D3F" w:rsidRDefault="005B44AC" w:rsidP="005B44AC">
            <w:pPr>
              <w:jc w:val="both"/>
              <w:rPr>
                <w:sz w:val="20"/>
              </w:rPr>
            </w:pPr>
          </w:p>
        </w:tc>
        <w:tc>
          <w:tcPr>
            <w:tcW w:w="267" w:type="pct"/>
          </w:tcPr>
          <w:p w:rsidR="005B44AC" w:rsidRPr="00D10D3F" w:rsidRDefault="005B44AC" w:rsidP="005B44AC">
            <w:pPr>
              <w:jc w:val="both"/>
              <w:rPr>
                <w:sz w:val="20"/>
              </w:rPr>
            </w:pPr>
          </w:p>
        </w:tc>
        <w:tc>
          <w:tcPr>
            <w:tcW w:w="2366" w:type="pct"/>
            <w:gridSpan w:val="2"/>
          </w:tcPr>
          <w:p w:rsidR="005B44AC" w:rsidRPr="00D10D3F" w:rsidRDefault="005B44AC" w:rsidP="005B44AC">
            <w:pPr>
              <w:jc w:val="both"/>
              <w:rPr>
                <w:sz w:val="20"/>
              </w:rPr>
            </w:pPr>
            <w:r w:rsidRPr="00D10D3F">
              <w:rPr>
                <w:sz w:val="20"/>
              </w:rPr>
              <w:t>Appeal dismissed</w:t>
            </w:r>
          </w:p>
          <w:p w:rsidR="005B44AC" w:rsidRPr="00D10D3F" w:rsidRDefault="005B44AC" w:rsidP="005B44AC">
            <w:pPr>
              <w:jc w:val="both"/>
              <w:rPr>
                <w:sz w:val="20"/>
              </w:rPr>
            </w:pPr>
          </w:p>
        </w:tc>
      </w:tr>
      <w:tr w:rsidR="005B44AC" w:rsidRPr="00D10D3F" w:rsidTr="00350EBF">
        <w:tblPrEx>
          <w:tblCellMar>
            <w:bottom w:w="0" w:type="dxa"/>
          </w:tblCellMar>
        </w:tblPrEx>
        <w:tc>
          <w:tcPr>
            <w:tcW w:w="2367" w:type="pct"/>
            <w:gridSpan w:val="2"/>
          </w:tcPr>
          <w:p w:rsidR="005B44AC" w:rsidRPr="00D10D3F" w:rsidRDefault="005B44AC" w:rsidP="005B44AC">
            <w:pPr>
              <w:jc w:val="both"/>
              <w:rPr>
                <w:sz w:val="20"/>
              </w:rPr>
            </w:pPr>
            <w:r w:rsidRPr="00D10D3F">
              <w:rPr>
                <w:sz w:val="20"/>
              </w:rPr>
              <w:t>January 27, 2016</w:t>
            </w:r>
          </w:p>
          <w:p w:rsidR="005B44AC" w:rsidRPr="00D10D3F" w:rsidRDefault="005B44AC" w:rsidP="005B44AC">
            <w:pPr>
              <w:jc w:val="both"/>
              <w:rPr>
                <w:sz w:val="20"/>
              </w:rPr>
            </w:pPr>
            <w:r w:rsidRPr="00D10D3F">
              <w:rPr>
                <w:sz w:val="20"/>
              </w:rPr>
              <w:t>Supreme Court of Canada</w:t>
            </w:r>
          </w:p>
        </w:tc>
        <w:tc>
          <w:tcPr>
            <w:tcW w:w="267" w:type="pct"/>
          </w:tcPr>
          <w:p w:rsidR="005B44AC" w:rsidRPr="00D10D3F" w:rsidRDefault="005B44AC" w:rsidP="005B44AC">
            <w:pPr>
              <w:jc w:val="both"/>
              <w:rPr>
                <w:sz w:val="20"/>
              </w:rPr>
            </w:pPr>
          </w:p>
        </w:tc>
        <w:tc>
          <w:tcPr>
            <w:tcW w:w="2366" w:type="pct"/>
            <w:gridSpan w:val="2"/>
          </w:tcPr>
          <w:p w:rsidR="005B44AC" w:rsidRPr="00D10D3F" w:rsidRDefault="005B44AC" w:rsidP="005B44AC">
            <w:pPr>
              <w:jc w:val="both"/>
              <w:rPr>
                <w:sz w:val="20"/>
              </w:rPr>
            </w:pPr>
            <w:r w:rsidRPr="00D10D3F">
              <w:rPr>
                <w:sz w:val="20"/>
              </w:rPr>
              <w:t>Motion to extend time to serve and file application for leave to appeal and application for leave to appeal filed</w:t>
            </w:r>
          </w:p>
        </w:tc>
      </w:tr>
    </w:tbl>
    <w:p w:rsidR="005B44AC" w:rsidRPr="00D10D3F" w:rsidRDefault="005B44AC" w:rsidP="005B44AC">
      <w:pPr>
        <w:jc w:val="both"/>
        <w:rPr>
          <w:sz w:val="20"/>
        </w:rPr>
      </w:pPr>
    </w:p>
    <w:p w:rsidR="005B44AC" w:rsidRPr="00D10D3F" w:rsidRDefault="005B44AC" w:rsidP="005B44AC">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5B44AC" w:rsidRPr="00D10D3F" w:rsidTr="00350EBF">
        <w:trPr>
          <w:gridAfter w:val="1"/>
          <w:wAfter w:w="48" w:type="pct"/>
        </w:trPr>
        <w:tc>
          <w:tcPr>
            <w:tcW w:w="537" w:type="pct"/>
          </w:tcPr>
          <w:p w:rsidR="005B44AC" w:rsidRPr="00D10D3F" w:rsidRDefault="005B44AC" w:rsidP="005B44AC">
            <w:pPr>
              <w:jc w:val="both"/>
              <w:rPr>
                <w:sz w:val="20"/>
                <w:lang w:val="fr-CA"/>
              </w:rPr>
            </w:pPr>
            <w:r w:rsidRPr="00D10D3F">
              <w:rPr>
                <w:rStyle w:val="SCCFileNumberChar"/>
                <w:sz w:val="20"/>
                <w:szCs w:val="20"/>
                <w:lang w:val="fr-CA"/>
              </w:rPr>
              <w:t>36822</w:t>
            </w:r>
          </w:p>
        </w:tc>
        <w:tc>
          <w:tcPr>
            <w:tcW w:w="4415" w:type="pct"/>
            <w:gridSpan w:val="3"/>
          </w:tcPr>
          <w:p w:rsidR="005B44AC" w:rsidRPr="00D10D3F" w:rsidRDefault="005B44AC" w:rsidP="005B44AC">
            <w:pPr>
              <w:pStyle w:val="SCCLsocParty"/>
              <w:jc w:val="both"/>
              <w:rPr>
                <w:b/>
                <w:sz w:val="20"/>
                <w:szCs w:val="20"/>
              </w:rPr>
            </w:pPr>
            <w:r w:rsidRPr="00D10D3F">
              <w:rPr>
                <w:b/>
                <w:sz w:val="20"/>
                <w:szCs w:val="20"/>
              </w:rPr>
              <w:t>Derek Joseph Campeau c. Sa Majesté la Reine</w:t>
            </w:r>
          </w:p>
          <w:p w:rsidR="005B44AC" w:rsidRPr="00D10D3F" w:rsidRDefault="005B44AC" w:rsidP="005B44AC">
            <w:pPr>
              <w:jc w:val="both"/>
              <w:rPr>
                <w:sz w:val="20"/>
                <w:lang w:val="fr-CA"/>
              </w:rPr>
            </w:pPr>
            <w:r w:rsidRPr="00D10D3F">
              <w:rPr>
                <w:sz w:val="20"/>
                <w:lang w:val="fr-CA"/>
              </w:rPr>
              <w:t>(Alb.) (Criminelle) (Sur autorisation)</w:t>
            </w:r>
          </w:p>
        </w:tc>
      </w:tr>
      <w:tr w:rsidR="005B44AC" w:rsidRPr="00D10D3F" w:rsidTr="00350EBF">
        <w:trPr>
          <w:gridAfter w:val="1"/>
          <w:wAfter w:w="48" w:type="pct"/>
        </w:trPr>
        <w:tc>
          <w:tcPr>
            <w:tcW w:w="4952" w:type="pct"/>
            <w:gridSpan w:val="4"/>
          </w:tcPr>
          <w:p w:rsidR="005B44AC" w:rsidRPr="00D10D3F" w:rsidRDefault="005B44AC" w:rsidP="005B44AC">
            <w:pPr>
              <w:pStyle w:val="SCCBanSummary"/>
              <w:rPr>
                <w:sz w:val="20"/>
                <w:szCs w:val="20"/>
                <w:lang w:val="fr-CA"/>
              </w:rPr>
            </w:pPr>
            <w:r w:rsidRPr="00D10D3F">
              <w:rPr>
                <w:sz w:val="20"/>
                <w:szCs w:val="20"/>
                <w:lang w:val="fr-CA"/>
              </w:rPr>
              <w:t>(Ordonnance de non-publication dans le dossier)</w:t>
            </w:r>
          </w:p>
          <w:p w:rsidR="005B44AC" w:rsidRPr="00D10D3F" w:rsidRDefault="005B44AC" w:rsidP="005B44AC">
            <w:pPr>
              <w:jc w:val="both"/>
              <w:rPr>
                <w:sz w:val="20"/>
                <w:lang w:val="fr-CA"/>
              </w:rPr>
            </w:pPr>
          </w:p>
          <w:p w:rsidR="005B44AC" w:rsidRPr="00D10D3F" w:rsidRDefault="005B44AC" w:rsidP="005B44AC">
            <w:pPr>
              <w:jc w:val="both"/>
              <w:rPr>
                <w:sz w:val="20"/>
                <w:lang w:val="fr-CA"/>
              </w:rPr>
            </w:pPr>
            <w:r w:rsidRPr="00D10D3F">
              <w:rPr>
                <w:sz w:val="20"/>
                <w:lang w:val="fr-CA"/>
              </w:rPr>
              <w:t xml:space="preserve">Droit criminel – Preuve – Éléments de l’infraction – Éléments de preuve obtenus dans une opération Monsieur </w:t>
            </w:r>
            <w:proofErr w:type="spellStart"/>
            <w:r w:rsidRPr="00D10D3F">
              <w:rPr>
                <w:sz w:val="20"/>
                <w:lang w:val="fr-CA"/>
              </w:rPr>
              <w:t>Big</w:t>
            </w:r>
            <w:proofErr w:type="spellEnd"/>
            <w:r w:rsidRPr="00D10D3F">
              <w:rPr>
                <w:sz w:val="20"/>
                <w:lang w:val="fr-CA"/>
              </w:rPr>
              <w:t xml:space="preserve"> – Les éléments de preuve auraient-ils dû être admis au procès du fait de la véracité de leur contenu? – La simple présence sur les lieux du crime suffit-elle pour rendre l’accusé partie à l’infraction?</w:t>
            </w:r>
          </w:p>
        </w:tc>
      </w:tr>
      <w:tr w:rsidR="005B44AC" w:rsidRPr="00D10D3F" w:rsidTr="00350EBF">
        <w:trPr>
          <w:gridAfter w:val="1"/>
          <w:wAfter w:w="48" w:type="pct"/>
        </w:trPr>
        <w:tc>
          <w:tcPr>
            <w:tcW w:w="4952" w:type="pct"/>
            <w:gridSpan w:val="4"/>
          </w:tcPr>
          <w:p w:rsidR="005B44AC" w:rsidRPr="00D10D3F" w:rsidRDefault="005B44AC" w:rsidP="005B44AC">
            <w:pPr>
              <w:jc w:val="both"/>
              <w:rPr>
                <w:sz w:val="20"/>
                <w:lang w:val="fr-CA"/>
              </w:rPr>
            </w:pPr>
          </w:p>
        </w:tc>
      </w:tr>
      <w:tr w:rsidR="005B44AC" w:rsidRPr="00D10D3F" w:rsidTr="00350EBF">
        <w:trPr>
          <w:gridAfter w:val="1"/>
          <w:wAfter w:w="48" w:type="pct"/>
        </w:trPr>
        <w:tc>
          <w:tcPr>
            <w:tcW w:w="4952" w:type="pct"/>
            <w:gridSpan w:val="4"/>
          </w:tcPr>
          <w:p w:rsidR="005B44AC" w:rsidRPr="00D10D3F" w:rsidRDefault="005B44AC" w:rsidP="005B44AC">
            <w:pPr>
              <w:autoSpaceDE w:val="0"/>
              <w:autoSpaceDN w:val="0"/>
              <w:adjustRightInd w:val="0"/>
              <w:jc w:val="both"/>
              <w:rPr>
                <w:sz w:val="20"/>
                <w:lang w:val="fr-CA"/>
              </w:rPr>
            </w:pPr>
            <w:r w:rsidRPr="00D10D3F">
              <w:rPr>
                <w:sz w:val="20"/>
                <w:lang w:val="fr-CA"/>
              </w:rPr>
              <w:t>D</w:t>
            </w:r>
            <w:r w:rsidRPr="00D10D3F">
              <w:rPr>
                <w:bCs/>
                <w:sz w:val="20"/>
                <w:lang w:val="fr-CA"/>
              </w:rPr>
              <w:t>aniel Levesque a été tué chez lui, le 28 ou le 29 juin 2008. Une opération Monsieur Big a ciblé M. Worme, qui a fini par subir son procès seul et a été déclaré coupable de meurtre au premier degré. Pendant l’opération Monsieur Big et à son procès, M. Worme a relaté des versions différentes des événements. Certaines de ses déclarations à Monsieur Big ont impliqué MM. </w:t>
            </w:r>
            <w:proofErr w:type="spellStart"/>
            <w:r w:rsidRPr="00D10D3F">
              <w:rPr>
                <w:bCs/>
                <w:sz w:val="20"/>
                <w:lang w:val="fr-CA"/>
              </w:rPr>
              <w:t>Campeau</w:t>
            </w:r>
            <w:proofErr w:type="spellEnd"/>
            <w:r w:rsidRPr="00D10D3F">
              <w:rPr>
                <w:bCs/>
                <w:sz w:val="20"/>
                <w:lang w:val="fr-CA"/>
              </w:rPr>
              <w:t xml:space="preserve"> et Stevens. Messieurs </w:t>
            </w:r>
            <w:proofErr w:type="spellStart"/>
            <w:r w:rsidRPr="00D10D3F">
              <w:rPr>
                <w:bCs/>
                <w:sz w:val="20"/>
                <w:lang w:val="fr-CA"/>
              </w:rPr>
              <w:t>Campeau</w:t>
            </w:r>
            <w:proofErr w:type="spellEnd"/>
            <w:r w:rsidRPr="00D10D3F">
              <w:rPr>
                <w:bCs/>
                <w:sz w:val="20"/>
                <w:lang w:val="fr-CA"/>
              </w:rPr>
              <w:t xml:space="preserve"> et Stevens ont subi leurs procès ensemble. Monsieur </w:t>
            </w:r>
            <w:proofErr w:type="spellStart"/>
            <w:r w:rsidRPr="00D10D3F">
              <w:rPr>
                <w:bCs/>
                <w:sz w:val="20"/>
                <w:lang w:val="fr-CA"/>
              </w:rPr>
              <w:t>Worme</w:t>
            </w:r>
            <w:proofErr w:type="spellEnd"/>
            <w:r w:rsidRPr="00D10D3F">
              <w:rPr>
                <w:bCs/>
                <w:sz w:val="20"/>
                <w:lang w:val="fr-CA"/>
              </w:rPr>
              <w:t xml:space="preserve"> a été assigné à comparaître à leur procès, mais il a refusé de témoigner</w:t>
            </w:r>
            <w:r w:rsidRPr="00D10D3F">
              <w:rPr>
                <w:sz w:val="20"/>
                <w:lang w:val="fr-CA"/>
              </w:rPr>
              <w:t xml:space="preserve">. Le juge </w:t>
            </w:r>
            <w:r w:rsidRPr="00D10D3F">
              <w:rPr>
                <w:bCs/>
                <w:sz w:val="20"/>
                <w:lang w:val="fr-CA"/>
              </w:rPr>
              <w:t>MacLeod a admis les éléments de preuve obtenus dans le cadre de l’opération Monsieur Big, y compris les allégations de M. </w:t>
            </w:r>
            <w:proofErr w:type="spellStart"/>
            <w:r w:rsidRPr="00D10D3F">
              <w:rPr>
                <w:bCs/>
                <w:sz w:val="20"/>
                <w:lang w:val="fr-CA"/>
              </w:rPr>
              <w:t>Worme</w:t>
            </w:r>
            <w:proofErr w:type="spellEnd"/>
            <w:r w:rsidRPr="00D10D3F">
              <w:rPr>
                <w:bCs/>
                <w:sz w:val="20"/>
                <w:lang w:val="fr-CA"/>
              </w:rPr>
              <w:t xml:space="preserve"> impliquant Messieurs </w:t>
            </w:r>
            <w:proofErr w:type="spellStart"/>
            <w:r w:rsidRPr="00D10D3F">
              <w:rPr>
                <w:bCs/>
                <w:sz w:val="20"/>
                <w:lang w:val="fr-CA"/>
              </w:rPr>
              <w:t>Campeau</w:t>
            </w:r>
            <w:proofErr w:type="spellEnd"/>
            <w:r w:rsidRPr="00D10D3F">
              <w:rPr>
                <w:bCs/>
                <w:sz w:val="20"/>
                <w:lang w:val="fr-CA"/>
              </w:rPr>
              <w:t xml:space="preserve"> et Stevens. Messieurs </w:t>
            </w:r>
            <w:proofErr w:type="spellStart"/>
            <w:r w:rsidRPr="00D10D3F">
              <w:rPr>
                <w:bCs/>
                <w:sz w:val="20"/>
                <w:lang w:val="fr-CA"/>
              </w:rPr>
              <w:t>Campeau</w:t>
            </w:r>
            <w:proofErr w:type="spellEnd"/>
            <w:r w:rsidRPr="00D10D3F">
              <w:rPr>
                <w:bCs/>
                <w:sz w:val="20"/>
                <w:lang w:val="fr-CA"/>
              </w:rPr>
              <w:t xml:space="preserve"> et Stevens ont été déclarés coupables d’homicide involontaire coupable. La Cour d’appel a rejeté l’appel M. Campeau de sa déclaration de culpabilité.</w:t>
            </w:r>
          </w:p>
          <w:p w:rsidR="005B44AC" w:rsidRPr="00D10D3F" w:rsidRDefault="005B44AC" w:rsidP="005B44AC">
            <w:pPr>
              <w:autoSpaceDE w:val="0"/>
              <w:autoSpaceDN w:val="0"/>
              <w:adjustRightInd w:val="0"/>
              <w:jc w:val="both"/>
              <w:rPr>
                <w:bCs/>
                <w:sz w:val="20"/>
                <w:lang w:val="fr-CA"/>
              </w:rPr>
            </w:pPr>
          </w:p>
        </w:tc>
      </w:tr>
      <w:tr w:rsidR="005B44AC" w:rsidRPr="00D10D3F" w:rsidTr="00350EBF">
        <w:tblPrEx>
          <w:tblCellMar>
            <w:bottom w:w="0" w:type="dxa"/>
          </w:tblCellMar>
        </w:tblPrEx>
        <w:tc>
          <w:tcPr>
            <w:tcW w:w="2367" w:type="pct"/>
            <w:gridSpan w:val="2"/>
          </w:tcPr>
          <w:p w:rsidR="005B44AC" w:rsidRPr="00D10D3F" w:rsidRDefault="005B44AC" w:rsidP="005B44AC">
            <w:pPr>
              <w:jc w:val="both"/>
              <w:rPr>
                <w:sz w:val="20"/>
                <w:lang w:val="fr-CA"/>
              </w:rPr>
            </w:pPr>
            <w:r w:rsidRPr="00D10D3F">
              <w:rPr>
                <w:sz w:val="20"/>
                <w:lang w:val="fr-CA"/>
              </w:rPr>
              <w:t>17 juin 2013</w:t>
            </w:r>
          </w:p>
          <w:p w:rsidR="005B44AC" w:rsidRPr="00D10D3F" w:rsidRDefault="005B44AC" w:rsidP="005B44AC">
            <w:pPr>
              <w:jc w:val="both"/>
              <w:rPr>
                <w:sz w:val="20"/>
                <w:lang w:val="fr-CA"/>
              </w:rPr>
            </w:pPr>
            <w:r w:rsidRPr="00D10D3F">
              <w:rPr>
                <w:sz w:val="20"/>
                <w:lang w:val="fr-CA"/>
              </w:rPr>
              <w:t>Cour du Banc de la Reine de l’Alberta</w:t>
            </w:r>
          </w:p>
          <w:p w:rsidR="005B44AC" w:rsidRPr="00D10D3F" w:rsidRDefault="005B44AC" w:rsidP="005B44AC">
            <w:pPr>
              <w:jc w:val="both"/>
              <w:rPr>
                <w:sz w:val="20"/>
                <w:lang w:val="fr-CA"/>
              </w:rPr>
            </w:pPr>
            <w:r w:rsidRPr="00D10D3F">
              <w:rPr>
                <w:sz w:val="20"/>
                <w:lang w:val="fr-CA"/>
              </w:rPr>
              <w:t>(Juge Macleod)</w:t>
            </w:r>
          </w:p>
          <w:p w:rsidR="005B44AC" w:rsidRPr="00D10D3F" w:rsidRDefault="005B44AC" w:rsidP="005B44AC">
            <w:pPr>
              <w:jc w:val="both"/>
              <w:rPr>
                <w:sz w:val="20"/>
                <w:lang w:val="fr-CA"/>
              </w:rPr>
            </w:pPr>
            <w:r w:rsidRPr="00D10D3F">
              <w:rPr>
                <w:sz w:val="20"/>
                <w:lang w:val="fr-CA"/>
              </w:rPr>
              <w:t>(Non publié)</w:t>
            </w:r>
          </w:p>
          <w:p w:rsidR="005B44AC" w:rsidRPr="00D10D3F" w:rsidRDefault="005B44AC" w:rsidP="005B44AC">
            <w:pPr>
              <w:jc w:val="both"/>
              <w:rPr>
                <w:sz w:val="20"/>
                <w:lang w:val="fr-CA"/>
              </w:rPr>
            </w:pPr>
          </w:p>
        </w:tc>
        <w:tc>
          <w:tcPr>
            <w:tcW w:w="267" w:type="pct"/>
          </w:tcPr>
          <w:p w:rsidR="005B44AC" w:rsidRPr="00D10D3F" w:rsidRDefault="005B44AC" w:rsidP="005B44AC">
            <w:pPr>
              <w:jc w:val="both"/>
              <w:rPr>
                <w:sz w:val="20"/>
                <w:lang w:val="fr-CA"/>
              </w:rPr>
            </w:pPr>
          </w:p>
        </w:tc>
        <w:tc>
          <w:tcPr>
            <w:tcW w:w="2366" w:type="pct"/>
            <w:gridSpan w:val="2"/>
          </w:tcPr>
          <w:p w:rsidR="005B44AC" w:rsidRPr="00D10D3F" w:rsidRDefault="005B44AC" w:rsidP="005B44AC">
            <w:pPr>
              <w:jc w:val="both"/>
              <w:rPr>
                <w:sz w:val="20"/>
                <w:lang w:val="fr-CA"/>
              </w:rPr>
            </w:pPr>
            <w:r w:rsidRPr="00D10D3F">
              <w:rPr>
                <w:sz w:val="20"/>
                <w:lang w:val="fr-CA"/>
              </w:rPr>
              <w:t>Déclaration de culpabilité pour homicide involontaire coupable</w:t>
            </w:r>
          </w:p>
          <w:p w:rsidR="005B44AC" w:rsidRPr="00D10D3F" w:rsidRDefault="005B44AC" w:rsidP="005B44AC">
            <w:pPr>
              <w:jc w:val="both"/>
              <w:rPr>
                <w:sz w:val="20"/>
                <w:lang w:val="fr-CA"/>
              </w:rPr>
            </w:pPr>
          </w:p>
        </w:tc>
      </w:tr>
      <w:tr w:rsidR="005B44AC" w:rsidRPr="00D10D3F" w:rsidTr="00350EBF">
        <w:tblPrEx>
          <w:tblCellMar>
            <w:bottom w:w="0" w:type="dxa"/>
          </w:tblCellMar>
        </w:tblPrEx>
        <w:tc>
          <w:tcPr>
            <w:tcW w:w="2367" w:type="pct"/>
            <w:gridSpan w:val="2"/>
          </w:tcPr>
          <w:p w:rsidR="005B44AC" w:rsidRPr="00D10D3F" w:rsidRDefault="005B44AC" w:rsidP="005B44AC">
            <w:pPr>
              <w:jc w:val="both"/>
              <w:rPr>
                <w:sz w:val="20"/>
                <w:lang w:val="fr-CA"/>
              </w:rPr>
            </w:pPr>
            <w:r w:rsidRPr="00D10D3F">
              <w:rPr>
                <w:sz w:val="20"/>
                <w:lang w:val="fr-CA"/>
              </w:rPr>
              <w:t>18 juin 2015</w:t>
            </w:r>
          </w:p>
          <w:p w:rsidR="005B44AC" w:rsidRPr="00D10D3F" w:rsidRDefault="005B44AC" w:rsidP="005B44AC">
            <w:pPr>
              <w:jc w:val="both"/>
              <w:rPr>
                <w:sz w:val="20"/>
                <w:lang w:val="fr-CA"/>
              </w:rPr>
            </w:pPr>
            <w:r w:rsidRPr="00D10D3F">
              <w:rPr>
                <w:sz w:val="20"/>
                <w:lang w:val="fr-CA"/>
              </w:rPr>
              <w:t>Cour d’appel de l’Alberta (Calgary)</w:t>
            </w:r>
          </w:p>
          <w:p w:rsidR="005B44AC" w:rsidRPr="00D10D3F" w:rsidRDefault="005B44AC" w:rsidP="005B44AC">
            <w:pPr>
              <w:jc w:val="both"/>
              <w:rPr>
                <w:sz w:val="20"/>
                <w:lang w:val="fr-CA"/>
              </w:rPr>
            </w:pPr>
            <w:r w:rsidRPr="00D10D3F">
              <w:rPr>
                <w:sz w:val="20"/>
                <w:lang w:val="fr-CA"/>
              </w:rPr>
              <w:t>(Juges Watson, O’Ferrall (motifs concordants) et Côté)</w:t>
            </w:r>
          </w:p>
          <w:p w:rsidR="005B44AC" w:rsidRPr="00D10D3F" w:rsidRDefault="005B44AC" w:rsidP="005B44AC">
            <w:pPr>
              <w:jc w:val="both"/>
              <w:rPr>
                <w:sz w:val="20"/>
                <w:lang w:val="fr-CA"/>
              </w:rPr>
            </w:pPr>
            <w:r w:rsidRPr="00D10D3F">
              <w:rPr>
                <w:sz w:val="20"/>
                <w:lang w:val="fr-CA"/>
              </w:rPr>
              <w:t xml:space="preserve">1301-0342-A; </w:t>
            </w:r>
            <w:hyperlink r:id="rId18" w:history="1">
              <w:r w:rsidRPr="00D10D3F">
                <w:rPr>
                  <w:rStyle w:val="Hyperlink"/>
                  <w:sz w:val="20"/>
                  <w:lang w:val="fr-CA"/>
                </w:rPr>
                <w:t>2015 ABCA 210</w:t>
              </w:r>
            </w:hyperlink>
          </w:p>
          <w:p w:rsidR="005B44AC" w:rsidRPr="00D10D3F" w:rsidRDefault="005B44AC" w:rsidP="005B44AC">
            <w:pPr>
              <w:jc w:val="both"/>
              <w:rPr>
                <w:sz w:val="20"/>
                <w:lang w:val="fr-CA"/>
              </w:rPr>
            </w:pPr>
          </w:p>
        </w:tc>
        <w:tc>
          <w:tcPr>
            <w:tcW w:w="267" w:type="pct"/>
          </w:tcPr>
          <w:p w:rsidR="005B44AC" w:rsidRPr="00D10D3F" w:rsidRDefault="005B44AC" w:rsidP="005B44AC">
            <w:pPr>
              <w:jc w:val="both"/>
              <w:rPr>
                <w:sz w:val="20"/>
                <w:lang w:val="fr-CA"/>
              </w:rPr>
            </w:pPr>
          </w:p>
        </w:tc>
        <w:tc>
          <w:tcPr>
            <w:tcW w:w="2366" w:type="pct"/>
            <w:gridSpan w:val="2"/>
          </w:tcPr>
          <w:p w:rsidR="005B44AC" w:rsidRPr="00D10D3F" w:rsidRDefault="005B44AC" w:rsidP="005B44AC">
            <w:pPr>
              <w:jc w:val="both"/>
              <w:rPr>
                <w:sz w:val="20"/>
                <w:lang w:val="fr-CA"/>
              </w:rPr>
            </w:pPr>
            <w:r w:rsidRPr="00D10D3F">
              <w:rPr>
                <w:sz w:val="20"/>
                <w:lang w:val="fr-CA"/>
              </w:rPr>
              <w:t>Rejet de l’appel</w:t>
            </w:r>
          </w:p>
          <w:p w:rsidR="005B44AC" w:rsidRPr="00D10D3F" w:rsidRDefault="005B44AC" w:rsidP="005B44AC">
            <w:pPr>
              <w:jc w:val="both"/>
              <w:rPr>
                <w:sz w:val="20"/>
                <w:lang w:val="fr-CA"/>
              </w:rPr>
            </w:pPr>
          </w:p>
        </w:tc>
      </w:tr>
      <w:tr w:rsidR="005B44AC" w:rsidRPr="00D10D3F" w:rsidTr="00350EBF">
        <w:tblPrEx>
          <w:tblCellMar>
            <w:bottom w:w="0" w:type="dxa"/>
          </w:tblCellMar>
        </w:tblPrEx>
        <w:tc>
          <w:tcPr>
            <w:tcW w:w="2367" w:type="pct"/>
            <w:gridSpan w:val="2"/>
          </w:tcPr>
          <w:p w:rsidR="005B44AC" w:rsidRPr="00D10D3F" w:rsidRDefault="005B44AC" w:rsidP="005B44AC">
            <w:pPr>
              <w:jc w:val="both"/>
              <w:rPr>
                <w:sz w:val="20"/>
                <w:lang w:val="fr-CA"/>
              </w:rPr>
            </w:pPr>
            <w:r w:rsidRPr="00D10D3F">
              <w:rPr>
                <w:sz w:val="20"/>
                <w:lang w:val="fr-CA"/>
              </w:rPr>
              <w:lastRenderedPageBreak/>
              <w:t>27 janvier 2016</w:t>
            </w:r>
          </w:p>
          <w:p w:rsidR="005B44AC" w:rsidRPr="00D10D3F" w:rsidRDefault="005B44AC" w:rsidP="005B44AC">
            <w:pPr>
              <w:jc w:val="both"/>
              <w:rPr>
                <w:sz w:val="20"/>
                <w:lang w:val="fr-CA"/>
              </w:rPr>
            </w:pPr>
            <w:r w:rsidRPr="00D10D3F">
              <w:rPr>
                <w:sz w:val="20"/>
                <w:lang w:val="fr-CA"/>
              </w:rPr>
              <w:t>Cour suprême du Canada</w:t>
            </w:r>
          </w:p>
        </w:tc>
        <w:tc>
          <w:tcPr>
            <w:tcW w:w="267" w:type="pct"/>
          </w:tcPr>
          <w:p w:rsidR="005B44AC" w:rsidRPr="00D10D3F" w:rsidRDefault="005B44AC" w:rsidP="005B44AC">
            <w:pPr>
              <w:jc w:val="both"/>
              <w:rPr>
                <w:sz w:val="20"/>
                <w:lang w:val="fr-CA"/>
              </w:rPr>
            </w:pPr>
          </w:p>
        </w:tc>
        <w:tc>
          <w:tcPr>
            <w:tcW w:w="2366" w:type="pct"/>
            <w:gridSpan w:val="2"/>
          </w:tcPr>
          <w:p w:rsidR="005B44AC" w:rsidRPr="00D10D3F" w:rsidRDefault="005B44AC" w:rsidP="005B44AC">
            <w:pPr>
              <w:jc w:val="both"/>
              <w:rPr>
                <w:sz w:val="20"/>
                <w:lang w:val="fr-CA"/>
              </w:rPr>
            </w:pPr>
            <w:r w:rsidRPr="00D10D3F">
              <w:rPr>
                <w:sz w:val="20"/>
                <w:lang w:val="fr-CA"/>
              </w:rPr>
              <w:t>Requête en prorogation du délai de signification et de dépôt de la demande d’autorisation d’appel et de la demande d’autorisation d’appel</w:t>
            </w:r>
          </w:p>
        </w:tc>
      </w:tr>
    </w:tbl>
    <w:p w:rsidR="005B44AC" w:rsidRPr="00D10D3F" w:rsidRDefault="005B44AC" w:rsidP="007671A5">
      <w:pPr>
        <w:jc w:val="both"/>
        <w:rPr>
          <w:sz w:val="20"/>
          <w:lang w:val="fr-CA"/>
        </w:rPr>
      </w:pPr>
    </w:p>
    <w:p w:rsidR="00722866" w:rsidRPr="00D10D3F" w:rsidRDefault="00722866" w:rsidP="007671A5">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71A5" w:rsidRPr="00D10D3F" w:rsidTr="00E95A6A">
        <w:tc>
          <w:tcPr>
            <w:tcW w:w="543" w:type="pct"/>
          </w:tcPr>
          <w:p w:rsidR="007671A5" w:rsidRPr="00D10D3F" w:rsidRDefault="007671A5" w:rsidP="007671A5">
            <w:pPr>
              <w:jc w:val="both"/>
              <w:rPr>
                <w:sz w:val="20"/>
              </w:rPr>
            </w:pPr>
            <w:r w:rsidRPr="00D10D3F">
              <w:rPr>
                <w:rStyle w:val="SCCFileNumberChar"/>
                <w:sz w:val="20"/>
                <w:szCs w:val="20"/>
              </w:rPr>
              <w:t>36849</w:t>
            </w:r>
          </w:p>
        </w:tc>
        <w:tc>
          <w:tcPr>
            <w:tcW w:w="4457" w:type="pct"/>
            <w:gridSpan w:val="3"/>
          </w:tcPr>
          <w:p w:rsidR="007671A5" w:rsidRPr="00D10D3F" w:rsidRDefault="007671A5" w:rsidP="007671A5">
            <w:pPr>
              <w:pStyle w:val="SCCLsocParty"/>
              <w:jc w:val="both"/>
              <w:rPr>
                <w:b/>
                <w:sz w:val="20"/>
                <w:szCs w:val="20"/>
              </w:rPr>
            </w:pPr>
            <w:r w:rsidRPr="00D10D3F">
              <w:rPr>
                <w:b/>
                <w:sz w:val="20"/>
                <w:szCs w:val="20"/>
              </w:rPr>
              <w:t xml:space="preserve">Mirza </w:t>
            </w:r>
            <w:proofErr w:type="spellStart"/>
            <w:r w:rsidRPr="00D10D3F">
              <w:rPr>
                <w:b/>
                <w:sz w:val="20"/>
                <w:szCs w:val="20"/>
              </w:rPr>
              <w:t>Nammo</w:t>
            </w:r>
            <w:proofErr w:type="spellEnd"/>
            <w:r w:rsidRPr="00D10D3F">
              <w:rPr>
                <w:b/>
                <w:sz w:val="20"/>
                <w:szCs w:val="20"/>
              </w:rPr>
              <w:t xml:space="preserve"> v. Her Majesty the Queen in Right of Canada, Minister of Justice, Attorney General of Canada, Peter Gordon MacKay, Her Majesty the Queen in Right of Alberta, Minister of Justice and Solicitor General Alberta, Jonathan Denis, Law Enforcement Review Board of Alberta, John E. Philips, Chief Justice of Alberta, Madam Catherine A. Fraser, Calgary Police Commission Chair, Mike Shaikh, Calgary Police Service, Rick Hanson, J. Matthews, P. Wyatt, R. Thompson and Calgary Police Professional Standards, R. Tompkins</w:t>
            </w:r>
          </w:p>
          <w:p w:rsidR="007671A5" w:rsidRPr="00D10D3F" w:rsidRDefault="007671A5" w:rsidP="007671A5">
            <w:pPr>
              <w:jc w:val="both"/>
              <w:rPr>
                <w:sz w:val="20"/>
              </w:rPr>
            </w:pPr>
            <w:r w:rsidRPr="00D10D3F">
              <w:rPr>
                <w:sz w:val="20"/>
              </w:rPr>
              <w:t>(Alta.) (Civil) (By Leave)</w:t>
            </w:r>
          </w:p>
        </w:tc>
      </w:tr>
      <w:tr w:rsidR="007671A5" w:rsidRPr="00D10D3F" w:rsidTr="00E95A6A">
        <w:tc>
          <w:tcPr>
            <w:tcW w:w="5000" w:type="pct"/>
            <w:gridSpan w:val="4"/>
          </w:tcPr>
          <w:p w:rsidR="007671A5" w:rsidRPr="00D10D3F" w:rsidRDefault="007671A5" w:rsidP="007671A5">
            <w:pPr>
              <w:jc w:val="both"/>
              <w:rPr>
                <w:sz w:val="20"/>
              </w:rPr>
            </w:pPr>
            <w:r w:rsidRPr="00D10D3F">
              <w:rPr>
                <w:sz w:val="20"/>
              </w:rPr>
              <w:t xml:space="preserve">Judgments and orders – Summary judgment – Applicant’s action dismissed due to expiry of limitation period </w:t>
            </w:r>
            <w:r w:rsidRPr="00D10D3F">
              <w:rPr>
                <w:sz w:val="20"/>
                <w:lang w:val="fr-CA"/>
              </w:rPr>
              <w:t xml:space="preserve">– </w:t>
            </w:r>
            <w:r w:rsidRPr="00D10D3F">
              <w:rPr>
                <w:sz w:val="20"/>
              </w:rPr>
              <w:t xml:space="preserve">Whether lower courts erred or were in violation of the </w:t>
            </w:r>
            <w:r w:rsidRPr="00D10D3F">
              <w:rPr>
                <w:i/>
                <w:sz w:val="20"/>
              </w:rPr>
              <w:t>Criminal Code of Canada</w:t>
            </w:r>
            <w:r w:rsidRPr="00D10D3F">
              <w:rPr>
                <w:sz w:val="20"/>
              </w:rPr>
              <w:t xml:space="preserve"> – Whether lower courts violated applicant’s constitutional rights – Whether judges can ignore facts that are established by hard evidence and fabricate false and absurd stories to obstruct justice? – Whether courts can sabotage a case by deliberately placing false addresses on an envelope twice to cause delays in delivery of judgment documents?</w:t>
            </w:r>
          </w:p>
        </w:tc>
      </w:tr>
      <w:tr w:rsidR="007671A5" w:rsidRPr="00D10D3F" w:rsidTr="00E95A6A">
        <w:tc>
          <w:tcPr>
            <w:tcW w:w="5000" w:type="pct"/>
            <w:gridSpan w:val="4"/>
          </w:tcPr>
          <w:p w:rsidR="007671A5" w:rsidRPr="00D10D3F" w:rsidRDefault="007671A5" w:rsidP="007671A5">
            <w:pPr>
              <w:jc w:val="both"/>
              <w:rPr>
                <w:sz w:val="20"/>
              </w:rPr>
            </w:pPr>
          </w:p>
        </w:tc>
      </w:tr>
      <w:tr w:rsidR="007671A5" w:rsidRPr="00D10D3F" w:rsidTr="00E95A6A">
        <w:tc>
          <w:tcPr>
            <w:tcW w:w="5000" w:type="pct"/>
            <w:gridSpan w:val="4"/>
          </w:tcPr>
          <w:p w:rsidR="007671A5" w:rsidRPr="00D10D3F" w:rsidRDefault="007671A5" w:rsidP="007671A5">
            <w:pPr>
              <w:jc w:val="both"/>
              <w:rPr>
                <w:sz w:val="20"/>
              </w:rPr>
            </w:pPr>
            <w:r w:rsidRPr="00D10D3F">
              <w:rPr>
                <w:sz w:val="20"/>
              </w:rPr>
              <w:t>Mr. </w:t>
            </w:r>
            <w:proofErr w:type="spellStart"/>
            <w:r w:rsidRPr="00D10D3F">
              <w:rPr>
                <w:sz w:val="20"/>
              </w:rPr>
              <w:t>Nammo</w:t>
            </w:r>
            <w:proofErr w:type="spellEnd"/>
            <w:r w:rsidRPr="00D10D3F">
              <w:rPr>
                <w:sz w:val="20"/>
              </w:rPr>
              <w:t xml:space="preserve"> filed a statement of claim in the within action, alleging various acts of misfeasance by several participants in the administration of justice in Alberta. Some of the respondents were granted orders by the Master, striking out the action against them. Mr. </w:t>
            </w:r>
            <w:proofErr w:type="spellStart"/>
            <w:r w:rsidRPr="00D10D3F">
              <w:rPr>
                <w:sz w:val="20"/>
              </w:rPr>
              <w:t>Nammo</w:t>
            </w:r>
            <w:proofErr w:type="spellEnd"/>
            <w:r w:rsidRPr="00D10D3F">
              <w:rPr>
                <w:sz w:val="20"/>
              </w:rPr>
              <w:t xml:space="preserve"> appealed the two orders. The remaining respondents brought a motion to have the action against them dismissed.</w:t>
            </w:r>
          </w:p>
          <w:p w:rsidR="007671A5" w:rsidRPr="00D10D3F" w:rsidRDefault="007671A5" w:rsidP="007671A5">
            <w:pPr>
              <w:jc w:val="both"/>
              <w:rPr>
                <w:sz w:val="20"/>
              </w:rPr>
            </w:pPr>
          </w:p>
        </w:tc>
      </w:tr>
      <w:tr w:rsidR="007671A5" w:rsidRPr="00D10D3F" w:rsidTr="00E95A6A">
        <w:tc>
          <w:tcPr>
            <w:tcW w:w="2427" w:type="pct"/>
            <w:gridSpan w:val="2"/>
          </w:tcPr>
          <w:p w:rsidR="007671A5" w:rsidRPr="00D10D3F" w:rsidRDefault="007671A5" w:rsidP="007671A5">
            <w:pPr>
              <w:jc w:val="both"/>
              <w:rPr>
                <w:sz w:val="20"/>
              </w:rPr>
            </w:pPr>
            <w:r w:rsidRPr="00D10D3F">
              <w:rPr>
                <w:sz w:val="20"/>
              </w:rPr>
              <w:t>October 22, 2014</w:t>
            </w:r>
          </w:p>
          <w:p w:rsidR="007671A5" w:rsidRPr="00D10D3F" w:rsidRDefault="007671A5" w:rsidP="007671A5">
            <w:pPr>
              <w:jc w:val="both"/>
              <w:rPr>
                <w:sz w:val="20"/>
              </w:rPr>
            </w:pPr>
            <w:r w:rsidRPr="00D10D3F">
              <w:rPr>
                <w:sz w:val="20"/>
              </w:rPr>
              <w:t>Court of Queen’s Bench of Alberta</w:t>
            </w:r>
          </w:p>
          <w:p w:rsidR="007671A5" w:rsidRPr="00D10D3F" w:rsidRDefault="007671A5" w:rsidP="007671A5">
            <w:pPr>
              <w:jc w:val="both"/>
              <w:rPr>
                <w:sz w:val="20"/>
              </w:rPr>
            </w:pPr>
            <w:r w:rsidRPr="00D10D3F">
              <w:rPr>
                <w:sz w:val="20"/>
              </w:rPr>
              <w:t>(</w:t>
            </w:r>
            <w:proofErr w:type="spellStart"/>
            <w:r w:rsidRPr="00D10D3F">
              <w:rPr>
                <w:sz w:val="20"/>
              </w:rPr>
              <w:t>Erb</w:t>
            </w:r>
            <w:proofErr w:type="spellEnd"/>
            <w:r w:rsidRPr="00D10D3F">
              <w:rPr>
                <w:sz w:val="20"/>
              </w:rPr>
              <w:t xml:space="preserve"> J.)</w:t>
            </w:r>
          </w:p>
          <w:p w:rsidR="007671A5" w:rsidRPr="00D10D3F" w:rsidRDefault="007671A5" w:rsidP="007671A5">
            <w:pPr>
              <w:jc w:val="both"/>
              <w:rPr>
                <w:sz w:val="20"/>
              </w:rPr>
            </w:pPr>
            <w:r w:rsidRPr="00D10D3F">
              <w:rPr>
                <w:sz w:val="20"/>
              </w:rPr>
              <w:t>Not provided</w:t>
            </w:r>
          </w:p>
        </w:tc>
        <w:tc>
          <w:tcPr>
            <w:tcW w:w="243" w:type="pct"/>
          </w:tcPr>
          <w:p w:rsidR="007671A5" w:rsidRPr="00D10D3F" w:rsidRDefault="007671A5" w:rsidP="007671A5">
            <w:pPr>
              <w:jc w:val="both"/>
              <w:rPr>
                <w:sz w:val="20"/>
              </w:rPr>
            </w:pPr>
          </w:p>
        </w:tc>
        <w:tc>
          <w:tcPr>
            <w:tcW w:w="2330" w:type="pct"/>
          </w:tcPr>
          <w:p w:rsidR="007671A5" w:rsidRPr="00D10D3F" w:rsidRDefault="007671A5" w:rsidP="007671A5">
            <w:pPr>
              <w:jc w:val="both"/>
              <w:rPr>
                <w:sz w:val="20"/>
              </w:rPr>
            </w:pPr>
            <w:r w:rsidRPr="00D10D3F">
              <w:rPr>
                <w:sz w:val="20"/>
              </w:rPr>
              <w:t>Applicant’s appeals from two orders of master dismissed; Respondents’ motion to dismiss action against them granted.</w:t>
            </w:r>
          </w:p>
          <w:p w:rsidR="007671A5" w:rsidRPr="00D10D3F" w:rsidRDefault="007671A5" w:rsidP="007671A5">
            <w:pPr>
              <w:jc w:val="both"/>
              <w:rPr>
                <w:sz w:val="20"/>
              </w:rPr>
            </w:pPr>
          </w:p>
          <w:p w:rsidR="007671A5" w:rsidRPr="00D10D3F" w:rsidRDefault="007671A5" w:rsidP="007671A5">
            <w:pPr>
              <w:jc w:val="both"/>
              <w:rPr>
                <w:sz w:val="20"/>
              </w:rPr>
            </w:pPr>
          </w:p>
        </w:tc>
      </w:tr>
      <w:tr w:rsidR="007671A5" w:rsidRPr="00D10D3F" w:rsidTr="00E95A6A">
        <w:tc>
          <w:tcPr>
            <w:tcW w:w="2427" w:type="pct"/>
            <w:gridSpan w:val="2"/>
          </w:tcPr>
          <w:p w:rsidR="007671A5" w:rsidRPr="00D10D3F" w:rsidRDefault="007671A5" w:rsidP="007671A5">
            <w:pPr>
              <w:jc w:val="both"/>
              <w:rPr>
                <w:sz w:val="20"/>
              </w:rPr>
            </w:pPr>
            <w:r w:rsidRPr="00D10D3F">
              <w:rPr>
                <w:sz w:val="20"/>
              </w:rPr>
              <w:t>December 10, 2015</w:t>
            </w:r>
          </w:p>
          <w:p w:rsidR="007671A5" w:rsidRPr="00D10D3F" w:rsidRDefault="007671A5" w:rsidP="007671A5">
            <w:pPr>
              <w:jc w:val="both"/>
              <w:rPr>
                <w:sz w:val="20"/>
              </w:rPr>
            </w:pPr>
            <w:r w:rsidRPr="00D10D3F">
              <w:rPr>
                <w:sz w:val="20"/>
              </w:rPr>
              <w:t>Court of Appeal of Alberta (Calgary)</w:t>
            </w:r>
          </w:p>
          <w:p w:rsidR="007671A5" w:rsidRPr="00D10D3F" w:rsidRDefault="007671A5" w:rsidP="007671A5">
            <w:pPr>
              <w:jc w:val="both"/>
              <w:rPr>
                <w:sz w:val="20"/>
              </w:rPr>
            </w:pPr>
            <w:r w:rsidRPr="00D10D3F">
              <w:rPr>
                <w:sz w:val="20"/>
              </w:rPr>
              <w:t>(</w:t>
            </w:r>
            <w:proofErr w:type="spellStart"/>
            <w:r w:rsidRPr="00D10D3F">
              <w:rPr>
                <w:sz w:val="20"/>
              </w:rPr>
              <w:t>Rowbotham</w:t>
            </w:r>
            <w:proofErr w:type="spellEnd"/>
            <w:r w:rsidRPr="00D10D3F">
              <w:rPr>
                <w:sz w:val="20"/>
              </w:rPr>
              <w:t xml:space="preserve">, </w:t>
            </w:r>
            <w:proofErr w:type="spellStart"/>
            <w:r w:rsidRPr="00D10D3F">
              <w:rPr>
                <w:sz w:val="20"/>
              </w:rPr>
              <w:t>Bielby</w:t>
            </w:r>
            <w:proofErr w:type="spellEnd"/>
            <w:r w:rsidRPr="00D10D3F">
              <w:rPr>
                <w:sz w:val="20"/>
              </w:rPr>
              <w:t xml:space="preserve"> and </w:t>
            </w:r>
            <w:proofErr w:type="spellStart"/>
            <w:r w:rsidRPr="00D10D3F">
              <w:rPr>
                <w:sz w:val="20"/>
              </w:rPr>
              <w:t>Wakeling</w:t>
            </w:r>
            <w:proofErr w:type="spellEnd"/>
            <w:r w:rsidRPr="00D10D3F">
              <w:rPr>
                <w:sz w:val="20"/>
              </w:rPr>
              <w:t xml:space="preserve"> JJ.A.)</w:t>
            </w:r>
          </w:p>
          <w:p w:rsidR="007671A5" w:rsidRPr="00D10D3F" w:rsidRDefault="00D936BC" w:rsidP="007671A5">
            <w:pPr>
              <w:jc w:val="both"/>
              <w:rPr>
                <w:sz w:val="20"/>
              </w:rPr>
            </w:pPr>
            <w:hyperlink r:id="rId19" w:history="1">
              <w:r w:rsidR="007671A5" w:rsidRPr="00D10D3F">
                <w:rPr>
                  <w:rStyle w:val="Hyperlink"/>
                  <w:sz w:val="20"/>
                </w:rPr>
                <w:t>2015 ABCA 389</w:t>
              </w:r>
            </w:hyperlink>
          </w:p>
          <w:p w:rsidR="007671A5" w:rsidRPr="00D10D3F" w:rsidRDefault="007671A5" w:rsidP="007671A5">
            <w:pPr>
              <w:jc w:val="both"/>
              <w:rPr>
                <w:sz w:val="20"/>
              </w:rPr>
            </w:pPr>
          </w:p>
        </w:tc>
        <w:tc>
          <w:tcPr>
            <w:tcW w:w="243" w:type="pct"/>
          </w:tcPr>
          <w:p w:rsidR="007671A5" w:rsidRPr="00D10D3F" w:rsidRDefault="007671A5" w:rsidP="007671A5">
            <w:pPr>
              <w:jc w:val="both"/>
              <w:rPr>
                <w:sz w:val="20"/>
              </w:rPr>
            </w:pPr>
          </w:p>
        </w:tc>
        <w:tc>
          <w:tcPr>
            <w:tcW w:w="2330" w:type="pct"/>
          </w:tcPr>
          <w:p w:rsidR="007671A5" w:rsidRPr="00D10D3F" w:rsidRDefault="007671A5" w:rsidP="007671A5">
            <w:pPr>
              <w:jc w:val="both"/>
              <w:rPr>
                <w:sz w:val="20"/>
              </w:rPr>
            </w:pPr>
            <w:r w:rsidRPr="00D10D3F">
              <w:rPr>
                <w:sz w:val="20"/>
              </w:rPr>
              <w:t>Applicant’s appeal dismissed.</w:t>
            </w:r>
          </w:p>
          <w:p w:rsidR="007671A5" w:rsidRPr="00D10D3F" w:rsidRDefault="007671A5" w:rsidP="007671A5">
            <w:pPr>
              <w:jc w:val="both"/>
              <w:rPr>
                <w:sz w:val="20"/>
              </w:rPr>
            </w:pPr>
          </w:p>
        </w:tc>
      </w:tr>
      <w:tr w:rsidR="007671A5" w:rsidRPr="00D10D3F" w:rsidTr="00E95A6A">
        <w:tc>
          <w:tcPr>
            <w:tcW w:w="2427" w:type="pct"/>
            <w:gridSpan w:val="2"/>
          </w:tcPr>
          <w:p w:rsidR="007671A5" w:rsidRPr="00D10D3F" w:rsidRDefault="007671A5" w:rsidP="007671A5">
            <w:pPr>
              <w:jc w:val="both"/>
              <w:rPr>
                <w:sz w:val="20"/>
              </w:rPr>
            </w:pPr>
            <w:r w:rsidRPr="00D10D3F">
              <w:rPr>
                <w:sz w:val="20"/>
              </w:rPr>
              <w:t>February 5, 2016</w:t>
            </w:r>
          </w:p>
          <w:p w:rsidR="007671A5" w:rsidRPr="00D10D3F" w:rsidRDefault="007671A5" w:rsidP="007671A5">
            <w:pPr>
              <w:jc w:val="both"/>
              <w:rPr>
                <w:sz w:val="20"/>
              </w:rPr>
            </w:pPr>
            <w:r w:rsidRPr="00D10D3F">
              <w:rPr>
                <w:sz w:val="20"/>
              </w:rPr>
              <w:t>Supreme Court of Canada</w:t>
            </w:r>
          </w:p>
        </w:tc>
        <w:tc>
          <w:tcPr>
            <w:tcW w:w="243" w:type="pct"/>
          </w:tcPr>
          <w:p w:rsidR="007671A5" w:rsidRPr="00D10D3F" w:rsidRDefault="007671A5" w:rsidP="007671A5">
            <w:pPr>
              <w:jc w:val="both"/>
              <w:rPr>
                <w:sz w:val="20"/>
              </w:rPr>
            </w:pPr>
          </w:p>
        </w:tc>
        <w:tc>
          <w:tcPr>
            <w:tcW w:w="2330" w:type="pct"/>
          </w:tcPr>
          <w:p w:rsidR="007671A5" w:rsidRPr="00D10D3F" w:rsidRDefault="007671A5" w:rsidP="007671A5">
            <w:pPr>
              <w:jc w:val="both"/>
              <w:rPr>
                <w:sz w:val="20"/>
              </w:rPr>
            </w:pPr>
            <w:r w:rsidRPr="00D10D3F">
              <w:rPr>
                <w:sz w:val="20"/>
              </w:rPr>
              <w:t>Application for leave to appeal filed.</w:t>
            </w:r>
          </w:p>
          <w:p w:rsidR="007671A5" w:rsidRPr="00D10D3F" w:rsidRDefault="007671A5" w:rsidP="007671A5">
            <w:pPr>
              <w:jc w:val="both"/>
              <w:rPr>
                <w:sz w:val="20"/>
              </w:rPr>
            </w:pPr>
          </w:p>
        </w:tc>
      </w:tr>
    </w:tbl>
    <w:p w:rsidR="007671A5" w:rsidRPr="00D10D3F" w:rsidRDefault="007671A5" w:rsidP="007671A5">
      <w:pPr>
        <w:jc w:val="both"/>
        <w:rPr>
          <w:sz w:val="20"/>
        </w:rPr>
      </w:pPr>
    </w:p>
    <w:p w:rsidR="007671A5" w:rsidRPr="00D10D3F" w:rsidRDefault="007671A5" w:rsidP="007671A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671A5" w:rsidRPr="00D10D3F" w:rsidTr="00E95A6A">
        <w:tc>
          <w:tcPr>
            <w:tcW w:w="543" w:type="pct"/>
          </w:tcPr>
          <w:p w:rsidR="007671A5" w:rsidRPr="00D10D3F" w:rsidRDefault="007671A5" w:rsidP="007671A5">
            <w:pPr>
              <w:jc w:val="both"/>
              <w:rPr>
                <w:sz w:val="20"/>
                <w:lang w:val="fr-CA"/>
              </w:rPr>
            </w:pPr>
            <w:r w:rsidRPr="00D10D3F">
              <w:rPr>
                <w:rStyle w:val="SCCFileNumberChar"/>
                <w:sz w:val="20"/>
                <w:szCs w:val="20"/>
                <w:lang w:val="fr-CA"/>
              </w:rPr>
              <w:t>36849</w:t>
            </w:r>
          </w:p>
        </w:tc>
        <w:tc>
          <w:tcPr>
            <w:tcW w:w="4457" w:type="pct"/>
            <w:gridSpan w:val="3"/>
          </w:tcPr>
          <w:p w:rsidR="007671A5" w:rsidRPr="00D10D3F" w:rsidRDefault="007671A5" w:rsidP="007671A5">
            <w:pPr>
              <w:pStyle w:val="SCCLsocParty"/>
              <w:jc w:val="both"/>
              <w:rPr>
                <w:b/>
                <w:sz w:val="20"/>
                <w:szCs w:val="20"/>
              </w:rPr>
            </w:pPr>
            <w:r w:rsidRPr="00D10D3F">
              <w:rPr>
                <w:b/>
                <w:sz w:val="20"/>
                <w:szCs w:val="20"/>
              </w:rPr>
              <w:t>Mirza Nammo c. Sa Majesté la Reine du chef du Canada, ministre de la Justice, procureur général du Canada, Peter Gordon MacKay, Sa Majesté la Reine du chef de l’Alberta, Minister of Justice and Solicitor General Alberta, Jonathan Denis, Law Enforcement Review Board of Alberta, John E. Philips, juge en chef de l’Alberta, Madame Catherine A. Fraser, présidente de la Calgary Police Commission, Mike Shaikh, Calgary Police Service, Rick Hanson, J. Matthews, P. Wyatt, R. Thompson et Calgary Police Professional Standards, R. Tompkins</w:t>
            </w:r>
          </w:p>
          <w:p w:rsidR="007671A5" w:rsidRPr="00D10D3F" w:rsidRDefault="007671A5" w:rsidP="007671A5">
            <w:pPr>
              <w:jc w:val="both"/>
              <w:rPr>
                <w:sz w:val="20"/>
                <w:lang w:val="fr-CA"/>
              </w:rPr>
            </w:pPr>
            <w:r w:rsidRPr="00D10D3F">
              <w:rPr>
                <w:sz w:val="20"/>
                <w:lang w:val="fr-CA"/>
              </w:rPr>
              <w:t>(Alb.) (Civile) (Sur autorisation)</w:t>
            </w:r>
          </w:p>
        </w:tc>
      </w:tr>
      <w:tr w:rsidR="007671A5" w:rsidRPr="00D10D3F" w:rsidTr="00E95A6A">
        <w:tc>
          <w:tcPr>
            <w:tcW w:w="5000" w:type="pct"/>
            <w:gridSpan w:val="4"/>
          </w:tcPr>
          <w:p w:rsidR="007671A5" w:rsidRPr="00D10D3F" w:rsidRDefault="007671A5" w:rsidP="007671A5">
            <w:pPr>
              <w:jc w:val="both"/>
              <w:rPr>
                <w:sz w:val="20"/>
                <w:lang w:val="fr-CA"/>
              </w:rPr>
            </w:pPr>
            <w:r w:rsidRPr="00D10D3F">
              <w:rPr>
                <w:sz w:val="20"/>
                <w:lang w:val="fr-CA"/>
              </w:rPr>
              <w:t xml:space="preserve">Jugements et ordonnances – Jugements sommaires – L’action du demandeur a été rejetée pour cause de prescription – Les juridictions inférieures </w:t>
            </w:r>
            <w:proofErr w:type="spellStart"/>
            <w:r w:rsidRPr="00D10D3F">
              <w:rPr>
                <w:sz w:val="20"/>
                <w:lang w:val="fr-CA"/>
              </w:rPr>
              <w:t>ont-elles</w:t>
            </w:r>
            <w:proofErr w:type="spellEnd"/>
            <w:r w:rsidRPr="00D10D3F">
              <w:rPr>
                <w:sz w:val="20"/>
                <w:lang w:val="fr-CA"/>
              </w:rPr>
              <w:t xml:space="preserve"> commis une erreur ou ont-elles violé le</w:t>
            </w:r>
            <w:r w:rsidRPr="00D10D3F">
              <w:rPr>
                <w:i/>
                <w:sz w:val="20"/>
                <w:lang w:val="fr-CA"/>
              </w:rPr>
              <w:t xml:space="preserve"> Code criminel </w:t>
            </w:r>
            <w:r w:rsidRPr="00D10D3F">
              <w:rPr>
                <w:sz w:val="20"/>
                <w:lang w:val="fr-CA"/>
              </w:rPr>
              <w:t>du Canada? – Les juridictions inférieures ont-elles violé les droits constitutionnels du demandeur? – Les juges peuvent-ils faire abstraction de faits qui sont établis par de solides éléments de preuve et inventer des histoires fausses et absurdes pour entraver la justice? – Les tribunaux peuvent-ils saboter une cause en plaçant délibérément de fausses adresses sur une enveloppe à deux reprises pour causer des retards dans la livraison de documents relatifs aux jugements?</w:t>
            </w:r>
          </w:p>
        </w:tc>
      </w:tr>
      <w:tr w:rsidR="007671A5" w:rsidRPr="00D10D3F" w:rsidTr="00E95A6A">
        <w:tc>
          <w:tcPr>
            <w:tcW w:w="5000" w:type="pct"/>
            <w:gridSpan w:val="4"/>
          </w:tcPr>
          <w:p w:rsidR="007671A5" w:rsidRPr="00D10D3F" w:rsidRDefault="007671A5" w:rsidP="007671A5">
            <w:pPr>
              <w:jc w:val="both"/>
              <w:rPr>
                <w:sz w:val="20"/>
                <w:lang w:val="fr-CA"/>
              </w:rPr>
            </w:pPr>
          </w:p>
        </w:tc>
      </w:tr>
      <w:tr w:rsidR="007671A5" w:rsidRPr="00D10D3F" w:rsidTr="00E95A6A">
        <w:tc>
          <w:tcPr>
            <w:tcW w:w="5000" w:type="pct"/>
            <w:gridSpan w:val="4"/>
          </w:tcPr>
          <w:p w:rsidR="007671A5" w:rsidRPr="00D10D3F" w:rsidRDefault="007671A5" w:rsidP="007671A5">
            <w:pPr>
              <w:jc w:val="both"/>
              <w:rPr>
                <w:sz w:val="20"/>
                <w:lang w:val="fr-CA"/>
              </w:rPr>
            </w:pPr>
            <w:r w:rsidRPr="00D10D3F">
              <w:rPr>
                <w:sz w:val="20"/>
                <w:lang w:val="fr-CA"/>
              </w:rPr>
              <w:lastRenderedPageBreak/>
              <w:t xml:space="preserve">Monsieur </w:t>
            </w:r>
            <w:proofErr w:type="spellStart"/>
            <w:r w:rsidRPr="00D10D3F">
              <w:rPr>
                <w:sz w:val="20"/>
                <w:lang w:val="fr-CA"/>
              </w:rPr>
              <w:t>Nammo</w:t>
            </w:r>
            <w:proofErr w:type="spellEnd"/>
            <w:r w:rsidRPr="00D10D3F">
              <w:rPr>
                <w:sz w:val="20"/>
                <w:lang w:val="fr-CA"/>
              </w:rPr>
              <w:t xml:space="preserve"> a déposé une déclaration en l’espèce, alléguant divers actes de malfaisance censément commis par plusieurs participants de l’administration de la justice en Alberta. Le protonotaire a prononcé des ordonnances en faveur de certains intimés, radiant l’action intentée contre eux. Monsieur Nammo a interjeté appel des deux ordonnances. Les autres intimés ont présenté une requête en rejet de l’action intentée contre eux.</w:t>
            </w:r>
          </w:p>
          <w:p w:rsidR="007671A5" w:rsidRPr="00D10D3F" w:rsidRDefault="007671A5" w:rsidP="007671A5">
            <w:pPr>
              <w:jc w:val="both"/>
              <w:rPr>
                <w:sz w:val="20"/>
                <w:lang w:val="fr-CA"/>
              </w:rPr>
            </w:pPr>
          </w:p>
        </w:tc>
      </w:tr>
      <w:tr w:rsidR="007671A5" w:rsidRPr="00D10D3F" w:rsidTr="00E95A6A">
        <w:tc>
          <w:tcPr>
            <w:tcW w:w="2427" w:type="pct"/>
            <w:gridSpan w:val="2"/>
          </w:tcPr>
          <w:p w:rsidR="007671A5" w:rsidRPr="00D10D3F" w:rsidRDefault="007671A5" w:rsidP="007671A5">
            <w:pPr>
              <w:jc w:val="both"/>
              <w:rPr>
                <w:sz w:val="20"/>
                <w:lang w:val="fr-CA"/>
              </w:rPr>
            </w:pPr>
            <w:r w:rsidRPr="00D10D3F">
              <w:rPr>
                <w:sz w:val="20"/>
                <w:lang w:val="fr-CA"/>
              </w:rPr>
              <w:t>22 octobre 2014</w:t>
            </w:r>
          </w:p>
          <w:p w:rsidR="007671A5" w:rsidRPr="00D10D3F" w:rsidRDefault="007671A5" w:rsidP="007671A5">
            <w:pPr>
              <w:jc w:val="both"/>
              <w:rPr>
                <w:sz w:val="20"/>
                <w:lang w:val="fr-CA"/>
              </w:rPr>
            </w:pPr>
            <w:r w:rsidRPr="00D10D3F">
              <w:rPr>
                <w:sz w:val="20"/>
                <w:lang w:val="fr-CA"/>
              </w:rPr>
              <w:t xml:space="preserve">Cour du Banc de la Reine de l’Alberta </w:t>
            </w:r>
          </w:p>
          <w:p w:rsidR="007671A5" w:rsidRPr="00D10D3F" w:rsidRDefault="007671A5" w:rsidP="007671A5">
            <w:pPr>
              <w:jc w:val="both"/>
              <w:rPr>
                <w:sz w:val="20"/>
                <w:lang w:val="fr-CA"/>
              </w:rPr>
            </w:pPr>
            <w:r w:rsidRPr="00D10D3F">
              <w:rPr>
                <w:sz w:val="20"/>
                <w:lang w:val="fr-CA"/>
              </w:rPr>
              <w:t>(Juge Erb)</w:t>
            </w:r>
          </w:p>
          <w:p w:rsidR="007671A5" w:rsidRPr="00D10D3F" w:rsidRDefault="007671A5" w:rsidP="007671A5">
            <w:pPr>
              <w:jc w:val="both"/>
              <w:rPr>
                <w:sz w:val="20"/>
                <w:lang w:val="fr-CA"/>
              </w:rPr>
            </w:pPr>
            <w:r w:rsidRPr="00D10D3F">
              <w:rPr>
                <w:sz w:val="20"/>
                <w:lang w:val="fr-CA"/>
              </w:rPr>
              <w:t>Non fourni</w:t>
            </w:r>
          </w:p>
        </w:tc>
        <w:tc>
          <w:tcPr>
            <w:tcW w:w="243" w:type="pct"/>
          </w:tcPr>
          <w:p w:rsidR="007671A5" w:rsidRPr="00D10D3F" w:rsidRDefault="007671A5" w:rsidP="007671A5">
            <w:pPr>
              <w:jc w:val="both"/>
              <w:rPr>
                <w:sz w:val="20"/>
                <w:lang w:val="fr-CA"/>
              </w:rPr>
            </w:pPr>
          </w:p>
        </w:tc>
        <w:tc>
          <w:tcPr>
            <w:tcW w:w="2330" w:type="pct"/>
          </w:tcPr>
          <w:p w:rsidR="007671A5" w:rsidRPr="00D10D3F" w:rsidRDefault="007671A5" w:rsidP="007671A5">
            <w:pPr>
              <w:jc w:val="both"/>
              <w:rPr>
                <w:sz w:val="20"/>
                <w:lang w:val="fr-CA"/>
              </w:rPr>
            </w:pPr>
            <w:r w:rsidRPr="00D10D3F">
              <w:rPr>
                <w:sz w:val="20"/>
                <w:lang w:val="fr-CA"/>
              </w:rPr>
              <w:t>Rejet des appels interjetés par le demandeur de deux ordonnances du protonotaire; jugement accueillant la requête des intimés en rejet de l’action intentée contre eux.</w:t>
            </w:r>
          </w:p>
          <w:p w:rsidR="007671A5" w:rsidRPr="00D10D3F" w:rsidRDefault="007671A5" w:rsidP="007671A5">
            <w:pPr>
              <w:jc w:val="both"/>
              <w:rPr>
                <w:sz w:val="20"/>
                <w:lang w:val="fr-CA"/>
              </w:rPr>
            </w:pPr>
          </w:p>
        </w:tc>
      </w:tr>
      <w:tr w:rsidR="007671A5" w:rsidRPr="00D10D3F" w:rsidTr="00E95A6A">
        <w:tc>
          <w:tcPr>
            <w:tcW w:w="2427" w:type="pct"/>
            <w:gridSpan w:val="2"/>
          </w:tcPr>
          <w:p w:rsidR="007671A5" w:rsidRPr="00D10D3F" w:rsidRDefault="007671A5" w:rsidP="007671A5">
            <w:pPr>
              <w:jc w:val="both"/>
              <w:rPr>
                <w:sz w:val="20"/>
                <w:lang w:val="fr-CA"/>
              </w:rPr>
            </w:pPr>
            <w:r w:rsidRPr="00D10D3F">
              <w:rPr>
                <w:sz w:val="20"/>
                <w:lang w:val="fr-CA"/>
              </w:rPr>
              <w:t>10 décembre 2015</w:t>
            </w:r>
          </w:p>
          <w:p w:rsidR="007671A5" w:rsidRPr="00D10D3F" w:rsidRDefault="007671A5" w:rsidP="007671A5">
            <w:pPr>
              <w:jc w:val="both"/>
              <w:rPr>
                <w:sz w:val="20"/>
                <w:lang w:val="fr-CA"/>
              </w:rPr>
            </w:pPr>
            <w:r w:rsidRPr="00D10D3F">
              <w:rPr>
                <w:sz w:val="20"/>
                <w:lang w:val="fr-CA"/>
              </w:rPr>
              <w:t>Cour d’appel de l’Alberta (Calgary)</w:t>
            </w:r>
          </w:p>
          <w:p w:rsidR="007671A5" w:rsidRPr="00D10D3F" w:rsidRDefault="007671A5" w:rsidP="007671A5">
            <w:pPr>
              <w:jc w:val="both"/>
              <w:rPr>
                <w:sz w:val="20"/>
              </w:rPr>
            </w:pPr>
            <w:r w:rsidRPr="00D10D3F">
              <w:rPr>
                <w:sz w:val="20"/>
              </w:rPr>
              <w:t>(</w:t>
            </w:r>
            <w:proofErr w:type="spellStart"/>
            <w:r w:rsidRPr="00D10D3F">
              <w:rPr>
                <w:sz w:val="20"/>
              </w:rPr>
              <w:t>Juges</w:t>
            </w:r>
            <w:proofErr w:type="spellEnd"/>
            <w:r w:rsidRPr="00D10D3F">
              <w:rPr>
                <w:sz w:val="20"/>
              </w:rPr>
              <w:t xml:space="preserve"> </w:t>
            </w:r>
            <w:proofErr w:type="spellStart"/>
            <w:r w:rsidRPr="00D10D3F">
              <w:rPr>
                <w:sz w:val="20"/>
              </w:rPr>
              <w:t>Rowbotham</w:t>
            </w:r>
            <w:proofErr w:type="spellEnd"/>
            <w:r w:rsidRPr="00D10D3F">
              <w:rPr>
                <w:sz w:val="20"/>
              </w:rPr>
              <w:t xml:space="preserve">, </w:t>
            </w:r>
            <w:proofErr w:type="spellStart"/>
            <w:r w:rsidRPr="00D10D3F">
              <w:rPr>
                <w:sz w:val="20"/>
              </w:rPr>
              <w:t>Bielby</w:t>
            </w:r>
            <w:proofErr w:type="spellEnd"/>
            <w:r w:rsidRPr="00D10D3F">
              <w:rPr>
                <w:sz w:val="20"/>
              </w:rPr>
              <w:t xml:space="preserve"> et </w:t>
            </w:r>
            <w:proofErr w:type="spellStart"/>
            <w:r w:rsidRPr="00D10D3F">
              <w:rPr>
                <w:sz w:val="20"/>
              </w:rPr>
              <w:t>Wakeling</w:t>
            </w:r>
            <w:proofErr w:type="spellEnd"/>
            <w:r w:rsidRPr="00D10D3F">
              <w:rPr>
                <w:sz w:val="20"/>
              </w:rPr>
              <w:t>)</w:t>
            </w:r>
          </w:p>
          <w:p w:rsidR="007671A5" w:rsidRPr="00D10D3F" w:rsidRDefault="00D936BC" w:rsidP="007671A5">
            <w:pPr>
              <w:jc w:val="both"/>
              <w:rPr>
                <w:sz w:val="20"/>
              </w:rPr>
            </w:pPr>
            <w:hyperlink r:id="rId20" w:history="1">
              <w:r w:rsidR="007671A5" w:rsidRPr="00D10D3F">
                <w:rPr>
                  <w:rStyle w:val="Hyperlink"/>
                  <w:sz w:val="20"/>
                </w:rPr>
                <w:t>2015 ABCA 389</w:t>
              </w:r>
            </w:hyperlink>
          </w:p>
          <w:p w:rsidR="007671A5" w:rsidRPr="00D10D3F" w:rsidRDefault="007671A5" w:rsidP="007671A5">
            <w:pPr>
              <w:jc w:val="both"/>
              <w:rPr>
                <w:sz w:val="20"/>
              </w:rPr>
            </w:pPr>
          </w:p>
        </w:tc>
        <w:tc>
          <w:tcPr>
            <w:tcW w:w="243" w:type="pct"/>
          </w:tcPr>
          <w:p w:rsidR="007671A5" w:rsidRPr="00D10D3F" w:rsidRDefault="007671A5" w:rsidP="007671A5">
            <w:pPr>
              <w:jc w:val="both"/>
              <w:rPr>
                <w:sz w:val="20"/>
              </w:rPr>
            </w:pPr>
          </w:p>
        </w:tc>
        <w:tc>
          <w:tcPr>
            <w:tcW w:w="2330" w:type="pct"/>
          </w:tcPr>
          <w:p w:rsidR="007671A5" w:rsidRPr="00D10D3F" w:rsidRDefault="007671A5" w:rsidP="007671A5">
            <w:pPr>
              <w:jc w:val="both"/>
              <w:rPr>
                <w:sz w:val="20"/>
                <w:lang w:val="fr-CA"/>
              </w:rPr>
            </w:pPr>
            <w:r w:rsidRPr="00D10D3F">
              <w:rPr>
                <w:sz w:val="20"/>
                <w:lang w:val="fr-CA"/>
              </w:rPr>
              <w:t>Rejet de l’appel du demandeur.</w:t>
            </w:r>
          </w:p>
          <w:p w:rsidR="007671A5" w:rsidRPr="00D10D3F" w:rsidRDefault="007671A5" w:rsidP="007671A5">
            <w:pPr>
              <w:jc w:val="both"/>
              <w:rPr>
                <w:sz w:val="20"/>
                <w:lang w:val="fr-CA"/>
              </w:rPr>
            </w:pPr>
          </w:p>
        </w:tc>
      </w:tr>
      <w:tr w:rsidR="007671A5" w:rsidRPr="00D10D3F" w:rsidTr="00E95A6A">
        <w:tc>
          <w:tcPr>
            <w:tcW w:w="2427" w:type="pct"/>
            <w:gridSpan w:val="2"/>
          </w:tcPr>
          <w:p w:rsidR="007671A5" w:rsidRPr="00D10D3F" w:rsidRDefault="007671A5" w:rsidP="007671A5">
            <w:pPr>
              <w:jc w:val="both"/>
              <w:rPr>
                <w:sz w:val="20"/>
                <w:lang w:val="fr-CA"/>
              </w:rPr>
            </w:pPr>
            <w:r w:rsidRPr="00D10D3F">
              <w:rPr>
                <w:sz w:val="20"/>
                <w:lang w:val="fr-CA"/>
              </w:rPr>
              <w:t>5 février 2016</w:t>
            </w:r>
          </w:p>
          <w:p w:rsidR="007671A5" w:rsidRPr="00D10D3F" w:rsidRDefault="007671A5" w:rsidP="007671A5">
            <w:pPr>
              <w:jc w:val="both"/>
              <w:rPr>
                <w:sz w:val="20"/>
                <w:lang w:val="fr-CA"/>
              </w:rPr>
            </w:pPr>
            <w:r w:rsidRPr="00D10D3F">
              <w:rPr>
                <w:sz w:val="20"/>
                <w:lang w:val="fr-CA"/>
              </w:rPr>
              <w:t>Cour suprême du Canada</w:t>
            </w:r>
          </w:p>
        </w:tc>
        <w:tc>
          <w:tcPr>
            <w:tcW w:w="243" w:type="pct"/>
          </w:tcPr>
          <w:p w:rsidR="007671A5" w:rsidRPr="00D10D3F" w:rsidRDefault="007671A5" w:rsidP="007671A5">
            <w:pPr>
              <w:jc w:val="both"/>
              <w:rPr>
                <w:sz w:val="20"/>
                <w:lang w:val="fr-CA"/>
              </w:rPr>
            </w:pPr>
          </w:p>
        </w:tc>
        <w:tc>
          <w:tcPr>
            <w:tcW w:w="2330" w:type="pct"/>
          </w:tcPr>
          <w:p w:rsidR="007671A5" w:rsidRPr="00D10D3F" w:rsidRDefault="007671A5" w:rsidP="007671A5">
            <w:pPr>
              <w:jc w:val="both"/>
              <w:rPr>
                <w:sz w:val="20"/>
                <w:lang w:val="fr-CA"/>
              </w:rPr>
            </w:pPr>
            <w:r w:rsidRPr="00D10D3F">
              <w:rPr>
                <w:sz w:val="20"/>
                <w:lang w:val="fr-CA"/>
              </w:rPr>
              <w:t>Dépôt de la demande d’autorisation d’appel.</w:t>
            </w:r>
          </w:p>
          <w:p w:rsidR="007671A5" w:rsidRPr="00D10D3F" w:rsidRDefault="007671A5" w:rsidP="007671A5">
            <w:pPr>
              <w:jc w:val="both"/>
              <w:rPr>
                <w:sz w:val="20"/>
                <w:lang w:val="fr-CA"/>
              </w:rPr>
            </w:pPr>
          </w:p>
        </w:tc>
      </w:tr>
    </w:tbl>
    <w:p w:rsidR="007671A5" w:rsidRPr="00D10D3F" w:rsidRDefault="007671A5" w:rsidP="002E7777">
      <w:pPr>
        <w:jc w:val="both"/>
        <w:rPr>
          <w:sz w:val="20"/>
          <w:lang w:val="fr-CA"/>
        </w:rPr>
      </w:pPr>
    </w:p>
    <w:p w:rsidR="00722866" w:rsidRPr="00D10D3F" w:rsidRDefault="00722866" w:rsidP="002E7777">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970"/>
        <w:gridCol w:w="3363"/>
        <w:gridCol w:w="434"/>
        <w:gridCol w:w="4503"/>
      </w:tblGrid>
      <w:tr w:rsidR="002E7777" w:rsidRPr="00D10D3F" w:rsidTr="002E7777">
        <w:tc>
          <w:tcPr>
            <w:tcW w:w="523" w:type="pct"/>
          </w:tcPr>
          <w:p w:rsidR="002E7777" w:rsidRPr="00D10D3F" w:rsidRDefault="002E7777" w:rsidP="002E7777">
            <w:pPr>
              <w:jc w:val="both"/>
              <w:rPr>
                <w:sz w:val="20"/>
              </w:rPr>
            </w:pPr>
            <w:r w:rsidRPr="00D10D3F">
              <w:rPr>
                <w:rStyle w:val="SCCFileNumberChar"/>
                <w:sz w:val="20"/>
                <w:szCs w:val="20"/>
              </w:rPr>
              <w:t>36809</w:t>
            </w:r>
          </w:p>
        </w:tc>
        <w:tc>
          <w:tcPr>
            <w:tcW w:w="4477" w:type="pct"/>
            <w:gridSpan w:val="3"/>
          </w:tcPr>
          <w:p w:rsidR="002E7777" w:rsidRPr="00D10D3F" w:rsidRDefault="002E7777" w:rsidP="002E7777">
            <w:pPr>
              <w:pStyle w:val="SCCLsocParty"/>
              <w:jc w:val="both"/>
              <w:rPr>
                <w:b/>
                <w:sz w:val="20"/>
                <w:szCs w:val="20"/>
              </w:rPr>
            </w:pPr>
            <w:r w:rsidRPr="00D10D3F">
              <w:rPr>
                <w:b/>
                <w:sz w:val="20"/>
                <w:szCs w:val="20"/>
              </w:rPr>
              <w:t>Bruce Brine v. Industrial Alliance Insurance and Financial Services Inc.</w:t>
            </w:r>
          </w:p>
          <w:p w:rsidR="002E7777" w:rsidRPr="00D10D3F" w:rsidRDefault="002E7777" w:rsidP="002E7777">
            <w:pPr>
              <w:jc w:val="both"/>
              <w:rPr>
                <w:sz w:val="20"/>
              </w:rPr>
            </w:pPr>
            <w:r w:rsidRPr="00D10D3F">
              <w:rPr>
                <w:sz w:val="20"/>
              </w:rPr>
              <w:t>(N.S.) (Civil) (By Leave)</w:t>
            </w:r>
          </w:p>
        </w:tc>
      </w:tr>
      <w:tr w:rsidR="002E7777" w:rsidRPr="00D10D3F" w:rsidTr="002E7777">
        <w:tc>
          <w:tcPr>
            <w:tcW w:w="5000" w:type="pct"/>
            <w:gridSpan w:val="4"/>
          </w:tcPr>
          <w:p w:rsidR="002E7777" w:rsidRPr="00D10D3F" w:rsidRDefault="002E7777" w:rsidP="002E7777">
            <w:pPr>
              <w:jc w:val="both"/>
              <w:rPr>
                <w:sz w:val="20"/>
              </w:rPr>
            </w:pPr>
            <w:r w:rsidRPr="00D10D3F">
              <w:rPr>
                <w:sz w:val="20"/>
              </w:rPr>
              <w:t>Insurance – Punitive damages – Mental distress – Whether Canadian courts should be awarding higher punitive damage awards in order to adequately deter other insurers from acting in bad faith – Whether appellate courts are improperly reducing punitive damage awards such that insurers are not adequately deterred from acting in bad faith – Whether the Court of Appeal’s decision to reduce mental distress damages from $180,000 to $90,000 further entrenches the stigma and disadvantage to those suffering from a mental illness – Whether there is a cap on mental distress/aggravated damages.</w:t>
            </w:r>
          </w:p>
        </w:tc>
      </w:tr>
      <w:tr w:rsidR="002E7777" w:rsidRPr="00D10D3F" w:rsidTr="002E7777">
        <w:tc>
          <w:tcPr>
            <w:tcW w:w="5000" w:type="pct"/>
            <w:gridSpan w:val="4"/>
          </w:tcPr>
          <w:p w:rsidR="002E7777" w:rsidRPr="00D10D3F" w:rsidRDefault="002E7777" w:rsidP="002E7777">
            <w:pPr>
              <w:jc w:val="both"/>
              <w:rPr>
                <w:sz w:val="20"/>
              </w:rPr>
            </w:pPr>
          </w:p>
        </w:tc>
      </w:tr>
      <w:tr w:rsidR="002E7777" w:rsidRPr="00D10D3F" w:rsidTr="002E7777">
        <w:tc>
          <w:tcPr>
            <w:tcW w:w="5000" w:type="pct"/>
            <w:gridSpan w:val="4"/>
          </w:tcPr>
          <w:p w:rsidR="002E7777" w:rsidRPr="00D10D3F" w:rsidRDefault="002E7777" w:rsidP="002E7777">
            <w:pPr>
              <w:jc w:val="both"/>
              <w:rPr>
                <w:sz w:val="20"/>
              </w:rPr>
            </w:pPr>
            <w:r w:rsidRPr="00D10D3F">
              <w:rPr>
                <w:sz w:val="20"/>
              </w:rPr>
              <w:t>The Applicant, Mr. Brine was found to be totally disabled within the terms of a disability insurance policy held by the insurer, National Life (and later its successor the Respondent, Industrial Alliance). The parties have been locked in a near two decade dispute, with issues regarding the provision of rehabilitation services, the tax treatment of benefits paid, and the deductibility of third party payments being the central areas of disagreement. Mr. Brine submitted that Industrial Alliance breached not only specific provisions of the policy, but also its duty of utmost good faith. Industrial Alliance submitted that it handled Mr. Brine’s claim appropriately, with no breach of any policy provision or the implied duty of utmost good faith. Industrial Alliance asserted that Mr. Brine failed to meet his obligations under the policy by not reporting payments from third party sources, resulting in substantial overpayments under the policy.</w:t>
            </w:r>
          </w:p>
          <w:p w:rsidR="002E7777" w:rsidRPr="00D10D3F" w:rsidRDefault="002E7777" w:rsidP="002E7777">
            <w:pPr>
              <w:jc w:val="both"/>
              <w:rPr>
                <w:sz w:val="20"/>
              </w:rPr>
            </w:pPr>
          </w:p>
          <w:p w:rsidR="002E7777" w:rsidRPr="00D10D3F" w:rsidRDefault="002E7777" w:rsidP="002E7777">
            <w:pPr>
              <w:jc w:val="both"/>
              <w:rPr>
                <w:sz w:val="20"/>
              </w:rPr>
            </w:pPr>
            <w:r w:rsidRPr="00D10D3F">
              <w:rPr>
                <w:sz w:val="20"/>
              </w:rPr>
              <w:t>The trial judge awarded Mr. Brine $62,036.81 representing the portion of the overpayment claimed by Mr. Brine which was extinguished by his bankruptcy, $30,000 for mental distress damages arising from breach of contract, $150,000 for aggravated damages and $500,000 for punitive damages. Industrial Alliance was awarded $210,000 representing the amount due under the subrogation provision of the policy.</w:t>
            </w:r>
          </w:p>
          <w:p w:rsidR="002E7777" w:rsidRPr="00D10D3F" w:rsidRDefault="002E7777" w:rsidP="002E7777">
            <w:pPr>
              <w:jc w:val="both"/>
              <w:rPr>
                <w:sz w:val="20"/>
              </w:rPr>
            </w:pPr>
          </w:p>
          <w:p w:rsidR="002E7777" w:rsidRPr="00D10D3F" w:rsidRDefault="002E7777" w:rsidP="002E7777">
            <w:pPr>
              <w:jc w:val="both"/>
              <w:rPr>
                <w:sz w:val="20"/>
              </w:rPr>
            </w:pPr>
            <w:r w:rsidRPr="00D10D3F">
              <w:rPr>
                <w:sz w:val="20"/>
              </w:rPr>
              <w:t>The Court of Appeal replaced the awards for mental distress and aggravated damages with one award of $90,000 as compensatory damages for mental distress caused by breach of contract, including breaches of the contractual duty of good faith. The appeal court also reduced the punitive damage award to $60,000. In all other respects, the appeal and cross-appeal were dismissed.</w:t>
            </w:r>
          </w:p>
          <w:p w:rsidR="002E7777" w:rsidRPr="00D10D3F" w:rsidRDefault="002E7777" w:rsidP="002E7777">
            <w:pPr>
              <w:jc w:val="both"/>
              <w:rPr>
                <w:sz w:val="20"/>
              </w:rPr>
            </w:pPr>
          </w:p>
        </w:tc>
      </w:tr>
      <w:tr w:rsidR="002E7777" w:rsidRPr="00D10D3F" w:rsidTr="002E7777">
        <w:tc>
          <w:tcPr>
            <w:tcW w:w="2337" w:type="pct"/>
            <w:gridSpan w:val="2"/>
          </w:tcPr>
          <w:p w:rsidR="002E7777" w:rsidRPr="00D10D3F" w:rsidRDefault="002E7777" w:rsidP="002E7777">
            <w:pPr>
              <w:jc w:val="both"/>
              <w:rPr>
                <w:sz w:val="20"/>
              </w:rPr>
            </w:pPr>
            <w:r w:rsidRPr="00D10D3F">
              <w:rPr>
                <w:sz w:val="20"/>
              </w:rPr>
              <w:t>June 18, 2014</w:t>
            </w:r>
          </w:p>
          <w:p w:rsidR="002E7777" w:rsidRPr="00D10D3F" w:rsidRDefault="002E7777" w:rsidP="002E7777">
            <w:pPr>
              <w:jc w:val="both"/>
              <w:rPr>
                <w:sz w:val="20"/>
              </w:rPr>
            </w:pPr>
            <w:r w:rsidRPr="00D10D3F">
              <w:rPr>
                <w:sz w:val="20"/>
              </w:rPr>
              <w:t>Supreme Court of Nova Scotia, Trial Division</w:t>
            </w:r>
          </w:p>
          <w:p w:rsidR="002E7777" w:rsidRPr="00D10D3F" w:rsidRDefault="002E7777" w:rsidP="002E7777">
            <w:pPr>
              <w:jc w:val="both"/>
              <w:rPr>
                <w:sz w:val="20"/>
              </w:rPr>
            </w:pPr>
            <w:r w:rsidRPr="00D10D3F">
              <w:rPr>
                <w:sz w:val="20"/>
              </w:rPr>
              <w:t>(Bourgeois J.)</w:t>
            </w:r>
          </w:p>
          <w:p w:rsidR="002E7777" w:rsidRPr="00D10D3F" w:rsidRDefault="00D936BC" w:rsidP="002E7777">
            <w:pPr>
              <w:jc w:val="both"/>
              <w:rPr>
                <w:sz w:val="20"/>
              </w:rPr>
            </w:pPr>
            <w:hyperlink r:id="rId21" w:history="1">
              <w:r w:rsidR="002E7777" w:rsidRPr="00D10D3F">
                <w:rPr>
                  <w:rStyle w:val="Hyperlink"/>
                  <w:sz w:val="20"/>
                </w:rPr>
                <w:t>2014 NSSC 219</w:t>
              </w:r>
            </w:hyperlink>
            <w:r w:rsidR="002E7777" w:rsidRPr="00D10D3F">
              <w:rPr>
                <w:sz w:val="20"/>
              </w:rPr>
              <w:t xml:space="preserve">; </w:t>
            </w:r>
            <w:proofErr w:type="spellStart"/>
            <w:r w:rsidR="002E7777" w:rsidRPr="00D10D3F">
              <w:rPr>
                <w:sz w:val="20"/>
              </w:rPr>
              <w:t>Hfx</w:t>
            </w:r>
            <w:proofErr w:type="spellEnd"/>
            <w:r w:rsidR="002E7777" w:rsidRPr="00D10D3F">
              <w:rPr>
                <w:sz w:val="20"/>
              </w:rPr>
              <w:t>. No. 174118</w:t>
            </w:r>
          </w:p>
          <w:p w:rsidR="002E7777" w:rsidRPr="00D10D3F" w:rsidRDefault="002E7777" w:rsidP="002E7777">
            <w:pPr>
              <w:jc w:val="both"/>
              <w:rPr>
                <w:sz w:val="20"/>
              </w:rPr>
            </w:pPr>
          </w:p>
        </w:tc>
        <w:tc>
          <w:tcPr>
            <w:tcW w:w="234" w:type="pct"/>
          </w:tcPr>
          <w:p w:rsidR="002E7777" w:rsidRPr="00D10D3F" w:rsidRDefault="002E7777" w:rsidP="002E7777">
            <w:pPr>
              <w:jc w:val="both"/>
              <w:rPr>
                <w:sz w:val="20"/>
              </w:rPr>
            </w:pPr>
          </w:p>
        </w:tc>
        <w:tc>
          <w:tcPr>
            <w:tcW w:w="2430" w:type="pct"/>
          </w:tcPr>
          <w:p w:rsidR="002E7777" w:rsidRPr="00D10D3F" w:rsidRDefault="002E7777" w:rsidP="002E7777">
            <w:pPr>
              <w:jc w:val="both"/>
              <w:rPr>
                <w:sz w:val="20"/>
              </w:rPr>
            </w:pPr>
            <w:r w:rsidRPr="00D10D3F">
              <w:rPr>
                <w:sz w:val="20"/>
              </w:rPr>
              <w:t>Applicant awarded damages in breach of contract ($62,032.81), mental distress ($30,000), aggravated damages ($150,000) and punitive damages ($500,000)</w:t>
            </w:r>
          </w:p>
          <w:p w:rsidR="002E7777" w:rsidRPr="00D10D3F" w:rsidRDefault="002E7777" w:rsidP="002E7777">
            <w:pPr>
              <w:jc w:val="both"/>
              <w:rPr>
                <w:sz w:val="20"/>
              </w:rPr>
            </w:pPr>
          </w:p>
        </w:tc>
      </w:tr>
      <w:tr w:rsidR="002E7777" w:rsidRPr="00D10D3F" w:rsidTr="002E7777">
        <w:tc>
          <w:tcPr>
            <w:tcW w:w="2337" w:type="pct"/>
            <w:gridSpan w:val="2"/>
          </w:tcPr>
          <w:p w:rsidR="002E7777" w:rsidRPr="00D10D3F" w:rsidRDefault="002E7777" w:rsidP="002E7777">
            <w:pPr>
              <w:jc w:val="both"/>
              <w:rPr>
                <w:sz w:val="20"/>
              </w:rPr>
            </w:pPr>
            <w:r w:rsidRPr="00D10D3F">
              <w:rPr>
                <w:sz w:val="20"/>
              </w:rPr>
              <w:t>November 17, 2015</w:t>
            </w:r>
          </w:p>
          <w:p w:rsidR="002E7777" w:rsidRPr="00D10D3F" w:rsidRDefault="002E7777" w:rsidP="002E7777">
            <w:pPr>
              <w:jc w:val="both"/>
              <w:rPr>
                <w:sz w:val="20"/>
              </w:rPr>
            </w:pPr>
            <w:r w:rsidRPr="00D10D3F">
              <w:rPr>
                <w:sz w:val="20"/>
              </w:rPr>
              <w:t>Nova Scotia Court of Appeal</w:t>
            </w:r>
          </w:p>
          <w:p w:rsidR="002E7777" w:rsidRPr="00D10D3F" w:rsidRDefault="002E7777" w:rsidP="002E7777">
            <w:pPr>
              <w:jc w:val="both"/>
              <w:rPr>
                <w:sz w:val="20"/>
              </w:rPr>
            </w:pPr>
            <w:r w:rsidRPr="00D10D3F">
              <w:rPr>
                <w:sz w:val="20"/>
              </w:rPr>
              <w:t>(</w:t>
            </w:r>
            <w:proofErr w:type="spellStart"/>
            <w:r w:rsidRPr="00D10D3F">
              <w:rPr>
                <w:sz w:val="20"/>
              </w:rPr>
              <w:t>Fichaud</w:t>
            </w:r>
            <w:proofErr w:type="spellEnd"/>
            <w:r w:rsidRPr="00D10D3F">
              <w:rPr>
                <w:sz w:val="20"/>
              </w:rPr>
              <w:t xml:space="preserve">, Oland and </w:t>
            </w:r>
            <w:proofErr w:type="spellStart"/>
            <w:r w:rsidRPr="00D10D3F">
              <w:rPr>
                <w:sz w:val="20"/>
              </w:rPr>
              <w:t>Scanlan</w:t>
            </w:r>
            <w:proofErr w:type="spellEnd"/>
            <w:r w:rsidRPr="00D10D3F">
              <w:rPr>
                <w:sz w:val="20"/>
              </w:rPr>
              <w:t xml:space="preserve"> JJ.A.)</w:t>
            </w:r>
          </w:p>
          <w:p w:rsidR="002E7777" w:rsidRPr="00D10D3F" w:rsidRDefault="00D936BC" w:rsidP="002E7777">
            <w:pPr>
              <w:jc w:val="both"/>
              <w:rPr>
                <w:sz w:val="20"/>
              </w:rPr>
            </w:pPr>
            <w:hyperlink r:id="rId22" w:history="1">
              <w:r w:rsidR="002E7777" w:rsidRPr="00D10D3F">
                <w:rPr>
                  <w:rStyle w:val="Hyperlink"/>
                  <w:sz w:val="20"/>
                </w:rPr>
                <w:t>2015 NSCA 104</w:t>
              </w:r>
            </w:hyperlink>
            <w:r w:rsidR="002E7777" w:rsidRPr="00D10D3F">
              <w:rPr>
                <w:sz w:val="20"/>
              </w:rPr>
              <w:t>; CA 431538</w:t>
            </w:r>
          </w:p>
          <w:p w:rsidR="002E7777" w:rsidRPr="00D10D3F" w:rsidRDefault="002E7777" w:rsidP="002E7777">
            <w:pPr>
              <w:jc w:val="both"/>
              <w:rPr>
                <w:sz w:val="20"/>
              </w:rPr>
            </w:pPr>
          </w:p>
        </w:tc>
        <w:tc>
          <w:tcPr>
            <w:tcW w:w="234" w:type="pct"/>
          </w:tcPr>
          <w:p w:rsidR="002E7777" w:rsidRPr="00D10D3F" w:rsidRDefault="002E7777" w:rsidP="002E7777">
            <w:pPr>
              <w:jc w:val="both"/>
              <w:rPr>
                <w:sz w:val="20"/>
              </w:rPr>
            </w:pPr>
          </w:p>
        </w:tc>
        <w:tc>
          <w:tcPr>
            <w:tcW w:w="2430" w:type="pct"/>
          </w:tcPr>
          <w:p w:rsidR="002E7777" w:rsidRPr="00D10D3F" w:rsidRDefault="002E7777" w:rsidP="002E7777">
            <w:pPr>
              <w:jc w:val="both"/>
              <w:rPr>
                <w:sz w:val="20"/>
              </w:rPr>
            </w:pPr>
            <w:r w:rsidRPr="00D10D3F">
              <w:rPr>
                <w:sz w:val="20"/>
              </w:rPr>
              <w:t>Appeal allowed in part; awards for mental distress and aggravated damages are replaced with one award ($90,000), punitive damages are reduced ($60,000)</w:t>
            </w:r>
          </w:p>
          <w:p w:rsidR="002E7777" w:rsidRPr="00D10D3F" w:rsidRDefault="002E7777" w:rsidP="002E7777">
            <w:pPr>
              <w:jc w:val="both"/>
              <w:rPr>
                <w:sz w:val="20"/>
              </w:rPr>
            </w:pPr>
          </w:p>
        </w:tc>
      </w:tr>
      <w:tr w:rsidR="002E7777" w:rsidRPr="00D10D3F" w:rsidTr="002E7777">
        <w:tc>
          <w:tcPr>
            <w:tcW w:w="2337" w:type="pct"/>
            <w:gridSpan w:val="2"/>
          </w:tcPr>
          <w:p w:rsidR="002E7777" w:rsidRPr="00D10D3F" w:rsidRDefault="002E7777" w:rsidP="002E7777">
            <w:pPr>
              <w:jc w:val="both"/>
              <w:rPr>
                <w:sz w:val="20"/>
              </w:rPr>
            </w:pPr>
            <w:r w:rsidRPr="00D10D3F">
              <w:rPr>
                <w:sz w:val="20"/>
              </w:rPr>
              <w:t>January 18, 2016</w:t>
            </w:r>
          </w:p>
          <w:p w:rsidR="002E7777" w:rsidRPr="00D10D3F" w:rsidRDefault="002E7777" w:rsidP="002E7777">
            <w:pPr>
              <w:jc w:val="both"/>
              <w:rPr>
                <w:sz w:val="20"/>
              </w:rPr>
            </w:pPr>
            <w:r w:rsidRPr="00D10D3F">
              <w:rPr>
                <w:sz w:val="20"/>
              </w:rPr>
              <w:t>Supreme Court of Canada</w:t>
            </w:r>
          </w:p>
        </w:tc>
        <w:tc>
          <w:tcPr>
            <w:tcW w:w="234" w:type="pct"/>
          </w:tcPr>
          <w:p w:rsidR="002E7777" w:rsidRPr="00D10D3F" w:rsidRDefault="002E7777" w:rsidP="002E7777">
            <w:pPr>
              <w:jc w:val="both"/>
              <w:rPr>
                <w:sz w:val="20"/>
              </w:rPr>
            </w:pPr>
          </w:p>
        </w:tc>
        <w:tc>
          <w:tcPr>
            <w:tcW w:w="2430" w:type="pct"/>
          </w:tcPr>
          <w:p w:rsidR="002E7777" w:rsidRPr="00D10D3F" w:rsidRDefault="002E7777" w:rsidP="002E7777">
            <w:pPr>
              <w:jc w:val="both"/>
              <w:rPr>
                <w:sz w:val="20"/>
              </w:rPr>
            </w:pPr>
            <w:r w:rsidRPr="00D10D3F">
              <w:rPr>
                <w:sz w:val="20"/>
              </w:rPr>
              <w:t>Application for leave to appeal filed</w:t>
            </w:r>
          </w:p>
        </w:tc>
      </w:tr>
    </w:tbl>
    <w:p w:rsidR="002E7777" w:rsidRPr="00D10D3F" w:rsidRDefault="002E7777" w:rsidP="002E7777">
      <w:pPr>
        <w:jc w:val="both"/>
        <w:rPr>
          <w:sz w:val="20"/>
        </w:rPr>
      </w:pPr>
    </w:p>
    <w:p w:rsidR="002E7777" w:rsidRPr="00D10D3F" w:rsidRDefault="002E7777" w:rsidP="002E7777">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70"/>
        <w:gridCol w:w="3363"/>
        <w:gridCol w:w="434"/>
        <w:gridCol w:w="4503"/>
      </w:tblGrid>
      <w:tr w:rsidR="002E7777" w:rsidRPr="00D10D3F" w:rsidTr="002E7777">
        <w:tc>
          <w:tcPr>
            <w:tcW w:w="523" w:type="pct"/>
          </w:tcPr>
          <w:p w:rsidR="002E7777" w:rsidRPr="00D10D3F" w:rsidRDefault="002E7777" w:rsidP="002E7777">
            <w:pPr>
              <w:jc w:val="both"/>
              <w:rPr>
                <w:sz w:val="20"/>
                <w:lang w:val="fr-CA"/>
              </w:rPr>
            </w:pPr>
            <w:r w:rsidRPr="00D10D3F">
              <w:rPr>
                <w:rStyle w:val="SCCFileNumberChar"/>
                <w:sz w:val="20"/>
                <w:szCs w:val="20"/>
                <w:lang w:val="fr-CA"/>
              </w:rPr>
              <w:t>36809</w:t>
            </w:r>
          </w:p>
        </w:tc>
        <w:tc>
          <w:tcPr>
            <w:tcW w:w="4477" w:type="pct"/>
            <w:gridSpan w:val="3"/>
          </w:tcPr>
          <w:p w:rsidR="002E7777" w:rsidRPr="00D10D3F" w:rsidRDefault="002E7777" w:rsidP="002E7777">
            <w:pPr>
              <w:pStyle w:val="SCCLsocParty"/>
              <w:jc w:val="both"/>
              <w:rPr>
                <w:b/>
                <w:sz w:val="20"/>
                <w:szCs w:val="20"/>
              </w:rPr>
            </w:pPr>
            <w:r w:rsidRPr="00D10D3F">
              <w:rPr>
                <w:b/>
                <w:sz w:val="20"/>
                <w:szCs w:val="20"/>
              </w:rPr>
              <w:t xml:space="preserve">Bruce </w:t>
            </w:r>
            <w:proofErr w:type="spellStart"/>
            <w:r w:rsidRPr="00D10D3F">
              <w:rPr>
                <w:b/>
                <w:sz w:val="20"/>
                <w:szCs w:val="20"/>
              </w:rPr>
              <w:t>Brine</w:t>
            </w:r>
            <w:proofErr w:type="spellEnd"/>
            <w:r w:rsidRPr="00D10D3F">
              <w:rPr>
                <w:b/>
                <w:sz w:val="20"/>
                <w:szCs w:val="20"/>
              </w:rPr>
              <w:t xml:space="preserve"> v. Industrielle Alliance, Assurance et services financiers </w:t>
            </w:r>
            <w:proofErr w:type="spellStart"/>
            <w:r w:rsidRPr="00D10D3F">
              <w:rPr>
                <w:b/>
                <w:sz w:val="20"/>
                <w:szCs w:val="20"/>
              </w:rPr>
              <w:t>inc.</w:t>
            </w:r>
            <w:proofErr w:type="spellEnd"/>
          </w:p>
          <w:p w:rsidR="002E7777" w:rsidRPr="00D10D3F" w:rsidRDefault="002E7777" w:rsidP="002E7777">
            <w:pPr>
              <w:jc w:val="both"/>
              <w:rPr>
                <w:sz w:val="20"/>
                <w:lang w:val="fr-CA"/>
              </w:rPr>
            </w:pPr>
            <w:r w:rsidRPr="00D10D3F">
              <w:rPr>
                <w:sz w:val="20"/>
                <w:lang w:val="fr-CA"/>
              </w:rPr>
              <w:t>(N.-É.) (Civile) (Sur autorisation)</w:t>
            </w:r>
          </w:p>
        </w:tc>
      </w:tr>
      <w:tr w:rsidR="002E7777" w:rsidRPr="00D10D3F" w:rsidTr="002E7777">
        <w:tc>
          <w:tcPr>
            <w:tcW w:w="5000" w:type="pct"/>
            <w:gridSpan w:val="4"/>
          </w:tcPr>
          <w:p w:rsidR="002E7777" w:rsidRPr="00D10D3F" w:rsidRDefault="002E7777" w:rsidP="002E7777">
            <w:pPr>
              <w:jc w:val="both"/>
              <w:rPr>
                <w:sz w:val="20"/>
                <w:lang w:val="fr-CA"/>
              </w:rPr>
            </w:pPr>
            <w:r w:rsidRPr="00D10D3F">
              <w:rPr>
                <w:sz w:val="20"/>
                <w:lang w:val="fr-CA"/>
              </w:rPr>
              <w:t>Assurance – Dommages-intérêts punitifs – Souffrance morale – Les tribunaux canadiens devraient-ils accorder des dommages-intérêts punitifs plus élevés pour dissuader adéquatement d’autres assureurs d’agir de mauvaise foi? – Les tribunaux d’appel réduisent-ils indûment les montants accordés à titre de dommages-intérêts punitifs, faisant en sorte que les assureurs ne sont pas adéquatement dissuadés d’agir de mauvaise foi? – La décision de la Cour d’appel de réduire les dommages-intérêts pour souffrance morale de 180 000 $ à 90 000 $ renforce-t-elle davantage la stigmatisation et la situation désavantageuse de ceux qui souffrent de maladies mentales? – Les dommages-intérêts pour souffrance morale ou les dommages-intérêts aggravés sont-ils plafonnés?</w:t>
            </w:r>
          </w:p>
        </w:tc>
      </w:tr>
      <w:tr w:rsidR="002E7777" w:rsidRPr="00D10D3F" w:rsidTr="002E7777">
        <w:tc>
          <w:tcPr>
            <w:tcW w:w="5000" w:type="pct"/>
            <w:gridSpan w:val="4"/>
          </w:tcPr>
          <w:p w:rsidR="002E7777" w:rsidRPr="00D10D3F" w:rsidRDefault="002E7777" w:rsidP="002E7777">
            <w:pPr>
              <w:jc w:val="both"/>
              <w:rPr>
                <w:sz w:val="20"/>
                <w:lang w:val="fr-CA"/>
              </w:rPr>
            </w:pPr>
          </w:p>
        </w:tc>
      </w:tr>
      <w:tr w:rsidR="002E7777" w:rsidRPr="00D10D3F" w:rsidTr="002E7777">
        <w:tc>
          <w:tcPr>
            <w:tcW w:w="5000" w:type="pct"/>
            <w:gridSpan w:val="4"/>
          </w:tcPr>
          <w:p w:rsidR="002E7777" w:rsidRPr="00D10D3F" w:rsidRDefault="002E7777" w:rsidP="002E7777">
            <w:pPr>
              <w:jc w:val="both"/>
              <w:rPr>
                <w:sz w:val="20"/>
                <w:lang w:val="fr-CA"/>
              </w:rPr>
            </w:pPr>
            <w:r w:rsidRPr="00D10D3F">
              <w:rPr>
                <w:sz w:val="20"/>
                <w:lang w:val="fr-CA"/>
              </w:rPr>
              <w:t>Le demandeur, M. </w:t>
            </w:r>
            <w:proofErr w:type="spellStart"/>
            <w:r w:rsidRPr="00D10D3F">
              <w:rPr>
                <w:sz w:val="20"/>
                <w:lang w:val="fr-CA"/>
              </w:rPr>
              <w:t>Brine</w:t>
            </w:r>
            <w:proofErr w:type="spellEnd"/>
            <w:r w:rsidRPr="00D10D3F">
              <w:rPr>
                <w:sz w:val="20"/>
                <w:lang w:val="fr-CA"/>
              </w:rPr>
              <w:t xml:space="preserve"> a été jugé totalement invalide au sens d’une police d’assurance-invalidité établie par l’assureur, National Life (et plus tard par la compagnie remplaçante, l’intimée, Industrielle Alliance). Un différend oppose les parties depuis près de deux décennies, principalement sur des questions relatives à la prestation de services de réadaptation, au traitement fiscal des prestations payées et à la déductibilité de paiements de tiers. Monsieur </w:t>
            </w:r>
            <w:proofErr w:type="spellStart"/>
            <w:r w:rsidRPr="00D10D3F">
              <w:rPr>
                <w:sz w:val="20"/>
                <w:lang w:val="fr-CA"/>
              </w:rPr>
              <w:t>Brine</w:t>
            </w:r>
            <w:proofErr w:type="spellEnd"/>
            <w:r w:rsidRPr="00D10D3F">
              <w:rPr>
                <w:sz w:val="20"/>
                <w:lang w:val="fr-CA"/>
              </w:rPr>
              <w:t xml:space="preserve"> prétend qu’Industrielle Alliance a violé non seulement des dispositions particulières de la police, mais également son obligation d’agir en toute bonne foi. Industrielle Alliance prétend avoir dûment traité la demande d’indemnisation de M. </w:t>
            </w:r>
            <w:proofErr w:type="spellStart"/>
            <w:r w:rsidRPr="00D10D3F">
              <w:rPr>
                <w:sz w:val="20"/>
                <w:lang w:val="fr-CA"/>
              </w:rPr>
              <w:t>Brine</w:t>
            </w:r>
            <w:proofErr w:type="spellEnd"/>
            <w:r w:rsidRPr="00D10D3F">
              <w:rPr>
                <w:sz w:val="20"/>
                <w:lang w:val="fr-CA"/>
              </w:rPr>
              <w:t>, et ne pas avoir violé de dispositions de la police ou l’obligation implicite d’agir en toute bonne foi. Industrielle Alliance a soutenu que M. </w:t>
            </w:r>
            <w:proofErr w:type="spellStart"/>
            <w:r w:rsidRPr="00D10D3F">
              <w:rPr>
                <w:sz w:val="20"/>
                <w:lang w:val="fr-CA"/>
              </w:rPr>
              <w:t>Brine</w:t>
            </w:r>
            <w:proofErr w:type="spellEnd"/>
            <w:r w:rsidRPr="00D10D3F">
              <w:rPr>
                <w:sz w:val="20"/>
                <w:lang w:val="fr-CA"/>
              </w:rPr>
              <w:t xml:space="preserve"> avait omis de remplir ses obligations au regard de la police en ne déclarant pas des paiements versés par des tiers, donnant lieu à des trop-payés substantiels au regard de la police.</w:t>
            </w:r>
          </w:p>
          <w:p w:rsidR="002E7777" w:rsidRPr="00D10D3F" w:rsidRDefault="002E7777" w:rsidP="002E7777">
            <w:pPr>
              <w:jc w:val="both"/>
              <w:rPr>
                <w:sz w:val="20"/>
                <w:lang w:val="fr-CA"/>
              </w:rPr>
            </w:pPr>
          </w:p>
          <w:p w:rsidR="002E7777" w:rsidRPr="00D10D3F" w:rsidRDefault="002E7777" w:rsidP="002E7777">
            <w:pPr>
              <w:jc w:val="both"/>
              <w:rPr>
                <w:sz w:val="20"/>
                <w:lang w:val="fr-CA"/>
              </w:rPr>
            </w:pPr>
            <w:r w:rsidRPr="00D10D3F">
              <w:rPr>
                <w:sz w:val="20"/>
                <w:lang w:val="fr-CA"/>
              </w:rPr>
              <w:t>La juge de première instance a accordé à M. </w:t>
            </w:r>
            <w:proofErr w:type="spellStart"/>
            <w:r w:rsidRPr="00D10D3F">
              <w:rPr>
                <w:sz w:val="20"/>
                <w:lang w:val="fr-CA"/>
              </w:rPr>
              <w:t>Brine</w:t>
            </w:r>
            <w:proofErr w:type="spellEnd"/>
            <w:r w:rsidRPr="00D10D3F">
              <w:rPr>
                <w:sz w:val="20"/>
                <w:lang w:val="fr-CA"/>
              </w:rPr>
              <w:t xml:space="preserve"> la somme de 62 036,81 $ au titre du trop-payé réclamé par M. </w:t>
            </w:r>
            <w:proofErr w:type="spellStart"/>
            <w:r w:rsidRPr="00D10D3F">
              <w:rPr>
                <w:sz w:val="20"/>
                <w:lang w:val="fr-CA"/>
              </w:rPr>
              <w:t>Brine</w:t>
            </w:r>
            <w:proofErr w:type="spellEnd"/>
            <w:r w:rsidRPr="00D10D3F">
              <w:rPr>
                <w:sz w:val="20"/>
                <w:lang w:val="fr-CA"/>
              </w:rPr>
              <w:t xml:space="preserve"> et qu’avait fait disparaître sa faillite, 30 000 $ en dommages-intérêts pour souffrance morale découlant de la violation du contrat, 150 000 $ en dommages-intérêts majorés et 500 000 $ en dommages-intérêts punitifs. Industrielle Alliance s’est vu accorder la somme de 210 000 $ représentant le montant dû en exécution de la disposition de subrogation de la police.</w:t>
            </w:r>
          </w:p>
          <w:p w:rsidR="002E7777" w:rsidRPr="00D10D3F" w:rsidRDefault="002E7777" w:rsidP="002E7777">
            <w:pPr>
              <w:jc w:val="both"/>
              <w:rPr>
                <w:sz w:val="20"/>
                <w:lang w:val="fr-CA"/>
              </w:rPr>
            </w:pPr>
          </w:p>
          <w:p w:rsidR="002E7777" w:rsidRPr="00D10D3F" w:rsidRDefault="002E7777" w:rsidP="002E7777">
            <w:pPr>
              <w:jc w:val="both"/>
              <w:rPr>
                <w:sz w:val="20"/>
                <w:lang w:val="fr-CA"/>
              </w:rPr>
            </w:pPr>
            <w:r w:rsidRPr="00D10D3F">
              <w:rPr>
                <w:sz w:val="20"/>
                <w:lang w:val="fr-CA"/>
              </w:rPr>
              <w:t>La Cour d’appel a remplacé les jugements pour souffrance morale et dommages-intérêts majorés par un seul jugement de 90 000 $ au titre de dommages-intérêts compensatoires pour souffrance morale causée par la violation du contrat, y compris des violations de l’obligation contractuelle d’agir en toute bonne foi. La Cour d’appel a également réduit le jugement en dommages-intérêts punitifs à 60 000 $. À tous les autres égards, l’appel et l’appel incident ont été rejetés.</w:t>
            </w:r>
          </w:p>
          <w:p w:rsidR="002E7777" w:rsidRPr="00D10D3F" w:rsidRDefault="002E7777" w:rsidP="002E7777">
            <w:pPr>
              <w:jc w:val="both"/>
              <w:rPr>
                <w:sz w:val="20"/>
                <w:lang w:val="fr-CA"/>
              </w:rPr>
            </w:pPr>
          </w:p>
        </w:tc>
      </w:tr>
      <w:tr w:rsidR="002E7777" w:rsidRPr="00D10D3F" w:rsidTr="002E7777">
        <w:tc>
          <w:tcPr>
            <w:tcW w:w="2337" w:type="pct"/>
            <w:gridSpan w:val="2"/>
          </w:tcPr>
          <w:p w:rsidR="002E7777" w:rsidRPr="00D10D3F" w:rsidRDefault="002E7777" w:rsidP="002E7777">
            <w:pPr>
              <w:jc w:val="both"/>
              <w:rPr>
                <w:sz w:val="20"/>
                <w:lang w:val="fr-CA"/>
              </w:rPr>
            </w:pPr>
            <w:r w:rsidRPr="00D10D3F">
              <w:rPr>
                <w:sz w:val="20"/>
                <w:lang w:val="fr-CA"/>
              </w:rPr>
              <w:t>18 juin 2014</w:t>
            </w:r>
          </w:p>
          <w:p w:rsidR="002E7777" w:rsidRPr="00D10D3F" w:rsidRDefault="002E7777" w:rsidP="002E7777">
            <w:pPr>
              <w:jc w:val="both"/>
              <w:rPr>
                <w:sz w:val="20"/>
                <w:lang w:val="fr-CA"/>
              </w:rPr>
            </w:pPr>
            <w:r w:rsidRPr="00D10D3F">
              <w:rPr>
                <w:sz w:val="20"/>
                <w:lang w:val="fr-CA"/>
              </w:rPr>
              <w:t>Cour suprême de la Nouvelle-Écosse, Section de première instance</w:t>
            </w:r>
          </w:p>
          <w:p w:rsidR="002E7777" w:rsidRPr="00D10D3F" w:rsidRDefault="002E7777" w:rsidP="002E7777">
            <w:pPr>
              <w:jc w:val="both"/>
              <w:rPr>
                <w:sz w:val="20"/>
              </w:rPr>
            </w:pPr>
            <w:r w:rsidRPr="00D10D3F">
              <w:rPr>
                <w:sz w:val="20"/>
              </w:rPr>
              <w:t>(Juge Bourgeois)</w:t>
            </w:r>
          </w:p>
          <w:p w:rsidR="002E7777" w:rsidRPr="00D10D3F" w:rsidRDefault="00D936BC" w:rsidP="002E7777">
            <w:pPr>
              <w:jc w:val="both"/>
              <w:rPr>
                <w:sz w:val="20"/>
              </w:rPr>
            </w:pPr>
            <w:hyperlink r:id="rId23" w:history="1">
              <w:r w:rsidR="002E7777" w:rsidRPr="00D10D3F">
                <w:rPr>
                  <w:rStyle w:val="Hyperlink"/>
                  <w:sz w:val="20"/>
                </w:rPr>
                <w:t>2014 NSSC 219</w:t>
              </w:r>
            </w:hyperlink>
            <w:r w:rsidR="002E7777" w:rsidRPr="00D10D3F">
              <w:rPr>
                <w:sz w:val="20"/>
              </w:rPr>
              <w:t xml:space="preserve">; </w:t>
            </w:r>
            <w:proofErr w:type="spellStart"/>
            <w:r w:rsidR="002E7777" w:rsidRPr="00D10D3F">
              <w:rPr>
                <w:sz w:val="20"/>
              </w:rPr>
              <w:t>Hfx</w:t>
            </w:r>
            <w:proofErr w:type="spellEnd"/>
            <w:r w:rsidR="002E7777" w:rsidRPr="00D10D3F">
              <w:rPr>
                <w:sz w:val="20"/>
              </w:rPr>
              <w:t>. No. 174118</w:t>
            </w:r>
          </w:p>
          <w:p w:rsidR="002E7777" w:rsidRPr="00D10D3F" w:rsidRDefault="002E7777" w:rsidP="002E7777">
            <w:pPr>
              <w:jc w:val="both"/>
              <w:rPr>
                <w:sz w:val="20"/>
              </w:rPr>
            </w:pPr>
          </w:p>
        </w:tc>
        <w:tc>
          <w:tcPr>
            <w:tcW w:w="234" w:type="pct"/>
          </w:tcPr>
          <w:p w:rsidR="002E7777" w:rsidRPr="00D10D3F" w:rsidRDefault="002E7777" w:rsidP="002E7777">
            <w:pPr>
              <w:jc w:val="both"/>
              <w:rPr>
                <w:sz w:val="20"/>
              </w:rPr>
            </w:pPr>
          </w:p>
        </w:tc>
        <w:tc>
          <w:tcPr>
            <w:tcW w:w="2430" w:type="pct"/>
          </w:tcPr>
          <w:p w:rsidR="002E7777" w:rsidRPr="00D10D3F" w:rsidRDefault="002E7777" w:rsidP="002E7777">
            <w:pPr>
              <w:jc w:val="both"/>
              <w:rPr>
                <w:sz w:val="20"/>
                <w:lang w:val="fr-CA"/>
              </w:rPr>
            </w:pPr>
            <w:r w:rsidRPr="00D10D3F">
              <w:rPr>
                <w:sz w:val="20"/>
                <w:lang w:val="fr-CA"/>
              </w:rPr>
              <w:t>Jugement accordant au demandeur des dommages-intérêts pour violation de contrat (62 032,81 $) et souffrance morale (30 000 $), des dommages-intérêts majorés (150 000 $) et des dommages-intérêts punitifs (500 000 $)</w:t>
            </w:r>
          </w:p>
          <w:p w:rsidR="002E7777" w:rsidRPr="00D10D3F" w:rsidRDefault="002E7777" w:rsidP="002E7777">
            <w:pPr>
              <w:jc w:val="both"/>
              <w:rPr>
                <w:sz w:val="20"/>
                <w:lang w:val="fr-CA"/>
              </w:rPr>
            </w:pPr>
          </w:p>
        </w:tc>
      </w:tr>
      <w:tr w:rsidR="002E7777" w:rsidRPr="00D10D3F" w:rsidTr="002E7777">
        <w:tc>
          <w:tcPr>
            <w:tcW w:w="2337" w:type="pct"/>
            <w:gridSpan w:val="2"/>
          </w:tcPr>
          <w:p w:rsidR="002E7777" w:rsidRPr="00D10D3F" w:rsidRDefault="002E7777" w:rsidP="002E7777">
            <w:pPr>
              <w:jc w:val="both"/>
              <w:rPr>
                <w:sz w:val="20"/>
                <w:lang w:val="fr-CA"/>
              </w:rPr>
            </w:pPr>
            <w:r w:rsidRPr="00D10D3F">
              <w:rPr>
                <w:sz w:val="20"/>
                <w:lang w:val="fr-CA"/>
              </w:rPr>
              <w:t>17 novembre 2015</w:t>
            </w:r>
          </w:p>
          <w:p w:rsidR="002E7777" w:rsidRPr="00D10D3F" w:rsidRDefault="002E7777" w:rsidP="002E7777">
            <w:pPr>
              <w:jc w:val="both"/>
              <w:rPr>
                <w:sz w:val="20"/>
                <w:lang w:val="fr-CA"/>
              </w:rPr>
            </w:pPr>
            <w:r w:rsidRPr="00D10D3F">
              <w:rPr>
                <w:sz w:val="20"/>
                <w:lang w:val="fr-CA"/>
              </w:rPr>
              <w:t xml:space="preserve">Cour d’appel de la Nouvelle-Écosse </w:t>
            </w:r>
          </w:p>
          <w:p w:rsidR="002E7777" w:rsidRPr="00D10D3F" w:rsidRDefault="002E7777" w:rsidP="002E7777">
            <w:pPr>
              <w:jc w:val="both"/>
              <w:rPr>
                <w:sz w:val="20"/>
                <w:lang w:val="fr-CA"/>
              </w:rPr>
            </w:pPr>
            <w:r w:rsidRPr="00D10D3F">
              <w:rPr>
                <w:sz w:val="20"/>
                <w:lang w:val="fr-CA"/>
              </w:rPr>
              <w:t>(Juges Fichaud, Oland et Scanlan)</w:t>
            </w:r>
          </w:p>
          <w:p w:rsidR="002E7777" w:rsidRPr="00D10D3F" w:rsidRDefault="00D936BC" w:rsidP="002E7777">
            <w:pPr>
              <w:jc w:val="both"/>
              <w:rPr>
                <w:sz w:val="20"/>
                <w:lang w:val="fr-CA"/>
              </w:rPr>
            </w:pPr>
            <w:hyperlink r:id="rId24" w:history="1">
              <w:r w:rsidR="002E7777" w:rsidRPr="00D10D3F">
                <w:rPr>
                  <w:rStyle w:val="Hyperlink"/>
                  <w:sz w:val="20"/>
                  <w:lang w:val="fr-CA"/>
                </w:rPr>
                <w:t>2015 NSCA 104</w:t>
              </w:r>
            </w:hyperlink>
            <w:r w:rsidR="002E7777" w:rsidRPr="00D10D3F">
              <w:rPr>
                <w:sz w:val="20"/>
                <w:lang w:val="fr-CA"/>
              </w:rPr>
              <w:t>; CA 431538</w:t>
            </w:r>
          </w:p>
          <w:p w:rsidR="002E7777" w:rsidRPr="00D10D3F" w:rsidRDefault="002E7777" w:rsidP="002E7777">
            <w:pPr>
              <w:jc w:val="both"/>
              <w:rPr>
                <w:sz w:val="20"/>
                <w:lang w:val="fr-CA"/>
              </w:rPr>
            </w:pPr>
          </w:p>
        </w:tc>
        <w:tc>
          <w:tcPr>
            <w:tcW w:w="234" w:type="pct"/>
          </w:tcPr>
          <w:p w:rsidR="002E7777" w:rsidRPr="00D10D3F" w:rsidRDefault="002E7777" w:rsidP="002E7777">
            <w:pPr>
              <w:jc w:val="both"/>
              <w:rPr>
                <w:sz w:val="20"/>
                <w:lang w:val="fr-CA"/>
              </w:rPr>
            </w:pPr>
          </w:p>
        </w:tc>
        <w:tc>
          <w:tcPr>
            <w:tcW w:w="2430" w:type="pct"/>
          </w:tcPr>
          <w:p w:rsidR="002E7777" w:rsidRPr="00D10D3F" w:rsidRDefault="002E7777" w:rsidP="002E7777">
            <w:pPr>
              <w:jc w:val="both"/>
              <w:rPr>
                <w:sz w:val="20"/>
                <w:lang w:val="fr-CA"/>
              </w:rPr>
            </w:pPr>
            <w:r w:rsidRPr="00D10D3F">
              <w:rPr>
                <w:sz w:val="20"/>
                <w:lang w:val="fr-CA"/>
              </w:rPr>
              <w:t xml:space="preserve">Arrêt accueillant l’appel en partie, remplaçant les dommages-intérêts pour souffrance morale et les dommages-intérêts majorés par un seul jugement </w:t>
            </w:r>
            <w:r w:rsidRPr="00D10D3F">
              <w:rPr>
                <w:sz w:val="20"/>
                <w:lang w:val="fr-CA"/>
              </w:rPr>
              <w:lastRenderedPageBreak/>
              <w:t xml:space="preserve">(90 000 $) et réduisant les dommages-intérêts punitifs (60 000 $) </w:t>
            </w:r>
          </w:p>
          <w:p w:rsidR="002E7777" w:rsidRPr="00D10D3F" w:rsidRDefault="002E7777" w:rsidP="002E7777">
            <w:pPr>
              <w:jc w:val="both"/>
              <w:rPr>
                <w:sz w:val="20"/>
                <w:lang w:val="fr-CA"/>
              </w:rPr>
            </w:pPr>
          </w:p>
        </w:tc>
      </w:tr>
      <w:tr w:rsidR="002E7777" w:rsidRPr="00D10D3F" w:rsidTr="002E7777">
        <w:tc>
          <w:tcPr>
            <w:tcW w:w="2337" w:type="pct"/>
            <w:gridSpan w:val="2"/>
          </w:tcPr>
          <w:p w:rsidR="002E7777" w:rsidRPr="00D10D3F" w:rsidRDefault="002E7777" w:rsidP="002E7777">
            <w:pPr>
              <w:jc w:val="both"/>
              <w:rPr>
                <w:sz w:val="20"/>
                <w:lang w:val="fr-CA"/>
              </w:rPr>
            </w:pPr>
            <w:r w:rsidRPr="00D10D3F">
              <w:rPr>
                <w:sz w:val="20"/>
                <w:lang w:val="fr-CA"/>
              </w:rPr>
              <w:lastRenderedPageBreak/>
              <w:t>18 janvier 2016</w:t>
            </w:r>
          </w:p>
          <w:p w:rsidR="002E7777" w:rsidRPr="00D10D3F" w:rsidRDefault="002E7777" w:rsidP="002E7777">
            <w:pPr>
              <w:jc w:val="both"/>
              <w:rPr>
                <w:sz w:val="20"/>
                <w:lang w:val="fr-CA"/>
              </w:rPr>
            </w:pPr>
            <w:r w:rsidRPr="00D10D3F">
              <w:rPr>
                <w:sz w:val="20"/>
                <w:lang w:val="fr-CA"/>
              </w:rPr>
              <w:t>Cour suprême du Canada</w:t>
            </w:r>
          </w:p>
        </w:tc>
        <w:tc>
          <w:tcPr>
            <w:tcW w:w="234" w:type="pct"/>
          </w:tcPr>
          <w:p w:rsidR="002E7777" w:rsidRPr="00D10D3F" w:rsidRDefault="002E7777" w:rsidP="002E7777">
            <w:pPr>
              <w:jc w:val="both"/>
              <w:rPr>
                <w:sz w:val="20"/>
                <w:lang w:val="fr-CA"/>
              </w:rPr>
            </w:pPr>
          </w:p>
        </w:tc>
        <w:tc>
          <w:tcPr>
            <w:tcW w:w="2430" w:type="pct"/>
          </w:tcPr>
          <w:p w:rsidR="002E7777" w:rsidRPr="00D10D3F" w:rsidRDefault="002E7777" w:rsidP="002E7777">
            <w:pPr>
              <w:jc w:val="both"/>
              <w:rPr>
                <w:sz w:val="20"/>
                <w:lang w:val="fr-CA"/>
              </w:rPr>
            </w:pPr>
            <w:r w:rsidRPr="00D10D3F">
              <w:rPr>
                <w:sz w:val="20"/>
                <w:lang w:val="fr-CA"/>
              </w:rPr>
              <w:t>Dépôt de la demande d’autorisation d’appel</w:t>
            </w:r>
          </w:p>
        </w:tc>
      </w:tr>
    </w:tbl>
    <w:p w:rsidR="00722866" w:rsidRPr="00D10D3F" w:rsidRDefault="00722866" w:rsidP="00757ED0">
      <w:pPr>
        <w:widowControl w:val="0"/>
        <w:ind w:left="360" w:hanging="360"/>
        <w:jc w:val="both"/>
        <w:rPr>
          <w:sz w:val="20"/>
          <w:lang w:val="fr-FR" w:eastAsia="en-CA"/>
        </w:rPr>
      </w:pPr>
    </w:p>
    <w:p w:rsidR="00757ED0" w:rsidRPr="00D10D3F" w:rsidRDefault="00757ED0" w:rsidP="00757ED0">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7ED0" w:rsidRPr="00D10D3F" w:rsidTr="00E95A6A">
        <w:tc>
          <w:tcPr>
            <w:tcW w:w="543" w:type="pct"/>
          </w:tcPr>
          <w:p w:rsidR="00757ED0" w:rsidRPr="00D10D3F" w:rsidRDefault="00757ED0" w:rsidP="00757ED0">
            <w:pPr>
              <w:jc w:val="both"/>
              <w:rPr>
                <w:sz w:val="20"/>
              </w:rPr>
            </w:pPr>
            <w:r w:rsidRPr="00D10D3F">
              <w:rPr>
                <w:rStyle w:val="SCCFileNumberChar"/>
                <w:sz w:val="20"/>
                <w:szCs w:val="20"/>
              </w:rPr>
              <w:t>36858</w:t>
            </w:r>
          </w:p>
        </w:tc>
        <w:tc>
          <w:tcPr>
            <w:tcW w:w="4457" w:type="pct"/>
            <w:gridSpan w:val="3"/>
          </w:tcPr>
          <w:p w:rsidR="00757ED0" w:rsidRPr="00D10D3F" w:rsidRDefault="00757ED0" w:rsidP="00757ED0">
            <w:pPr>
              <w:pStyle w:val="SCCLsocParty"/>
              <w:jc w:val="both"/>
              <w:rPr>
                <w:b/>
                <w:sz w:val="20"/>
                <w:szCs w:val="20"/>
              </w:rPr>
            </w:pPr>
            <w:r w:rsidRPr="00D10D3F">
              <w:rPr>
                <w:b/>
                <w:sz w:val="20"/>
                <w:szCs w:val="20"/>
              </w:rPr>
              <w:t>Rachel Exeter v. Attorney General of Canada</w:t>
            </w:r>
          </w:p>
          <w:p w:rsidR="00757ED0" w:rsidRPr="00D10D3F" w:rsidRDefault="00757ED0" w:rsidP="00757ED0">
            <w:pPr>
              <w:jc w:val="both"/>
              <w:rPr>
                <w:sz w:val="20"/>
              </w:rPr>
            </w:pPr>
            <w:r w:rsidRPr="00D10D3F">
              <w:rPr>
                <w:sz w:val="20"/>
              </w:rPr>
              <w:t>(F</w:t>
            </w:r>
            <w:r w:rsidR="004E230C" w:rsidRPr="00D10D3F">
              <w:rPr>
                <w:sz w:val="20"/>
              </w:rPr>
              <w:t>.</w:t>
            </w:r>
            <w:r w:rsidRPr="00D10D3F">
              <w:rPr>
                <w:sz w:val="20"/>
              </w:rPr>
              <w:t>C</w:t>
            </w:r>
            <w:r w:rsidR="004E230C" w:rsidRPr="00D10D3F">
              <w:rPr>
                <w:sz w:val="20"/>
              </w:rPr>
              <w:t>.</w:t>
            </w:r>
            <w:r w:rsidRPr="00D10D3F">
              <w:rPr>
                <w:sz w:val="20"/>
              </w:rPr>
              <w:t>) (Civil) (By Leave)</w:t>
            </w:r>
          </w:p>
        </w:tc>
      </w:tr>
      <w:tr w:rsidR="00757ED0" w:rsidRPr="00D10D3F" w:rsidTr="00E95A6A">
        <w:tc>
          <w:tcPr>
            <w:tcW w:w="5000" w:type="pct"/>
            <w:gridSpan w:val="4"/>
          </w:tcPr>
          <w:p w:rsidR="00757ED0" w:rsidRPr="00D10D3F" w:rsidRDefault="00757ED0" w:rsidP="00757ED0">
            <w:pPr>
              <w:jc w:val="both"/>
              <w:rPr>
                <w:sz w:val="20"/>
              </w:rPr>
            </w:pPr>
            <w:r w:rsidRPr="00D10D3F">
              <w:rPr>
                <w:i/>
                <w:sz w:val="20"/>
              </w:rPr>
              <w:t>Charter of Rights</w:t>
            </w:r>
            <w:r w:rsidRPr="00D10D3F">
              <w:rPr>
                <w:sz w:val="20"/>
              </w:rPr>
              <w:t xml:space="preserve"> – Fundamental justice – Judgments and orders – Interlocutory orders – Whether applicant’s </w:t>
            </w:r>
            <w:r w:rsidRPr="00D10D3F">
              <w:rPr>
                <w:i/>
                <w:sz w:val="20"/>
              </w:rPr>
              <w:t>Charter</w:t>
            </w:r>
            <w:r w:rsidRPr="00D10D3F">
              <w:rPr>
                <w:sz w:val="20"/>
              </w:rPr>
              <w:t xml:space="preserve"> and constitutional rights violated by Court Registry – Whether court order failed to advise parties and public of reasons for decision – Whether order overlooked and misapprehended important evidence and eroded community’s sense of fair play in judicial system</w:t>
            </w:r>
          </w:p>
        </w:tc>
      </w:tr>
      <w:tr w:rsidR="00757ED0" w:rsidRPr="00D10D3F" w:rsidTr="00E95A6A">
        <w:tc>
          <w:tcPr>
            <w:tcW w:w="5000" w:type="pct"/>
            <w:gridSpan w:val="4"/>
          </w:tcPr>
          <w:p w:rsidR="00757ED0" w:rsidRPr="00D10D3F" w:rsidRDefault="00757ED0" w:rsidP="00757ED0">
            <w:pPr>
              <w:jc w:val="both"/>
              <w:rPr>
                <w:sz w:val="20"/>
              </w:rPr>
            </w:pPr>
          </w:p>
        </w:tc>
      </w:tr>
      <w:tr w:rsidR="00757ED0" w:rsidRPr="00D10D3F" w:rsidTr="00E95A6A">
        <w:tc>
          <w:tcPr>
            <w:tcW w:w="5000" w:type="pct"/>
            <w:gridSpan w:val="4"/>
          </w:tcPr>
          <w:p w:rsidR="00757ED0" w:rsidRPr="00D10D3F" w:rsidRDefault="00757ED0" w:rsidP="00757ED0">
            <w:pPr>
              <w:jc w:val="both"/>
              <w:rPr>
                <w:sz w:val="20"/>
              </w:rPr>
            </w:pPr>
            <w:r w:rsidRPr="00D10D3F">
              <w:rPr>
                <w:sz w:val="20"/>
              </w:rPr>
              <w:t xml:space="preserve">In 2013, the </w:t>
            </w:r>
            <w:proofErr w:type="spellStart"/>
            <w:r w:rsidRPr="00D10D3F">
              <w:rPr>
                <w:sz w:val="20"/>
              </w:rPr>
              <w:t>Prothonotary</w:t>
            </w:r>
            <w:proofErr w:type="spellEnd"/>
            <w:r w:rsidRPr="00D10D3F">
              <w:rPr>
                <w:sz w:val="20"/>
              </w:rPr>
              <w:t xml:space="preserve"> partially granted Ms. Exeter’s motion for a second opportunity to cross-examine the respondent’s affiant. Ms. Exeter appealed that decision. She then requested a copy of the audio recording of the hearing before the </w:t>
            </w:r>
            <w:proofErr w:type="spellStart"/>
            <w:r w:rsidRPr="00D10D3F">
              <w:rPr>
                <w:sz w:val="20"/>
              </w:rPr>
              <w:t>Prothonotary</w:t>
            </w:r>
            <w:proofErr w:type="spellEnd"/>
            <w:r w:rsidRPr="00D10D3F">
              <w:rPr>
                <w:sz w:val="20"/>
              </w:rPr>
              <w:t xml:space="preserve"> from the Federal Court Registry. She was given a copy but believed that the recording had been altered. Ms. Exeter brought a motion requesting the services of a forensic audio expert. </w:t>
            </w:r>
          </w:p>
          <w:p w:rsidR="00757ED0" w:rsidRPr="00D10D3F" w:rsidRDefault="00757ED0" w:rsidP="00757ED0">
            <w:pPr>
              <w:jc w:val="both"/>
              <w:rPr>
                <w:sz w:val="20"/>
              </w:rPr>
            </w:pPr>
          </w:p>
        </w:tc>
      </w:tr>
      <w:tr w:rsidR="00757ED0" w:rsidRPr="00D10D3F" w:rsidTr="00E95A6A">
        <w:tc>
          <w:tcPr>
            <w:tcW w:w="2427" w:type="pct"/>
            <w:gridSpan w:val="2"/>
          </w:tcPr>
          <w:p w:rsidR="00757ED0" w:rsidRPr="00D10D3F" w:rsidRDefault="00757ED0" w:rsidP="00757ED0">
            <w:pPr>
              <w:jc w:val="both"/>
              <w:rPr>
                <w:sz w:val="20"/>
              </w:rPr>
            </w:pPr>
            <w:r w:rsidRPr="00D10D3F">
              <w:rPr>
                <w:sz w:val="20"/>
              </w:rPr>
              <w:t>March 10, 2014</w:t>
            </w:r>
          </w:p>
          <w:p w:rsidR="00757ED0" w:rsidRPr="00D10D3F" w:rsidRDefault="00757ED0" w:rsidP="00757ED0">
            <w:pPr>
              <w:jc w:val="both"/>
              <w:rPr>
                <w:sz w:val="20"/>
              </w:rPr>
            </w:pPr>
            <w:r w:rsidRPr="00D10D3F">
              <w:rPr>
                <w:sz w:val="20"/>
              </w:rPr>
              <w:t>Federal Court</w:t>
            </w:r>
          </w:p>
          <w:p w:rsidR="00757ED0" w:rsidRPr="00D10D3F" w:rsidRDefault="00757ED0" w:rsidP="00757ED0">
            <w:pPr>
              <w:jc w:val="both"/>
              <w:rPr>
                <w:sz w:val="20"/>
              </w:rPr>
            </w:pPr>
            <w:r w:rsidRPr="00D10D3F">
              <w:rPr>
                <w:sz w:val="20"/>
              </w:rPr>
              <w:t>(</w:t>
            </w:r>
            <w:proofErr w:type="spellStart"/>
            <w:r w:rsidRPr="00D10D3F">
              <w:rPr>
                <w:sz w:val="20"/>
              </w:rPr>
              <w:t>Boivin</w:t>
            </w:r>
            <w:proofErr w:type="spellEnd"/>
            <w:r w:rsidRPr="00D10D3F">
              <w:rPr>
                <w:sz w:val="20"/>
              </w:rPr>
              <w:t xml:space="preserve"> J.)</w:t>
            </w:r>
          </w:p>
          <w:p w:rsidR="00757ED0" w:rsidRPr="00D10D3F" w:rsidRDefault="00757ED0" w:rsidP="00757ED0">
            <w:pPr>
              <w:jc w:val="both"/>
              <w:rPr>
                <w:sz w:val="20"/>
              </w:rPr>
            </w:pPr>
            <w:r w:rsidRPr="00D10D3F">
              <w:rPr>
                <w:sz w:val="20"/>
              </w:rPr>
              <w:t>Unreported</w:t>
            </w:r>
          </w:p>
          <w:p w:rsidR="00757ED0" w:rsidRPr="00D10D3F" w:rsidRDefault="00757ED0" w:rsidP="00757ED0">
            <w:pPr>
              <w:jc w:val="both"/>
              <w:rPr>
                <w:sz w:val="20"/>
              </w:rPr>
            </w:pPr>
          </w:p>
        </w:tc>
        <w:tc>
          <w:tcPr>
            <w:tcW w:w="243" w:type="pct"/>
          </w:tcPr>
          <w:p w:rsidR="00757ED0" w:rsidRPr="00D10D3F" w:rsidRDefault="00757ED0" w:rsidP="00757ED0">
            <w:pPr>
              <w:jc w:val="both"/>
              <w:rPr>
                <w:sz w:val="20"/>
              </w:rPr>
            </w:pPr>
          </w:p>
        </w:tc>
        <w:tc>
          <w:tcPr>
            <w:tcW w:w="2330" w:type="pct"/>
          </w:tcPr>
          <w:p w:rsidR="00757ED0" w:rsidRPr="00D10D3F" w:rsidRDefault="00757ED0" w:rsidP="00757ED0">
            <w:pPr>
              <w:jc w:val="both"/>
              <w:rPr>
                <w:sz w:val="20"/>
              </w:rPr>
            </w:pPr>
            <w:r w:rsidRPr="00D10D3F">
              <w:rPr>
                <w:sz w:val="20"/>
              </w:rPr>
              <w:t>Applicant’s motion requesting services of a forensic audio expert dismissed</w:t>
            </w:r>
          </w:p>
          <w:p w:rsidR="00757ED0" w:rsidRPr="00D10D3F" w:rsidRDefault="00757ED0" w:rsidP="00757ED0">
            <w:pPr>
              <w:jc w:val="both"/>
              <w:rPr>
                <w:sz w:val="20"/>
              </w:rPr>
            </w:pPr>
          </w:p>
          <w:p w:rsidR="00757ED0" w:rsidRPr="00D10D3F" w:rsidRDefault="00757ED0" w:rsidP="00757ED0">
            <w:pPr>
              <w:jc w:val="both"/>
              <w:rPr>
                <w:sz w:val="20"/>
              </w:rPr>
            </w:pPr>
          </w:p>
        </w:tc>
      </w:tr>
      <w:tr w:rsidR="00757ED0" w:rsidRPr="00D10D3F" w:rsidTr="00E95A6A">
        <w:tc>
          <w:tcPr>
            <w:tcW w:w="2427" w:type="pct"/>
            <w:gridSpan w:val="2"/>
          </w:tcPr>
          <w:p w:rsidR="00757ED0" w:rsidRPr="00D10D3F" w:rsidRDefault="00757ED0" w:rsidP="00757ED0">
            <w:pPr>
              <w:jc w:val="both"/>
              <w:rPr>
                <w:sz w:val="20"/>
              </w:rPr>
            </w:pPr>
            <w:r w:rsidRPr="00D10D3F">
              <w:rPr>
                <w:sz w:val="20"/>
              </w:rPr>
              <w:t>February 12, 2015</w:t>
            </w:r>
          </w:p>
          <w:p w:rsidR="00757ED0" w:rsidRPr="00D10D3F" w:rsidRDefault="00757ED0" w:rsidP="00757ED0">
            <w:pPr>
              <w:jc w:val="both"/>
              <w:rPr>
                <w:sz w:val="20"/>
              </w:rPr>
            </w:pPr>
            <w:r w:rsidRPr="00D10D3F">
              <w:rPr>
                <w:sz w:val="20"/>
              </w:rPr>
              <w:t>Federal Court of Appeal</w:t>
            </w:r>
          </w:p>
          <w:p w:rsidR="00757ED0" w:rsidRPr="00D10D3F" w:rsidRDefault="00757ED0" w:rsidP="00757ED0">
            <w:pPr>
              <w:jc w:val="both"/>
              <w:rPr>
                <w:sz w:val="20"/>
              </w:rPr>
            </w:pPr>
            <w:r w:rsidRPr="00D10D3F">
              <w:rPr>
                <w:sz w:val="20"/>
              </w:rPr>
              <w:t>(Dawson J.A.)</w:t>
            </w:r>
          </w:p>
          <w:p w:rsidR="00757ED0" w:rsidRPr="00D10D3F" w:rsidRDefault="00757ED0" w:rsidP="00757ED0">
            <w:pPr>
              <w:jc w:val="both"/>
              <w:rPr>
                <w:sz w:val="20"/>
              </w:rPr>
            </w:pPr>
            <w:r w:rsidRPr="00D10D3F">
              <w:rPr>
                <w:sz w:val="20"/>
              </w:rPr>
              <w:t>Unreported</w:t>
            </w:r>
          </w:p>
          <w:p w:rsidR="00757ED0" w:rsidRPr="00D10D3F" w:rsidRDefault="00757ED0" w:rsidP="00757ED0">
            <w:pPr>
              <w:jc w:val="both"/>
              <w:rPr>
                <w:sz w:val="20"/>
              </w:rPr>
            </w:pPr>
          </w:p>
        </w:tc>
        <w:tc>
          <w:tcPr>
            <w:tcW w:w="243" w:type="pct"/>
          </w:tcPr>
          <w:p w:rsidR="00757ED0" w:rsidRPr="00D10D3F" w:rsidRDefault="00757ED0" w:rsidP="00757ED0">
            <w:pPr>
              <w:jc w:val="both"/>
              <w:rPr>
                <w:sz w:val="20"/>
              </w:rPr>
            </w:pPr>
          </w:p>
        </w:tc>
        <w:tc>
          <w:tcPr>
            <w:tcW w:w="2330" w:type="pct"/>
          </w:tcPr>
          <w:p w:rsidR="00757ED0" w:rsidRPr="00D10D3F" w:rsidRDefault="00757ED0" w:rsidP="00757ED0">
            <w:pPr>
              <w:jc w:val="both"/>
              <w:rPr>
                <w:sz w:val="20"/>
              </w:rPr>
            </w:pPr>
            <w:r w:rsidRPr="00D10D3F">
              <w:rPr>
                <w:sz w:val="20"/>
              </w:rPr>
              <w:t>Applicant’s motion for leave to adduce new evidence dismissed</w:t>
            </w:r>
          </w:p>
          <w:p w:rsidR="00757ED0" w:rsidRPr="00D10D3F" w:rsidRDefault="00757ED0" w:rsidP="00757ED0">
            <w:pPr>
              <w:jc w:val="both"/>
              <w:rPr>
                <w:sz w:val="20"/>
              </w:rPr>
            </w:pPr>
          </w:p>
          <w:p w:rsidR="00757ED0" w:rsidRPr="00D10D3F" w:rsidRDefault="00757ED0" w:rsidP="00757ED0">
            <w:pPr>
              <w:jc w:val="both"/>
              <w:rPr>
                <w:sz w:val="20"/>
              </w:rPr>
            </w:pPr>
          </w:p>
        </w:tc>
      </w:tr>
      <w:tr w:rsidR="00757ED0" w:rsidRPr="00D10D3F" w:rsidTr="00E95A6A">
        <w:tc>
          <w:tcPr>
            <w:tcW w:w="2427" w:type="pct"/>
            <w:gridSpan w:val="2"/>
          </w:tcPr>
          <w:p w:rsidR="00757ED0" w:rsidRPr="00D10D3F" w:rsidRDefault="00757ED0" w:rsidP="00757ED0">
            <w:pPr>
              <w:jc w:val="both"/>
              <w:rPr>
                <w:sz w:val="20"/>
              </w:rPr>
            </w:pPr>
            <w:r w:rsidRPr="00D10D3F">
              <w:rPr>
                <w:sz w:val="20"/>
              </w:rPr>
              <w:t>March 26, 2015</w:t>
            </w:r>
          </w:p>
          <w:p w:rsidR="00757ED0" w:rsidRPr="00D10D3F" w:rsidRDefault="00757ED0" w:rsidP="00757ED0">
            <w:pPr>
              <w:jc w:val="both"/>
              <w:rPr>
                <w:sz w:val="20"/>
              </w:rPr>
            </w:pPr>
            <w:r w:rsidRPr="00D10D3F">
              <w:rPr>
                <w:sz w:val="20"/>
              </w:rPr>
              <w:t>Federal Court of Appeal</w:t>
            </w:r>
          </w:p>
          <w:p w:rsidR="00757ED0" w:rsidRPr="00D10D3F" w:rsidRDefault="00757ED0" w:rsidP="00757ED0">
            <w:pPr>
              <w:jc w:val="both"/>
              <w:rPr>
                <w:sz w:val="20"/>
              </w:rPr>
            </w:pPr>
            <w:r w:rsidRPr="00D10D3F">
              <w:rPr>
                <w:sz w:val="20"/>
              </w:rPr>
              <w:t>(Dawson J.A.)</w:t>
            </w:r>
          </w:p>
          <w:p w:rsidR="00757ED0" w:rsidRPr="00D10D3F" w:rsidRDefault="00757ED0" w:rsidP="00757ED0">
            <w:pPr>
              <w:jc w:val="both"/>
              <w:rPr>
                <w:sz w:val="20"/>
              </w:rPr>
            </w:pPr>
            <w:r w:rsidRPr="00D10D3F">
              <w:rPr>
                <w:sz w:val="20"/>
              </w:rPr>
              <w:t>Unreported</w:t>
            </w:r>
          </w:p>
          <w:p w:rsidR="00757ED0" w:rsidRPr="00D10D3F" w:rsidRDefault="00757ED0" w:rsidP="00757ED0">
            <w:pPr>
              <w:jc w:val="both"/>
              <w:rPr>
                <w:sz w:val="20"/>
              </w:rPr>
            </w:pPr>
          </w:p>
        </w:tc>
        <w:tc>
          <w:tcPr>
            <w:tcW w:w="243" w:type="pct"/>
          </w:tcPr>
          <w:p w:rsidR="00757ED0" w:rsidRPr="00D10D3F" w:rsidRDefault="00757ED0" w:rsidP="00757ED0">
            <w:pPr>
              <w:jc w:val="both"/>
              <w:rPr>
                <w:sz w:val="20"/>
              </w:rPr>
            </w:pPr>
          </w:p>
        </w:tc>
        <w:tc>
          <w:tcPr>
            <w:tcW w:w="2330" w:type="pct"/>
          </w:tcPr>
          <w:p w:rsidR="00757ED0" w:rsidRPr="00D10D3F" w:rsidRDefault="00757ED0" w:rsidP="00757ED0">
            <w:pPr>
              <w:jc w:val="both"/>
              <w:rPr>
                <w:sz w:val="20"/>
              </w:rPr>
            </w:pPr>
            <w:r w:rsidRPr="00D10D3F">
              <w:rPr>
                <w:sz w:val="20"/>
              </w:rPr>
              <w:t>Applicant’s motion for reconsideration dismissed</w:t>
            </w:r>
          </w:p>
          <w:p w:rsidR="00757ED0" w:rsidRPr="00D10D3F" w:rsidRDefault="00757ED0" w:rsidP="00757ED0">
            <w:pPr>
              <w:jc w:val="both"/>
              <w:rPr>
                <w:sz w:val="20"/>
              </w:rPr>
            </w:pPr>
          </w:p>
          <w:p w:rsidR="00757ED0" w:rsidRPr="00D10D3F" w:rsidRDefault="00757ED0" w:rsidP="00757ED0">
            <w:pPr>
              <w:jc w:val="both"/>
              <w:rPr>
                <w:sz w:val="20"/>
              </w:rPr>
            </w:pPr>
          </w:p>
        </w:tc>
      </w:tr>
      <w:tr w:rsidR="00757ED0" w:rsidRPr="00D10D3F" w:rsidTr="00E95A6A">
        <w:tc>
          <w:tcPr>
            <w:tcW w:w="2427" w:type="pct"/>
            <w:gridSpan w:val="2"/>
          </w:tcPr>
          <w:p w:rsidR="00757ED0" w:rsidRPr="00D10D3F" w:rsidRDefault="00757ED0" w:rsidP="00757ED0">
            <w:pPr>
              <w:jc w:val="both"/>
              <w:rPr>
                <w:sz w:val="20"/>
              </w:rPr>
            </w:pPr>
            <w:r w:rsidRPr="00D10D3F">
              <w:rPr>
                <w:sz w:val="20"/>
              </w:rPr>
              <w:t>February 12, 2016</w:t>
            </w:r>
          </w:p>
          <w:p w:rsidR="00757ED0" w:rsidRPr="00D10D3F" w:rsidRDefault="00757ED0" w:rsidP="00D75499">
            <w:pPr>
              <w:jc w:val="both"/>
              <w:rPr>
                <w:sz w:val="20"/>
              </w:rPr>
            </w:pPr>
            <w:r w:rsidRPr="00D10D3F">
              <w:rPr>
                <w:sz w:val="20"/>
              </w:rPr>
              <w:t>Supreme Court of Canada</w:t>
            </w:r>
          </w:p>
        </w:tc>
        <w:tc>
          <w:tcPr>
            <w:tcW w:w="243" w:type="pct"/>
          </w:tcPr>
          <w:p w:rsidR="00757ED0" w:rsidRPr="00D10D3F" w:rsidRDefault="00757ED0" w:rsidP="00757ED0">
            <w:pPr>
              <w:jc w:val="both"/>
              <w:rPr>
                <w:sz w:val="20"/>
              </w:rPr>
            </w:pPr>
          </w:p>
        </w:tc>
        <w:tc>
          <w:tcPr>
            <w:tcW w:w="2330" w:type="pct"/>
          </w:tcPr>
          <w:p w:rsidR="00757ED0" w:rsidRPr="00D10D3F" w:rsidRDefault="00757ED0" w:rsidP="00757ED0">
            <w:pPr>
              <w:jc w:val="both"/>
              <w:rPr>
                <w:sz w:val="20"/>
              </w:rPr>
            </w:pPr>
            <w:r w:rsidRPr="00D10D3F">
              <w:rPr>
                <w:sz w:val="20"/>
              </w:rPr>
              <w:t>Motion for extension of time in which to serve and file application for leave to appeal and application for leave to appeal filed</w:t>
            </w:r>
          </w:p>
        </w:tc>
      </w:tr>
    </w:tbl>
    <w:p w:rsidR="00757ED0" w:rsidRPr="00D10D3F" w:rsidRDefault="00757ED0" w:rsidP="00757ED0">
      <w:pPr>
        <w:jc w:val="both"/>
        <w:rPr>
          <w:sz w:val="20"/>
        </w:rPr>
      </w:pPr>
    </w:p>
    <w:p w:rsidR="00757ED0" w:rsidRPr="00D10D3F" w:rsidRDefault="00757ED0" w:rsidP="00757ED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57ED0" w:rsidRPr="00D10D3F" w:rsidTr="00E95A6A">
        <w:tc>
          <w:tcPr>
            <w:tcW w:w="543" w:type="pct"/>
          </w:tcPr>
          <w:p w:rsidR="00757ED0" w:rsidRPr="00D10D3F" w:rsidRDefault="00757ED0" w:rsidP="00757ED0">
            <w:pPr>
              <w:jc w:val="both"/>
              <w:rPr>
                <w:sz w:val="20"/>
                <w:lang w:val="fr-CA"/>
              </w:rPr>
            </w:pPr>
            <w:r w:rsidRPr="00D10D3F">
              <w:rPr>
                <w:rStyle w:val="SCCFileNumberChar"/>
                <w:sz w:val="20"/>
                <w:szCs w:val="20"/>
                <w:lang w:val="fr-CA"/>
              </w:rPr>
              <w:t>36858</w:t>
            </w:r>
          </w:p>
        </w:tc>
        <w:tc>
          <w:tcPr>
            <w:tcW w:w="4457" w:type="pct"/>
            <w:gridSpan w:val="3"/>
          </w:tcPr>
          <w:p w:rsidR="00757ED0" w:rsidRPr="00D10D3F" w:rsidRDefault="00757ED0" w:rsidP="00757ED0">
            <w:pPr>
              <w:pStyle w:val="SCCLsocParty"/>
              <w:jc w:val="both"/>
              <w:rPr>
                <w:b/>
                <w:sz w:val="20"/>
                <w:szCs w:val="20"/>
              </w:rPr>
            </w:pPr>
            <w:r w:rsidRPr="00D10D3F">
              <w:rPr>
                <w:b/>
                <w:sz w:val="20"/>
                <w:szCs w:val="20"/>
              </w:rPr>
              <w:t>Rachel Exeter c. Procureur général du Canada</w:t>
            </w:r>
          </w:p>
          <w:p w:rsidR="00757ED0" w:rsidRPr="00D10D3F" w:rsidRDefault="00757ED0" w:rsidP="00757ED0">
            <w:pPr>
              <w:jc w:val="both"/>
              <w:rPr>
                <w:sz w:val="20"/>
                <w:lang w:val="fr-CA"/>
              </w:rPr>
            </w:pPr>
            <w:r w:rsidRPr="00D10D3F">
              <w:rPr>
                <w:sz w:val="20"/>
                <w:lang w:val="fr-CA"/>
              </w:rPr>
              <w:t>(C</w:t>
            </w:r>
            <w:r w:rsidR="004E230C" w:rsidRPr="00D10D3F">
              <w:rPr>
                <w:sz w:val="20"/>
                <w:lang w:val="fr-CA"/>
              </w:rPr>
              <w:t>.</w:t>
            </w:r>
            <w:r w:rsidRPr="00D10D3F">
              <w:rPr>
                <w:sz w:val="20"/>
                <w:lang w:val="fr-CA"/>
              </w:rPr>
              <w:t>F</w:t>
            </w:r>
            <w:r w:rsidR="004E230C" w:rsidRPr="00D10D3F">
              <w:rPr>
                <w:sz w:val="20"/>
                <w:lang w:val="fr-CA"/>
              </w:rPr>
              <w:t>.</w:t>
            </w:r>
            <w:r w:rsidRPr="00D10D3F">
              <w:rPr>
                <w:sz w:val="20"/>
                <w:lang w:val="fr-CA"/>
              </w:rPr>
              <w:t>) (Civile) (Sur autorisation)</w:t>
            </w:r>
          </w:p>
        </w:tc>
      </w:tr>
      <w:tr w:rsidR="00757ED0" w:rsidRPr="00D10D3F" w:rsidTr="00E95A6A">
        <w:tc>
          <w:tcPr>
            <w:tcW w:w="5000" w:type="pct"/>
            <w:gridSpan w:val="4"/>
          </w:tcPr>
          <w:p w:rsidR="00757ED0" w:rsidRPr="00D10D3F" w:rsidRDefault="00757ED0" w:rsidP="00757ED0">
            <w:pPr>
              <w:jc w:val="both"/>
              <w:rPr>
                <w:sz w:val="20"/>
                <w:lang w:val="fr-CA"/>
              </w:rPr>
            </w:pPr>
            <w:r w:rsidRPr="00D10D3F">
              <w:rPr>
                <w:i/>
                <w:sz w:val="20"/>
                <w:lang w:val="fr-CA"/>
              </w:rPr>
              <w:t xml:space="preserve">Charte des droits </w:t>
            </w:r>
            <w:r w:rsidRPr="00D10D3F">
              <w:rPr>
                <w:sz w:val="20"/>
                <w:lang w:val="fr-CA"/>
              </w:rPr>
              <w:t xml:space="preserve">– Justice fondamentale – Jugements et ordonnances – Ordonnances interlocutoires – Le greffe </w:t>
            </w:r>
            <w:proofErr w:type="spellStart"/>
            <w:r w:rsidRPr="00D10D3F">
              <w:rPr>
                <w:sz w:val="20"/>
                <w:lang w:val="fr-CA"/>
              </w:rPr>
              <w:t>a-t-il</w:t>
            </w:r>
            <w:proofErr w:type="spellEnd"/>
            <w:r w:rsidRPr="00D10D3F">
              <w:rPr>
                <w:sz w:val="20"/>
                <w:lang w:val="fr-CA"/>
              </w:rPr>
              <w:t xml:space="preserve"> violé les droits constitutionnels de la demanderesse, notamment ceux que lui garantit la </w:t>
            </w:r>
            <w:r w:rsidRPr="00D10D3F">
              <w:rPr>
                <w:i/>
                <w:sz w:val="20"/>
                <w:lang w:val="fr-CA"/>
              </w:rPr>
              <w:t>Charte</w:t>
            </w:r>
            <w:r w:rsidRPr="00D10D3F">
              <w:rPr>
                <w:sz w:val="20"/>
                <w:lang w:val="fr-CA"/>
              </w:rPr>
              <w:t xml:space="preserve">? – Dans son ordonnance, le tribunal omet-il d’informer les parties et le public des motifs de sa décision? – Dans son ordonnance, le tribunal a-t-il omis de considérer, ou a-t-il mal interprété, d’importants éléments de preuve et heurté le sens du franc-jeu de la communauté en ce qui concerne le système judiciaire? </w:t>
            </w:r>
          </w:p>
        </w:tc>
      </w:tr>
      <w:tr w:rsidR="00757ED0" w:rsidRPr="00D10D3F" w:rsidTr="00E95A6A">
        <w:tc>
          <w:tcPr>
            <w:tcW w:w="5000" w:type="pct"/>
            <w:gridSpan w:val="4"/>
          </w:tcPr>
          <w:p w:rsidR="00757ED0" w:rsidRPr="00D10D3F" w:rsidRDefault="00757ED0" w:rsidP="00757ED0">
            <w:pPr>
              <w:jc w:val="both"/>
              <w:rPr>
                <w:sz w:val="20"/>
                <w:lang w:val="fr-CA"/>
              </w:rPr>
            </w:pPr>
          </w:p>
        </w:tc>
      </w:tr>
      <w:tr w:rsidR="00757ED0" w:rsidRPr="00D10D3F" w:rsidTr="00E95A6A">
        <w:tc>
          <w:tcPr>
            <w:tcW w:w="5000" w:type="pct"/>
            <w:gridSpan w:val="4"/>
          </w:tcPr>
          <w:p w:rsidR="00757ED0" w:rsidRPr="00D10D3F" w:rsidRDefault="00757ED0" w:rsidP="00757ED0">
            <w:pPr>
              <w:jc w:val="both"/>
              <w:rPr>
                <w:sz w:val="20"/>
                <w:lang w:val="fr-CA"/>
              </w:rPr>
            </w:pPr>
            <w:r w:rsidRPr="00D10D3F">
              <w:rPr>
                <w:sz w:val="20"/>
                <w:lang w:val="fr-CA"/>
              </w:rPr>
              <w:t xml:space="preserve">En 2013, le protonotaire a accueilli en partie la requête de Mme Exeter en vue d’obtenir une deuxième possibilité de contre-interroger le déposant de l’intimé. Madame Exeter a interjeté appel de cette décision. Elle a ensuite demandé au greffe de la Cour fédérale une copie de l’enregistrement sonore de l’audience tenue devant le protonotaire. Elle </w:t>
            </w:r>
            <w:r w:rsidRPr="00D10D3F">
              <w:rPr>
                <w:sz w:val="20"/>
                <w:lang w:val="fr-CA"/>
              </w:rPr>
              <w:lastRenderedPageBreak/>
              <w:t xml:space="preserve">s’est vue remettre une copie, mais croyait que l’enregistrement avait été trafiqué. Madame Exeter a présenté une requête pour obtenir les services d’un spécialiste de la vérification audio à des fins judiciaires. </w:t>
            </w:r>
          </w:p>
          <w:p w:rsidR="00757ED0" w:rsidRPr="00D10D3F" w:rsidRDefault="00757ED0" w:rsidP="00757ED0">
            <w:pPr>
              <w:jc w:val="both"/>
              <w:rPr>
                <w:sz w:val="20"/>
                <w:lang w:val="fr-CA"/>
              </w:rPr>
            </w:pPr>
          </w:p>
        </w:tc>
      </w:tr>
      <w:tr w:rsidR="00757ED0" w:rsidRPr="00D10D3F" w:rsidTr="00E95A6A">
        <w:tc>
          <w:tcPr>
            <w:tcW w:w="2427" w:type="pct"/>
            <w:gridSpan w:val="2"/>
          </w:tcPr>
          <w:p w:rsidR="00757ED0" w:rsidRPr="00D10D3F" w:rsidRDefault="00757ED0" w:rsidP="00757ED0">
            <w:pPr>
              <w:jc w:val="both"/>
              <w:rPr>
                <w:sz w:val="20"/>
                <w:lang w:val="fr-CA"/>
              </w:rPr>
            </w:pPr>
            <w:r w:rsidRPr="00D10D3F">
              <w:rPr>
                <w:sz w:val="20"/>
                <w:lang w:val="fr-CA"/>
              </w:rPr>
              <w:lastRenderedPageBreak/>
              <w:t>10 mars 2014</w:t>
            </w:r>
          </w:p>
          <w:p w:rsidR="00757ED0" w:rsidRPr="00D10D3F" w:rsidRDefault="00757ED0" w:rsidP="00757ED0">
            <w:pPr>
              <w:jc w:val="both"/>
              <w:rPr>
                <w:sz w:val="20"/>
                <w:lang w:val="fr-CA"/>
              </w:rPr>
            </w:pPr>
            <w:r w:rsidRPr="00D10D3F">
              <w:rPr>
                <w:sz w:val="20"/>
                <w:lang w:val="fr-CA"/>
              </w:rPr>
              <w:t xml:space="preserve">Cour fédérale </w:t>
            </w:r>
          </w:p>
          <w:p w:rsidR="00757ED0" w:rsidRPr="00D10D3F" w:rsidRDefault="00757ED0" w:rsidP="00757ED0">
            <w:pPr>
              <w:jc w:val="both"/>
              <w:rPr>
                <w:sz w:val="20"/>
                <w:lang w:val="fr-CA"/>
              </w:rPr>
            </w:pPr>
            <w:r w:rsidRPr="00D10D3F">
              <w:rPr>
                <w:sz w:val="20"/>
                <w:lang w:val="fr-CA"/>
              </w:rPr>
              <w:t>(Juge Boivin)</w:t>
            </w:r>
          </w:p>
          <w:p w:rsidR="00757ED0" w:rsidRPr="00D10D3F" w:rsidRDefault="00757ED0" w:rsidP="00757ED0">
            <w:pPr>
              <w:jc w:val="both"/>
              <w:rPr>
                <w:sz w:val="20"/>
                <w:lang w:val="fr-CA"/>
              </w:rPr>
            </w:pPr>
            <w:r w:rsidRPr="00D10D3F">
              <w:rPr>
                <w:sz w:val="20"/>
                <w:lang w:val="fr-CA"/>
              </w:rPr>
              <w:t>Non publié</w:t>
            </w:r>
          </w:p>
          <w:p w:rsidR="00757ED0" w:rsidRPr="00D10D3F" w:rsidRDefault="00757ED0" w:rsidP="00757ED0">
            <w:pPr>
              <w:jc w:val="both"/>
              <w:rPr>
                <w:sz w:val="20"/>
                <w:lang w:val="fr-CA"/>
              </w:rPr>
            </w:pPr>
          </w:p>
        </w:tc>
        <w:tc>
          <w:tcPr>
            <w:tcW w:w="243" w:type="pct"/>
          </w:tcPr>
          <w:p w:rsidR="00757ED0" w:rsidRPr="00D10D3F" w:rsidRDefault="00757ED0" w:rsidP="00757ED0">
            <w:pPr>
              <w:jc w:val="both"/>
              <w:rPr>
                <w:sz w:val="20"/>
                <w:lang w:val="fr-CA"/>
              </w:rPr>
            </w:pPr>
          </w:p>
        </w:tc>
        <w:tc>
          <w:tcPr>
            <w:tcW w:w="2330" w:type="pct"/>
          </w:tcPr>
          <w:p w:rsidR="00757ED0" w:rsidRPr="00D10D3F" w:rsidRDefault="00757ED0" w:rsidP="00757ED0">
            <w:pPr>
              <w:jc w:val="both"/>
              <w:rPr>
                <w:sz w:val="20"/>
                <w:lang w:val="fr-CA"/>
              </w:rPr>
            </w:pPr>
            <w:r w:rsidRPr="00D10D3F">
              <w:rPr>
                <w:sz w:val="20"/>
                <w:lang w:val="fr-CA"/>
              </w:rPr>
              <w:t xml:space="preserve">Rejet de la requête de la demanderesse pour obtenir les services d’un spécialiste de la vérification audio à des fins judiciaires </w:t>
            </w:r>
          </w:p>
          <w:p w:rsidR="00757ED0" w:rsidRPr="00D10D3F" w:rsidRDefault="00757ED0" w:rsidP="00757ED0">
            <w:pPr>
              <w:jc w:val="both"/>
              <w:rPr>
                <w:sz w:val="20"/>
                <w:lang w:val="fr-CA"/>
              </w:rPr>
            </w:pPr>
          </w:p>
        </w:tc>
      </w:tr>
      <w:tr w:rsidR="00757ED0" w:rsidRPr="00D10D3F" w:rsidTr="00E95A6A">
        <w:tc>
          <w:tcPr>
            <w:tcW w:w="2427" w:type="pct"/>
            <w:gridSpan w:val="2"/>
          </w:tcPr>
          <w:p w:rsidR="00757ED0" w:rsidRPr="00D10D3F" w:rsidRDefault="00757ED0" w:rsidP="00757ED0">
            <w:pPr>
              <w:jc w:val="both"/>
              <w:rPr>
                <w:sz w:val="20"/>
                <w:lang w:val="fr-CA"/>
              </w:rPr>
            </w:pPr>
            <w:r w:rsidRPr="00D10D3F">
              <w:rPr>
                <w:sz w:val="20"/>
                <w:lang w:val="fr-CA"/>
              </w:rPr>
              <w:t>12 février 2015</w:t>
            </w:r>
          </w:p>
          <w:p w:rsidR="00757ED0" w:rsidRPr="00D10D3F" w:rsidRDefault="00757ED0" w:rsidP="00757ED0">
            <w:pPr>
              <w:jc w:val="both"/>
              <w:rPr>
                <w:sz w:val="20"/>
                <w:lang w:val="fr-CA"/>
              </w:rPr>
            </w:pPr>
            <w:r w:rsidRPr="00D10D3F">
              <w:rPr>
                <w:sz w:val="20"/>
                <w:lang w:val="fr-CA"/>
              </w:rPr>
              <w:t xml:space="preserve">Cour d’appel fédérale </w:t>
            </w:r>
          </w:p>
          <w:p w:rsidR="00757ED0" w:rsidRPr="00D10D3F" w:rsidRDefault="00757ED0" w:rsidP="00757ED0">
            <w:pPr>
              <w:jc w:val="both"/>
              <w:rPr>
                <w:sz w:val="20"/>
                <w:lang w:val="fr-CA"/>
              </w:rPr>
            </w:pPr>
            <w:r w:rsidRPr="00D10D3F">
              <w:rPr>
                <w:sz w:val="20"/>
                <w:lang w:val="fr-CA"/>
              </w:rPr>
              <w:t>(Juge Dawson)</w:t>
            </w:r>
          </w:p>
          <w:p w:rsidR="00757ED0" w:rsidRPr="00D10D3F" w:rsidRDefault="00757ED0" w:rsidP="00757ED0">
            <w:pPr>
              <w:jc w:val="both"/>
              <w:rPr>
                <w:sz w:val="20"/>
                <w:lang w:val="fr-CA"/>
              </w:rPr>
            </w:pPr>
            <w:r w:rsidRPr="00D10D3F">
              <w:rPr>
                <w:sz w:val="20"/>
                <w:lang w:val="fr-CA"/>
              </w:rPr>
              <w:t>Non publié</w:t>
            </w:r>
          </w:p>
          <w:p w:rsidR="00757ED0" w:rsidRPr="00D10D3F" w:rsidRDefault="00757ED0" w:rsidP="00757ED0">
            <w:pPr>
              <w:jc w:val="both"/>
              <w:rPr>
                <w:sz w:val="20"/>
                <w:lang w:val="fr-CA"/>
              </w:rPr>
            </w:pPr>
          </w:p>
        </w:tc>
        <w:tc>
          <w:tcPr>
            <w:tcW w:w="243" w:type="pct"/>
          </w:tcPr>
          <w:p w:rsidR="00757ED0" w:rsidRPr="00D10D3F" w:rsidRDefault="00757ED0" w:rsidP="00757ED0">
            <w:pPr>
              <w:jc w:val="both"/>
              <w:rPr>
                <w:sz w:val="20"/>
                <w:lang w:val="fr-CA"/>
              </w:rPr>
            </w:pPr>
          </w:p>
        </w:tc>
        <w:tc>
          <w:tcPr>
            <w:tcW w:w="2330" w:type="pct"/>
          </w:tcPr>
          <w:p w:rsidR="00757ED0" w:rsidRPr="00D10D3F" w:rsidRDefault="00757ED0" w:rsidP="00757ED0">
            <w:pPr>
              <w:jc w:val="both"/>
              <w:rPr>
                <w:sz w:val="20"/>
                <w:lang w:val="fr-CA"/>
              </w:rPr>
            </w:pPr>
            <w:r w:rsidRPr="00D10D3F">
              <w:rPr>
                <w:sz w:val="20"/>
                <w:lang w:val="fr-CA"/>
              </w:rPr>
              <w:t>Rejet de la requête de la demanderesse en autorisation de présenter de nouveaux éléments de preuve</w:t>
            </w:r>
          </w:p>
          <w:p w:rsidR="00757ED0" w:rsidRPr="00D10D3F" w:rsidRDefault="00757ED0" w:rsidP="00757ED0">
            <w:pPr>
              <w:jc w:val="both"/>
              <w:rPr>
                <w:sz w:val="20"/>
                <w:lang w:val="fr-CA"/>
              </w:rPr>
            </w:pPr>
          </w:p>
        </w:tc>
      </w:tr>
      <w:tr w:rsidR="00757ED0" w:rsidRPr="00D10D3F" w:rsidTr="00E95A6A">
        <w:tc>
          <w:tcPr>
            <w:tcW w:w="2427" w:type="pct"/>
            <w:gridSpan w:val="2"/>
          </w:tcPr>
          <w:p w:rsidR="00757ED0" w:rsidRPr="00D10D3F" w:rsidRDefault="00757ED0" w:rsidP="00757ED0">
            <w:pPr>
              <w:jc w:val="both"/>
              <w:rPr>
                <w:sz w:val="20"/>
                <w:lang w:val="fr-CA"/>
              </w:rPr>
            </w:pPr>
            <w:r w:rsidRPr="00D10D3F">
              <w:rPr>
                <w:sz w:val="20"/>
                <w:lang w:val="fr-CA"/>
              </w:rPr>
              <w:t>26 mars 2015</w:t>
            </w:r>
          </w:p>
          <w:p w:rsidR="00757ED0" w:rsidRPr="00D10D3F" w:rsidRDefault="00757ED0" w:rsidP="00757ED0">
            <w:pPr>
              <w:jc w:val="both"/>
              <w:rPr>
                <w:sz w:val="20"/>
                <w:lang w:val="fr-CA"/>
              </w:rPr>
            </w:pPr>
            <w:r w:rsidRPr="00D10D3F">
              <w:rPr>
                <w:sz w:val="20"/>
                <w:lang w:val="fr-CA"/>
              </w:rPr>
              <w:t xml:space="preserve">Cour d’appel fédérale </w:t>
            </w:r>
          </w:p>
          <w:p w:rsidR="00757ED0" w:rsidRPr="00D10D3F" w:rsidRDefault="00757ED0" w:rsidP="00757ED0">
            <w:pPr>
              <w:jc w:val="both"/>
              <w:rPr>
                <w:sz w:val="20"/>
                <w:lang w:val="fr-CA"/>
              </w:rPr>
            </w:pPr>
            <w:r w:rsidRPr="00D10D3F">
              <w:rPr>
                <w:sz w:val="20"/>
                <w:lang w:val="fr-CA"/>
              </w:rPr>
              <w:t>(Juge Dawson)</w:t>
            </w:r>
          </w:p>
          <w:p w:rsidR="00757ED0" w:rsidRPr="00D10D3F" w:rsidRDefault="00757ED0" w:rsidP="00757ED0">
            <w:pPr>
              <w:jc w:val="both"/>
              <w:rPr>
                <w:sz w:val="20"/>
                <w:lang w:val="fr-CA"/>
              </w:rPr>
            </w:pPr>
            <w:r w:rsidRPr="00D10D3F">
              <w:rPr>
                <w:sz w:val="20"/>
                <w:lang w:val="fr-CA"/>
              </w:rPr>
              <w:t>Non publié</w:t>
            </w:r>
          </w:p>
          <w:p w:rsidR="00757ED0" w:rsidRPr="00D10D3F" w:rsidRDefault="00757ED0" w:rsidP="00757ED0">
            <w:pPr>
              <w:jc w:val="both"/>
              <w:rPr>
                <w:sz w:val="20"/>
                <w:lang w:val="fr-CA"/>
              </w:rPr>
            </w:pPr>
          </w:p>
        </w:tc>
        <w:tc>
          <w:tcPr>
            <w:tcW w:w="243" w:type="pct"/>
          </w:tcPr>
          <w:p w:rsidR="00757ED0" w:rsidRPr="00D10D3F" w:rsidRDefault="00757ED0" w:rsidP="00757ED0">
            <w:pPr>
              <w:jc w:val="both"/>
              <w:rPr>
                <w:sz w:val="20"/>
                <w:lang w:val="fr-CA"/>
              </w:rPr>
            </w:pPr>
          </w:p>
        </w:tc>
        <w:tc>
          <w:tcPr>
            <w:tcW w:w="2330" w:type="pct"/>
          </w:tcPr>
          <w:p w:rsidR="00757ED0" w:rsidRPr="00D10D3F" w:rsidRDefault="00757ED0" w:rsidP="00757ED0">
            <w:pPr>
              <w:jc w:val="both"/>
              <w:rPr>
                <w:sz w:val="20"/>
                <w:lang w:val="fr-CA"/>
              </w:rPr>
            </w:pPr>
            <w:r w:rsidRPr="00D10D3F">
              <w:rPr>
                <w:sz w:val="20"/>
                <w:lang w:val="fr-CA"/>
              </w:rPr>
              <w:t>Rejet de la requête de la demanderesse en réexamen</w:t>
            </w:r>
          </w:p>
          <w:p w:rsidR="00757ED0" w:rsidRPr="00D10D3F" w:rsidRDefault="00757ED0" w:rsidP="00757ED0">
            <w:pPr>
              <w:jc w:val="both"/>
              <w:rPr>
                <w:sz w:val="20"/>
                <w:lang w:val="fr-CA"/>
              </w:rPr>
            </w:pPr>
          </w:p>
        </w:tc>
      </w:tr>
      <w:tr w:rsidR="00757ED0" w:rsidRPr="00D10D3F" w:rsidTr="00E95A6A">
        <w:tc>
          <w:tcPr>
            <w:tcW w:w="2427" w:type="pct"/>
            <w:gridSpan w:val="2"/>
          </w:tcPr>
          <w:p w:rsidR="00757ED0" w:rsidRPr="00D10D3F" w:rsidRDefault="00757ED0" w:rsidP="00757ED0">
            <w:pPr>
              <w:jc w:val="both"/>
              <w:rPr>
                <w:sz w:val="20"/>
                <w:lang w:val="fr-CA"/>
              </w:rPr>
            </w:pPr>
            <w:r w:rsidRPr="00D10D3F">
              <w:rPr>
                <w:sz w:val="20"/>
                <w:lang w:val="fr-CA"/>
              </w:rPr>
              <w:t>12 février 2016</w:t>
            </w:r>
          </w:p>
          <w:p w:rsidR="00757ED0" w:rsidRPr="00D10D3F" w:rsidRDefault="00757ED0" w:rsidP="00757ED0">
            <w:pPr>
              <w:jc w:val="both"/>
              <w:rPr>
                <w:sz w:val="20"/>
                <w:lang w:val="fr-CA"/>
              </w:rPr>
            </w:pPr>
            <w:r w:rsidRPr="00D10D3F">
              <w:rPr>
                <w:sz w:val="20"/>
                <w:lang w:val="fr-CA"/>
              </w:rPr>
              <w:t>Cour suprême du Canada</w:t>
            </w:r>
          </w:p>
          <w:p w:rsidR="00757ED0" w:rsidRPr="00D10D3F" w:rsidRDefault="00757ED0" w:rsidP="00757ED0">
            <w:pPr>
              <w:jc w:val="both"/>
              <w:rPr>
                <w:sz w:val="20"/>
                <w:lang w:val="fr-CA"/>
              </w:rPr>
            </w:pPr>
          </w:p>
        </w:tc>
        <w:tc>
          <w:tcPr>
            <w:tcW w:w="243" w:type="pct"/>
          </w:tcPr>
          <w:p w:rsidR="00757ED0" w:rsidRPr="00D10D3F" w:rsidRDefault="00757ED0" w:rsidP="00757ED0">
            <w:pPr>
              <w:jc w:val="both"/>
              <w:rPr>
                <w:sz w:val="20"/>
                <w:lang w:val="fr-CA"/>
              </w:rPr>
            </w:pPr>
          </w:p>
        </w:tc>
        <w:tc>
          <w:tcPr>
            <w:tcW w:w="2330" w:type="pct"/>
          </w:tcPr>
          <w:p w:rsidR="00757ED0" w:rsidRPr="00D10D3F" w:rsidRDefault="00757ED0" w:rsidP="00757ED0">
            <w:pPr>
              <w:jc w:val="both"/>
              <w:rPr>
                <w:sz w:val="20"/>
                <w:lang w:val="fr-CA"/>
              </w:rPr>
            </w:pPr>
            <w:r w:rsidRPr="00D10D3F">
              <w:rPr>
                <w:sz w:val="20"/>
                <w:lang w:val="fr-CA"/>
              </w:rPr>
              <w:t>Dépôt de la requête en prorogation du délai de signification et de dépôt de la demande d’autorisation d’appel et de la demande d’autorisation d’appel</w:t>
            </w:r>
          </w:p>
        </w:tc>
      </w:tr>
    </w:tbl>
    <w:p w:rsidR="00757ED0" w:rsidRPr="00D10D3F" w:rsidRDefault="00757ED0" w:rsidP="00DE6891">
      <w:pPr>
        <w:jc w:val="both"/>
        <w:rPr>
          <w:sz w:val="20"/>
          <w:lang w:val="fr-CA"/>
        </w:rPr>
      </w:pPr>
    </w:p>
    <w:p w:rsidR="00757ED0" w:rsidRPr="00D10D3F" w:rsidRDefault="00757ED0" w:rsidP="00DE6891">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E6891" w:rsidRPr="00D10D3F" w:rsidTr="00000FE4">
        <w:tc>
          <w:tcPr>
            <w:tcW w:w="543" w:type="pct"/>
          </w:tcPr>
          <w:p w:rsidR="00DE6891" w:rsidRPr="00D10D3F" w:rsidRDefault="00DE6891" w:rsidP="00DE6891">
            <w:pPr>
              <w:jc w:val="both"/>
              <w:rPr>
                <w:sz w:val="20"/>
              </w:rPr>
            </w:pPr>
            <w:r w:rsidRPr="00D10D3F">
              <w:rPr>
                <w:rStyle w:val="SCCFileNumberChar"/>
                <w:sz w:val="20"/>
                <w:szCs w:val="20"/>
              </w:rPr>
              <w:t>36846</w:t>
            </w:r>
          </w:p>
        </w:tc>
        <w:tc>
          <w:tcPr>
            <w:tcW w:w="4457" w:type="pct"/>
            <w:gridSpan w:val="3"/>
          </w:tcPr>
          <w:p w:rsidR="00DE6891" w:rsidRPr="00D10D3F" w:rsidRDefault="00DE6891" w:rsidP="00DE6891">
            <w:pPr>
              <w:pStyle w:val="SCCLsocParty"/>
              <w:jc w:val="both"/>
              <w:rPr>
                <w:b/>
                <w:sz w:val="20"/>
                <w:szCs w:val="20"/>
              </w:rPr>
            </w:pPr>
            <w:r w:rsidRPr="00D10D3F">
              <w:rPr>
                <w:b/>
                <w:sz w:val="20"/>
                <w:szCs w:val="20"/>
              </w:rPr>
              <w:t xml:space="preserve">ENMAX Energy Corporation v. </w:t>
            </w:r>
            <w:proofErr w:type="spellStart"/>
            <w:r w:rsidRPr="00D10D3F">
              <w:rPr>
                <w:b/>
                <w:sz w:val="20"/>
                <w:szCs w:val="20"/>
              </w:rPr>
              <w:t>TransAlta</w:t>
            </w:r>
            <w:proofErr w:type="spellEnd"/>
            <w:r w:rsidRPr="00D10D3F">
              <w:rPr>
                <w:b/>
                <w:sz w:val="20"/>
                <w:szCs w:val="20"/>
              </w:rPr>
              <w:t xml:space="preserve"> </w:t>
            </w:r>
            <w:proofErr w:type="spellStart"/>
            <w:r w:rsidRPr="00D10D3F">
              <w:rPr>
                <w:b/>
                <w:sz w:val="20"/>
                <w:szCs w:val="20"/>
              </w:rPr>
              <w:t>Generation</w:t>
            </w:r>
            <w:proofErr w:type="spellEnd"/>
            <w:r w:rsidRPr="00D10D3F">
              <w:rPr>
                <w:b/>
                <w:sz w:val="20"/>
                <w:szCs w:val="20"/>
              </w:rPr>
              <w:t xml:space="preserve"> </w:t>
            </w:r>
            <w:proofErr w:type="spellStart"/>
            <w:r w:rsidRPr="00D10D3F">
              <w:rPr>
                <w:b/>
                <w:sz w:val="20"/>
                <w:szCs w:val="20"/>
              </w:rPr>
              <w:t>Partnership</w:t>
            </w:r>
            <w:proofErr w:type="spellEnd"/>
          </w:p>
          <w:p w:rsidR="00DE6891" w:rsidRPr="00D10D3F" w:rsidRDefault="00DE6891" w:rsidP="00DE6891">
            <w:pPr>
              <w:jc w:val="both"/>
              <w:rPr>
                <w:sz w:val="20"/>
              </w:rPr>
            </w:pPr>
            <w:r w:rsidRPr="00D10D3F">
              <w:rPr>
                <w:sz w:val="20"/>
              </w:rPr>
              <w:t>(Alta.) (Civil) (By Leave)</w:t>
            </w:r>
          </w:p>
        </w:tc>
      </w:tr>
      <w:tr w:rsidR="00DE6891" w:rsidRPr="00D10D3F" w:rsidTr="00000FE4">
        <w:tc>
          <w:tcPr>
            <w:tcW w:w="5000" w:type="pct"/>
            <w:gridSpan w:val="4"/>
          </w:tcPr>
          <w:p w:rsidR="00DE6891" w:rsidRPr="00D10D3F" w:rsidRDefault="00DE6891" w:rsidP="00DE6891">
            <w:pPr>
              <w:jc w:val="both"/>
              <w:rPr>
                <w:sz w:val="20"/>
              </w:rPr>
            </w:pPr>
            <w:r w:rsidRPr="00D10D3F">
              <w:rPr>
                <w:sz w:val="20"/>
              </w:rPr>
              <w:t xml:space="preserve">Arbitration – Civil procedure – Estoppel – Whether </w:t>
            </w:r>
            <w:r w:rsidRPr="00D10D3F">
              <w:rPr>
                <w:i/>
                <w:sz w:val="20"/>
              </w:rPr>
              <w:t>res judicata</w:t>
            </w:r>
            <w:r w:rsidRPr="00D10D3F">
              <w:rPr>
                <w:sz w:val="20"/>
              </w:rPr>
              <w:t xml:space="preserve"> applies to arbitration decisions between the same parties on similar issues but on distinct facts – If </w:t>
            </w:r>
            <w:r w:rsidRPr="00D10D3F">
              <w:rPr>
                <w:i/>
                <w:sz w:val="20"/>
              </w:rPr>
              <w:t>res judicata</w:t>
            </w:r>
            <w:r w:rsidRPr="00D10D3F">
              <w:rPr>
                <w:sz w:val="20"/>
              </w:rPr>
              <w:t xml:space="preserve"> does apply between arbitrations, does it apply to the reasoning, the result, or both – How does presumptively applying </w:t>
            </w:r>
            <w:r w:rsidRPr="00D10D3F">
              <w:rPr>
                <w:i/>
                <w:sz w:val="20"/>
              </w:rPr>
              <w:t>res judicata</w:t>
            </w:r>
            <w:r w:rsidRPr="00D10D3F">
              <w:rPr>
                <w:sz w:val="20"/>
              </w:rPr>
              <w:t xml:space="preserve"> to all arbitrations reflect the autonomy of the parties, the key feature of private arbitration – Can parties opt out of </w:t>
            </w:r>
            <w:r w:rsidRPr="00D10D3F">
              <w:rPr>
                <w:i/>
                <w:sz w:val="20"/>
              </w:rPr>
              <w:t xml:space="preserve">res </w:t>
            </w:r>
            <w:proofErr w:type="spellStart"/>
            <w:r w:rsidRPr="00D10D3F">
              <w:rPr>
                <w:i/>
                <w:sz w:val="20"/>
              </w:rPr>
              <w:t>judicata’s</w:t>
            </w:r>
            <w:proofErr w:type="spellEnd"/>
            <w:r w:rsidRPr="00D10D3F">
              <w:rPr>
                <w:sz w:val="20"/>
              </w:rPr>
              <w:t xml:space="preserve"> presumptive application – How can arbitration decisions have precedential value when the majority of arbitration decisions are confidential and not publicly reported.</w:t>
            </w:r>
          </w:p>
        </w:tc>
      </w:tr>
      <w:tr w:rsidR="00DE6891" w:rsidRPr="00D10D3F" w:rsidTr="00000FE4">
        <w:tc>
          <w:tcPr>
            <w:tcW w:w="5000" w:type="pct"/>
            <w:gridSpan w:val="4"/>
          </w:tcPr>
          <w:p w:rsidR="00DE6891" w:rsidRPr="00D10D3F" w:rsidRDefault="00DE6891" w:rsidP="00DE6891">
            <w:pPr>
              <w:jc w:val="both"/>
              <w:rPr>
                <w:sz w:val="20"/>
              </w:rPr>
            </w:pPr>
          </w:p>
          <w:p w:rsidR="00DE6891" w:rsidRPr="00D10D3F" w:rsidRDefault="00DE6891" w:rsidP="00DE6891">
            <w:pPr>
              <w:jc w:val="both"/>
              <w:rPr>
                <w:sz w:val="20"/>
              </w:rPr>
            </w:pPr>
            <w:r w:rsidRPr="00D10D3F">
              <w:rPr>
                <w:sz w:val="20"/>
              </w:rPr>
              <w:t xml:space="preserve">The respondent owns the </w:t>
            </w:r>
            <w:proofErr w:type="spellStart"/>
            <w:r w:rsidRPr="00D10D3F">
              <w:rPr>
                <w:sz w:val="20"/>
              </w:rPr>
              <w:t>Keephills</w:t>
            </w:r>
            <w:proofErr w:type="spellEnd"/>
            <w:r w:rsidRPr="00D10D3F">
              <w:rPr>
                <w:sz w:val="20"/>
              </w:rPr>
              <w:t xml:space="preserve"> Generating Station in Alberta. The applicant purchases energy from the respondent under a Power Purchase Arrangement (the “PPA”), a regulation setting out the terms for the wholesale purchase and sale of electricity between power producers and purchasers. Such arrangements require purchasers to pay amounts to cover specified capital and operating costs. The amounts in the PPA are estimated 20 years into the future (in 1990 dollars) and the parties must use Statistics Canada indices to escalate those payments to present day values. The PPA provides that if an index is changed or modified, the parties are to use the modified index. It also provides that a modified index be used for all calculations required “after the time that the use of such …modified …index has been agreed upon by the Parties” and “shall be linked to the previously used index so as to avoid retrospective adjustments”. </w:t>
            </w:r>
          </w:p>
          <w:p w:rsidR="00DE6891" w:rsidRPr="00D10D3F" w:rsidRDefault="00DE6891" w:rsidP="00DE6891">
            <w:pPr>
              <w:jc w:val="both"/>
              <w:rPr>
                <w:sz w:val="20"/>
              </w:rPr>
            </w:pPr>
          </w:p>
          <w:p w:rsidR="00DE6891" w:rsidRPr="00D10D3F" w:rsidRDefault="00DE6891" w:rsidP="00DE6891">
            <w:pPr>
              <w:jc w:val="both"/>
              <w:rPr>
                <w:sz w:val="20"/>
              </w:rPr>
            </w:pPr>
            <w:r w:rsidRPr="00D10D3F">
              <w:rPr>
                <w:sz w:val="20"/>
              </w:rPr>
              <w:t xml:space="preserve">In a prior dispute between the parties on the application of certain Statistics Canada indices in the respondent’s billings, an arbitration board determined that updated indices were to be used for billings for the remaining term of the PPA, without linking or other adjustments. The current dispute again relates to the application of updated indices in the billings. The applicant served a Notice to Arbitrate and the respondent argued that the prior arbitration gave rise to </w:t>
            </w:r>
            <w:r w:rsidRPr="00D10D3F">
              <w:rPr>
                <w:i/>
                <w:sz w:val="20"/>
              </w:rPr>
              <w:t>res judicata</w:t>
            </w:r>
            <w:r w:rsidRPr="00D10D3F">
              <w:rPr>
                <w:sz w:val="20"/>
              </w:rPr>
              <w:t xml:space="preserve"> and that the applicant was estopped from taking the position that linking was required in this context. The applicant applied for declarations on related questions of law. The Court of Queen’s Bench of Alberta held, </w:t>
            </w:r>
            <w:r w:rsidRPr="00D10D3F">
              <w:rPr>
                <w:i/>
                <w:sz w:val="20"/>
              </w:rPr>
              <w:t>inter alia</w:t>
            </w:r>
            <w:r w:rsidRPr="00D10D3F">
              <w:rPr>
                <w:sz w:val="20"/>
              </w:rPr>
              <w:t xml:space="preserve">, that </w:t>
            </w:r>
            <w:r w:rsidRPr="00D10D3F">
              <w:rPr>
                <w:i/>
                <w:sz w:val="20"/>
              </w:rPr>
              <w:t>res judicata</w:t>
            </w:r>
            <w:r w:rsidRPr="00D10D3F">
              <w:rPr>
                <w:sz w:val="20"/>
              </w:rPr>
              <w:t xml:space="preserve"> did not apply to private arbitrations and that the applicant was not estopped from taking its position. The appellate court allowed the appeal.</w:t>
            </w:r>
          </w:p>
        </w:tc>
      </w:tr>
      <w:tr w:rsidR="00DE6891" w:rsidRPr="00D10D3F" w:rsidTr="00000FE4">
        <w:tc>
          <w:tcPr>
            <w:tcW w:w="5000" w:type="pct"/>
            <w:gridSpan w:val="4"/>
          </w:tcPr>
          <w:p w:rsidR="00DE6891" w:rsidRPr="00D10D3F" w:rsidRDefault="00DE6891" w:rsidP="00DE6891">
            <w:pPr>
              <w:jc w:val="both"/>
              <w:rPr>
                <w:sz w:val="20"/>
              </w:rPr>
            </w:pPr>
          </w:p>
        </w:tc>
      </w:tr>
      <w:tr w:rsidR="00DE6891" w:rsidRPr="00D10D3F" w:rsidTr="00000FE4">
        <w:tc>
          <w:tcPr>
            <w:tcW w:w="2427" w:type="pct"/>
            <w:gridSpan w:val="2"/>
          </w:tcPr>
          <w:p w:rsidR="00DE6891" w:rsidRPr="00D10D3F" w:rsidRDefault="00DE6891" w:rsidP="00DE6891">
            <w:pPr>
              <w:jc w:val="both"/>
              <w:rPr>
                <w:sz w:val="20"/>
              </w:rPr>
            </w:pPr>
            <w:r w:rsidRPr="00D10D3F">
              <w:rPr>
                <w:sz w:val="20"/>
              </w:rPr>
              <w:lastRenderedPageBreak/>
              <w:t>March 30, 2015</w:t>
            </w:r>
          </w:p>
          <w:p w:rsidR="00DE6891" w:rsidRPr="00D10D3F" w:rsidRDefault="00DE6891" w:rsidP="00DE6891">
            <w:pPr>
              <w:jc w:val="both"/>
              <w:rPr>
                <w:sz w:val="20"/>
              </w:rPr>
            </w:pPr>
            <w:r w:rsidRPr="00D10D3F">
              <w:rPr>
                <w:sz w:val="20"/>
              </w:rPr>
              <w:t>Court of Queen’s Bench of Alberta</w:t>
            </w:r>
          </w:p>
          <w:p w:rsidR="00DE6891" w:rsidRPr="00D10D3F" w:rsidRDefault="00DE6891" w:rsidP="00DE6891">
            <w:pPr>
              <w:jc w:val="both"/>
              <w:rPr>
                <w:sz w:val="20"/>
              </w:rPr>
            </w:pPr>
            <w:r w:rsidRPr="00D10D3F">
              <w:rPr>
                <w:sz w:val="20"/>
              </w:rPr>
              <w:t>(Gates J.)</w:t>
            </w:r>
          </w:p>
          <w:p w:rsidR="00DE6891" w:rsidRPr="00D10D3F" w:rsidRDefault="00DE6891" w:rsidP="00DE6891">
            <w:pPr>
              <w:jc w:val="both"/>
              <w:rPr>
                <w:sz w:val="20"/>
              </w:rPr>
            </w:pPr>
            <w:r w:rsidRPr="00D10D3F">
              <w:rPr>
                <w:sz w:val="20"/>
              </w:rPr>
              <w:t>2015 ABQB 185; 1301-11879</w:t>
            </w:r>
          </w:p>
          <w:p w:rsidR="00DE6891" w:rsidRPr="00D10D3F" w:rsidRDefault="00DE6891" w:rsidP="00DE6891">
            <w:pPr>
              <w:jc w:val="both"/>
              <w:rPr>
                <w:sz w:val="20"/>
              </w:rPr>
            </w:pPr>
          </w:p>
        </w:tc>
        <w:tc>
          <w:tcPr>
            <w:tcW w:w="243" w:type="pct"/>
          </w:tcPr>
          <w:p w:rsidR="00DE6891" w:rsidRPr="00D10D3F" w:rsidRDefault="00DE6891" w:rsidP="00DE6891">
            <w:pPr>
              <w:jc w:val="both"/>
              <w:rPr>
                <w:sz w:val="20"/>
              </w:rPr>
            </w:pPr>
          </w:p>
        </w:tc>
        <w:tc>
          <w:tcPr>
            <w:tcW w:w="2330" w:type="pct"/>
          </w:tcPr>
          <w:p w:rsidR="00DE6891" w:rsidRPr="00D10D3F" w:rsidRDefault="00DE6891" w:rsidP="00DE6891">
            <w:pPr>
              <w:jc w:val="both"/>
              <w:rPr>
                <w:sz w:val="20"/>
              </w:rPr>
            </w:pPr>
            <w:r w:rsidRPr="00D10D3F">
              <w:rPr>
                <w:sz w:val="20"/>
              </w:rPr>
              <w:t xml:space="preserve">Order declaring that: </w:t>
            </w:r>
            <w:proofErr w:type="spellStart"/>
            <w:r w:rsidRPr="00D10D3F">
              <w:rPr>
                <w:sz w:val="20"/>
              </w:rPr>
              <w:t>i</w:t>
            </w:r>
            <w:proofErr w:type="spellEnd"/>
            <w:r w:rsidRPr="00D10D3F">
              <w:rPr>
                <w:sz w:val="20"/>
              </w:rPr>
              <w:t>) dispute arose from agreement between parties; ii) parties were not bound by a prior arbitration decision or estopped from taking positions; iii) </w:t>
            </w:r>
            <w:r w:rsidRPr="00D10D3F">
              <w:rPr>
                <w:i/>
                <w:sz w:val="20"/>
              </w:rPr>
              <w:t>res judicata</w:t>
            </w:r>
            <w:r w:rsidRPr="00D10D3F">
              <w:rPr>
                <w:sz w:val="20"/>
              </w:rPr>
              <w:t xml:space="preserve"> does not apply to private arbitrations; iv) whether previous arbitral awards with other parties could be disclosed to be determined by current arbitration panel</w:t>
            </w:r>
          </w:p>
          <w:p w:rsidR="00DE6891" w:rsidRPr="00D10D3F" w:rsidRDefault="00DE6891" w:rsidP="00DE6891">
            <w:pPr>
              <w:jc w:val="both"/>
              <w:rPr>
                <w:sz w:val="20"/>
              </w:rPr>
            </w:pPr>
          </w:p>
        </w:tc>
      </w:tr>
      <w:tr w:rsidR="00DE6891" w:rsidRPr="00D10D3F" w:rsidTr="00000FE4">
        <w:tc>
          <w:tcPr>
            <w:tcW w:w="2427" w:type="pct"/>
            <w:gridSpan w:val="2"/>
          </w:tcPr>
          <w:p w:rsidR="00DE6891" w:rsidRPr="00D10D3F" w:rsidRDefault="00DE6891" w:rsidP="00DE6891">
            <w:pPr>
              <w:jc w:val="both"/>
              <w:rPr>
                <w:sz w:val="20"/>
              </w:rPr>
            </w:pPr>
            <w:r w:rsidRPr="00D10D3F">
              <w:rPr>
                <w:sz w:val="20"/>
              </w:rPr>
              <w:t>December 9, 2015</w:t>
            </w:r>
          </w:p>
          <w:p w:rsidR="00DE6891" w:rsidRPr="00D10D3F" w:rsidRDefault="00DE6891" w:rsidP="00DE6891">
            <w:pPr>
              <w:jc w:val="both"/>
              <w:rPr>
                <w:sz w:val="20"/>
              </w:rPr>
            </w:pPr>
            <w:r w:rsidRPr="00D10D3F">
              <w:rPr>
                <w:sz w:val="20"/>
              </w:rPr>
              <w:t>Court of Appeal of Alberta (Calgary)</w:t>
            </w:r>
          </w:p>
          <w:p w:rsidR="00DE6891" w:rsidRPr="00D10D3F" w:rsidRDefault="00DE6891" w:rsidP="00DE6891">
            <w:pPr>
              <w:jc w:val="both"/>
              <w:rPr>
                <w:sz w:val="20"/>
              </w:rPr>
            </w:pPr>
            <w:r w:rsidRPr="00D10D3F">
              <w:rPr>
                <w:sz w:val="20"/>
              </w:rPr>
              <w:t>(</w:t>
            </w:r>
            <w:proofErr w:type="spellStart"/>
            <w:r w:rsidRPr="00D10D3F">
              <w:rPr>
                <w:sz w:val="20"/>
              </w:rPr>
              <w:t>Paperny</w:t>
            </w:r>
            <w:proofErr w:type="spellEnd"/>
            <w:r w:rsidRPr="00D10D3F">
              <w:rPr>
                <w:sz w:val="20"/>
              </w:rPr>
              <w:t xml:space="preserve">, </w:t>
            </w:r>
            <w:proofErr w:type="spellStart"/>
            <w:r w:rsidRPr="00D10D3F">
              <w:rPr>
                <w:sz w:val="20"/>
              </w:rPr>
              <w:t>Slatter</w:t>
            </w:r>
            <w:proofErr w:type="spellEnd"/>
            <w:r w:rsidRPr="00D10D3F">
              <w:rPr>
                <w:sz w:val="20"/>
              </w:rPr>
              <w:t>, and McDonald JJ.A.)</w:t>
            </w:r>
          </w:p>
          <w:p w:rsidR="00DE6891" w:rsidRPr="00D10D3F" w:rsidRDefault="00D936BC" w:rsidP="00DE6891">
            <w:pPr>
              <w:jc w:val="both"/>
              <w:rPr>
                <w:sz w:val="20"/>
              </w:rPr>
            </w:pPr>
            <w:hyperlink r:id="rId25" w:history="1">
              <w:r w:rsidR="00DE6891" w:rsidRPr="00D10D3F">
                <w:rPr>
                  <w:rStyle w:val="Hyperlink"/>
                  <w:sz w:val="20"/>
                </w:rPr>
                <w:t>2015 ABCA 383</w:t>
              </w:r>
            </w:hyperlink>
            <w:r w:rsidR="00DE6891" w:rsidRPr="00D10D3F">
              <w:rPr>
                <w:sz w:val="20"/>
              </w:rPr>
              <w:t>; 1501-0082-AC</w:t>
            </w:r>
          </w:p>
        </w:tc>
        <w:tc>
          <w:tcPr>
            <w:tcW w:w="243" w:type="pct"/>
          </w:tcPr>
          <w:p w:rsidR="00DE6891" w:rsidRPr="00D10D3F" w:rsidRDefault="00DE6891" w:rsidP="00DE6891">
            <w:pPr>
              <w:jc w:val="both"/>
              <w:rPr>
                <w:sz w:val="20"/>
              </w:rPr>
            </w:pPr>
          </w:p>
        </w:tc>
        <w:tc>
          <w:tcPr>
            <w:tcW w:w="2330" w:type="pct"/>
          </w:tcPr>
          <w:p w:rsidR="00DE6891" w:rsidRPr="00D10D3F" w:rsidRDefault="00DE6891" w:rsidP="00DE6891">
            <w:pPr>
              <w:jc w:val="both"/>
              <w:rPr>
                <w:sz w:val="20"/>
              </w:rPr>
            </w:pPr>
            <w:r w:rsidRPr="00D10D3F">
              <w:rPr>
                <w:sz w:val="20"/>
              </w:rPr>
              <w:t xml:space="preserve">Appeal allowed: </w:t>
            </w:r>
            <w:proofErr w:type="spellStart"/>
            <w:r w:rsidRPr="00D10D3F">
              <w:rPr>
                <w:sz w:val="20"/>
              </w:rPr>
              <w:t>i</w:t>
            </w:r>
            <w:proofErr w:type="spellEnd"/>
            <w:r w:rsidRPr="00D10D3F">
              <w:rPr>
                <w:sz w:val="20"/>
              </w:rPr>
              <w:t>) prior arbitration decisions between same parties are binding in future arbitrations; ii) </w:t>
            </w:r>
            <w:r w:rsidRPr="00D10D3F">
              <w:rPr>
                <w:i/>
                <w:sz w:val="20"/>
              </w:rPr>
              <w:t>res judicata</w:t>
            </w:r>
            <w:r w:rsidRPr="00D10D3F">
              <w:rPr>
                <w:sz w:val="20"/>
              </w:rPr>
              <w:t xml:space="preserve"> can apply to arbitrations; iii) ENMAX is bound by prior arbitration decision and estopped from taking certain positions in current arbitration to extent the same issues were decided</w:t>
            </w:r>
          </w:p>
          <w:p w:rsidR="00DE6891" w:rsidRPr="00D10D3F" w:rsidRDefault="00DE6891" w:rsidP="00DE6891">
            <w:pPr>
              <w:jc w:val="both"/>
              <w:rPr>
                <w:sz w:val="20"/>
              </w:rPr>
            </w:pPr>
          </w:p>
        </w:tc>
      </w:tr>
      <w:tr w:rsidR="00DE6891" w:rsidRPr="00D10D3F" w:rsidTr="00000FE4">
        <w:tc>
          <w:tcPr>
            <w:tcW w:w="2427" w:type="pct"/>
            <w:gridSpan w:val="2"/>
          </w:tcPr>
          <w:p w:rsidR="00DE6891" w:rsidRPr="00D10D3F" w:rsidRDefault="00DE6891" w:rsidP="00DE6891">
            <w:pPr>
              <w:jc w:val="both"/>
              <w:rPr>
                <w:sz w:val="20"/>
              </w:rPr>
            </w:pPr>
            <w:r w:rsidRPr="00D10D3F">
              <w:rPr>
                <w:sz w:val="20"/>
              </w:rPr>
              <w:t>February 5, 2016</w:t>
            </w:r>
          </w:p>
          <w:p w:rsidR="00DE6891" w:rsidRPr="00D10D3F" w:rsidRDefault="00DE6891" w:rsidP="00DE6891">
            <w:pPr>
              <w:jc w:val="both"/>
              <w:rPr>
                <w:sz w:val="20"/>
              </w:rPr>
            </w:pPr>
            <w:r w:rsidRPr="00D10D3F">
              <w:rPr>
                <w:sz w:val="20"/>
              </w:rPr>
              <w:t>Supreme Court of Canada</w:t>
            </w:r>
          </w:p>
        </w:tc>
        <w:tc>
          <w:tcPr>
            <w:tcW w:w="243" w:type="pct"/>
          </w:tcPr>
          <w:p w:rsidR="00DE6891" w:rsidRPr="00D10D3F" w:rsidRDefault="00DE6891" w:rsidP="00DE6891">
            <w:pPr>
              <w:jc w:val="both"/>
              <w:rPr>
                <w:sz w:val="20"/>
              </w:rPr>
            </w:pPr>
          </w:p>
        </w:tc>
        <w:tc>
          <w:tcPr>
            <w:tcW w:w="2330" w:type="pct"/>
          </w:tcPr>
          <w:p w:rsidR="00DE6891" w:rsidRPr="00D10D3F" w:rsidRDefault="00DE6891" w:rsidP="00DE6891">
            <w:pPr>
              <w:jc w:val="both"/>
              <w:rPr>
                <w:sz w:val="20"/>
              </w:rPr>
            </w:pPr>
            <w:r w:rsidRPr="00D10D3F">
              <w:rPr>
                <w:sz w:val="20"/>
              </w:rPr>
              <w:t>Application for leave to appeal filed</w:t>
            </w:r>
          </w:p>
          <w:p w:rsidR="00DE6891" w:rsidRPr="00D10D3F" w:rsidRDefault="00DE6891" w:rsidP="00DE6891">
            <w:pPr>
              <w:jc w:val="both"/>
              <w:rPr>
                <w:sz w:val="20"/>
              </w:rPr>
            </w:pPr>
          </w:p>
        </w:tc>
      </w:tr>
    </w:tbl>
    <w:p w:rsidR="00DE6891" w:rsidRPr="00D10D3F" w:rsidRDefault="00DE6891" w:rsidP="00DE6891">
      <w:pPr>
        <w:jc w:val="both"/>
        <w:rPr>
          <w:sz w:val="20"/>
        </w:rPr>
      </w:pPr>
    </w:p>
    <w:p w:rsidR="00DE6891" w:rsidRPr="00D10D3F" w:rsidRDefault="00DE6891" w:rsidP="00DE68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E6891" w:rsidRPr="00D10D3F" w:rsidTr="00000FE4">
        <w:tc>
          <w:tcPr>
            <w:tcW w:w="543" w:type="pct"/>
          </w:tcPr>
          <w:p w:rsidR="00DE6891" w:rsidRPr="00D10D3F" w:rsidRDefault="00DE6891" w:rsidP="00DE6891">
            <w:pPr>
              <w:jc w:val="both"/>
              <w:rPr>
                <w:sz w:val="20"/>
                <w:lang w:val="fr-CA"/>
              </w:rPr>
            </w:pPr>
            <w:r w:rsidRPr="00D10D3F">
              <w:rPr>
                <w:rStyle w:val="SCCFileNumberChar"/>
                <w:sz w:val="20"/>
                <w:szCs w:val="20"/>
                <w:lang w:val="fr-CA"/>
              </w:rPr>
              <w:t>36846</w:t>
            </w:r>
          </w:p>
        </w:tc>
        <w:tc>
          <w:tcPr>
            <w:tcW w:w="4457" w:type="pct"/>
            <w:gridSpan w:val="3"/>
          </w:tcPr>
          <w:p w:rsidR="00DE6891" w:rsidRPr="00D10D3F" w:rsidRDefault="00DE6891" w:rsidP="00DE6891">
            <w:pPr>
              <w:pStyle w:val="SCCLsocParty"/>
              <w:jc w:val="both"/>
              <w:rPr>
                <w:b/>
                <w:sz w:val="20"/>
                <w:szCs w:val="20"/>
              </w:rPr>
            </w:pPr>
            <w:r w:rsidRPr="00D10D3F">
              <w:rPr>
                <w:b/>
                <w:sz w:val="20"/>
                <w:szCs w:val="20"/>
              </w:rPr>
              <w:t>ENMAX Energy Corporation c. TransAlta Generation Partnership</w:t>
            </w:r>
          </w:p>
          <w:p w:rsidR="00DE6891" w:rsidRPr="00D10D3F" w:rsidRDefault="00DE6891" w:rsidP="00DE6891">
            <w:pPr>
              <w:jc w:val="both"/>
              <w:rPr>
                <w:sz w:val="20"/>
                <w:lang w:val="fr-CA"/>
              </w:rPr>
            </w:pPr>
            <w:r w:rsidRPr="00D10D3F">
              <w:rPr>
                <w:sz w:val="20"/>
                <w:lang w:val="fr-CA"/>
              </w:rPr>
              <w:t>(Alb.) (Civile) (Sur autorisation)</w:t>
            </w:r>
          </w:p>
        </w:tc>
      </w:tr>
      <w:tr w:rsidR="00DE6891" w:rsidRPr="00D10D3F" w:rsidTr="00000FE4">
        <w:tc>
          <w:tcPr>
            <w:tcW w:w="5000" w:type="pct"/>
            <w:gridSpan w:val="4"/>
          </w:tcPr>
          <w:p w:rsidR="00DE6891" w:rsidRPr="00D10D3F" w:rsidRDefault="00DE6891" w:rsidP="00DE6891">
            <w:pPr>
              <w:jc w:val="both"/>
              <w:rPr>
                <w:sz w:val="20"/>
                <w:lang w:val="fr-CA"/>
              </w:rPr>
            </w:pPr>
            <w:r w:rsidRPr="00D10D3F">
              <w:rPr>
                <w:sz w:val="20"/>
                <w:lang w:val="fr-CA"/>
              </w:rPr>
              <w:t>Arbitrage – Procédure civile – Préclusion – L’autorité de la chose jugée s’applique-t-elle aux sentences arbitrales intéressant les mêmes parties, portant sur des questions similaires, mais relatives à des faits distincts? – Si l’autorité de la chose jugée s’applique entre arbitrages, s’applique-t-elle au raisonnement, au résultat ou à ces deux éléments? – Comment la présomption d’application de l’autorité de la chose jugée à tous les arbitrages reflète-t-elle l’autonomie des parties, la caractéristique essentielle de l’arbitrage privé? – Les parties peuvent-elles se soustraire de la présomption d’application de l’autorité de la chose jugée? – Comment les sentences arbitrales peuvent-elles avoir une valeur comme précédents lorsque la plupart des sentences arbitrales sont confidentielles et ne sont pas publiées?</w:t>
            </w:r>
          </w:p>
        </w:tc>
      </w:tr>
      <w:tr w:rsidR="00DE6891" w:rsidRPr="00D10D3F" w:rsidTr="00000FE4">
        <w:tc>
          <w:tcPr>
            <w:tcW w:w="5000" w:type="pct"/>
            <w:gridSpan w:val="4"/>
          </w:tcPr>
          <w:p w:rsidR="00DE6891" w:rsidRPr="00D10D3F" w:rsidRDefault="00DE6891" w:rsidP="00DE6891">
            <w:pPr>
              <w:jc w:val="both"/>
              <w:rPr>
                <w:sz w:val="20"/>
                <w:lang w:val="fr-CA"/>
              </w:rPr>
            </w:pPr>
          </w:p>
          <w:p w:rsidR="00DE6891" w:rsidRPr="00D10D3F" w:rsidRDefault="00DE6891" w:rsidP="00DE6891">
            <w:pPr>
              <w:jc w:val="both"/>
              <w:rPr>
                <w:sz w:val="20"/>
                <w:lang w:val="fr-CA"/>
              </w:rPr>
            </w:pPr>
            <w:r w:rsidRPr="00D10D3F">
              <w:rPr>
                <w:sz w:val="20"/>
                <w:lang w:val="fr-CA"/>
              </w:rPr>
              <w:t>L’intimée est propriétaire de la centrale électrique de Keephills, en Alberta. La demanderesse achète de l’électricité de l’intimée en vertu d’un accord d’achat d’énergie (l’« AAÉ »), qui est un règlement qui énonce les conditions de l’achat et la vente en gros d’électricité entre producteurs d’électricité et acheteurs. En vertu de tels accords, les acheteurs doivent payer des sommes d’argent pour acquitter des dépenses d’immobilisations et des dépenses d’exploitation déterminées. Les montants prévus dans l’AAÉ sont estimés sur une période de vingt ans (en dollars de 1990) et les parties doivent avoir recours aux indices de Statistique Canada pour actualiser ces paiements en dollars courants. En vertu de l’AAÉ, si un indice est modifié, les parties doivent utiliser l’indice modifié. L’AAÉ prévoit également qu’un indice modifié est utilisé pour tous les calculs qu’il faut faire [</w:t>
            </w:r>
            <w:r w:rsidRPr="00D10D3F">
              <w:rPr>
                <w:smallCaps/>
                <w:sz w:val="20"/>
                <w:lang w:val="fr-CA"/>
              </w:rPr>
              <w:t>traduction</w:t>
            </w:r>
            <w:r w:rsidRPr="00D10D3F">
              <w:rPr>
                <w:sz w:val="20"/>
                <w:lang w:val="fr-CA"/>
              </w:rPr>
              <w:t>] « après la période pendant laquelle l’utilisation de cet [...] indice [...] modifié a été convenue par les parties » et qu’il était [</w:t>
            </w:r>
            <w:r w:rsidRPr="00D10D3F">
              <w:rPr>
                <w:smallCaps/>
                <w:sz w:val="20"/>
                <w:lang w:val="fr-CA"/>
              </w:rPr>
              <w:t>traduction</w:t>
            </w:r>
            <w:r w:rsidRPr="00D10D3F">
              <w:rPr>
                <w:sz w:val="20"/>
                <w:lang w:val="fr-CA"/>
              </w:rPr>
              <w:t xml:space="preserve">] « raccordé à l’indice utilisé précédemment pour éviter les rajustements rétrospectifs ». </w:t>
            </w:r>
          </w:p>
          <w:p w:rsidR="00DE6891" w:rsidRPr="00D10D3F" w:rsidRDefault="00DE6891" w:rsidP="00DE6891">
            <w:pPr>
              <w:jc w:val="both"/>
              <w:rPr>
                <w:sz w:val="20"/>
                <w:lang w:val="fr-CA"/>
              </w:rPr>
            </w:pPr>
          </w:p>
          <w:p w:rsidR="00DE6891" w:rsidRPr="00D10D3F" w:rsidRDefault="00DE6891" w:rsidP="00DE6891">
            <w:pPr>
              <w:jc w:val="both"/>
              <w:rPr>
                <w:sz w:val="20"/>
                <w:lang w:val="fr-CA"/>
              </w:rPr>
            </w:pPr>
            <w:r w:rsidRPr="00D10D3F">
              <w:rPr>
                <w:sz w:val="20"/>
                <w:lang w:val="fr-CA"/>
              </w:rPr>
              <w:t>Dans le cadre d’un différend antérieur opposant les parties sur l’application de certains indices de Statistique Canada dans les facturations de l’intimée, un conseil d’arbitrage a statué que des indices mis à jour devaient être utilisés relativement aux facturations pour la durée restante de l’accord, sans raccordement d’indices ou autres rajustements. Le différend en l’espèce porte encore une fois sur l’application d’indices mis à jour aux facturations. La demanderesse a signifié un avis d’arbitrage et l’intimée a plaidé que l’arbitrage précédent avait l’autorité de la chose jugée, si bien que la demanderesse était précluse de soutenir que le raccordement d’indices était nécessaire dans ce contexte. La demanderesse a sollicité des jugements déclaratoires sur des questions de droits connexes. La Cour du Banc de la Reine de l’Alberta a statué entre autres que l’autorité de la chose jugée ne s’appliquait pas aux arbitrages privés et que la demanderesse n’était pas précluse de faire valoir son argument. La Cour d’appel a accueilli l’appel.</w:t>
            </w:r>
          </w:p>
        </w:tc>
      </w:tr>
      <w:tr w:rsidR="00DE6891" w:rsidRPr="00D10D3F" w:rsidTr="00000FE4">
        <w:tc>
          <w:tcPr>
            <w:tcW w:w="5000" w:type="pct"/>
            <w:gridSpan w:val="4"/>
          </w:tcPr>
          <w:p w:rsidR="00DE6891" w:rsidRPr="00D10D3F" w:rsidRDefault="00DE6891" w:rsidP="00DE6891">
            <w:pPr>
              <w:jc w:val="both"/>
              <w:rPr>
                <w:sz w:val="20"/>
                <w:lang w:val="fr-CA"/>
              </w:rPr>
            </w:pPr>
          </w:p>
        </w:tc>
      </w:tr>
      <w:tr w:rsidR="00DE6891" w:rsidRPr="00D10D3F" w:rsidTr="00000FE4">
        <w:tc>
          <w:tcPr>
            <w:tcW w:w="2427" w:type="pct"/>
            <w:gridSpan w:val="2"/>
          </w:tcPr>
          <w:p w:rsidR="00DE6891" w:rsidRPr="00D10D3F" w:rsidRDefault="00DE6891" w:rsidP="00DE6891">
            <w:pPr>
              <w:jc w:val="both"/>
              <w:rPr>
                <w:sz w:val="20"/>
                <w:lang w:val="fr-CA"/>
              </w:rPr>
            </w:pPr>
            <w:r w:rsidRPr="00D10D3F">
              <w:rPr>
                <w:sz w:val="20"/>
                <w:lang w:val="fr-CA"/>
              </w:rPr>
              <w:t>30 mars 2015</w:t>
            </w:r>
          </w:p>
          <w:p w:rsidR="00DE6891" w:rsidRPr="00D10D3F" w:rsidRDefault="00DE6891" w:rsidP="00DE6891">
            <w:pPr>
              <w:jc w:val="both"/>
              <w:rPr>
                <w:sz w:val="20"/>
                <w:lang w:val="fr-CA"/>
              </w:rPr>
            </w:pPr>
            <w:r w:rsidRPr="00D10D3F">
              <w:rPr>
                <w:sz w:val="20"/>
                <w:lang w:val="fr-CA"/>
              </w:rPr>
              <w:t xml:space="preserve">Cour du Banc de la Reine de l’Alberta </w:t>
            </w:r>
          </w:p>
          <w:p w:rsidR="00DE6891" w:rsidRPr="00D10D3F" w:rsidRDefault="00DE6891" w:rsidP="00DE6891">
            <w:pPr>
              <w:jc w:val="both"/>
              <w:rPr>
                <w:sz w:val="20"/>
                <w:lang w:val="fr-CA"/>
              </w:rPr>
            </w:pPr>
            <w:r w:rsidRPr="00D10D3F">
              <w:rPr>
                <w:sz w:val="20"/>
                <w:lang w:val="fr-CA"/>
              </w:rPr>
              <w:lastRenderedPageBreak/>
              <w:t>(Juge Gates)</w:t>
            </w:r>
          </w:p>
          <w:p w:rsidR="00DE6891" w:rsidRPr="00D10D3F" w:rsidRDefault="00DE6891" w:rsidP="00DE6891">
            <w:pPr>
              <w:jc w:val="both"/>
              <w:rPr>
                <w:sz w:val="20"/>
                <w:lang w:val="fr-CA"/>
              </w:rPr>
            </w:pPr>
            <w:r w:rsidRPr="00D10D3F">
              <w:rPr>
                <w:sz w:val="20"/>
                <w:lang w:val="fr-CA"/>
              </w:rPr>
              <w:t>2015 ABQB 185; 1301-11879</w:t>
            </w:r>
          </w:p>
          <w:p w:rsidR="00DE6891" w:rsidRPr="00D10D3F" w:rsidRDefault="00DE6891" w:rsidP="00DE6891">
            <w:pPr>
              <w:jc w:val="both"/>
              <w:rPr>
                <w:sz w:val="20"/>
                <w:lang w:val="fr-CA"/>
              </w:rPr>
            </w:pPr>
          </w:p>
        </w:tc>
        <w:tc>
          <w:tcPr>
            <w:tcW w:w="243" w:type="pct"/>
          </w:tcPr>
          <w:p w:rsidR="00DE6891" w:rsidRPr="00D10D3F" w:rsidRDefault="00DE6891" w:rsidP="00DE6891">
            <w:pPr>
              <w:jc w:val="both"/>
              <w:rPr>
                <w:sz w:val="20"/>
                <w:lang w:val="fr-CA"/>
              </w:rPr>
            </w:pPr>
          </w:p>
        </w:tc>
        <w:tc>
          <w:tcPr>
            <w:tcW w:w="2330" w:type="pct"/>
          </w:tcPr>
          <w:p w:rsidR="00DE6891" w:rsidRPr="00D10D3F" w:rsidRDefault="00DE6891" w:rsidP="00DE6891">
            <w:pPr>
              <w:jc w:val="both"/>
              <w:rPr>
                <w:sz w:val="20"/>
                <w:lang w:val="fr-CA"/>
              </w:rPr>
            </w:pPr>
            <w:r w:rsidRPr="00D10D3F">
              <w:rPr>
                <w:sz w:val="20"/>
                <w:lang w:val="fr-CA"/>
              </w:rPr>
              <w:t xml:space="preserve">Ordonnance déclarant  i) que le différend découlait d’un accord conclu entre les parties, ii) que les parties </w:t>
            </w:r>
            <w:r w:rsidRPr="00D10D3F">
              <w:rPr>
                <w:sz w:val="20"/>
                <w:lang w:val="fr-CA"/>
              </w:rPr>
              <w:lastRenderedPageBreak/>
              <w:t>n’étaient pas liées par une sentence arbitrale antérieure ou précluses de faire valoir des arguments, iii) que l’autorité de la chose jugée ne s’applique pas aux arbitrages privés et iv) que la question de savoir si les sentences arbitrales antérieures intéressant d’autres parties pouvaient être communiquées devait être tranchée par le tribunal d’arbitrage actuel.</w:t>
            </w:r>
          </w:p>
          <w:p w:rsidR="00DE6891" w:rsidRPr="00D10D3F" w:rsidRDefault="00DE6891" w:rsidP="00DE6891">
            <w:pPr>
              <w:jc w:val="both"/>
              <w:rPr>
                <w:sz w:val="20"/>
                <w:lang w:val="fr-CA"/>
              </w:rPr>
            </w:pPr>
          </w:p>
        </w:tc>
      </w:tr>
      <w:tr w:rsidR="00DE6891" w:rsidRPr="00D10D3F" w:rsidTr="00000FE4">
        <w:tc>
          <w:tcPr>
            <w:tcW w:w="2427" w:type="pct"/>
            <w:gridSpan w:val="2"/>
          </w:tcPr>
          <w:p w:rsidR="00DE6891" w:rsidRPr="00D10D3F" w:rsidRDefault="00DE6891" w:rsidP="00DE6891">
            <w:pPr>
              <w:jc w:val="both"/>
              <w:rPr>
                <w:sz w:val="20"/>
                <w:lang w:val="fr-CA"/>
              </w:rPr>
            </w:pPr>
            <w:r w:rsidRPr="00D10D3F">
              <w:rPr>
                <w:sz w:val="20"/>
                <w:lang w:val="fr-CA"/>
              </w:rPr>
              <w:lastRenderedPageBreak/>
              <w:t>9 décembre 2015</w:t>
            </w:r>
          </w:p>
          <w:p w:rsidR="00DE6891" w:rsidRPr="00D10D3F" w:rsidRDefault="00DE6891" w:rsidP="00DE6891">
            <w:pPr>
              <w:jc w:val="both"/>
              <w:rPr>
                <w:sz w:val="20"/>
                <w:lang w:val="fr-CA"/>
              </w:rPr>
            </w:pPr>
            <w:r w:rsidRPr="00D10D3F">
              <w:rPr>
                <w:sz w:val="20"/>
                <w:lang w:val="fr-CA"/>
              </w:rPr>
              <w:t>Cour d’appel de l’Alberta (Calgary)</w:t>
            </w:r>
          </w:p>
          <w:p w:rsidR="00DE6891" w:rsidRPr="00D10D3F" w:rsidRDefault="00DE6891" w:rsidP="00DE6891">
            <w:pPr>
              <w:jc w:val="both"/>
              <w:rPr>
                <w:sz w:val="20"/>
                <w:lang w:val="fr-CA"/>
              </w:rPr>
            </w:pPr>
            <w:r w:rsidRPr="00D10D3F">
              <w:rPr>
                <w:sz w:val="20"/>
                <w:lang w:val="fr-CA"/>
              </w:rPr>
              <w:t>(Juges Paperny, Slatter et McDonald)</w:t>
            </w:r>
          </w:p>
          <w:p w:rsidR="00DE6891" w:rsidRPr="00D10D3F" w:rsidRDefault="00D936BC" w:rsidP="00DE6891">
            <w:pPr>
              <w:jc w:val="both"/>
              <w:rPr>
                <w:sz w:val="20"/>
                <w:lang w:val="fr-CA"/>
              </w:rPr>
            </w:pPr>
            <w:hyperlink r:id="rId26" w:history="1">
              <w:r w:rsidR="00DE6891" w:rsidRPr="00D10D3F">
                <w:rPr>
                  <w:rStyle w:val="Hyperlink"/>
                  <w:sz w:val="20"/>
                  <w:lang w:val="fr-CA"/>
                </w:rPr>
                <w:t>2015 ABCA 383</w:t>
              </w:r>
            </w:hyperlink>
            <w:r w:rsidR="00DE6891" w:rsidRPr="00D10D3F">
              <w:rPr>
                <w:sz w:val="20"/>
                <w:lang w:val="fr-CA"/>
              </w:rPr>
              <w:t>; 1501-0082-AC</w:t>
            </w:r>
          </w:p>
        </w:tc>
        <w:tc>
          <w:tcPr>
            <w:tcW w:w="243" w:type="pct"/>
          </w:tcPr>
          <w:p w:rsidR="00DE6891" w:rsidRPr="00D10D3F" w:rsidRDefault="00DE6891" w:rsidP="00DE6891">
            <w:pPr>
              <w:jc w:val="both"/>
              <w:rPr>
                <w:sz w:val="20"/>
                <w:lang w:val="fr-CA"/>
              </w:rPr>
            </w:pPr>
          </w:p>
        </w:tc>
        <w:tc>
          <w:tcPr>
            <w:tcW w:w="2330" w:type="pct"/>
          </w:tcPr>
          <w:p w:rsidR="00DE6891" w:rsidRPr="00D10D3F" w:rsidRDefault="00DE6891" w:rsidP="00DE6891">
            <w:pPr>
              <w:jc w:val="both"/>
              <w:rPr>
                <w:sz w:val="20"/>
                <w:lang w:val="fr-CA"/>
              </w:rPr>
            </w:pPr>
            <w:r w:rsidRPr="00D10D3F">
              <w:rPr>
                <w:sz w:val="20"/>
                <w:lang w:val="fr-CA"/>
              </w:rPr>
              <w:t>Arrêt accueillant l’appel : i) les sentences arbitrales antérieures intéressant les mêmes parties ont force exécutoire dans les arbitrages futurs; ii) l’autorité de la chose jugée s’applique aux arbitrages; iii) ENMAX est liée par la sentence arbitrale antérieure et est précluse de faire valoir certains arguments dans l’arbitrage actuel dans la mesure où les mêmes questions ont été tranchées.</w:t>
            </w:r>
          </w:p>
          <w:p w:rsidR="00DE6891" w:rsidRPr="00D10D3F" w:rsidRDefault="00DE6891" w:rsidP="00DE6891">
            <w:pPr>
              <w:jc w:val="both"/>
              <w:rPr>
                <w:sz w:val="20"/>
                <w:lang w:val="fr-CA"/>
              </w:rPr>
            </w:pPr>
          </w:p>
        </w:tc>
      </w:tr>
      <w:tr w:rsidR="00DE6891" w:rsidRPr="00D10D3F" w:rsidTr="00000FE4">
        <w:tc>
          <w:tcPr>
            <w:tcW w:w="2427" w:type="pct"/>
            <w:gridSpan w:val="2"/>
          </w:tcPr>
          <w:p w:rsidR="00DE6891" w:rsidRPr="00D10D3F" w:rsidRDefault="00DE6891" w:rsidP="008B15A4">
            <w:pPr>
              <w:jc w:val="both"/>
              <w:rPr>
                <w:sz w:val="20"/>
                <w:lang w:val="fr-CA"/>
              </w:rPr>
            </w:pPr>
            <w:r w:rsidRPr="00D10D3F">
              <w:rPr>
                <w:sz w:val="20"/>
                <w:lang w:val="fr-CA"/>
              </w:rPr>
              <w:t>5 février 2016</w:t>
            </w:r>
          </w:p>
          <w:p w:rsidR="00DE6891" w:rsidRPr="00D10D3F" w:rsidRDefault="00DE6891" w:rsidP="008B15A4">
            <w:pPr>
              <w:jc w:val="both"/>
              <w:rPr>
                <w:sz w:val="20"/>
                <w:lang w:val="fr-CA"/>
              </w:rPr>
            </w:pPr>
            <w:r w:rsidRPr="00D10D3F">
              <w:rPr>
                <w:sz w:val="20"/>
                <w:lang w:val="fr-CA"/>
              </w:rPr>
              <w:t>Cour suprême du Canada</w:t>
            </w:r>
          </w:p>
        </w:tc>
        <w:tc>
          <w:tcPr>
            <w:tcW w:w="243" w:type="pct"/>
          </w:tcPr>
          <w:p w:rsidR="00DE6891" w:rsidRPr="00D10D3F" w:rsidRDefault="00DE6891" w:rsidP="008B15A4">
            <w:pPr>
              <w:jc w:val="both"/>
              <w:rPr>
                <w:sz w:val="20"/>
                <w:lang w:val="fr-CA"/>
              </w:rPr>
            </w:pPr>
          </w:p>
        </w:tc>
        <w:tc>
          <w:tcPr>
            <w:tcW w:w="2330" w:type="pct"/>
          </w:tcPr>
          <w:p w:rsidR="00DE6891" w:rsidRPr="00D10D3F" w:rsidRDefault="00DE6891" w:rsidP="008B15A4">
            <w:pPr>
              <w:jc w:val="both"/>
              <w:rPr>
                <w:sz w:val="20"/>
                <w:lang w:val="fr-CA"/>
              </w:rPr>
            </w:pPr>
            <w:r w:rsidRPr="00D10D3F">
              <w:rPr>
                <w:sz w:val="20"/>
                <w:lang w:val="fr-CA"/>
              </w:rPr>
              <w:t>Dépôt de la demande d’autorisation d’appel</w:t>
            </w:r>
          </w:p>
          <w:p w:rsidR="00DE6891" w:rsidRPr="00D10D3F" w:rsidRDefault="00DE6891" w:rsidP="008B15A4">
            <w:pPr>
              <w:jc w:val="both"/>
              <w:rPr>
                <w:sz w:val="20"/>
                <w:lang w:val="fr-CA"/>
              </w:rPr>
            </w:pPr>
          </w:p>
        </w:tc>
      </w:tr>
    </w:tbl>
    <w:p w:rsidR="00DE6891" w:rsidRPr="00D10D3F" w:rsidRDefault="00DE6891" w:rsidP="008B15A4">
      <w:pPr>
        <w:jc w:val="both"/>
        <w:rPr>
          <w:sz w:val="20"/>
          <w:lang w:val="fr-CA"/>
        </w:rPr>
      </w:pPr>
    </w:p>
    <w:p w:rsidR="00757ED0" w:rsidRPr="00D10D3F" w:rsidRDefault="00757ED0" w:rsidP="008B15A4">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389"/>
        <w:gridCol w:w="554"/>
        <w:gridCol w:w="4320"/>
      </w:tblGrid>
      <w:tr w:rsidR="008B15A4" w:rsidRPr="00D10D3F" w:rsidTr="00E95A6A">
        <w:tc>
          <w:tcPr>
            <w:tcW w:w="543" w:type="pct"/>
          </w:tcPr>
          <w:p w:rsidR="008B15A4" w:rsidRPr="00D10D3F" w:rsidRDefault="008B15A4" w:rsidP="008B15A4">
            <w:pPr>
              <w:jc w:val="both"/>
              <w:rPr>
                <w:sz w:val="20"/>
              </w:rPr>
            </w:pPr>
            <w:r w:rsidRPr="00D10D3F">
              <w:rPr>
                <w:rStyle w:val="SCCFileNumberChar"/>
                <w:sz w:val="20"/>
                <w:szCs w:val="20"/>
              </w:rPr>
              <w:t>36736</w:t>
            </w:r>
          </w:p>
        </w:tc>
        <w:tc>
          <w:tcPr>
            <w:tcW w:w="4457" w:type="pct"/>
            <w:gridSpan w:val="3"/>
          </w:tcPr>
          <w:p w:rsidR="008B15A4" w:rsidRPr="00D10D3F" w:rsidRDefault="008B15A4" w:rsidP="008B15A4">
            <w:pPr>
              <w:pStyle w:val="SCCLsocParty"/>
              <w:jc w:val="both"/>
              <w:rPr>
                <w:b/>
                <w:sz w:val="20"/>
                <w:szCs w:val="20"/>
              </w:rPr>
            </w:pPr>
            <w:r w:rsidRPr="00D10D3F">
              <w:rPr>
                <w:b/>
                <w:sz w:val="20"/>
                <w:szCs w:val="20"/>
              </w:rPr>
              <w:t xml:space="preserve">Glenn Harley </w:t>
            </w:r>
            <w:proofErr w:type="spellStart"/>
            <w:r w:rsidRPr="00D10D3F">
              <w:rPr>
                <w:b/>
                <w:sz w:val="20"/>
                <w:szCs w:val="20"/>
              </w:rPr>
              <w:t>Tesuji</w:t>
            </w:r>
            <w:proofErr w:type="spellEnd"/>
            <w:r w:rsidRPr="00D10D3F">
              <w:rPr>
                <w:b/>
                <w:sz w:val="20"/>
                <w:szCs w:val="20"/>
              </w:rPr>
              <w:t xml:space="preserve"> </w:t>
            </w:r>
            <w:proofErr w:type="spellStart"/>
            <w:r w:rsidRPr="00D10D3F">
              <w:rPr>
                <w:b/>
                <w:sz w:val="20"/>
                <w:szCs w:val="20"/>
              </w:rPr>
              <w:t>Sheck</w:t>
            </w:r>
            <w:proofErr w:type="spellEnd"/>
            <w:r w:rsidRPr="00D10D3F">
              <w:rPr>
                <w:b/>
                <w:sz w:val="20"/>
                <w:szCs w:val="20"/>
              </w:rPr>
              <w:t xml:space="preserve"> v. Her Majesty the Queen</w:t>
            </w:r>
          </w:p>
          <w:p w:rsidR="008B15A4" w:rsidRPr="00D10D3F" w:rsidRDefault="008B15A4" w:rsidP="008B15A4">
            <w:pPr>
              <w:jc w:val="both"/>
              <w:rPr>
                <w:sz w:val="20"/>
              </w:rPr>
            </w:pPr>
            <w:r w:rsidRPr="00D10D3F">
              <w:rPr>
                <w:sz w:val="20"/>
              </w:rPr>
              <w:t>(B.C.) (Criminal) (By Leave)</w:t>
            </w:r>
          </w:p>
        </w:tc>
      </w:tr>
      <w:tr w:rsidR="008B15A4" w:rsidRPr="00D10D3F" w:rsidTr="00E95A6A">
        <w:tc>
          <w:tcPr>
            <w:tcW w:w="5000" w:type="pct"/>
            <w:gridSpan w:val="4"/>
          </w:tcPr>
          <w:p w:rsidR="008B15A4" w:rsidRPr="00D10D3F" w:rsidRDefault="008B15A4" w:rsidP="008B15A4">
            <w:pPr>
              <w:jc w:val="both"/>
              <w:rPr>
                <w:sz w:val="20"/>
              </w:rPr>
            </w:pPr>
            <w:r w:rsidRPr="00D10D3F">
              <w:rPr>
                <w:i/>
                <w:sz w:val="20"/>
              </w:rPr>
              <w:t>Charter of Rights</w:t>
            </w:r>
            <w:r w:rsidRPr="00D10D3F">
              <w:rPr>
                <w:sz w:val="20"/>
              </w:rPr>
              <w:t xml:space="preserve"> – Search and Seizure – Section 8 of the </w:t>
            </w:r>
            <w:r w:rsidRPr="00D10D3F">
              <w:rPr>
                <w:i/>
                <w:sz w:val="20"/>
              </w:rPr>
              <w:t>Charter</w:t>
            </w:r>
            <w:r w:rsidRPr="00D10D3F">
              <w:rPr>
                <w:sz w:val="20"/>
              </w:rPr>
              <w:t xml:space="preserve"> - Criminal law – Whether the Court of Appeal erred by upholding the trial judge’s ruling that the police lawfully detained the applicant for investigative purposes – Whether the Court of Appeal erred by upholding the trial judge’s ruling that the police had sufficient grounds to search the applicant and his already-seized purse incidental to detention – Whether the Court of Appeal erred by disregarding the application of the prior authorization principle imbued in section 8 of the </w:t>
            </w:r>
            <w:r w:rsidRPr="00D10D3F">
              <w:rPr>
                <w:i/>
                <w:sz w:val="20"/>
              </w:rPr>
              <w:t>Charter</w:t>
            </w:r>
            <w:r w:rsidRPr="00D10D3F">
              <w:rPr>
                <w:sz w:val="20"/>
              </w:rPr>
              <w:t xml:space="preserve"> as a constitutional minimum – </w:t>
            </w:r>
            <w:r w:rsidRPr="00D10D3F">
              <w:rPr>
                <w:i/>
                <w:sz w:val="20"/>
              </w:rPr>
              <w:t>Charter of Rights</w:t>
            </w:r>
            <w:r w:rsidRPr="00D10D3F">
              <w:rPr>
                <w:sz w:val="20"/>
              </w:rPr>
              <w:t>, s. 8.</w:t>
            </w:r>
          </w:p>
        </w:tc>
      </w:tr>
      <w:tr w:rsidR="008B15A4" w:rsidRPr="00D10D3F" w:rsidTr="00E95A6A">
        <w:tc>
          <w:tcPr>
            <w:tcW w:w="5000" w:type="pct"/>
            <w:gridSpan w:val="4"/>
          </w:tcPr>
          <w:p w:rsidR="008B15A4" w:rsidRPr="00D10D3F" w:rsidRDefault="008B15A4" w:rsidP="008B15A4">
            <w:pPr>
              <w:jc w:val="both"/>
              <w:rPr>
                <w:sz w:val="20"/>
              </w:rPr>
            </w:pPr>
          </w:p>
        </w:tc>
      </w:tr>
      <w:tr w:rsidR="008B15A4" w:rsidRPr="00D10D3F" w:rsidTr="00E95A6A">
        <w:tc>
          <w:tcPr>
            <w:tcW w:w="5000" w:type="pct"/>
            <w:gridSpan w:val="4"/>
          </w:tcPr>
          <w:p w:rsidR="008B15A4" w:rsidRPr="00D10D3F" w:rsidRDefault="008B15A4" w:rsidP="008B15A4">
            <w:pPr>
              <w:jc w:val="both"/>
              <w:rPr>
                <w:sz w:val="20"/>
              </w:rPr>
            </w:pPr>
            <w:r w:rsidRPr="00D10D3F">
              <w:rPr>
                <w:sz w:val="20"/>
              </w:rPr>
              <w:t>The applicant is Mr. </w:t>
            </w:r>
            <w:proofErr w:type="spellStart"/>
            <w:r w:rsidRPr="00D10D3F">
              <w:rPr>
                <w:sz w:val="20"/>
              </w:rPr>
              <w:t>Sheck</w:t>
            </w:r>
            <w:proofErr w:type="spellEnd"/>
            <w:r w:rsidRPr="00D10D3F">
              <w:rPr>
                <w:sz w:val="20"/>
              </w:rPr>
              <w:t>. Mr. </w:t>
            </w:r>
            <w:proofErr w:type="spellStart"/>
            <w:r w:rsidRPr="00D10D3F">
              <w:rPr>
                <w:sz w:val="20"/>
              </w:rPr>
              <w:t>Wasilewicz</w:t>
            </w:r>
            <w:proofErr w:type="spellEnd"/>
            <w:r w:rsidRPr="00D10D3F">
              <w:rPr>
                <w:sz w:val="20"/>
              </w:rPr>
              <w:t xml:space="preserve"> was</w:t>
            </w:r>
            <w:r w:rsidRPr="00D10D3F">
              <w:rPr>
                <w:iCs/>
                <w:sz w:val="20"/>
              </w:rPr>
              <w:t xml:space="preserve"> living with Mr. </w:t>
            </w:r>
            <w:proofErr w:type="spellStart"/>
            <w:r w:rsidRPr="00D10D3F">
              <w:rPr>
                <w:iCs/>
                <w:sz w:val="20"/>
              </w:rPr>
              <w:t>Sheck’s</w:t>
            </w:r>
            <w:proofErr w:type="spellEnd"/>
            <w:r w:rsidRPr="00D10D3F">
              <w:rPr>
                <w:iCs/>
                <w:sz w:val="20"/>
              </w:rPr>
              <w:t xml:space="preserve"> ex-wife. </w:t>
            </w:r>
            <w:r w:rsidRPr="00D10D3F">
              <w:rPr>
                <w:sz w:val="20"/>
              </w:rPr>
              <w:t>Mr. </w:t>
            </w:r>
            <w:proofErr w:type="spellStart"/>
            <w:r w:rsidRPr="00D10D3F">
              <w:rPr>
                <w:sz w:val="20"/>
              </w:rPr>
              <w:t>Wasilewicz</w:t>
            </w:r>
            <w:proofErr w:type="spellEnd"/>
            <w:r w:rsidRPr="00D10D3F">
              <w:rPr>
                <w:sz w:val="20"/>
              </w:rPr>
              <w:t xml:space="preserve"> </w:t>
            </w:r>
            <w:r w:rsidRPr="00D10D3F">
              <w:rPr>
                <w:iCs/>
                <w:sz w:val="20"/>
              </w:rPr>
              <w:t xml:space="preserve">was shot six times outside his residence on June 8, 2010. </w:t>
            </w:r>
            <w:r w:rsidRPr="00D10D3F">
              <w:rPr>
                <w:sz w:val="20"/>
              </w:rPr>
              <w:t>On three occasions between October 2, 2010 and November 3, 2010, police received information from a confidential source that Mr. </w:t>
            </w:r>
            <w:proofErr w:type="spellStart"/>
            <w:r w:rsidRPr="00D10D3F">
              <w:rPr>
                <w:sz w:val="20"/>
              </w:rPr>
              <w:t>Sheck</w:t>
            </w:r>
            <w:proofErr w:type="spellEnd"/>
            <w:r w:rsidRPr="00D10D3F">
              <w:rPr>
                <w:sz w:val="20"/>
              </w:rPr>
              <w:t xml:space="preserve"> was actively pursuing a plot to murder Mr. </w:t>
            </w:r>
            <w:proofErr w:type="spellStart"/>
            <w:r w:rsidRPr="00D10D3F">
              <w:rPr>
                <w:sz w:val="20"/>
              </w:rPr>
              <w:t>Wasilewicz</w:t>
            </w:r>
            <w:proofErr w:type="spellEnd"/>
            <w:r w:rsidRPr="00D10D3F">
              <w:rPr>
                <w:sz w:val="20"/>
              </w:rPr>
              <w:t xml:space="preserve"> and that he was regularly carrying a 9mm Glock handgun in a Louis Vuitton shoulder satchel or man purse.</w:t>
            </w:r>
            <w:r w:rsidRPr="00D10D3F">
              <w:rPr>
                <w:iCs/>
                <w:sz w:val="20"/>
              </w:rPr>
              <w:t xml:space="preserve"> </w:t>
            </w:r>
            <w:r w:rsidRPr="00D10D3F">
              <w:rPr>
                <w:sz w:val="20"/>
              </w:rPr>
              <w:t xml:space="preserve">On November 4, 2010, police had the applicant under surveillance. He was seen carrying a man purse. He was followed to a restaurant. The police reacted and detained the applicant for investigation. They searched the man purse, found the handgun, and arrested the applicant for possession of a firearm. </w:t>
            </w:r>
          </w:p>
          <w:p w:rsidR="008B15A4" w:rsidRPr="00D10D3F" w:rsidRDefault="008B15A4" w:rsidP="008B15A4">
            <w:pPr>
              <w:jc w:val="both"/>
              <w:rPr>
                <w:iCs/>
                <w:sz w:val="20"/>
              </w:rPr>
            </w:pPr>
          </w:p>
          <w:p w:rsidR="008B15A4" w:rsidRPr="00D10D3F" w:rsidRDefault="008B15A4" w:rsidP="008B15A4">
            <w:pPr>
              <w:jc w:val="both"/>
              <w:rPr>
                <w:sz w:val="20"/>
              </w:rPr>
            </w:pPr>
            <w:r w:rsidRPr="00D10D3F">
              <w:rPr>
                <w:iCs/>
                <w:sz w:val="20"/>
              </w:rPr>
              <w:t xml:space="preserve">At trial, the applicant applied to exclude the handgun from evidence on the basis of various alleged </w:t>
            </w:r>
            <w:r w:rsidRPr="00D10D3F">
              <w:rPr>
                <w:i/>
                <w:sz w:val="20"/>
              </w:rPr>
              <w:t>Charter</w:t>
            </w:r>
            <w:r w:rsidRPr="00D10D3F">
              <w:rPr>
                <w:sz w:val="20"/>
              </w:rPr>
              <w:t xml:space="preserve"> </w:t>
            </w:r>
            <w:r w:rsidRPr="00D10D3F">
              <w:rPr>
                <w:iCs/>
                <w:sz w:val="20"/>
              </w:rPr>
              <w:t xml:space="preserve">violations. The trial judge found that ss. 8 and 9 of the </w:t>
            </w:r>
            <w:r w:rsidRPr="00D10D3F">
              <w:rPr>
                <w:i/>
                <w:iCs/>
                <w:sz w:val="20"/>
              </w:rPr>
              <w:t xml:space="preserve">Charter </w:t>
            </w:r>
            <w:r w:rsidRPr="00D10D3F">
              <w:rPr>
                <w:iCs/>
                <w:sz w:val="20"/>
              </w:rPr>
              <w:t xml:space="preserve">were not violated, but that s. 10 was. At the s. 24(2) stage, the judge found that society’s interest in the adjudication of the case on its merits outweighed the seriousness of the infringement and the impact of the breach on the applicant’s </w:t>
            </w:r>
            <w:r w:rsidRPr="00D10D3F">
              <w:rPr>
                <w:i/>
                <w:sz w:val="20"/>
              </w:rPr>
              <w:t xml:space="preserve">Charter </w:t>
            </w:r>
            <w:r w:rsidRPr="00D10D3F">
              <w:rPr>
                <w:iCs/>
                <w:sz w:val="20"/>
              </w:rPr>
              <w:t>rights.  The applicant was convicted of possession of a loaded prohibited firearm. The Court of Appeal dismissed the appeal.</w:t>
            </w:r>
          </w:p>
          <w:p w:rsidR="008B15A4" w:rsidRPr="00D10D3F" w:rsidRDefault="008B15A4" w:rsidP="008B15A4">
            <w:pPr>
              <w:jc w:val="both"/>
              <w:rPr>
                <w:sz w:val="20"/>
              </w:rPr>
            </w:pPr>
          </w:p>
        </w:tc>
      </w:tr>
      <w:tr w:rsidR="008B15A4" w:rsidRPr="00D10D3F" w:rsidTr="00667486">
        <w:tc>
          <w:tcPr>
            <w:tcW w:w="2371" w:type="pct"/>
            <w:gridSpan w:val="2"/>
          </w:tcPr>
          <w:p w:rsidR="008B15A4" w:rsidRPr="00D10D3F" w:rsidRDefault="008B15A4" w:rsidP="008B15A4">
            <w:pPr>
              <w:jc w:val="both"/>
              <w:rPr>
                <w:sz w:val="20"/>
              </w:rPr>
            </w:pPr>
            <w:r w:rsidRPr="00D10D3F">
              <w:rPr>
                <w:sz w:val="20"/>
              </w:rPr>
              <w:t>February 2, 2012</w:t>
            </w:r>
          </w:p>
          <w:p w:rsidR="008B15A4" w:rsidRPr="00D10D3F" w:rsidRDefault="008B15A4" w:rsidP="008B15A4">
            <w:pPr>
              <w:jc w:val="both"/>
              <w:rPr>
                <w:sz w:val="20"/>
              </w:rPr>
            </w:pPr>
            <w:r w:rsidRPr="00D10D3F">
              <w:rPr>
                <w:sz w:val="20"/>
              </w:rPr>
              <w:t>Provincial Court of British Columbia</w:t>
            </w:r>
          </w:p>
          <w:p w:rsidR="008B15A4" w:rsidRPr="00D10D3F" w:rsidRDefault="008B15A4" w:rsidP="008B15A4">
            <w:pPr>
              <w:jc w:val="both"/>
              <w:rPr>
                <w:sz w:val="20"/>
              </w:rPr>
            </w:pPr>
            <w:r w:rsidRPr="00D10D3F">
              <w:rPr>
                <w:sz w:val="20"/>
              </w:rPr>
              <w:t>(</w:t>
            </w:r>
            <w:proofErr w:type="spellStart"/>
            <w:r w:rsidRPr="00D10D3F">
              <w:rPr>
                <w:sz w:val="20"/>
              </w:rPr>
              <w:t>Bahen</w:t>
            </w:r>
            <w:proofErr w:type="spellEnd"/>
            <w:r w:rsidRPr="00D10D3F">
              <w:rPr>
                <w:sz w:val="20"/>
              </w:rPr>
              <w:t xml:space="preserve"> </w:t>
            </w:r>
            <w:proofErr w:type="spellStart"/>
            <w:r w:rsidRPr="00D10D3F">
              <w:rPr>
                <w:sz w:val="20"/>
              </w:rPr>
              <w:t>Prov.Ct.J</w:t>
            </w:r>
            <w:proofErr w:type="spellEnd"/>
            <w:r w:rsidRPr="00D10D3F">
              <w:rPr>
                <w:sz w:val="20"/>
              </w:rPr>
              <w:t>.)</w:t>
            </w:r>
          </w:p>
          <w:p w:rsidR="008B15A4" w:rsidRPr="00D10D3F" w:rsidRDefault="008B15A4" w:rsidP="008B15A4">
            <w:pPr>
              <w:jc w:val="both"/>
              <w:rPr>
                <w:sz w:val="20"/>
              </w:rPr>
            </w:pPr>
            <w:r w:rsidRPr="00D10D3F">
              <w:rPr>
                <w:sz w:val="20"/>
              </w:rPr>
              <w:t>2012 BCPC 39</w:t>
            </w:r>
          </w:p>
          <w:p w:rsidR="008B15A4" w:rsidRPr="00D10D3F" w:rsidRDefault="008B15A4" w:rsidP="008B15A4">
            <w:pPr>
              <w:jc w:val="both"/>
              <w:rPr>
                <w:sz w:val="20"/>
              </w:rPr>
            </w:pPr>
          </w:p>
        </w:tc>
        <w:tc>
          <w:tcPr>
            <w:tcW w:w="299"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 xml:space="preserve">Conviction: </w:t>
            </w:r>
            <w:r w:rsidRPr="00D10D3F">
              <w:rPr>
                <w:iCs/>
                <w:sz w:val="20"/>
              </w:rPr>
              <w:t>possession of a loaded prohibited firearm</w:t>
            </w:r>
          </w:p>
          <w:p w:rsidR="008B15A4" w:rsidRPr="00D10D3F" w:rsidRDefault="008B15A4" w:rsidP="008B15A4">
            <w:pPr>
              <w:jc w:val="both"/>
              <w:rPr>
                <w:sz w:val="20"/>
              </w:rPr>
            </w:pPr>
          </w:p>
        </w:tc>
      </w:tr>
      <w:tr w:rsidR="008B15A4" w:rsidRPr="00D10D3F" w:rsidTr="00667486">
        <w:tc>
          <w:tcPr>
            <w:tcW w:w="2371" w:type="pct"/>
            <w:gridSpan w:val="2"/>
          </w:tcPr>
          <w:p w:rsidR="008B15A4" w:rsidRPr="00D10D3F" w:rsidRDefault="008B15A4" w:rsidP="008B15A4">
            <w:pPr>
              <w:jc w:val="both"/>
              <w:rPr>
                <w:sz w:val="20"/>
              </w:rPr>
            </w:pPr>
            <w:r w:rsidRPr="00D10D3F">
              <w:rPr>
                <w:sz w:val="20"/>
              </w:rPr>
              <w:t>November 20, 2015</w:t>
            </w:r>
          </w:p>
          <w:p w:rsidR="008B15A4" w:rsidRPr="00D10D3F" w:rsidRDefault="008B15A4" w:rsidP="008B15A4">
            <w:pPr>
              <w:jc w:val="both"/>
              <w:rPr>
                <w:sz w:val="20"/>
              </w:rPr>
            </w:pPr>
            <w:r w:rsidRPr="00D10D3F">
              <w:rPr>
                <w:sz w:val="20"/>
              </w:rPr>
              <w:t xml:space="preserve">Court of Appeal for British Columbia </w:t>
            </w:r>
          </w:p>
          <w:p w:rsidR="008B15A4" w:rsidRPr="00D10D3F" w:rsidRDefault="008B15A4" w:rsidP="008B15A4">
            <w:pPr>
              <w:jc w:val="both"/>
              <w:rPr>
                <w:sz w:val="20"/>
              </w:rPr>
            </w:pPr>
            <w:r w:rsidRPr="00D10D3F">
              <w:rPr>
                <w:sz w:val="20"/>
              </w:rPr>
              <w:t>(Vancouver)</w:t>
            </w:r>
          </w:p>
          <w:p w:rsidR="008B15A4" w:rsidRPr="00D10D3F" w:rsidRDefault="008B15A4" w:rsidP="008B15A4">
            <w:pPr>
              <w:jc w:val="both"/>
              <w:rPr>
                <w:sz w:val="20"/>
              </w:rPr>
            </w:pPr>
            <w:r w:rsidRPr="00D10D3F">
              <w:rPr>
                <w:sz w:val="20"/>
              </w:rPr>
              <w:lastRenderedPageBreak/>
              <w:t xml:space="preserve">(Bauman C.J., </w:t>
            </w:r>
            <w:proofErr w:type="spellStart"/>
            <w:r w:rsidRPr="00D10D3F">
              <w:rPr>
                <w:sz w:val="20"/>
              </w:rPr>
              <w:t>Chiasson</w:t>
            </w:r>
            <w:proofErr w:type="spellEnd"/>
            <w:r w:rsidRPr="00D10D3F">
              <w:rPr>
                <w:sz w:val="20"/>
              </w:rPr>
              <w:t xml:space="preserve"> and Stromberg-Stein </w:t>
            </w:r>
          </w:p>
          <w:p w:rsidR="008B15A4" w:rsidRPr="00D10D3F" w:rsidRDefault="008B15A4" w:rsidP="008B15A4">
            <w:pPr>
              <w:jc w:val="both"/>
              <w:rPr>
                <w:sz w:val="20"/>
              </w:rPr>
            </w:pPr>
            <w:r w:rsidRPr="00D10D3F">
              <w:rPr>
                <w:sz w:val="20"/>
              </w:rPr>
              <w:t>JJ.A.)</w:t>
            </w:r>
          </w:p>
          <w:p w:rsidR="008B15A4" w:rsidRPr="00D10D3F" w:rsidRDefault="008B15A4" w:rsidP="008B15A4">
            <w:pPr>
              <w:jc w:val="both"/>
              <w:rPr>
                <w:sz w:val="20"/>
              </w:rPr>
            </w:pPr>
            <w:r w:rsidRPr="00D10D3F">
              <w:rPr>
                <w:sz w:val="20"/>
              </w:rPr>
              <w:t>2015 BCCA 471; CA042151</w:t>
            </w:r>
          </w:p>
          <w:p w:rsidR="008B15A4" w:rsidRPr="00D10D3F" w:rsidRDefault="00D936BC" w:rsidP="008B15A4">
            <w:pPr>
              <w:jc w:val="both"/>
              <w:rPr>
                <w:sz w:val="20"/>
              </w:rPr>
            </w:pPr>
            <w:hyperlink r:id="rId27" w:history="1">
              <w:r w:rsidR="008B15A4" w:rsidRPr="00D10D3F">
                <w:rPr>
                  <w:rStyle w:val="Hyperlink"/>
                  <w:rFonts w:eastAsiaTheme="majorEastAsia"/>
                  <w:sz w:val="20"/>
                </w:rPr>
                <w:t>http://canlii.ca/t/gm5g6</w:t>
              </w:r>
            </w:hyperlink>
          </w:p>
          <w:p w:rsidR="008B15A4" w:rsidRPr="00D10D3F" w:rsidRDefault="008B15A4" w:rsidP="008B15A4">
            <w:pPr>
              <w:jc w:val="both"/>
              <w:rPr>
                <w:sz w:val="20"/>
              </w:rPr>
            </w:pPr>
          </w:p>
        </w:tc>
        <w:tc>
          <w:tcPr>
            <w:tcW w:w="299"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Appeal dismissed</w:t>
            </w:r>
          </w:p>
        </w:tc>
      </w:tr>
      <w:tr w:rsidR="008B15A4" w:rsidRPr="00D10D3F" w:rsidTr="00667486">
        <w:tc>
          <w:tcPr>
            <w:tcW w:w="2371" w:type="pct"/>
            <w:gridSpan w:val="2"/>
          </w:tcPr>
          <w:p w:rsidR="008B15A4" w:rsidRPr="00D10D3F" w:rsidRDefault="008B15A4" w:rsidP="008B15A4">
            <w:pPr>
              <w:jc w:val="both"/>
              <w:rPr>
                <w:sz w:val="20"/>
              </w:rPr>
            </w:pPr>
            <w:r w:rsidRPr="00D10D3F">
              <w:rPr>
                <w:sz w:val="20"/>
              </w:rPr>
              <w:t>February 8, 2016</w:t>
            </w:r>
          </w:p>
          <w:p w:rsidR="008B15A4" w:rsidRPr="00D10D3F" w:rsidRDefault="008B15A4" w:rsidP="008B15A4">
            <w:pPr>
              <w:jc w:val="both"/>
              <w:rPr>
                <w:sz w:val="20"/>
              </w:rPr>
            </w:pPr>
            <w:r w:rsidRPr="00D10D3F">
              <w:rPr>
                <w:sz w:val="20"/>
              </w:rPr>
              <w:t>Supreme Court of Canada</w:t>
            </w:r>
          </w:p>
          <w:p w:rsidR="008B15A4" w:rsidRPr="00D10D3F" w:rsidRDefault="008B15A4" w:rsidP="008B15A4">
            <w:pPr>
              <w:jc w:val="both"/>
              <w:rPr>
                <w:sz w:val="20"/>
              </w:rPr>
            </w:pPr>
          </w:p>
        </w:tc>
        <w:tc>
          <w:tcPr>
            <w:tcW w:w="299"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Application for leave to appeal filed</w:t>
            </w:r>
          </w:p>
          <w:p w:rsidR="008B15A4" w:rsidRPr="00D10D3F" w:rsidRDefault="008B15A4" w:rsidP="008B15A4">
            <w:pPr>
              <w:jc w:val="both"/>
              <w:rPr>
                <w:sz w:val="20"/>
              </w:rPr>
            </w:pPr>
          </w:p>
        </w:tc>
      </w:tr>
      <w:tr w:rsidR="008B15A4" w:rsidRPr="00D10D3F" w:rsidTr="00667486">
        <w:tc>
          <w:tcPr>
            <w:tcW w:w="2371" w:type="pct"/>
            <w:gridSpan w:val="2"/>
          </w:tcPr>
          <w:p w:rsidR="008B15A4" w:rsidRPr="00D10D3F" w:rsidRDefault="008B15A4" w:rsidP="008B15A4">
            <w:pPr>
              <w:jc w:val="both"/>
              <w:rPr>
                <w:sz w:val="20"/>
              </w:rPr>
            </w:pPr>
            <w:r w:rsidRPr="00D10D3F">
              <w:rPr>
                <w:sz w:val="20"/>
              </w:rPr>
              <w:t>February 24, 2016</w:t>
            </w:r>
          </w:p>
          <w:p w:rsidR="008B15A4" w:rsidRPr="00D10D3F" w:rsidRDefault="008B15A4" w:rsidP="008B15A4">
            <w:pPr>
              <w:jc w:val="both"/>
              <w:rPr>
                <w:sz w:val="20"/>
              </w:rPr>
            </w:pPr>
            <w:r w:rsidRPr="00D10D3F">
              <w:rPr>
                <w:sz w:val="20"/>
              </w:rPr>
              <w:t>Supreme Court of Canada</w:t>
            </w:r>
          </w:p>
        </w:tc>
        <w:tc>
          <w:tcPr>
            <w:tcW w:w="299"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Motion for an extension of time to serve and file the application for leave to appeal filed</w:t>
            </w:r>
          </w:p>
        </w:tc>
      </w:tr>
    </w:tbl>
    <w:p w:rsidR="008B15A4" w:rsidRPr="00D10D3F" w:rsidRDefault="008B15A4" w:rsidP="008B15A4">
      <w:pPr>
        <w:jc w:val="both"/>
        <w:rPr>
          <w:sz w:val="20"/>
        </w:rPr>
      </w:pPr>
    </w:p>
    <w:p w:rsidR="008B15A4" w:rsidRPr="00D10D3F" w:rsidRDefault="008B15A4" w:rsidP="008B15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389"/>
        <w:gridCol w:w="554"/>
        <w:gridCol w:w="4320"/>
      </w:tblGrid>
      <w:tr w:rsidR="008B15A4" w:rsidRPr="00D10D3F" w:rsidTr="00E95A6A">
        <w:tc>
          <w:tcPr>
            <w:tcW w:w="543" w:type="pct"/>
          </w:tcPr>
          <w:p w:rsidR="008B15A4" w:rsidRPr="00D10D3F" w:rsidRDefault="008B15A4" w:rsidP="008B15A4">
            <w:pPr>
              <w:jc w:val="both"/>
              <w:rPr>
                <w:sz w:val="20"/>
                <w:lang w:val="fr-CA"/>
              </w:rPr>
            </w:pPr>
            <w:r w:rsidRPr="00D10D3F">
              <w:rPr>
                <w:rStyle w:val="SCCFileNumberChar"/>
                <w:sz w:val="20"/>
                <w:szCs w:val="20"/>
                <w:lang w:val="fr-CA"/>
              </w:rPr>
              <w:t>36736</w:t>
            </w:r>
          </w:p>
        </w:tc>
        <w:tc>
          <w:tcPr>
            <w:tcW w:w="4457" w:type="pct"/>
            <w:gridSpan w:val="3"/>
          </w:tcPr>
          <w:p w:rsidR="008B15A4" w:rsidRPr="00D10D3F" w:rsidRDefault="008B15A4" w:rsidP="008B15A4">
            <w:pPr>
              <w:pStyle w:val="SCCLsocParty"/>
              <w:jc w:val="both"/>
              <w:rPr>
                <w:b/>
                <w:sz w:val="20"/>
                <w:szCs w:val="20"/>
              </w:rPr>
            </w:pPr>
            <w:r w:rsidRPr="00D10D3F">
              <w:rPr>
                <w:b/>
                <w:sz w:val="20"/>
                <w:szCs w:val="20"/>
              </w:rPr>
              <w:t>Glenn Harley Tesuji Sheck c. Sa Majesté la Reine</w:t>
            </w:r>
          </w:p>
          <w:p w:rsidR="008B15A4" w:rsidRPr="00D10D3F" w:rsidRDefault="008B15A4" w:rsidP="008B15A4">
            <w:pPr>
              <w:jc w:val="both"/>
              <w:rPr>
                <w:sz w:val="20"/>
                <w:lang w:val="fr-CA"/>
              </w:rPr>
            </w:pPr>
            <w:r w:rsidRPr="00D10D3F">
              <w:rPr>
                <w:sz w:val="20"/>
                <w:lang w:val="fr-CA"/>
              </w:rPr>
              <w:t>(C.-B.) (Criminelle) (Sur autorisation)</w:t>
            </w:r>
          </w:p>
        </w:tc>
      </w:tr>
      <w:tr w:rsidR="008B15A4" w:rsidRPr="00D10D3F" w:rsidTr="00E95A6A">
        <w:tc>
          <w:tcPr>
            <w:tcW w:w="5000" w:type="pct"/>
            <w:gridSpan w:val="4"/>
          </w:tcPr>
          <w:p w:rsidR="008B15A4" w:rsidRPr="00D10D3F" w:rsidRDefault="008B15A4" w:rsidP="008B15A4">
            <w:pPr>
              <w:jc w:val="both"/>
              <w:rPr>
                <w:sz w:val="20"/>
                <w:lang w:val="fr-CA"/>
              </w:rPr>
            </w:pPr>
            <w:r w:rsidRPr="00D10D3F">
              <w:rPr>
                <w:i/>
                <w:sz w:val="20"/>
                <w:lang w:val="fr-CA"/>
              </w:rPr>
              <w:t xml:space="preserve">Charte des droits </w:t>
            </w:r>
            <w:r w:rsidRPr="00D10D3F">
              <w:rPr>
                <w:sz w:val="20"/>
                <w:lang w:val="fr-CA"/>
              </w:rPr>
              <w:t xml:space="preserve">– Fouille et perquisitions – Article 8 de la </w:t>
            </w:r>
            <w:r w:rsidRPr="00D10D3F">
              <w:rPr>
                <w:i/>
                <w:sz w:val="20"/>
                <w:lang w:val="fr-CA"/>
              </w:rPr>
              <w:t>Charte</w:t>
            </w:r>
            <w:r w:rsidRPr="00D10D3F">
              <w:rPr>
                <w:sz w:val="20"/>
                <w:lang w:val="fr-CA"/>
              </w:rPr>
              <w:t xml:space="preserve"> – Droit criminel – La Cour d’appel a-t-elle eu tort de confirmer la décision du juge du procès qui a statué que les policiers avaient légalement détenu le demandeur aux fins d’enquête? – La Cour d’appel a-t-elle eu tort de confirmer la décision du juge du procès qui a statué que les policiers avaient des motifs suffisants pour fouiller le demandeur et son sac à main déjà saisi accessoirement à la détention? – La Cour d’appel a-t-elle eu tort de faire abstraction de l’application du principe de l’autorisation préalable fondé sur l’article 8 de la </w:t>
            </w:r>
            <w:r w:rsidRPr="00D10D3F">
              <w:rPr>
                <w:i/>
                <w:sz w:val="20"/>
                <w:lang w:val="fr-CA"/>
              </w:rPr>
              <w:t>Charte</w:t>
            </w:r>
            <w:r w:rsidRPr="00D10D3F">
              <w:rPr>
                <w:sz w:val="20"/>
                <w:lang w:val="fr-CA"/>
              </w:rPr>
              <w:t xml:space="preserve"> en tant que minimum constitutionnel? – </w:t>
            </w:r>
            <w:r w:rsidRPr="00D10D3F">
              <w:rPr>
                <w:i/>
                <w:sz w:val="20"/>
                <w:lang w:val="fr-CA"/>
              </w:rPr>
              <w:t>Charte des droits</w:t>
            </w:r>
            <w:r w:rsidRPr="00D10D3F">
              <w:rPr>
                <w:sz w:val="20"/>
                <w:lang w:val="fr-CA"/>
              </w:rPr>
              <w:t>, art. 8.</w:t>
            </w:r>
          </w:p>
        </w:tc>
      </w:tr>
      <w:tr w:rsidR="008B15A4" w:rsidRPr="00D10D3F" w:rsidTr="00E95A6A">
        <w:tc>
          <w:tcPr>
            <w:tcW w:w="5000" w:type="pct"/>
            <w:gridSpan w:val="4"/>
          </w:tcPr>
          <w:p w:rsidR="008B15A4" w:rsidRPr="00D10D3F" w:rsidRDefault="008B15A4" w:rsidP="008B15A4">
            <w:pPr>
              <w:jc w:val="both"/>
              <w:rPr>
                <w:sz w:val="20"/>
                <w:lang w:val="fr-CA"/>
              </w:rPr>
            </w:pPr>
          </w:p>
        </w:tc>
      </w:tr>
      <w:tr w:rsidR="008B15A4" w:rsidRPr="00D10D3F" w:rsidTr="00E95A6A">
        <w:tc>
          <w:tcPr>
            <w:tcW w:w="5000" w:type="pct"/>
            <w:gridSpan w:val="4"/>
          </w:tcPr>
          <w:p w:rsidR="008B15A4" w:rsidRPr="00D10D3F" w:rsidRDefault="008B15A4" w:rsidP="008B15A4">
            <w:pPr>
              <w:jc w:val="both"/>
              <w:rPr>
                <w:sz w:val="20"/>
                <w:lang w:val="fr-CA"/>
              </w:rPr>
            </w:pPr>
            <w:r w:rsidRPr="00D10D3F">
              <w:rPr>
                <w:sz w:val="20"/>
                <w:lang w:val="fr-CA"/>
              </w:rPr>
              <w:t xml:space="preserve">Monsieur Sheck est le demandeur en l’espèce. Monsieur Wasilewicz vivait avec l’ex-épouse de </w:t>
            </w:r>
            <w:r w:rsidRPr="00D10D3F">
              <w:rPr>
                <w:iCs/>
                <w:sz w:val="20"/>
                <w:lang w:val="fr-CA"/>
              </w:rPr>
              <w:t xml:space="preserve">M. Sheck. </w:t>
            </w:r>
            <w:r w:rsidRPr="00D10D3F">
              <w:rPr>
                <w:sz w:val="20"/>
                <w:lang w:val="fr-CA"/>
              </w:rPr>
              <w:t>Monsieur Wasilewicz</w:t>
            </w:r>
            <w:r w:rsidRPr="00D10D3F">
              <w:rPr>
                <w:iCs/>
                <w:sz w:val="20"/>
                <w:lang w:val="fr-CA"/>
              </w:rPr>
              <w:t xml:space="preserve"> a été atteint par balle à six reprises à l’extérieur de sa résidence le 8 juin 2010. À trois occasions entre le 2 octobre 2010 et le 3 novembre 2010, les policiers ont reçu des renseignements d’une source confidentielle comme quoi M</w:t>
            </w:r>
            <w:r w:rsidRPr="00D10D3F">
              <w:rPr>
                <w:sz w:val="20"/>
                <w:lang w:val="fr-CA"/>
              </w:rPr>
              <w:t>. Sheck complotait activement pour assassiner M. Wasilewicz et portait régulièrement une arme de poing Glock de 9mm dans une sacoche ou un sac à main Louis Vuitton.</w:t>
            </w:r>
            <w:r w:rsidRPr="00D10D3F">
              <w:rPr>
                <w:iCs/>
                <w:sz w:val="20"/>
                <w:lang w:val="fr-CA"/>
              </w:rPr>
              <w:t xml:space="preserve"> </w:t>
            </w:r>
            <w:r w:rsidRPr="00D10D3F">
              <w:rPr>
                <w:sz w:val="20"/>
                <w:lang w:val="fr-CA"/>
              </w:rPr>
              <w:t xml:space="preserve">Le 4 novembre 2010, les policiers avaient le demandeur sous surveillance. On l’a aperçu portant un sac à main. On l’a suivi dans un restaurant. Les policiers ont réagi et ont détenu le demandeur aux fins d’enquête. Ils ont fouillé le sac à main, trouvé l’arme et arrêté le demandeur pour possession d’une arme à feu. </w:t>
            </w:r>
          </w:p>
          <w:p w:rsidR="008B15A4" w:rsidRPr="00D10D3F" w:rsidRDefault="008B15A4" w:rsidP="008B15A4">
            <w:pPr>
              <w:jc w:val="both"/>
              <w:rPr>
                <w:iCs/>
                <w:sz w:val="20"/>
                <w:lang w:val="fr-CA"/>
              </w:rPr>
            </w:pPr>
          </w:p>
          <w:p w:rsidR="008B15A4" w:rsidRPr="00D10D3F" w:rsidRDefault="008B15A4" w:rsidP="008B15A4">
            <w:pPr>
              <w:jc w:val="both"/>
              <w:rPr>
                <w:sz w:val="20"/>
                <w:lang w:val="fr-CA"/>
              </w:rPr>
            </w:pPr>
            <w:r w:rsidRPr="00D10D3F">
              <w:rPr>
                <w:iCs/>
                <w:sz w:val="20"/>
                <w:lang w:val="fr-CA"/>
              </w:rPr>
              <w:t xml:space="preserve">Au procès, le demandeur a cherché à faire exclure l’arme de poing de la preuve, plaidant qu’il y avait eu diverses violations de la </w:t>
            </w:r>
            <w:r w:rsidRPr="00D10D3F">
              <w:rPr>
                <w:i/>
                <w:iCs/>
                <w:sz w:val="20"/>
                <w:lang w:val="fr-CA"/>
              </w:rPr>
              <w:t>Charte</w:t>
            </w:r>
            <w:r w:rsidRPr="00D10D3F">
              <w:rPr>
                <w:iCs/>
                <w:sz w:val="20"/>
                <w:lang w:val="fr-CA"/>
              </w:rPr>
              <w:t xml:space="preserve">. Le juge du procès a conclu que les articles 8 et 9 de la </w:t>
            </w:r>
            <w:r w:rsidRPr="00D10D3F">
              <w:rPr>
                <w:i/>
                <w:iCs/>
                <w:sz w:val="20"/>
                <w:lang w:val="fr-CA"/>
              </w:rPr>
              <w:t>Charte</w:t>
            </w:r>
            <w:r w:rsidRPr="00D10D3F">
              <w:rPr>
                <w:iCs/>
                <w:sz w:val="20"/>
                <w:lang w:val="fr-CA"/>
              </w:rPr>
              <w:t xml:space="preserve"> n’avaient pas été violés, mais que l’article 10 l’avait été. Au stade de l’examen en application du par. 24(2), le juge a conclu que l’intérêt de la société à ce que l’affaire soit tranchée au fond l’emportait sur la gravité de l’atteinte et sur l’impact de l’atteinte sur les droits que la </w:t>
            </w:r>
            <w:r w:rsidRPr="00D10D3F">
              <w:rPr>
                <w:i/>
                <w:iCs/>
                <w:sz w:val="20"/>
                <w:lang w:val="fr-CA"/>
              </w:rPr>
              <w:t>Charte</w:t>
            </w:r>
            <w:r w:rsidRPr="00D10D3F">
              <w:rPr>
                <w:iCs/>
                <w:sz w:val="20"/>
                <w:lang w:val="fr-CA"/>
              </w:rPr>
              <w:t xml:space="preserve"> garantit au demandeur. Le demandeur a été déclaré coupable de possession d’une arme à feu prohibée chargée. La Cour d’appel a rejeté l’appel.</w:t>
            </w:r>
          </w:p>
          <w:p w:rsidR="008B15A4" w:rsidRPr="00D10D3F" w:rsidRDefault="008B15A4" w:rsidP="008B15A4">
            <w:pPr>
              <w:jc w:val="both"/>
              <w:rPr>
                <w:sz w:val="20"/>
                <w:lang w:val="fr-CA"/>
              </w:rPr>
            </w:pPr>
          </w:p>
        </w:tc>
      </w:tr>
      <w:tr w:rsidR="008B15A4" w:rsidRPr="00D10D3F" w:rsidTr="00667486">
        <w:tc>
          <w:tcPr>
            <w:tcW w:w="2371" w:type="pct"/>
            <w:gridSpan w:val="2"/>
          </w:tcPr>
          <w:p w:rsidR="008B15A4" w:rsidRPr="00D10D3F" w:rsidRDefault="008B15A4" w:rsidP="008B15A4">
            <w:pPr>
              <w:jc w:val="both"/>
              <w:rPr>
                <w:sz w:val="20"/>
                <w:lang w:val="fr-CA"/>
              </w:rPr>
            </w:pPr>
            <w:r w:rsidRPr="00D10D3F">
              <w:rPr>
                <w:sz w:val="20"/>
                <w:lang w:val="fr-CA"/>
              </w:rPr>
              <w:t>2 février 2012</w:t>
            </w:r>
          </w:p>
          <w:p w:rsidR="008B15A4" w:rsidRPr="00D10D3F" w:rsidRDefault="008B15A4" w:rsidP="008B15A4">
            <w:pPr>
              <w:jc w:val="both"/>
              <w:rPr>
                <w:sz w:val="20"/>
                <w:lang w:val="fr-CA"/>
              </w:rPr>
            </w:pPr>
            <w:r w:rsidRPr="00D10D3F">
              <w:rPr>
                <w:sz w:val="20"/>
                <w:lang w:val="fr-CA"/>
              </w:rPr>
              <w:t xml:space="preserve">Cour provinciale de la Colombie-Britannique </w:t>
            </w:r>
          </w:p>
          <w:p w:rsidR="008B15A4" w:rsidRPr="00D10D3F" w:rsidRDefault="008B15A4" w:rsidP="008B15A4">
            <w:pPr>
              <w:jc w:val="both"/>
              <w:rPr>
                <w:sz w:val="20"/>
                <w:lang w:val="fr-CA"/>
              </w:rPr>
            </w:pPr>
            <w:r w:rsidRPr="00D10D3F">
              <w:rPr>
                <w:sz w:val="20"/>
                <w:lang w:val="fr-CA"/>
              </w:rPr>
              <w:t>(Juge Bahen)</w:t>
            </w:r>
          </w:p>
          <w:p w:rsidR="008B15A4" w:rsidRPr="00D10D3F" w:rsidRDefault="008B15A4" w:rsidP="008B15A4">
            <w:pPr>
              <w:jc w:val="both"/>
              <w:rPr>
                <w:sz w:val="20"/>
                <w:lang w:val="fr-CA"/>
              </w:rPr>
            </w:pPr>
            <w:r w:rsidRPr="00D10D3F">
              <w:rPr>
                <w:sz w:val="20"/>
                <w:lang w:val="fr-CA"/>
              </w:rPr>
              <w:t>2012 BCPC 39</w:t>
            </w:r>
          </w:p>
          <w:p w:rsidR="008B15A4" w:rsidRPr="00D10D3F" w:rsidRDefault="008B15A4" w:rsidP="008B15A4">
            <w:pPr>
              <w:jc w:val="both"/>
              <w:rPr>
                <w:sz w:val="20"/>
                <w:lang w:val="fr-CA"/>
              </w:rPr>
            </w:pPr>
          </w:p>
        </w:tc>
        <w:tc>
          <w:tcPr>
            <w:tcW w:w="299"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Déclaration de culpabilité de possession d’une arme à feu prohibée chargée</w:t>
            </w:r>
          </w:p>
          <w:p w:rsidR="008B15A4" w:rsidRPr="00D10D3F" w:rsidRDefault="008B15A4" w:rsidP="008B15A4">
            <w:pPr>
              <w:jc w:val="both"/>
              <w:rPr>
                <w:sz w:val="20"/>
                <w:lang w:val="fr-CA"/>
              </w:rPr>
            </w:pPr>
          </w:p>
        </w:tc>
      </w:tr>
      <w:tr w:rsidR="008B15A4" w:rsidRPr="00D10D3F" w:rsidTr="00667486">
        <w:tc>
          <w:tcPr>
            <w:tcW w:w="2371" w:type="pct"/>
            <w:gridSpan w:val="2"/>
          </w:tcPr>
          <w:p w:rsidR="008B15A4" w:rsidRPr="00D10D3F" w:rsidRDefault="008B15A4" w:rsidP="008B15A4">
            <w:pPr>
              <w:jc w:val="both"/>
              <w:rPr>
                <w:sz w:val="20"/>
                <w:lang w:val="fr-CA"/>
              </w:rPr>
            </w:pPr>
            <w:r w:rsidRPr="00D10D3F">
              <w:rPr>
                <w:sz w:val="20"/>
                <w:lang w:val="fr-CA"/>
              </w:rPr>
              <w:t>20 novembre 2015</w:t>
            </w:r>
          </w:p>
          <w:p w:rsidR="008B15A4" w:rsidRPr="00D10D3F" w:rsidRDefault="008B15A4" w:rsidP="008B15A4">
            <w:pPr>
              <w:jc w:val="both"/>
              <w:rPr>
                <w:sz w:val="20"/>
                <w:lang w:val="fr-CA"/>
              </w:rPr>
            </w:pPr>
            <w:r w:rsidRPr="00D10D3F">
              <w:rPr>
                <w:sz w:val="20"/>
                <w:lang w:val="fr-CA"/>
              </w:rPr>
              <w:t xml:space="preserve">Cour d’appel de la Colombie-Britannique </w:t>
            </w:r>
          </w:p>
          <w:p w:rsidR="008B15A4" w:rsidRPr="00D10D3F" w:rsidRDefault="008B15A4" w:rsidP="008B15A4">
            <w:pPr>
              <w:jc w:val="both"/>
              <w:rPr>
                <w:sz w:val="20"/>
                <w:lang w:val="fr-CA"/>
              </w:rPr>
            </w:pPr>
            <w:r w:rsidRPr="00D10D3F">
              <w:rPr>
                <w:sz w:val="20"/>
                <w:lang w:val="fr-CA"/>
              </w:rPr>
              <w:t>(Vancouver)</w:t>
            </w:r>
          </w:p>
          <w:p w:rsidR="008B15A4" w:rsidRPr="00D10D3F" w:rsidRDefault="008B15A4" w:rsidP="008B15A4">
            <w:pPr>
              <w:jc w:val="both"/>
              <w:rPr>
                <w:sz w:val="20"/>
                <w:lang w:val="fr-CA"/>
              </w:rPr>
            </w:pPr>
            <w:r w:rsidRPr="00D10D3F">
              <w:rPr>
                <w:sz w:val="20"/>
                <w:lang w:val="fr-CA"/>
              </w:rPr>
              <w:t>(Juge en chef Bauman, juges Chiasson et Stromberg-Stein)</w:t>
            </w:r>
          </w:p>
          <w:p w:rsidR="008B15A4" w:rsidRPr="00D10D3F" w:rsidRDefault="008B15A4" w:rsidP="008B15A4">
            <w:pPr>
              <w:jc w:val="both"/>
              <w:rPr>
                <w:sz w:val="20"/>
              </w:rPr>
            </w:pPr>
            <w:r w:rsidRPr="00D10D3F">
              <w:rPr>
                <w:sz w:val="20"/>
              </w:rPr>
              <w:t>2015 BCCA 471; CA042151</w:t>
            </w:r>
          </w:p>
          <w:p w:rsidR="008B15A4" w:rsidRPr="00D10D3F" w:rsidRDefault="00D936BC" w:rsidP="008B15A4">
            <w:pPr>
              <w:jc w:val="both"/>
              <w:rPr>
                <w:sz w:val="20"/>
              </w:rPr>
            </w:pPr>
            <w:hyperlink r:id="rId28" w:history="1">
              <w:r w:rsidR="008B15A4" w:rsidRPr="00D10D3F">
                <w:rPr>
                  <w:rStyle w:val="Hyperlink"/>
                  <w:rFonts w:eastAsiaTheme="majorEastAsia"/>
                  <w:sz w:val="20"/>
                </w:rPr>
                <w:t>http://canlii.ca/t/gm5g6</w:t>
              </w:r>
            </w:hyperlink>
          </w:p>
          <w:p w:rsidR="008B15A4" w:rsidRPr="00D10D3F" w:rsidRDefault="008B15A4" w:rsidP="008B15A4">
            <w:pPr>
              <w:jc w:val="both"/>
              <w:rPr>
                <w:sz w:val="20"/>
              </w:rPr>
            </w:pPr>
          </w:p>
        </w:tc>
        <w:tc>
          <w:tcPr>
            <w:tcW w:w="299"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lang w:val="fr-CA"/>
              </w:rPr>
            </w:pPr>
            <w:r w:rsidRPr="00D10D3F">
              <w:rPr>
                <w:sz w:val="20"/>
                <w:lang w:val="fr-CA"/>
              </w:rPr>
              <w:t>Rejet de l’appel</w:t>
            </w:r>
          </w:p>
        </w:tc>
      </w:tr>
      <w:tr w:rsidR="008B15A4" w:rsidRPr="00D10D3F" w:rsidTr="00667486">
        <w:tc>
          <w:tcPr>
            <w:tcW w:w="2371" w:type="pct"/>
            <w:gridSpan w:val="2"/>
          </w:tcPr>
          <w:p w:rsidR="008B15A4" w:rsidRPr="00D10D3F" w:rsidRDefault="008B15A4" w:rsidP="008B15A4">
            <w:pPr>
              <w:jc w:val="both"/>
              <w:rPr>
                <w:sz w:val="20"/>
                <w:lang w:val="fr-CA"/>
              </w:rPr>
            </w:pPr>
            <w:r w:rsidRPr="00D10D3F">
              <w:rPr>
                <w:sz w:val="20"/>
                <w:lang w:val="fr-CA"/>
              </w:rPr>
              <w:t>8 février 2016</w:t>
            </w:r>
          </w:p>
          <w:p w:rsidR="008B15A4" w:rsidRPr="00D10D3F" w:rsidRDefault="008B15A4" w:rsidP="008B15A4">
            <w:pPr>
              <w:jc w:val="both"/>
              <w:rPr>
                <w:sz w:val="20"/>
                <w:lang w:val="fr-CA"/>
              </w:rPr>
            </w:pPr>
            <w:r w:rsidRPr="00D10D3F">
              <w:rPr>
                <w:sz w:val="20"/>
                <w:lang w:val="fr-CA"/>
              </w:rPr>
              <w:t>Cour suprême du Canada</w:t>
            </w:r>
          </w:p>
          <w:p w:rsidR="008B15A4" w:rsidRPr="00D10D3F" w:rsidRDefault="008B15A4" w:rsidP="008B15A4">
            <w:pPr>
              <w:jc w:val="both"/>
              <w:rPr>
                <w:sz w:val="20"/>
                <w:lang w:val="fr-CA"/>
              </w:rPr>
            </w:pPr>
          </w:p>
        </w:tc>
        <w:tc>
          <w:tcPr>
            <w:tcW w:w="299"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Dépôt de la demande d’autorisation d’appel</w:t>
            </w:r>
          </w:p>
          <w:p w:rsidR="008B15A4" w:rsidRPr="00D10D3F" w:rsidRDefault="008B15A4" w:rsidP="008B15A4">
            <w:pPr>
              <w:jc w:val="both"/>
              <w:rPr>
                <w:sz w:val="20"/>
                <w:lang w:val="fr-CA"/>
              </w:rPr>
            </w:pPr>
          </w:p>
        </w:tc>
      </w:tr>
      <w:tr w:rsidR="008B15A4" w:rsidRPr="00D10D3F" w:rsidTr="00667486">
        <w:tc>
          <w:tcPr>
            <w:tcW w:w="2371" w:type="pct"/>
            <w:gridSpan w:val="2"/>
          </w:tcPr>
          <w:p w:rsidR="008B15A4" w:rsidRPr="00D10D3F" w:rsidRDefault="008B15A4" w:rsidP="008B15A4">
            <w:pPr>
              <w:jc w:val="both"/>
              <w:rPr>
                <w:sz w:val="20"/>
                <w:lang w:val="fr-CA"/>
              </w:rPr>
            </w:pPr>
            <w:r w:rsidRPr="00D10D3F">
              <w:rPr>
                <w:sz w:val="20"/>
                <w:lang w:val="fr-CA"/>
              </w:rPr>
              <w:t>24 février 2016</w:t>
            </w:r>
          </w:p>
          <w:p w:rsidR="008B15A4" w:rsidRPr="00D10D3F" w:rsidRDefault="008B15A4" w:rsidP="008B15A4">
            <w:pPr>
              <w:jc w:val="both"/>
              <w:rPr>
                <w:sz w:val="20"/>
                <w:lang w:val="fr-CA"/>
              </w:rPr>
            </w:pPr>
            <w:r w:rsidRPr="00D10D3F">
              <w:rPr>
                <w:sz w:val="20"/>
                <w:lang w:val="fr-CA"/>
              </w:rPr>
              <w:t>Cour suprême du Canada</w:t>
            </w:r>
          </w:p>
        </w:tc>
        <w:tc>
          <w:tcPr>
            <w:tcW w:w="299"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Dépôt de la requête en prorogation du délai de signification et de dépôt de la demande d’autorisation d’appel</w:t>
            </w:r>
          </w:p>
        </w:tc>
      </w:tr>
    </w:tbl>
    <w:p w:rsidR="008B15A4" w:rsidRPr="00D10D3F" w:rsidRDefault="008B15A4" w:rsidP="008B15A4">
      <w:pPr>
        <w:jc w:val="both"/>
        <w:rPr>
          <w:sz w:val="20"/>
          <w:lang w:val="fr-CA"/>
        </w:rPr>
      </w:pPr>
    </w:p>
    <w:p w:rsidR="00757ED0" w:rsidRPr="00D10D3F" w:rsidRDefault="00757ED0" w:rsidP="008B15A4">
      <w:pPr>
        <w:widowControl w:val="0"/>
        <w:ind w:left="360" w:hanging="360"/>
        <w:jc w:val="both"/>
        <w:rPr>
          <w:sz w:val="20"/>
          <w:lang w:val="fr-FR"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15A4" w:rsidRPr="00D10D3F" w:rsidTr="00000FE4">
        <w:tc>
          <w:tcPr>
            <w:tcW w:w="543" w:type="pct"/>
          </w:tcPr>
          <w:p w:rsidR="008B15A4" w:rsidRPr="00D10D3F" w:rsidRDefault="008B15A4" w:rsidP="008B15A4">
            <w:pPr>
              <w:jc w:val="both"/>
              <w:rPr>
                <w:sz w:val="20"/>
              </w:rPr>
            </w:pPr>
            <w:r w:rsidRPr="00D10D3F">
              <w:rPr>
                <w:rStyle w:val="SCCFileNumberChar"/>
                <w:sz w:val="20"/>
                <w:szCs w:val="20"/>
              </w:rPr>
              <w:t>36828</w:t>
            </w:r>
          </w:p>
        </w:tc>
        <w:tc>
          <w:tcPr>
            <w:tcW w:w="4457" w:type="pct"/>
            <w:gridSpan w:val="3"/>
          </w:tcPr>
          <w:p w:rsidR="008B15A4" w:rsidRPr="00D10D3F" w:rsidRDefault="008B15A4" w:rsidP="008B15A4">
            <w:pPr>
              <w:pStyle w:val="SCCLsocParty"/>
              <w:jc w:val="both"/>
              <w:rPr>
                <w:b/>
                <w:sz w:val="20"/>
                <w:szCs w:val="20"/>
              </w:rPr>
            </w:pPr>
            <w:r w:rsidRPr="00D10D3F">
              <w:rPr>
                <w:b/>
                <w:sz w:val="20"/>
                <w:szCs w:val="20"/>
              </w:rPr>
              <w:t>Keith A. Baker, UC Live Inc. v. Bell Media Inc., David Corey</w:t>
            </w:r>
          </w:p>
          <w:p w:rsidR="008B15A4" w:rsidRPr="00D10D3F" w:rsidRDefault="008B15A4" w:rsidP="008B15A4">
            <w:pPr>
              <w:jc w:val="both"/>
              <w:rPr>
                <w:sz w:val="20"/>
              </w:rPr>
            </w:pPr>
            <w:r w:rsidRPr="00D10D3F">
              <w:rPr>
                <w:sz w:val="20"/>
              </w:rPr>
              <w:t>(Ont.) (Civil) (By Leave)</w:t>
            </w:r>
          </w:p>
        </w:tc>
      </w:tr>
      <w:tr w:rsidR="008B15A4" w:rsidRPr="00D10D3F" w:rsidTr="00000FE4">
        <w:tc>
          <w:tcPr>
            <w:tcW w:w="5000" w:type="pct"/>
            <w:gridSpan w:val="4"/>
          </w:tcPr>
          <w:p w:rsidR="008B15A4" w:rsidRPr="00D10D3F" w:rsidRDefault="008B15A4" w:rsidP="008B15A4">
            <w:pPr>
              <w:jc w:val="both"/>
              <w:rPr>
                <w:sz w:val="20"/>
              </w:rPr>
            </w:pPr>
            <w:r w:rsidRPr="00D10D3F">
              <w:rPr>
                <w:sz w:val="20"/>
              </w:rPr>
              <w:t xml:space="preserve">Civil procedure – Pleadings – Motion to Strike – Fiduciary Duty – Claim for breach of fiduciary duty struck without leave to amend – Given that the categories of fiduciary duty are never closed, is it proper to strike novel, </w:t>
            </w:r>
            <w:r w:rsidRPr="00D10D3F">
              <w:rPr>
                <w:i/>
                <w:sz w:val="20"/>
              </w:rPr>
              <w:t>ad hoc</w:t>
            </w:r>
            <w:r w:rsidRPr="00D10D3F">
              <w:rPr>
                <w:sz w:val="20"/>
              </w:rPr>
              <w:t xml:space="preserve"> fiduciary claims at a pleadings motion, before any evidence has been submitted and without a meticulous examination of the facts, in circumstances where: (a) such claims are not statute barred, and (b) there is no extant case law that has already denied a fiduciary relationship under identical circumstances.</w:t>
            </w:r>
          </w:p>
        </w:tc>
      </w:tr>
      <w:tr w:rsidR="008B15A4" w:rsidRPr="00D10D3F" w:rsidTr="00000FE4">
        <w:tc>
          <w:tcPr>
            <w:tcW w:w="5000" w:type="pct"/>
            <w:gridSpan w:val="4"/>
          </w:tcPr>
          <w:p w:rsidR="008B15A4" w:rsidRPr="00D10D3F" w:rsidRDefault="008B15A4" w:rsidP="008B15A4">
            <w:pPr>
              <w:jc w:val="both"/>
              <w:rPr>
                <w:sz w:val="20"/>
              </w:rPr>
            </w:pPr>
          </w:p>
          <w:p w:rsidR="008B15A4" w:rsidRPr="00D10D3F" w:rsidRDefault="008B15A4" w:rsidP="008B15A4">
            <w:pPr>
              <w:jc w:val="both"/>
              <w:rPr>
                <w:sz w:val="20"/>
              </w:rPr>
            </w:pPr>
            <w:r w:rsidRPr="00D10D3F">
              <w:rPr>
                <w:sz w:val="20"/>
              </w:rPr>
              <w:t xml:space="preserve">The applicants are concert promoters who advertise on radio stations owned by the respondent Bell Media Inc. (“Bell”). They allege that Bell refused to sell them radio advertising for a concert they promoted, due to litigation they had commenced against a Bell related company. When the event was cancelled due to low ticket sales, the applicants brought an action against Bell claiming, </w:t>
            </w:r>
            <w:r w:rsidRPr="00D10D3F">
              <w:rPr>
                <w:i/>
                <w:sz w:val="20"/>
              </w:rPr>
              <w:t>inter alia</w:t>
            </w:r>
            <w:r w:rsidRPr="00D10D3F">
              <w:rPr>
                <w:sz w:val="20"/>
              </w:rPr>
              <w:t>, breach of contract, promissory estoppel and breach of fiduciary duty. Bell brought a motion to strike the statement of claim and dismiss the action on the basis that the pleadings disclosed no reasonable cause of action. The Ontario Superior Court of Justice struck the claims for breach of contract and promissory estoppel, with leave to amend, and struck the claim for breach of fiduciary duty without leave to amend. The Ontario Court of Appeal dismissed the applicants’ appeal of the decision to strike the claim for breach of fiduciary duty.</w:t>
            </w:r>
          </w:p>
        </w:tc>
      </w:tr>
      <w:tr w:rsidR="008B15A4" w:rsidRPr="00D10D3F" w:rsidTr="00000FE4">
        <w:tc>
          <w:tcPr>
            <w:tcW w:w="5000" w:type="pct"/>
            <w:gridSpan w:val="4"/>
          </w:tcPr>
          <w:p w:rsidR="008B15A4" w:rsidRPr="00D10D3F" w:rsidRDefault="008B15A4" w:rsidP="008B15A4">
            <w:pPr>
              <w:jc w:val="both"/>
              <w:rPr>
                <w:sz w:val="20"/>
              </w:rPr>
            </w:pPr>
          </w:p>
        </w:tc>
      </w:tr>
      <w:tr w:rsidR="008B15A4" w:rsidRPr="00D10D3F" w:rsidTr="00000FE4">
        <w:tc>
          <w:tcPr>
            <w:tcW w:w="2427" w:type="pct"/>
            <w:gridSpan w:val="2"/>
          </w:tcPr>
          <w:p w:rsidR="008B15A4" w:rsidRPr="00D10D3F" w:rsidRDefault="008B15A4" w:rsidP="008B15A4">
            <w:pPr>
              <w:jc w:val="both"/>
              <w:rPr>
                <w:sz w:val="20"/>
              </w:rPr>
            </w:pPr>
            <w:r w:rsidRPr="00D10D3F">
              <w:rPr>
                <w:sz w:val="20"/>
              </w:rPr>
              <w:t>March 11, 2015</w:t>
            </w:r>
          </w:p>
          <w:p w:rsidR="008B15A4" w:rsidRPr="00D10D3F" w:rsidRDefault="008B15A4" w:rsidP="008B15A4">
            <w:pPr>
              <w:jc w:val="both"/>
              <w:rPr>
                <w:sz w:val="20"/>
              </w:rPr>
            </w:pPr>
            <w:r w:rsidRPr="00D10D3F">
              <w:rPr>
                <w:sz w:val="20"/>
              </w:rPr>
              <w:t>Ontario Superior Court of Justice</w:t>
            </w:r>
          </w:p>
          <w:p w:rsidR="008B15A4" w:rsidRPr="00D10D3F" w:rsidRDefault="008B15A4" w:rsidP="008B15A4">
            <w:pPr>
              <w:jc w:val="both"/>
              <w:rPr>
                <w:sz w:val="20"/>
              </w:rPr>
            </w:pPr>
            <w:r w:rsidRPr="00D10D3F">
              <w:rPr>
                <w:sz w:val="20"/>
              </w:rPr>
              <w:t>(Diamond J.)</w:t>
            </w:r>
          </w:p>
          <w:p w:rsidR="008B15A4" w:rsidRPr="00D10D3F" w:rsidRDefault="008B15A4" w:rsidP="008B15A4">
            <w:pPr>
              <w:jc w:val="both"/>
              <w:rPr>
                <w:sz w:val="20"/>
              </w:rPr>
            </w:pPr>
            <w:r w:rsidRPr="00D10D3F">
              <w:rPr>
                <w:sz w:val="20"/>
              </w:rPr>
              <w:t>CV-14-501793</w:t>
            </w:r>
          </w:p>
          <w:p w:rsidR="008B15A4" w:rsidRPr="00D10D3F" w:rsidRDefault="008B15A4" w:rsidP="008B15A4">
            <w:pPr>
              <w:jc w:val="both"/>
              <w:rPr>
                <w:sz w:val="20"/>
              </w:rPr>
            </w:pPr>
          </w:p>
        </w:tc>
        <w:tc>
          <w:tcPr>
            <w:tcW w:w="243"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Order striking claims for breach of contract and promissory estoppel with leave to amend, and striking claim for breach of fiduciary duty without leave to amend</w:t>
            </w:r>
          </w:p>
          <w:p w:rsidR="008B15A4" w:rsidRPr="00D10D3F" w:rsidRDefault="008B15A4" w:rsidP="008B15A4">
            <w:pPr>
              <w:jc w:val="both"/>
              <w:rPr>
                <w:sz w:val="20"/>
              </w:rPr>
            </w:pPr>
          </w:p>
        </w:tc>
      </w:tr>
      <w:tr w:rsidR="008B15A4" w:rsidRPr="00D10D3F" w:rsidTr="00000FE4">
        <w:tc>
          <w:tcPr>
            <w:tcW w:w="2427" w:type="pct"/>
            <w:gridSpan w:val="2"/>
          </w:tcPr>
          <w:p w:rsidR="008B15A4" w:rsidRPr="00D10D3F" w:rsidRDefault="008B15A4" w:rsidP="008B15A4">
            <w:pPr>
              <w:jc w:val="both"/>
              <w:rPr>
                <w:sz w:val="20"/>
              </w:rPr>
            </w:pPr>
            <w:r w:rsidRPr="00D10D3F">
              <w:rPr>
                <w:sz w:val="20"/>
              </w:rPr>
              <w:t>November 13, 2015</w:t>
            </w:r>
          </w:p>
          <w:p w:rsidR="008B15A4" w:rsidRPr="00D10D3F" w:rsidRDefault="008B15A4" w:rsidP="008B15A4">
            <w:pPr>
              <w:jc w:val="both"/>
              <w:rPr>
                <w:sz w:val="20"/>
              </w:rPr>
            </w:pPr>
            <w:r w:rsidRPr="00D10D3F">
              <w:rPr>
                <w:sz w:val="20"/>
              </w:rPr>
              <w:t>Court of Appeal for Ontario</w:t>
            </w:r>
          </w:p>
          <w:p w:rsidR="008B15A4" w:rsidRPr="00D10D3F" w:rsidRDefault="008B15A4" w:rsidP="008B15A4">
            <w:pPr>
              <w:jc w:val="both"/>
              <w:rPr>
                <w:sz w:val="20"/>
              </w:rPr>
            </w:pPr>
            <w:r w:rsidRPr="00D10D3F">
              <w:rPr>
                <w:sz w:val="20"/>
              </w:rPr>
              <w:t xml:space="preserve">(Simmons, van </w:t>
            </w:r>
            <w:proofErr w:type="spellStart"/>
            <w:r w:rsidRPr="00D10D3F">
              <w:rPr>
                <w:sz w:val="20"/>
              </w:rPr>
              <w:t>Rensburg</w:t>
            </w:r>
            <w:proofErr w:type="spellEnd"/>
            <w:r w:rsidRPr="00D10D3F">
              <w:rPr>
                <w:sz w:val="20"/>
              </w:rPr>
              <w:t xml:space="preserve"> and Hourigan JJ.A)</w:t>
            </w:r>
          </w:p>
          <w:p w:rsidR="008B15A4" w:rsidRPr="00D10D3F" w:rsidRDefault="00D936BC" w:rsidP="008B15A4">
            <w:pPr>
              <w:jc w:val="both"/>
              <w:rPr>
                <w:sz w:val="20"/>
              </w:rPr>
            </w:pPr>
            <w:hyperlink r:id="rId29" w:history="1">
              <w:r w:rsidR="008B15A4" w:rsidRPr="00D10D3F">
                <w:rPr>
                  <w:rStyle w:val="Hyperlink"/>
                  <w:sz w:val="20"/>
                </w:rPr>
                <w:t>2015 ONCA 835</w:t>
              </w:r>
            </w:hyperlink>
          </w:p>
          <w:p w:rsidR="008B15A4" w:rsidRPr="00D10D3F" w:rsidRDefault="008B15A4" w:rsidP="008B15A4">
            <w:pPr>
              <w:jc w:val="both"/>
              <w:rPr>
                <w:sz w:val="20"/>
              </w:rPr>
            </w:pPr>
          </w:p>
        </w:tc>
        <w:tc>
          <w:tcPr>
            <w:tcW w:w="243"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Appeal dismissed</w:t>
            </w:r>
          </w:p>
          <w:p w:rsidR="008B15A4" w:rsidRPr="00D10D3F" w:rsidRDefault="008B15A4" w:rsidP="008B15A4">
            <w:pPr>
              <w:jc w:val="both"/>
              <w:rPr>
                <w:sz w:val="20"/>
              </w:rPr>
            </w:pPr>
          </w:p>
        </w:tc>
      </w:tr>
      <w:tr w:rsidR="008B15A4" w:rsidRPr="00D10D3F" w:rsidTr="00000FE4">
        <w:tc>
          <w:tcPr>
            <w:tcW w:w="2427" w:type="pct"/>
            <w:gridSpan w:val="2"/>
          </w:tcPr>
          <w:p w:rsidR="008B15A4" w:rsidRPr="00D10D3F" w:rsidRDefault="008B15A4" w:rsidP="008B15A4">
            <w:pPr>
              <w:jc w:val="both"/>
              <w:rPr>
                <w:sz w:val="20"/>
              </w:rPr>
            </w:pPr>
            <w:r w:rsidRPr="00D10D3F">
              <w:rPr>
                <w:sz w:val="20"/>
              </w:rPr>
              <w:t>February 1, 2016</w:t>
            </w:r>
          </w:p>
          <w:p w:rsidR="008B15A4" w:rsidRPr="00D10D3F" w:rsidRDefault="008B15A4" w:rsidP="008B15A4">
            <w:pPr>
              <w:jc w:val="both"/>
              <w:rPr>
                <w:sz w:val="20"/>
              </w:rPr>
            </w:pPr>
            <w:r w:rsidRPr="00D10D3F">
              <w:rPr>
                <w:sz w:val="20"/>
              </w:rPr>
              <w:t>Supreme Court of Canada</w:t>
            </w:r>
          </w:p>
          <w:p w:rsidR="008B15A4" w:rsidRPr="00D10D3F" w:rsidRDefault="008B15A4" w:rsidP="008B15A4">
            <w:pPr>
              <w:jc w:val="both"/>
              <w:rPr>
                <w:sz w:val="20"/>
              </w:rPr>
            </w:pPr>
          </w:p>
        </w:tc>
        <w:tc>
          <w:tcPr>
            <w:tcW w:w="243"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Application for leave to appeal filed</w:t>
            </w:r>
          </w:p>
          <w:p w:rsidR="008B15A4" w:rsidRPr="00D10D3F" w:rsidRDefault="008B15A4" w:rsidP="008B15A4">
            <w:pPr>
              <w:jc w:val="both"/>
              <w:rPr>
                <w:sz w:val="20"/>
              </w:rPr>
            </w:pPr>
          </w:p>
        </w:tc>
      </w:tr>
      <w:tr w:rsidR="008B15A4" w:rsidRPr="00D10D3F" w:rsidTr="00000FE4">
        <w:tc>
          <w:tcPr>
            <w:tcW w:w="2427" w:type="pct"/>
            <w:gridSpan w:val="2"/>
          </w:tcPr>
          <w:p w:rsidR="008B15A4" w:rsidRPr="00D10D3F" w:rsidRDefault="008B15A4" w:rsidP="008B15A4">
            <w:pPr>
              <w:jc w:val="both"/>
              <w:rPr>
                <w:sz w:val="20"/>
              </w:rPr>
            </w:pPr>
            <w:r w:rsidRPr="00D10D3F">
              <w:rPr>
                <w:sz w:val="20"/>
              </w:rPr>
              <w:t>February 3, 2016</w:t>
            </w:r>
          </w:p>
          <w:p w:rsidR="008B15A4" w:rsidRPr="00D10D3F" w:rsidRDefault="008B15A4" w:rsidP="008B15A4">
            <w:pPr>
              <w:jc w:val="both"/>
              <w:rPr>
                <w:sz w:val="20"/>
              </w:rPr>
            </w:pPr>
            <w:r w:rsidRPr="00D10D3F">
              <w:rPr>
                <w:sz w:val="20"/>
              </w:rPr>
              <w:t>Supreme Court of Canada</w:t>
            </w:r>
          </w:p>
        </w:tc>
        <w:tc>
          <w:tcPr>
            <w:tcW w:w="243" w:type="pct"/>
          </w:tcPr>
          <w:p w:rsidR="008B15A4" w:rsidRPr="00D10D3F" w:rsidRDefault="008B15A4" w:rsidP="008B15A4">
            <w:pPr>
              <w:jc w:val="both"/>
              <w:rPr>
                <w:sz w:val="20"/>
              </w:rPr>
            </w:pPr>
          </w:p>
        </w:tc>
        <w:tc>
          <w:tcPr>
            <w:tcW w:w="2330" w:type="pct"/>
          </w:tcPr>
          <w:p w:rsidR="008B15A4" w:rsidRPr="00D10D3F" w:rsidRDefault="008B15A4" w:rsidP="008B15A4">
            <w:pPr>
              <w:jc w:val="both"/>
              <w:rPr>
                <w:sz w:val="20"/>
              </w:rPr>
            </w:pPr>
            <w:r w:rsidRPr="00D10D3F">
              <w:rPr>
                <w:sz w:val="20"/>
              </w:rPr>
              <w:t>Motion for an extension of time to serve and file leave application filed</w:t>
            </w:r>
          </w:p>
        </w:tc>
      </w:tr>
    </w:tbl>
    <w:p w:rsidR="008B15A4" w:rsidRPr="00D10D3F" w:rsidRDefault="008B15A4" w:rsidP="008B15A4">
      <w:pPr>
        <w:jc w:val="both"/>
        <w:rPr>
          <w:sz w:val="20"/>
        </w:rPr>
      </w:pPr>
    </w:p>
    <w:p w:rsidR="008B15A4" w:rsidRPr="00D10D3F" w:rsidRDefault="008B15A4" w:rsidP="008B15A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B15A4" w:rsidRPr="00D10D3F" w:rsidTr="00000FE4">
        <w:tc>
          <w:tcPr>
            <w:tcW w:w="543" w:type="pct"/>
          </w:tcPr>
          <w:p w:rsidR="008B15A4" w:rsidRPr="00D10D3F" w:rsidRDefault="008B15A4" w:rsidP="008B15A4">
            <w:pPr>
              <w:jc w:val="both"/>
              <w:rPr>
                <w:sz w:val="20"/>
                <w:lang w:val="fr-CA"/>
              </w:rPr>
            </w:pPr>
            <w:r w:rsidRPr="00D10D3F">
              <w:rPr>
                <w:rStyle w:val="SCCFileNumberChar"/>
                <w:sz w:val="20"/>
                <w:szCs w:val="20"/>
                <w:lang w:val="fr-CA"/>
              </w:rPr>
              <w:t>36828</w:t>
            </w:r>
          </w:p>
        </w:tc>
        <w:tc>
          <w:tcPr>
            <w:tcW w:w="4457" w:type="pct"/>
            <w:gridSpan w:val="3"/>
          </w:tcPr>
          <w:p w:rsidR="008B15A4" w:rsidRPr="00D10D3F" w:rsidRDefault="008B15A4" w:rsidP="008B15A4">
            <w:pPr>
              <w:pStyle w:val="SCCLsocParty"/>
              <w:jc w:val="both"/>
              <w:rPr>
                <w:b/>
                <w:sz w:val="20"/>
                <w:szCs w:val="20"/>
                <w:lang w:val="en-US"/>
              </w:rPr>
            </w:pPr>
            <w:r w:rsidRPr="00D10D3F">
              <w:rPr>
                <w:b/>
                <w:sz w:val="20"/>
                <w:szCs w:val="20"/>
                <w:lang w:val="en-US"/>
              </w:rPr>
              <w:t>Keith A. Baker, UC Live Inc. c. Bell Media Inc., David Corey</w:t>
            </w:r>
          </w:p>
          <w:p w:rsidR="008B15A4" w:rsidRPr="00D10D3F" w:rsidRDefault="008B15A4" w:rsidP="008B15A4">
            <w:pPr>
              <w:jc w:val="both"/>
              <w:rPr>
                <w:sz w:val="20"/>
                <w:lang w:val="fr-CA"/>
              </w:rPr>
            </w:pPr>
            <w:r w:rsidRPr="00D10D3F">
              <w:rPr>
                <w:sz w:val="20"/>
                <w:lang w:val="fr-CA"/>
              </w:rPr>
              <w:t>(Ont.) (Civile) (Sur autorisation)</w:t>
            </w:r>
          </w:p>
        </w:tc>
      </w:tr>
      <w:tr w:rsidR="008B15A4" w:rsidRPr="00D10D3F" w:rsidTr="00000FE4">
        <w:tc>
          <w:tcPr>
            <w:tcW w:w="5000" w:type="pct"/>
            <w:gridSpan w:val="4"/>
          </w:tcPr>
          <w:p w:rsidR="008B15A4" w:rsidRPr="00D10D3F" w:rsidRDefault="008B15A4" w:rsidP="008B15A4">
            <w:pPr>
              <w:jc w:val="both"/>
              <w:rPr>
                <w:sz w:val="20"/>
                <w:lang w:val="fr-CA"/>
              </w:rPr>
            </w:pPr>
            <w:r w:rsidRPr="00D10D3F">
              <w:rPr>
                <w:sz w:val="20"/>
                <w:lang w:val="fr-CA"/>
              </w:rPr>
              <w:t xml:space="preserve">Procédure civile – Actes de procédure – Motion en radiation – Obligation fiduciaire – La demande pour manquement à l’obligation fiduciaire a été radiée sans autorisation de la modifier – Vu que les catégories d’obligations fiduciaires ne sont jamais fermées, est-il approprié de radier des demandes nouvelles </w:t>
            </w:r>
            <w:r w:rsidRPr="00D10D3F">
              <w:rPr>
                <w:i/>
                <w:sz w:val="20"/>
                <w:lang w:val="fr-CA"/>
              </w:rPr>
              <w:t>ad hoc</w:t>
            </w:r>
            <w:r w:rsidRPr="00D10D3F">
              <w:rPr>
                <w:sz w:val="20"/>
                <w:lang w:val="fr-CA"/>
              </w:rPr>
              <w:t xml:space="preserve"> pour manquement à l’obligation fiduciaire au stade d’une motion en radiation d’un acte de procédure avant que des éléments de preuve aient été présentés et sans examen approfondi des faits, dans des situations où : a) les demandes ne sont pas prescrites et b) il n’existe aucune jurisprudence qui a déjà nié l’existence d’une relation fiduciaire dans des circonstances identiques?</w:t>
            </w:r>
          </w:p>
        </w:tc>
      </w:tr>
      <w:tr w:rsidR="008B15A4" w:rsidRPr="00D10D3F" w:rsidTr="00000FE4">
        <w:tc>
          <w:tcPr>
            <w:tcW w:w="5000" w:type="pct"/>
            <w:gridSpan w:val="4"/>
          </w:tcPr>
          <w:p w:rsidR="008B15A4" w:rsidRPr="00D10D3F" w:rsidRDefault="008B15A4" w:rsidP="008B15A4">
            <w:pPr>
              <w:jc w:val="both"/>
              <w:rPr>
                <w:sz w:val="20"/>
                <w:lang w:val="fr-CA"/>
              </w:rPr>
            </w:pPr>
          </w:p>
          <w:p w:rsidR="008B15A4" w:rsidRPr="00D10D3F" w:rsidRDefault="008B15A4" w:rsidP="008B15A4">
            <w:pPr>
              <w:jc w:val="both"/>
              <w:rPr>
                <w:sz w:val="20"/>
                <w:lang w:val="fr-CA"/>
              </w:rPr>
            </w:pPr>
            <w:r w:rsidRPr="00D10D3F">
              <w:rPr>
                <w:sz w:val="20"/>
                <w:lang w:val="fr-CA"/>
              </w:rPr>
              <w:lastRenderedPageBreak/>
              <w:t>Les demandeurs sont des promoteurs de concerts qui font de la publicité sur les ondes de stations radio appartenant à l’intimée Bell Media Inc. (« Bell »). Ils allèguent que Bell aurait refusé de leur vendre de la publicité à la radio pour un concert dont ils faisaient la promotion en raison d’une action qu’ils avaient intentée contre une société du groupe Bell. Lorsque l’événement a été annulé en raison de ventes de billets insuffisantes, les demandeurs ont intenté une action contre Bell, alléguant notamment la violation de contrat, la préclusion promissoire et le manquement à l’obligation fiduciaire. Bell a présenté une motion en radiation de la déclaration et en rejet de l’action, plaidant que les actes de procédure ne révélaient aucune cause d’action fondée. La Cour supérieure de justice a radié les demandes en violation de contrat et en préclusion promissoire, avec autorisation de les modifier, et a radié la demande pour manquement à l’obligation fiduciaire sans autorisation de la modifier. La Cour d’appel de l’Ontario a rejeté l’appel interjeté par les demandeurs de la décision de radier la demande pour manquement à l’obligation fiduciaire.</w:t>
            </w:r>
          </w:p>
        </w:tc>
      </w:tr>
      <w:tr w:rsidR="008B15A4" w:rsidRPr="00D10D3F" w:rsidTr="00000FE4">
        <w:tc>
          <w:tcPr>
            <w:tcW w:w="5000" w:type="pct"/>
            <w:gridSpan w:val="4"/>
          </w:tcPr>
          <w:p w:rsidR="008B15A4" w:rsidRPr="00D10D3F" w:rsidRDefault="008B15A4" w:rsidP="008B15A4">
            <w:pPr>
              <w:jc w:val="both"/>
              <w:rPr>
                <w:sz w:val="20"/>
                <w:lang w:val="fr-CA"/>
              </w:rPr>
            </w:pPr>
          </w:p>
        </w:tc>
      </w:tr>
      <w:tr w:rsidR="008B15A4" w:rsidRPr="00D10D3F" w:rsidTr="00000FE4">
        <w:tc>
          <w:tcPr>
            <w:tcW w:w="2427" w:type="pct"/>
            <w:gridSpan w:val="2"/>
          </w:tcPr>
          <w:p w:rsidR="008B15A4" w:rsidRPr="00D10D3F" w:rsidRDefault="008B15A4" w:rsidP="008B15A4">
            <w:pPr>
              <w:jc w:val="both"/>
              <w:rPr>
                <w:sz w:val="20"/>
                <w:lang w:val="fr-CA"/>
              </w:rPr>
            </w:pPr>
            <w:r w:rsidRPr="00D10D3F">
              <w:rPr>
                <w:sz w:val="20"/>
                <w:lang w:val="fr-CA"/>
              </w:rPr>
              <w:t>11 mars 2015</w:t>
            </w:r>
          </w:p>
          <w:p w:rsidR="008B15A4" w:rsidRPr="00D10D3F" w:rsidRDefault="008B15A4" w:rsidP="008B15A4">
            <w:pPr>
              <w:jc w:val="both"/>
              <w:rPr>
                <w:sz w:val="20"/>
                <w:lang w:val="fr-CA"/>
              </w:rPr>
            </w:pPr>
            <w:r w:rsidRPr="00D10D3F">
              <w:rPr>
                <w:sz w:val="20"/>
                <w:lang w:val="fr-CA"/>
              </w:rPr>
              <w:t>Cour supérieure de justice de l’Ontario</w:t>
            </w:r>
          </w:p>
          <w:p w:rsidR="008B15A4" w:rsidRPr="00D10D3F" w:rsidRDefault="008B15A4" w:rsidP="008B15A4">
            <w:pPr>
              <w:jc w:val="both"/>
              <w:rPr>
                <w:sz w:val="20"/>
                <w:lang w:val="fr-CA"/>
              </w:rPr>
            </w:pPr>
            <w:r w:rsidRPr="00D10D3F">
              <w:rPr>
                <w:sz w:val="20"/>
                <w:lang w:val="fr-CA"/>
              </w:rPr>
              <w:t>(Juge Diamond)</w:t>
            </w:r>
          </w:p>
          <w:p w:rsidR="008B15A4" w:rsidRPr="00D10D3F" w:rsidRDefault="008B15A4" w:rsidP="008B15A4">
            <w:pPr>
              <w:jc w:val="both"/>
              <w:rPr>
                <w:sz w:val="20"/>
                <w:lang w:val="fr-CA"/>
              </w:rPr>
            </w:pPr>
            <w:r w:rsidRPr="00D10D3F">
              <w:rPr>
                <w:sz w:val="20"/>
                <w:lang w:val="fr-CA"/>
              </w:rPr>
              <w:t>CV-14-501793</w:t>
            </w:r>
          </w:p>
          <w:p w:rsidR="008B15A4" w:rsidRPr="00D10D3F" w:rsidRDefault="008B15A4" w:rsidP="008B15A4">
            <w:pPr>
              <w:jc w:val="both"/>
              <w:rPr>
                <w:sz w:val="20"/>
                <w:lang w:val="fr-CA"/>
              </w:rPr>
            </w:pPr>
          </w:p>
        </w:tc>
        <w:tc>
          <w:tcPr>
            <w:tcW w:w="243"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Radiation des demandes en violation de contrat et en préclusion promissoire avec autorisation de les modifier et radiation de la demande pour manquement à l’obligation fiduciaire sans autorisation de la modifier</w:t>
            </w:r>
          </w:p>
          <w:p w:rsidR="008B15A4" w:rsidRPr="00D10D3F" w:rsidRDefault="008B15A4" w:rsidP="008B15A4">
            <w:pPr>
              <w:jc w:val="both"/>
              <w:rPr>
                <w:sz w:val="20"/>
                <w:lang w:val="fr-CA"/>
              </w:rPr>
            </w:pPr>
          </w:p>
        </w:tc>
      </w:tr>
      <w:tr w:rsidR="008B15A4" w:rsidRPr="00D10D3F" w:rsidTr="00000FE4">
        <w:tc>
          <w:tcPr>
            <w:tcW w:w="2427" w:type="pct"/>
            <w:gridSpan w:val="2"/>
          </w:tcPr>
          <w:p w:rsidR="008B15A4" w:rsidRPr="00D10D3F" w:rsidRDefault="008B15A4" w:rsidP="008B15A4">
            <w:pPr>
              <w:jc w:val="both"/>
              <w:rPr>
                <w:sz w:val="20"/>
                <w:lang w:val="fr-CA"/>
              </w:rPr>
            </w:pPr>
            <w:r w:rsidRPr="00D10D3F">
              <w:rPr>
                <w:sz w:val="20"/>
                <w:lang w:val="fr-CA"/>
              </w:rPr>
              <w:t>13 novembre 2015</w:t>
            </w:r>
          </w:p>
          <w:p w:rsidR="008B15A4" w:rsidRPr="00D10D3F" w:rsidRDefault="008B15A4" w:rsidP="008B15A4">
            <w:pPr>
              <w:jc w:val="both"/>
              <w:rPr>
                <w:sz w:val="20"/>
                <w:lang w:val="fr-CA"/>
              </w:rPr>
            </w:pPr>
            <w:r w:rsidRPr="00D10D3F">
              <w:rPr>
                <w:sz w:val="20"/>
                <w:lang w:val="fr-CA"/>
              </w:rPr>
              <w:t xml:space="preserve">Cour d’appel de l’Ontario </w:t>
            </w:r>
          </w:p>
          <w:p w:rsidR="008B15A4" w:rsidRPr="00D10D3F" w:rsidRDefault="008B15A4" w:rsidP="008B15A4">
            <w:pPr>
              <w:jc w:val="both"/>
              <w:rPr>
                <w:sz w:val="20"/>
                <w:lang w:val="fr-CA"/>
              </w:rPr>
            </w:pPr>
            <w:r w:rsidRPr="00D10D3F">
              <w:rPr>
                <w:sz w:val="20"/>
                <w:lang w:val="fr-CA"/>
              </w:rPr>
              <w:t>(Juges Simmons, van Rensburg et Hourigan)</w:t>
            </w:r>
          </w:p>
          <w:p w:rsidR="008B15A4" w:rsidRPr="00D10D3F" w:rsidRDefault="00D936BC" w:rsidP="008B15A4">
            <w:pPr>
              <w:jc w:val="both"/>
              <w:rPr>
                <w:sz w:val="20"/>
                <w:lang w:val="fr-CA"/>
              </w:rPr>
            </w:pPr>
            <w:hyperlink r:id="rId30" w:history="1">
              <w:r w:rsidR="008B15A4" w:rsidRPr="00D10D3F">
                <w:rPr>
                  <w:rStyle w:val="Hyperlink"/>
                  <w:sz w:val="20"/>
                  <w:lang w:val="fr-CA"/>
                </w:rPr>
                <w:t>2015 ONCA 835</w:t>
              </w:r>
            </w:hyperlink>
          </w:p>
          <w:p w:rsidR="008B15A4" w:rsidRPr="00D10D3F" w:rsidRDefault="008B15A4" w:rsidP="008B15A4">
            <w:pPr>
              <w:jc w:val="both"/>
              <w:rPr>
                <w:sz w:val="20"/>
                <w:lang w:val="fr-CA"/>
              </w:rPr>
            </w:pPr>
          </w:p>
        </w:tc>
        <w:tc>
          <w:tcPr>
            <w:tcW w:w="243"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Rejet de l’appel</w:t>
            </w:r>
          </w:p>
          <w:p w:rsidR="008B15A4" w:rsidRPr="00D10D3F" w:rsidRDefault="008B15A4" w:rsidP="008B15A4">
            <w:pPr>
              <w:jc w:val="both"/>
              <w:rPr>
                <w:sz w:val="20"/>
                <w:lang w:val="fr-CA"/>
              </w:rPr>
            </w:pPr>
          </w:p>
        </w:tc>
      </w:tr>
      <w:tr w:rsidR="008B15A4" w:rsidRPr="00D10D3F" w:rsidTr="00000FE4">
        <w:tc>
          <w:tcPr>
            <w:tcW w:w="2427" w:type="pct"/>
            <w:gridSpan w:val="2"/>
          </w:tcPr>
          <w:p w:rsidR="008B15A4" w:rsidRPr="00D10D3F" w:rsidRDefault="008B15A4" w:rsidP="008B15A4">
            <w:pPr>
              <w:jc w:val="both"/>
              <w:rPr>
                <w:sz w:val="20"/>
                <w:lang w:val="fr-CA"/>
              </w:rPr>
            </w:pPr>
            <w:r w:rsidRPr="00D10D3F">
              <w:rPr>
                <w:sz w:val="20"/>
                <w:lang w:val="fr-CA"/>
              </w:rPr>
              <w:t>1</w:t>
            </w:r>
            <w:r w:rsidRPr="00D10D3F">
              <w:rPr>
                <w:sz w:val="20"/>
                <w:vertAlign w:val="superscript"/>
                <w:lang w:val="fr-CA"/>
              </w:rPr>
              <w:t>er</w:t>
            </w:r>
            <w:r w:rsidRPr="00D10D3F">
              <w:rPr>
                <w:sz w:val="20"/>
                <w:lang w:val="fr-CA"/>
              </w:rPr>
              <w:t xml:space="preserve"> février 2016</w:t>
            </w:r>
          </w:p>
          <w:p w:rsidR="008B15A4" w:rsidRPr="00D10D3F" w:rsidRDefault="008B15A4" w:rsidP="008B15A4">
            <w:pPr>
              <w:jc w:val="both"/>
              <w:rPr>
                <w:sz w:val="20"/>
                <w:lang w:val="fr-CA"/>
              </w:rPr>
            </w:pPr>
            <w:r w:rsidRPr="00D10D3F">
              <w:rPr>
                <w:sz w:val="20"/>
                <w:lang w:val="fr-CA"/>
              </w:rPr>
              <w:t>Cour suprême du Canada</w:t>
            </w:r>
          </w:p>
          <w:p w:rsidR="008B15A4" w:rsidRPr="00D10D3F" w:rsidRDefault="008B15A4" w:rsidP="008B15A4">
            <w:pPr>
              <w:jc w:val="both"/>
              <w:rPr>
                <w:sz w:val="20"/>
                <w:lang w:val="fr-CA"/>
              </w:rPr>
            </w:pPr>
          </w:p>
        </w:tc>
        <w:tc>
          <w:tcPr>
            <w:tcW w:w="243"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Dépôt de la demande d’autorisation d’appel</w:t>
            </w:r>
          </w:p>
          <w:p w:rsidR="008B15A4" w:rsidRPr="00D10D3F" w:rsidRDefault="008B15A4" w:rsidP="008B15A4">
            <w:pPr>
              <w:jc w:val="both"/>
              <w:rPr>
                <w:sz w:val="20"/>
                <w:lang w:val="fr-CA"/>
              </w:rPr>
            </w:pPr>
          </w:p>
        </w:tc>
      </w:tr>
      <w:tr w:rsidR="008B15A4" w:rsidRPr="00D10D3F" w:rsidTr="00000FE4">
        <w:tc>
          <w:tcPr>
            <w:tcW w:w="2427" w:type="pct"/>
            <w:gridSpan w:val="2"/>
          </w:tcPr>
          <w:p w:rsidR="008B15A4" w:rsidRPr="00D10D3F" w:rsidRDefault="008B15A4" w:rsidP="008B15A4">
            <w:pPr>
              <w:jc w:val="both"/>
              <w:rPr>
                <w:sz w:val="20"/>
                <w:lang w:val="fr-CA"/>
              </w:rPr>
            </w:pPr>
            <w:r w:rsidRPr="00D10D3F">
              <w:rPr>
                <w:sz w:val="20"/>
                <w:lang w:val="fr-CA"/>
              </w:rPr>
              <w:t>3 février 2016</w:t>
            </w:r>
          </w:p>
          <w:p w:rsidR="008B15A4" w:rsidRPr="00D10D3F" w:rsidRDefault="008B15A4" w:rsidP="008B15A4">
            <w:pPr>
              <w:jc w:val="both"/>
              <w:rPr>
                <w:sz w:val="20"/>
                <w:lang w:val="fr-CA"/>
              </w:rPr>
            </w:pPr>
            <w:r w:rsidRPr="00D10D3F">
              <w:rPr>
                <w:sz w:val="20"/>
                <w:lang w:val="fr-CA"/>
              </w:rPr>
              <w:t>Cour suprême du Canada</w:t>
            </w:r>
          </w:p>
        </w:tc>
        <w:tc>
          <w:tcPr>
            <w:tcW w:w="243" w:type="pct"/>
          </w:tcPr>
          <w:p w:rsidR="008B15A4" w:rsidRPr="00D10D3F" w:rsidRDefault="008B15A4" w:rsidP="008B15A4">
            <w:pPr>
              <w:jc w:val="both"/>
              <w:rPr>
                <w:sz w:val="20"/>
                <w:lang w:val="fr-CA"/>
              </w:rPr>
            </w:pPr>
          </w:p>
        </w:tc>
        <w:tc>
          <w:tcPr>
            <w:tcW w:w="2330" w:type="pct"/>
          </w:tcPr>
          <w:p w:rsidR="008B15A4" w:rsidRPr="00D10D3F" w:rsidRDefault="008B15A4" w:rsidP="008B15A4">
            <w:pPr>
              <w:jc w:val="both"/>
              <w:rPr>
                <w:sz w:val="20"/>
                <w:lang w:val="fr-CA"/>
              </w:rPr>
            </w:pPr>
            <w:r w:rsidRPr="00D10D3F">
              <w:rPr>
                <w:sz w:val="20"/>
                <w:lang w:val="fr-CA"/>
              </w:rPr>
              <w:t>Dépôt de la requête en prorogation du délai de signification et de dépôt de la demande d’autorisation d’appel</w:t>
            </w:r>
          </w:p>
        </w:tc>
      </w:tr>
    </w:tbl>
    <w:p w:rsidR="008B15A4" w:rsidRPr="00D936BC" w:rsidRDefault="008B15A4" w:rsidP="00D936BC">
      <w:pPr>
        <w:jc w:val="both"/>
        <w:rPr>
          <w:sz w:val="20"/>
          <w:lang w:val="fr-CA"/>
        </w:rPr>
      </w:pPr>
    </w:p>
    <w:p w:rsidR="008B15A4" w:rsidRPr="00D936BC" w:rsidRDefault="008B15A4" w:rsidP="00D936BC">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36BC" w:rsidRPr="00D936BC" w:rsidTr="00E95A6A">
        <w:tc>
          <w:tcPr>
            <w:tcW w:w="543" w:type="pct"/>
          </w:tcPr>
          <w:p w:rsidR="00D936BC" w:rsidRPr="00D936BC" w:rsidRDefault="00D936BC" w:rsidP="00D936BC">
            <w:pPr>
              <w:jc w:val="both"/>
              <w:rPr>
                <w:sz w:val="20"/>
              </w:rPr>
            </w:pPr>
            <w:r w:rsidRPr="00D936BC">
              <w:rPr>
                <w:rStyle w:val="SCCFileNumberChar"/>
                <w:sz w:val="20"/>
                <w:szCs w:val="20"/>
              </w:rPr>
              <w:t>36795</w:t>
            </w:r>
          </w:p>
        </w:tc>
        <w:tc>
          <w:tcPr>
            <w:tcW w:w="4457" w:type="pct"/>
            <w:gridSpan w:val="3"/>
          </w:tcPr>
          <w:p w:rsidR="00D936BC" w:rsidRPr="00D936BC" w:rsidRDefault="00D936BC" w:rsidP="00D936BC">
            <w:pPr>
              <w:pStyle w:val="SCCLsocParty"/>
              <w:jc w:val="both"/>
              <w:rPr>
                <w:b/>
                <w:sz w:val="20"/>
                <w:szCs w:val="20"/>
              </w:rPr>
            </w:pPr>
            <w:r w:rsidRPr="00D936BC">
              <w:rPr>
                <w:b/>
                <w:sz w:val="20"/>
                <w:szCs w:val="20"/>
              </w:rPr>
              <w:t xml:space="preserve">Paul James v. York </w:t>
            </w:r>
            <w:proofErr w:type="spellStart"/>
            <w:r w:rsidRPr="00D936BC">
              <w:rPr>
                <w:b/>
                <w:sz w:val="20"/>
                <w:szCs w:val="20"/>
              </w:rPr>
              <w:t>University</w:t>
            </w:r>
            <w:proofErr w:type="spellEnd"/>
            <w:r w:rsidRPr="00D936BC">
              <w:rPr>
                <w:b/>
                <w:sz w:val="20"/>
                <w:szCs w:val="20"/>
              </w:rPr>
              <w:t xml:space="preserve"> and Ontario </w:t>
            </w:r>
            <w:proofErr w:type="spellStart"/>
            <w:r w:rsidRPr="00D936BC">
              <w:rPr>
                <w:b/>
                <w:sz w:val="20"/>
                <w:szCs w:val="20"/>
              </w:rPr>
              <w:t>Human</w:t>
            </w:r>
            <w:proofErr w:type="spellEnd"/>
            <w:r w:rsidRPr="00D936BC">
              <w:rPr>
                <w:b/>
                <w:sz w:val="20"/>
                <w:szCs w:val="20"/>
              </w:rPr>
              <w:t xml:space="preserve"> </w:t>
            </w:r>
            <w:proofErr w:type="spellStart"/>
            <w:r w:rsidRPr="00D936BC">
              <w:rPr>
                <w:b/>
                <w:sz w:val="20"/>
                <w:szCs w:val="20"/>
              </w:rPr>
              <w:t>Rights</w:t>
            </w:r>
            <w:proofErr w:type="spellEnd"/>
            <w:r w:rsidRPr="00D936BC">
              <w:rPr>
                <w:b/>
                <w:sz w:val="20"/>
                <w:szCs w:val="20"/>
              </w:rPr>
              <w:t xml:space="preserve"> Tribunal</w:t>
            </w:r>
          </w:p>
          <w:p w:rsidR="00D936BC" w:rsidRPr="00D936BC" w:rsidRDefault="00D936BC" w:rsidP="00D936BC">
            <w:pPr>
              <w:jc w:val="both"/>
              <w:rPr>
                <w:sz w:val="20"/>
              </w:rPr>
            </w:pPr>
            <w:r w:rsidRPr="00D936BC">
              <w:rPr>
                <w:sz w:val="20"/>
              </w:rPr>
              <w:t>(Ont.) (Civil) (By Leave)</w:t>
            </w:r>
          </w:p>
        </w:tc>
      </w:tr>
      <w:tr w:rsidR="00D936BC" w:rsidRPr="00D936BC" w:rsidTr="00E95A6A">
        <w:tc>
          <w:tcPr>
            <w:tcW w:w="5000" w:type="pct"/>
            <w:gridSpan w:val="4"/>
          </w:tcPr>
          <w:p w:rsidR="00D936BC" w:rsidRPr="00D936BC" w:rsidRDefault="00D936BC" w:rsidP="00D936BC">
            <w:pPr>
              <w:jc w:val="both"/>
              <w:rPr>
                <w:sz w:val="20"/>
              </w:rPr>
            </w:pPr>
            <w:r w:rsidRPr="00D936BC">
              <w:rPr>
                <w:sz w:val="20"/>
              </w:rPr>
              <w:t>Human Rights – Limitation period – Whether the tribunal and lower courts were in error in not permitting the Applicant’s claim to move forward to be heard on the merits because they failed to accommodate the reality of the Applicant’s disability which prevented him from filing within the one year time frame by misapplying case law to unreasonably dismiss the claim – What takes priority in the adjudicating of human rights claims filed by persons with a mental disability beyond the one year limitation, fair access to justice or expediency – Whether tribunals should accommodate applicants suffering substance use disorders who are treated at the secondary care level</w:t>
            </w:r>
          </w:p>
        </w:tc>
      </w:tr>
      <w:tr w:rsidR="00D936BC" w:rsidRPr="00D936BC" w:rsidTr="00E95A6A">
        <w:tc>
          <w:tcPr>
            <w:tcW w:w="5000" w:type="pct"/>
            <w:gridSpan w:val="4"/>
          </w:tcPr>
          <w:p w:rsidR="00D936BC" w:rsidRPr="00D936BC" w:rsidRDefault="00D936BC" w:rsidP="00D936BC">
            <w:pPr>
              <w:jc w:val="both"/>
              <w:rPr>
                <w:sz w:val="20"/>
              </w:rPr>
            </w:pPr>
          </w:p>
        </w:tc>
      </w:tr>
      <w:tr w:rsidR="00D936BC" w:rsidRPr="00D936BC" w:rsidTr="00E95A6A">
        <w:tc>
          <w:tcPr>
            <w:tcW w:w="5000" w:type="pct"/>
            <w:gridSpan w:val="4"/>
          </w:tcPr>
          <w:p w:rsidR="00D936BC" w:rsidRPr="00D936BC" w:rsidRDefault="00D936BC" w:rsidP="00D936BC">
            <w:pPr>
              <w:jc w:val="both"/>
              <w:rPr>
                <w:sz w:val="20"/>
              </w:rPr>
            </w:pPr>
            <w:r w:rsidRPr="00D936BC">
              <w:rPr>
                <w:sz w:val="20"/>
              </w:rPr>
              <w:t xml:space="preserve">At the completion of his soccer career, Mr. James was employed as the master soccer coach of the York University Varsity Soccer Program. Mr. James was a distinguished soccer player who represented Canada at the World Cup and the Olympics.  In October 2012, Mr. James applied to the Ontario Human Rights Tribunal alleging that York University had discriminated against him on the basis of his addiction and that he had been forced to resign.  The last incident of discrimination was alleged to have occurred in December 2009.  Mr. James’ application was dismissed on the basis of his failure to comply with the one year limitation period under the </w:t>
            </w:r>
            <w:r w:rsidRPr="00D936BC">
              <w:rPr>
                <w:i/>
                <w:sz w:val="20"/>
              </w:rPr>
              <w:t>Human Rights Code</w:t>
            </w:r>
            <w:r w:rsidRPr="00D936BC">
              <w:rPr>
                <w:sz w:val="20"/>
              </w:rPr>
              <w:t>.  Mr. James sought reconsideration of that decision, which was also denied.  He then sought judicial review of both the initial decision denying his application and the request for reconsideration.  His application for judicial review was dismissed.  His subsequent motion to the Court of Appeal for leave to appeal was also dismissed.</w:t>
            </w:r>
          </w:p>
          <w:p w:rsidR="00D936BC" w:rsidRPr="00D936BC" w:rsidRDefault="00D936BC" w:rsidP="00D936BC">
            <w:pPr>
              <w:jc w:val="both"/>
              <w:rPr>
                <w:sz w:val="20"/>
              </w:rPr>
            </w:pPr>
          </w:p>
        </w:tc>
      </w:tr>
      <w:tr w:rsidR="00D936BC" w:rsidRPr="00D936BC" w:rsidTr="00E95A6A">
        <w:tc>
          <w:tcPr>
            <w:tcW w:w="2427" w:type="pct"/>
            <w:gridSpan w:val="2"/>
          </w:tcPr>
          <w:p w:rsidR="00D936BC" w:rsidRPr="00D936BC" w:rsidRDefault="00D936BC" w:rsidP="00D936BC">
            <w:pPr>
              <w:jc w:val="both"/>
              <w:rPr>
                <w:sz w:val="20"/>
              </w:rPr>
            </w:pPr>
            <w:r w:rsidRPr="00D936BC">
              <w:rPr>
                <w:sz w:val="20"/>
              </w:rPr>
              <w:t>June 23, 2015</w:t>
            </w:r>
          </w:p>
          <w:p w:rsidR="00D936BC" w:rsidRPr="00D936BC" w:rsidRDefault="00D936BC" w:rsidP="00D936BC">
            <w:pPr>
              <w:jc w:val="both"/>
              <w:rPr>
                <w:sz w:val="20"/>
              </w:rPr>
            </w:pPr>
            <w:r w:rsidRPr="00D936BC">
              <w:rPr>
                <w:sz w:val="20"/>
              </w:rPr>
              <w:t>Ontario Superior Court of Justice</w:t>
            </w:r>
          </w:p>
          <w:p w:rsidR="00D936BC" w:rsidRPr="00D936BC" w:rsidRDefault="00D936BC" w:rsidP="00D936BC">
            <w:pPr>
              <w:jc w:val="both"/>
              <w:rPr>
                <w:sz w:val="20"/>
              </w:rPr>
            </w:pPr>
            <w:r w:rsidRPr="00D936BC">
              <w:rPr>
                <w:sz w:val="20"/>
              </w:rPr>
              <w:lastRenderedPageBreak/>
              <w:t xml:space="preserve">(Sachs, </w:t>
            </w:r>
            <w:proofErr w:type="spellStart"/>
            <w:r w:rsidRPr="00D936BC">
              <w:rPr>
                <w:sz w:val="20"/>
              </w:rPr>
              <w:t>Hambly</w:t>
            </w:r>
            <w:proofErr w:type="spellEnd"/>
            <w:r w:rsidRPr="00D936BC">
              <w:rPr>
                <w:sz w:val="20"/>
              </w:rPr>
              <w:t xml:space="preserve"> and Edwards JJ.)</w:t>
            </w:r>
          </w:p>
          <w:p w:rsidR="00D936BC" w:rsidRPr="00D936BC" w:rsidRDefault="00D936BC" w:rsidP="00D936BC">
            <w:pPr>
              <w:jc w:val="both"/>
              <w:rPr>
                <w:sz w:val="20"/>
              </w:rPr>
            </w:pPr>
            <w:hyperlink r:id="rId31" w:history="1">
              <w:r w:rsidRPr="00D936BC">
                <w:rPr>
                  <w:rStyle w:val="Hyperlink"/>
                  <w:sz w:val="20"/>
                </w:rPr>
                <w:t>2015 ONSC 2234</w:t>
              </w:r>
            </w:hyperlink>
            <w:r w:rsidRPr="00D936BC">
              <w:rPr>
                <w:sz w:val="20"/>
              </w:rPr>
              <w:t>; 206/14</w:t>
            </w:r>
          </w:p>
          <w:p w:rsidR="00D936BC" w:rsidRPr="00D936BC" w:rsidRDefault="00D936BC" w:rsidP="00D936BC">
            <w:pPr>
              <w:jc w:val="both"/>
              <w:rPr>
                <w:sz w:val="20"/>
              </w:rPr>
            </w:pPr>
          </w:p>
        </w:tc>
        <w:tc>
          <w:tcPr>
            <w:tcW w:w="243" w:type="pct"/>
          </w:tcPr>
          <w:p w:rsidR="00D936BC" w:rsidRPr="00D936BC" w:rsidRDefault="00D936BC" w:rsidP="00D936BC">
            <w:pPr>
              <w:jc w:val="both"/>
              <w:rPr>
                <w:sz w:val="20"/>
              </w:rPr>
            </w:pPr>
          </w:p>
        </w:tc>
        <w:tc>
          <w:tcPr>
            <w:tcW w:w="2330" w:type="pct"/>
          </w:tcPr>
          <w:p w:rsidR="00D936BC" w:rsidRPr="00D936BC" w:rsidRDefault="00D936BC" w:rsidP="00D936BC">
            <w:pPr>
              <w:jc w:val="both"/>
              <w:rPr>
                <w:sz w:val="20"/>
              </w:rPr>
            </w:pPr>
            <w:r w:rsidRPr="00D936BC">
              <w:rPr>
                <w:sz w:val="20"/>
              </w:rPr>
              <w:t>Application for judicial review dismissed</w:t>
            </w:r>
          </w:p>
          <w:p w:rsidR="00D936BC" w:rsidRPr="00D936BC" w:rsidRDefault="00D936BC" w:rsidP="00D936BC">
            <w:pPr>
              <w:jc w:val="both"/>
              <w:rPr>
                <w:sz w:val="20"/>
              </w:rPr>
            </w:pPr>
          </w:p>
        </w:tc>
      </w:tr>
      <w:tr w:rsidR="00D936BC" w:rsidRPr="00D936BC" w:rsidTr="00E95A6A">
        <w:tc>
          <w:tcPr>
            <w:tcW w:w="2427" w:type="pct"/>
            <w:gridSpan w:val="2"/>
          </w:tcPr>
          <w:p w:rsidR="00D936BC" w:rsidRPr="00D936BC" w:rsidRDefault="00D936BC" w:rsidP="00D936BC">
            <w:pPr>
              <w:jc w:val="both"/>
              <w:rPr>
                <w:sz w:val="20"/>
              </w:rPr>
            </w:pPr>
            <w:r w:rsidRPr="00D936BC">
              <w:rPr>
                <w:sz w:val="20"/>
              </w:rPr>
              <w:lastRenderedPageBreak/>
              <w:t>November 6, 2015</w:t>
            </w:r>
          </w:p>
          <w:p w:rsidR="00D936BC" w:rsidRPr="00D936BC" w:rsidRDefault="00D936BC" w:rsidP="00D936BC">
            <w:pPr>
              <w:jc w:val="both"/>
              <w:rPr>
                <w:sz w:val="20"/>
              </w:rPr>
            </w:pPr>
            <w:r w:rsidRPr="00D936BC">
              <w:rPr>
                <w:sz w:val="20"/>
              </w:rPr>
              <w:t>Court of Appeal for Ontario</w:t>
            </w:r>
          </w:p>
          <w:p w:rsidR="00D936BC" w:rsidRPr="00D936BC" w:rsidRDefault="00D936BC" w:rsidP="00D936BC">
            <w:pPr>
              <w:jc w:val="both"/>
              <w:rPr>
                <w:sz w:val="20"/>
              </w:rPr>
            </w:pPr>
            <w:r w:rsidRPr="00D936BC">
              <w:rPr>
                <w:sz w:val="20"/>
              </w:rPr>
              <w:t>(</w:t>
            </w:r>
            <w:proofErr w:type="spellStart"/>
            <w:r w:rsidRPr="00D936BC">
              <w:rPr>
                <w:sz w:val="20"/>
              </w:rPr>
              <w:t>Gillese</w:t>
            </w:r>
            <w:proofErr w:type="spellEnd"/>
            <w:r w:rsidRPr="00D936BC">
              <w:rPr>
                <w:sz w:val="20"/>
              </w:rPr>
              <w:t xml:space="preserve">, Watt and </w:t>
            </w:r>
            <w:proofErr w:type="spellStart"/>
            <w:r w:rsidRPr="00D936BC">
              <w:rPr>
                <w:sz w:val="20"/>
              </w:rPr>
              <w:t>Pardu</w:t>
            </w:r>
            <w:proofErr w:type="spellEnd"/>
            <w:r w:rsidRPr="00D936BC">
              <w:rPr>
                <w:sz w:val="20"/>
              </w:rPr>
              <w:t xml:space="preserve"> JJ.A)</w:t>
            </w:r>
          </w:p>
          <w:p w:rsidR="00D936BC" w:rsidRPr="00D936BC" w:rsidRDefault="00D936BC" w:rsidP="00D936BC">
            <w:pPr>
              <w:jc w:val="both"/>
              <w:rPr>
                <w:sz w:val="20"/>
              </w:rPr>
            </w:pPr>
            <w:r w:rsidRPr="00D936BC">
              <w:rPr>
                <w:sz w:val="20"/>
              </w:rPr>
              <w:t>M45298</w:t>
            </w:r>
          </w:p>
          <w:p w:rsidR="00D936BC" w:rsidRPr="00D936BC" w:rsidRDefault="00D936BC" w:rsidP="00D936BC">
            <w:pPr>
              <w:jc w:val="both"/>
              <w:rPr>
                <w:sz w:val="20"/>
              </w:rPr>
            </w:pPr>
          </w:p>
        </w:tc>
        <w:tc>
          <w:tcPr>
            <w:tcW w:w="243" w:type="pct"/>
          </w:tcPr>
          <w:p w:rsidR="00D936BC" w:rsidRPr="00D936BC" w:rsidRDefault="00D936BC" w:rsidP="00D936BC">
            <w:pPr>
              <w:jc w:val="both"/>
              <w:rPr>
                <w:sz w:val="20"/>
              </w:rPr>
            </w:pPr>
          </w:p>
        </w:tc>
        <w:tc>
          <w:tcPr>
            <w:tcW w:w="2330" w:type="pct"/>
          </w:tcPr>
          <w:p w:rsidR="00D936BC" w:rsidRPr="00D936BC" w:rsidRDefault="00D936BC" w:rsidP="00D936BC">
            <w:pPr>
              <w:jc w:val="both"/>
              <w:rPr>
                <w:sz w:val="20"/>
              </w:rPr>
            </w:pPr>
            <w:r w:rsidRPr="00D936BC">
              <w:rPr>
                <w:sz w:val="20"/>
              </w:rPr>
              <w:t>Motion for leave to appeal dismissed</w:t>
            </w:r>
          </w:p>
          <w:p w:rsidR="00D936BC" w:rsidRPr="00D936BC" w:rsidRDefault="00D936BC" w:rsidP="00D936BC">
            <w:pPr>
              <w:jc w:val="both"/>
              <w:rPr>
                <w:sz w:val="20"/>
              </w:rPr>
            </w:pPr>
          </w:p>
        </w:tc>
      </w:tr>
      <w:tr w:rsidR="00D936BC" w:rsidRPr="00D936BC" w:rsidTr="00E95A6A">
        <w:tc>
          <w:tcPr>
            <w:tcW w:w="2427" w:type="pct"/>
            <w:gridSpan w:val="2"/>
          </w:tcPr>
          <w:p w:rsidR="00D936BC" w:rsidRPr="00D936BC" w:rsidRDefault="00D936BC" w:rsidP="00D936BC">
            <w:pPr>
              <w:jc w:val="both"/>
              <w:rPr>
                <w:sz w:val="20"/>
              </w:rPr>
            </w:pPr>
            <w:r w:rsidRPr="00D936BC">
              <w:rPr>
                <w:sz w:val="20"/>
              </w:rPr>
              <w:t>January 5, 2016</w:t>
            </w:r>
          </w:p>
          <w:p w:rsidR="00D936BC" w:rsidRPr="00D936BC" w:rsidRDefault="00D936BC" w:rsidP="00D936BC">
            <w:pPr>
              <w:jc w:val="both"/>
              <w:rPr>
                <w:sz w:val="20"/>
              </w:rPr>
            </w:pPr>
            <w:r w:rsidRPr="00D936BC">
              <w:rPr>
                <w:sz w:val="20"/>
              </w:rPr>
              <w:t>Supreme Court of Canada</w:t>
            </w:r>
          </w:p>
          <w:p w:rsidR="00D936BC" w:rsidRPr="00D936BC" w:rsidRDefault="00D936BC" w:rsidP="00D936BC">
            <w:pPr>
              <w:jc w:val="both"/>
              <w:rPr>
                <w:sz w:val="20"/>
              </w:rPr>
            </w:pPr>
          </w:p>
        </w:tc>
        <w:tc>
          <w:tcPr>
            <w:tcW w:w="243" w:type="pct"/>
          </w:tcPr>
          <w:p w:rsidR="00D936BC" w:rsidRPr="00D936BC" w:rsidRDefault="00D936BC" w:rsidP="00D936BC">
            <w:pPr>
              <w:jc w:val="both"/>
              <w:rPr>
                <w:sz w:val="20"/>
              </w:rPr>
            </w:pPr>
          </w:p>
        </w:tc>
        <w:tc>
          <w:tcPr>
            <w:tcW w:w="2330" w:type="pct"/>
          </w:tcPr>
          <w:p w:rsidR="00D936BC" w:rsidRPr="00D936BC" w:rsidRDefault="00D936BC" w:rsidP="00D936BC">
            <w:pPr>
              <w:jc w:val="both"/>
              <w:rPr>
                <w:sz w:val="20"/>
              </w:rPr>
            </w:pPr>
            <w:r w:rsidRPr="00D936BC">
              <w:rPr>
                <w:sz w:val="20"/>
              </w:rPr>
              <w:t>Application for leave to appeal filed</w:t>
            </w:r>
          </w:p>
          <w:p w:rsidR="00D936BC" w:rsidRPr="00D936BC" w:rsidRDefault="00D936BC" w:rsidP="00D936BC">
            <w:pPr>
              <w:jc w:val="both"/>
              <w:rPr>
                <w:sz w:val="20"/>
              </w:rPr>
            </w:pPr>
          </w:p>
        </w:tc>
      </w:tr>
      <w:tr w:rsidR="00D936BC" w:rsidRPr="00D936BC" w:rsidTr="00E95A6A">
        <w:tc>
          <w:tcPr>
            <w:tcW w:w="2427" w:type="pct"/>
            <w:gridSpan w:val="2"/>
          </w:tcPr>
          <w:p w:rsidR="00D936BC" w:rsidRPr="00D936BC" w:rsidRDefault="00D936BC" w:rsidP="00D936BC">
            <w:pPr>
              <w:jc w:val="both"/>
              <w:rPr>
                <w:sz w:val="20"/>
              </w:rPr>
            </w:pPr>
            <w:r w:rsidRPr="00D936BC">
              <w:rPr>
                <w:sz w:val="20"/>
              </w:rPr>
              <w:t>March 10, 2016</w:t>
            </w:r>
          </w:p>
          <w:p w:rsidR="00D936BC" w:rsidRPr="00D936BC" w:rsidRDefault="00D936BC" w:rsidP="00D936BC">
            <w:pPr>
              <w:jc w:val="both"/>
              <w:rPr>
                <w:sz w:val="20"/>
              </w:rPr>
            </w:pPr>
            <w:r w:rsidRPr="00D936BC">
              <w:rPr>
                <w:sz w:val="20"/>
              </w:rPr>
              <w:t>Supreme Court of Canada</w:t>
            </w:r>
          </w:p>
        </w:tc>
        <w:tc>
          <w:tcPr>
            <w:tcW w:w="243" w:type="pct"/>
          </w:tcPr>
          <w:p w:rsidR="00D936BC" w:rsidRPr="00D936BC" w:rsidRDefault="00D936BC" w:rsidP="00D936BC">
            <w:pPr>
              <w:jc w:val="both"/>
              <w:rPr>
                <w:sz w:val="20"/>
              </w:rPr>
            </w:pPr>
          </w:p>
        </w:tc>
        <w:tc>
          <w:tcPr>
            <w:tcW w:w="2330" w:type="pct"/>
          </w:tcPr>
          <w:p w:rsidR="00D936BC" w:rsidRPr="00D936BC" w:rsidRDefault="00D936BC" w:rsidP="00D936BC">
            <w:pPr>
              <w:jc w:val="both"/>
              <w:rPr>
                <w:sz w:val="20"/>
              </w:rPr>
            </w:pPr>
            <w:r w:rsidRPr="00D936BC">
              <w:rPr>
                <w:sz w:val="20"/>
              </w:rPr>
              <w:t>Amended Notice of Application for  leave to appeal filed</w:t>
            </w:r>
          </w:p>
          <w:p w:rsidR="00D936BC" w:rsidRPr="00D936BC" w:rsidRDefault="00D936BC" w:rsidP="00D936BC">
            <w:pPr>
              <w:jc w:val="both"/>
              <w:rPr>
                <w:sz w:val="20"/>
              </w:rPr>
            </w:pPr>
          </w:p>
        </w:tc>
      </w:tr>
      <w:tr w:rsidR="00D936BC" w:rsidRPr="00D936BC" w:rsidTr="00E95A6A">
        <w:tc>
          <w:tcPr>
            <w:tcW w:w="2427" w:type="pct"/>
            <w:gridSpan w:val="2"/>
          </w:tcPr>
          <w:p w:rsidR="00D936BC" w:rsidRPr="00D936BC" w:rsidRDefault="00D936BC" w:rsidP="00D936BC">
            <w:pPr>
              <w:jc w:val="both"/>
              <w:rPr>
                <w:sz w:val="20"/>
              </w:rPr>
            </w:pPr>
            <w:r w:rsidRPr="00D936BC">
              <w:rPr>
                <w:sz w:val="20"/>
              </w:rPr>
              <w:t>March 11, 2016</w:t>
            </w:r>
          </w:p>
          <w:p w:rsidR="00D936BC" w:rsidRPr="00D936BC" w:rsidRDefault="00D936BC" w:rsidP="00D936BC">
            <w:pPr>
              <w:jc w:val="both"/>
              <w:rPr>
                <w:sz w:val="20"/>
              </w:rPr>
            </w:pPr>
            <w:r w:rsidRPr="00D936BC">
              <w:rPr>
                <w:sz w:val="20"/>
              </w:rPr>
              <w:t>Supreme Court of Canada</w:t>
            </w:r>
          </w:p>
        </w:tc>
        <w:tc>
          <w:tcPr>
            <w:tcW w:w="243" w:type="pct"/>
          </w:tcPr>
          <w:p w:rsidR="00D936BC" w:rsidRPr="00D936BC" w:rsidRDefault="00D936BC" w:rsidP="00D936BC">
            <w:pPr>
              <w:jc w:val="both"/>
              <w:rPr>
                <w:sz w:val="20"/>
              </w:rPr>
            </w:pPr>
          </w:p>
        </w:tc>
        <w:tc>
          <w:tcPr>
            <w:tcW w:w="2330" w:type="pct"/>
          </w:tcPr>
          <w:p w:rsidR="00D936BC" w:rsidRPr="00D936BC" w:rsidRDefault="00D936BC" w:rsidP="00D936BC">
            <w:pPr>
              <w:jc w:val="both"/>
              <w:rPr>
                <w:sz w:val="20"/>
              </w:rPr>
            </w:pPr>
            <w:r w:rsidRPr="00D936BC">
              <w:rPr>
                <w:sz w:val="20"/>
              </w:rPr>
              <w:t>Motion for extension of time to serve and file application for leave to appeal filed</w:t>
            </w:r>
          </w:p>
        </w:tc>
      </w:tr>
    </w:tbl>
    <w:p w:rsidR="00D936BC" w:rsidRDefault="00D936BC" w:rsidP="00D936BC">
      <w:pPr>
        <w:jc w:val="both"/>
        <w:rPr>
          <w:sz w:val="20"/>
        </w:rPr>
      </w:pPr>
    </w:p>
    <w:p w:rsidR="00D936BC" w:rsidRPr="00D936BC" w:rsidRDefault="00D936BC" w:rsidP="00D936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936BC" w:rsidRPr="00D936BC" w:rsidTr="00E95A6A">
        <w:tc>
          <w:tcPr>
            <w:tcW w:w="543" w:type="pct"/>
          </w:tcPr>
          <w:p w:rsidR="00D936BC" w:rsidRPr="00D936BC" w:rsidRDefault="00D936BC" w:rsidP="00D936BC">
            <w:pPr>
              <w:jc w:val="both"/>
              <w:rPr>
                <w:sz w:val="20"/>
                <w:lang w:val="fr-CA"/>
              </w:rPr>
            </w:pPr>
            <w:r w:rsidRPr="00D936BC">
              <w:rPr>
                <w:rStyle w:val="SCCFileNumberChar"/>
                <w:sz w:val="20"/>
                <w:szCs w:val="20"/>
                <w:lang w:val="fr-CA"/>
              </w:rPr>
              <w:t>36795</w:t>
            </w:r>
          </w:p>
        </w:tc>
        <w:tc>
          <w:tcPr>
            <w:tcW w:w="4457" w:type="pct"/>
            <w:gridSpan w:val="3"/>
          </w:tcPr>
          <w:p w:rsidR="00D936BC" w:rsidRPr="00D936BC" w:rsidRDefault="00D936BC" w:rsidP="00D936BC">
            <w:pPr>
              <w:pStyle w:val="SCCLsocParty"/>
              <w:jc w:val="both"/>
              <w:rPr>
                <w:b/>
                <w:sz w:val="20"/>
                <w:szCs w:val="20"/>
              </w:rPr>
            </w:pPr>
            <w:r w:rsidRPr="00D936BC">
              <w:rPr>
                <w:b/>
                <w:sz w:val="20"/>
                <w:szCs w:val="20"/>
              </w:rPr>
              <w:t>Paul James c. York University et Tribunal des droits de la personne de l’Ontario</w:t>
            </w:r>
          </w:p>
          <w:p w:rsidR="00D936BC" w:rsidRPr="00D936BC" w:rsidRDefault="00D936BC" w:rsidP="00D936BC">
            <w:pPr>
              <w:jc w:val="both"/>
              <w:rPr>
                <w:sz w:val="20"/>
                <w:lang w:val="fr-CA"/>
              </w:rPr>
            </w:pPr>
            <w:r w:rsidRPr="00D936BC">
              <w:rPr>
                <w:sz w:val="20"/>
                <w:lang w:val="fr-CA"/>
              </w:rPr>
              <w:t>(Ont.) (Civile) (Sur autorisation)</w:t>
            </w:r>
          </w:p>
        </w:tc>
      </w:tr>
      <w:tr w:rsidR="00D936BC" w:rsidRPr="00D936BC" w:rsidTr="00E95A6A">
        <w:tc>
          <w:tcPr>
            <w:tcW w:w="5000" w:type="pct"/>
            <w:gridSpan w:val="4"/>
          </w:tcPr>
          <w:p w:rsidR="00D936BC" w:rsidRPr="00D936BC" w:rsidRDefault="00D936BC" w:rsidP="00D936BC">
            <w:pPr>
              <w:jc w:val="both"/>
              <w:rPr>
                <w:sz w:val="20"/>
                <w:lang w:val="fr-CA"/>
              </w:rPr>
            </w:pPr>
            <w:r w:rsidRPr="00D936BC">
              <w:rPr>
                <w:sz w:val="20"/>
                <w:lang w:val="fr-CA"/>
              </w:rPr>
              <w:t>Droits de la personne – Délai de prescription – Le tribunal administratif et les juridictions inférieures ont-ils eu tort de ne pas permettre à l’action du demandeur de passer au stade de l’audition au fond parce qu’ils ont omis de prendre en compte le fait que l’invalidité du demandeur l’a empêché de déposer sa demande dans le délai d’un an, en appliquant à tort la jurisprudence pour rejeter la demande de façon déraisonnable? – Pour trancher les demandes relatives aux droits de la personne déposées en dehors du délai de prescription d’un an par des personnes ayant une incapacité mentale, faut-il privilégier l’accès équitable à la justice ou la commodité</w:t>
            </w:r>
            <w:proofErr w:type="gramStart"/>
            <w:r w:rsidRPr="00D936BC">
              <w:rPr>
                <w:sz w:val="20"/>
                <w:lang w:val="fr-CA"/>
              </w:rPr>
              <w:t>?–</w:t>
            </w:r>
            <w:proofErr w:type="gramEnd"/>
            <w:r w:rsidRPr="00D936BC">
              <w:rPr>
                <w:sz w:val="20"/>
                <w:lang w:val="fr-CA"/>
              </w:rPr>
              <w:t xml:space="preserve"> Les tribunaux administratifs doivent-ils accommoder les demandeurs souffrant de troubles de toxicomanie qui sont traités au niveau des soins secondaires?</w:t>
            </w:r>
          </w:p>
        </w:tc>
      </w:tr>
      <w:tr w:rsidR="00D936BC" w:rsidRPr="00D936BC" w:rsidTr="00E95A6A">
        <w:tc>
          <w:tcPr>
            <w:tcW w:w="5000" w:type="pct"/>
            <w:gridSpan w:val="4"/>
          </w:tcPr>
          <w:p w:rsidR="00D936BC" w:rsidRPr="00D936BC" w:rsidRDefault="00D936BC" w:rsidP="00D936BC">
            <w:pPr>
              <w:jc w:val="both"/>
              <w:rPr>
                <w:sz w:val="20"/>
                <w:lang w:val="fr-CA"/>
              </w:rPr>
            </w:pPr>
          </w:p>
        </w:tc>
      </w:tr>
      <w:tr w:rsidR="00D936BC" w:rsidRPr="00D936BC" w:rsidTr="00E95A6A">
        <w:tc>
          <w:tcPr>
            <w:tcW w:w="5000" w:type="pct"/>
            <w:gridSpan w:val="4"/>
          </w:tcPr>
          <w:p w:rsidR="00D936BC" w:rsidRPr="00D936BC" w:rsidRDefault="00D936BC" w:rsidP="00D936BC">
            <w:pPr>
              <w:jc w:val="both"/>
              <w:rPr>
                <w:sz w:val="20"/>
                <w:lang w:val="fr-CA"/>
              </w:rPr>
            </w:pPr>
            <w:r w:rsidRPr="00D936BC">
              <w:rPr>
                <w:sz w:val="20"/>
                <w:lang w:val="fr-CA"/>
              </w:rPr>
              <w:t xml:space="preserve">Au terme de sa carrière de joueur de soccer, M. James a occupé le poste d’instructeur en chef du programme de soccer universitaire de l’Université York. Monsieur James était un éminent joueur de soccer qui avait représenté le Canada à la Coupe du monde et aux Jeux olympiques.  En octobre 2012, M. James a présenté une demande au Tribunal des droits de la personne de l’Ontario, alléguant qu’il avait été victime de discrimination de la part de l’Université York en raison de sa dépendance et qu’il avait été contraint de démissionner. Le dernier incident de discrimination se serait produit en décembre 2009. La demande de M. James a été rejetée parce qu’il n’aurait pas respecté le délai de prescription d’un an prévu au </w:t>
            </w:r>
            <w:r w:rsidRPr="00D936BC">
              <w:rPr>
                <w:i/>
                <w:sz w:val="20"/>
                <w:lang w:val="fr-CA"/>
              </w:rPr>
              <w:t>Code des droits de la personne</w:t>
            </w:r>
            <w:r w:rsidRPr="00D936BC">
              <w:rPr>
                <w:sz w:val="20"/>
                <w:lang w:val="fr-CA"/>
              </w:rPr>
              <w:t>. Monsieur James a demandé le réexamen de cette décision et il a été débouté. Il a ensuite sollicité la révision judiciaire de la décision initiale rejetant sa demande et la demande de réexamen. Sa demande de révision judiciaire a été rejetée. Sa motion subséquente à la Cour d’appel en autorisation d’interjeter appel a également été rejetée.</w:t>
            </w:r>
          </w:p>
          <w:p w:rsidR="00D936BC" w:rsidRPr="00D936BC" w:rsidRDefault="00D936BC" w:rsidP="00D936BC">
            <w:pPr>
              <w:jc w:val="both"/>
              <w:rPr>
                <w:sz w:val="20"/>
                <w:lang w:val="fr-CA"/>
              </w:rPr>
            </w:pPr>
          </w:p>
        </w:tc>
      </w:tr>
      <w:tr w:rsidR="00D936BC" w:rsidRPr="00D936BC" w:rsidTr="00E95A6A">
        <w:tc>
          <w:tcPr>
            <w:tcW w:w="2427" w:type="pct"/>
            <w:gridSpan w:val="2"/>
          </w:tcPr>
          <w:p w:rsidR="00D936BC" w:rsidRPr="00D936BC" w:rsidRDefault="00D936BC" w:rsidP="00D936BC">
            <w:pPr>
              <w:jc w:val="both"/>
              <w:rPr>
                <w:sz w:val="20"/>
                <w:lang w:val="fr-CA"/>
              </w:rPr>
            </w:pPr>
            <w:r w:rsidRPr="00D936BC">
              <w:rPr>
                <w:sz w:val="20"/>
                <w:lang w:val="fr-CA"/>
              </w:rPr>
              <w:t>23 juin 2015</w:t>
            </w:r>
          </w:p>
          <w:p w:rsidR="00D936BC" w:rsidRPr="00D936BC" w:rsidRDefault="00D936BC" w:rsidP="00D936BC">
            <w:pPr>
              <w:jc w:val="both"/>
              <w:rPr>
                <w:sz w:val="20"/>
                <w:lang w:val="fr-CA"/>
              </w:rPr>
            </w:pPr>
            <w:r w:rsidRPr="00D936BC">
              <w:rPr>
                <w:sz w:val="20"/>
                <w:lang w:val="fr-CA"/>
              </w:rPr>
              <w:t>Cour supérieure de justice de l’Ontario</w:t>
            </w:r>
          </w:p>
          <w:p w:rsidR="00D936BC" w:rsidRPr="00D936BC" w:rsidRDefault="00D936BC" w:rsidP="00D936BC">
            <w:pPr>
              <w:jc w:val="both"/>
              <w:rPr>
                <w:sz w:val="20"/>
                <w:lang w:val="fr-CA"/>
              </w:rPr>
            </w:pPr>
            <w:r w:rsidRPr="00D936BC">
              <w:rPr>
                <w:sz w:val="20"/>
                <w:lang w:val="fr-CA"/>
              </w:rPr>
              <w:t>(Juges Sachs, Hambly et Edwards)</w:t>
            </w:r>
          </w:p>
          <w:p w:rsidR="00D936BC" w:rsidRPr="00D936BC" w:rsidRDefault="00D936BC" w:rsidP="00D936BC">
            <w:pPr>
              <w:jc w:val="both"/>
              <w:rPr>
                <w:sz w:val="20"/>
                <w:lang w:val="fr-CA"/>
              </w:rPr>
            </w:pPr>
            <w:hyperlink r:id="rId32" w:history="1">
              <w:r w:rsidRPr="00D936BC">
                <w:rPr>
                  <w:rStyle w:val="Hyperlink"/>
                  <w:sz w:val="20"/>
                  <w:lang w:val="fr-CA"/>
                </w:rPr>
                <w:t>2015 ONSC 2234</w:t>
              </w:r>
            </w:hyperlink>
            <w:r w:rsidRPr="00D936BC">
              <w:rPr>
                <w:sz w:val="20"/>
                <w:lang w:val="fr-CA"/>
              </w:rPr>
              <w:t>; 206/14</w:t>
            </w:r>
          </w:p>
          <w:p w:rsidR="00D936BC" w:rsidRPr="00D936BC" w:rsidRDefault="00D936BC" w:rsidP="00D936BC">
            <w:pPr>
              <w:jc w:val="both"/>
              <w:rPr>
                <w:sz w:val="20"/>
                <w:lang w:val="fr-CA"/>
              </w:rPr>
            </w:pPr>
          </w:p>
        </w:tc>
        <w:tc>
          <w:tcPr>
            <w:tcW w:w="243" w:type="pct"/>
          </w:tcPr>
          <w:p w:rsidR="00D936BC" w:rsidRPr="00D936BC" w:rsidRDefault="00D936BC" w:rsidP="00D936BC">
            <w:pPr>
              <w:jc w:val="both"/>
              <w:rPr>
                <w:sz w:val="20"/>
                <w:lang w:val="fr-CA"/>
              </w:rPr>
            </w:pPr>
          </w:p>
        </w:tc>
        <w:tc>
          <w:tcPr>
            <w:tcW w:w="2330" w:type="pct"/>
          </w:tcPr>
          <w:p w:rsidR="00D936BC" w:rsidRPr="00D936BC" w:rsidRDefault="00D936BC" w:rsidP="00D936BC">
            <w:pPr>
              <w:jc w:val="both"/>
              <w:rPr>
                <w:sz w:val="20"/>
                <w:lang w:val="fr-CA"/>
              </w:rPr>
            </w:pPr>
            <w:r w:rsidRPr="00D936BC">
              <w:rPr>
                <w:sz w:val="20"/>
                <w:lang w:val="fr-CA"/>
              </w:rPr>
              <w:t>Rejet de la requête en révision judiciaire</w:t>
            </w:r>
          </w:p>
          <w:p w:rsidR="00D936BC" w:rsidRPr="00D936BC" w:rsidRDefault="00D936BC" w:rsidP="00D936BC">
            <w:pPr>
              <w:jc w:val="both"/>
              <w:rPr>
                <w:sz w:val="20"/>
                <w:lang w:val="fr-CA"/>
              </w:rPr>
            </w:pPr>
          </w:p>
        </w:tc>
      </w:tr>
      <w:tr w:rsidR="00D936BC" w:rsidRPr="00D936BC" w:rsidTr="00E95A6A">
        <w:tc>
          <w:tcPr>
            <w:tcW w:w="2427" w:type="pct"/>
            <w:gridSpan w:val="2"/>
          </w:tcPr>
          <w:p w:rsidR="00D936BC" w:rsidRPr="00D936BC" w:rsidRDefault="00D936BC" w:rsidP="00D936BC">
            <w:pPr>
              <w:jc w:val="both"/>
              <w:rPr>
                <w:sz w:val="20"/>
                <w:lang w:val="fr-CA"/>
              </w:rPr>
            </w:pPr>
            <w:r w:rsidRPr="00D936BC">
              <w:rPr>
                <w:sz w:val="20"/>
                <w:lang w:val="fr-CA"/>
              </w:rPr>
              <w:t>6 novembre 2015</w:t>
            </w:r>
          </w:p>
          <w:p w:rsidR="00D936BC" w:rsidRPr="00D936BC" w:rsidRDefault="00D936BC" w:rsidP="00D936BC">
            <w:pPr>
              <w:jc w:val="both"/>
              <w:rPr>
                <w:sz w:val="20"/>
                <w:lang w:val="fr-CA"/>
              </w:rPr>
            </w:pPr>
            <w:r w:rsidRPr="00D936BC">
              <w:rPr>
                <w:sz w:val="20"/>
                <w:lang w:val="fr-CA"/>
              </w:rPr>
              <w:t xml:space="preserve">Cour d’appel de l’Ontario </w:t>
            </w:r>
          </w:p>
          <w:p w:rsidR="00D936BC" w:rsidRPr="00D936BC" w:rsidRDefault="00D936BC" w:rsidP="00D936BC">
            <w:pPr>
              <w:jc w:val="both"/>
              <w:rPr>
                <w:sz w:val="20"/>
                <w:lang w:val="fr-CA"/>
              </w:rPr>
            </w:pPr>
            <w:r w:rsidRPr="00D936BC">
              <w:rPr>
                <w:sz w:val="20"/>
                <w:lang w:val="fr-CA"/>
              </w:rPr>
              <w:t>(Juges Gillese, Watt et Pardu)</w:t>
            </w:r>
          </w:p>
          <w:p w:rsidR="00D936BC" w:rsidRPr="00D936BC" w:rsidRDefault="00D936BC" w:rsidP="00D936BC">
            <w:pPr>
              <w:jc w:val="both"/>
              <w:rPr>
                <w:sz w:val="20"/>
                <w:lang w:val="fr-CA"/>
              </w:rPr>
            </w:pPr>
            <w:r w:rsidRPr="00D936BC">
              <w:rPr>
                <w:sz w:val="20"/>
                <w:lang w:val="fr-CA"/>
              </w:rPr>
              <w:t>M45298</w:t>
            </w:r>
          </w:p>
          <w:p w:rsidR="00D936BC" w:rsidRPr="00D936BC" w:rsidRDefault="00D936BC" w:rsidP="00D936BC">
            <w:pPr>
              <w:jc w:val="both"/>
              <w:rPr>
                <w:sz w:val="20"/>
                <w:lang w:val="fr-CA"/>
              </w:rPr>
            </w:pPr>
          </w:p>
        </w:tc>
        <w:tc>
          <w:tcPr>
            <w:tcW w:w="243" w:type="pct"/>
          </w:tcPr>
          <w:p w:rsidR="00D936BC" w:rsidRPr="00D936BC" w:rsidRDefault="00D936BC" w:rsidP="00D936BC">
            <w:pPr>
              <w:jc w:val="both"/>
              <w:rPr>
                <w:sz w:val="20"/>
                <w:lang w:val="fr-CA"/>
              </w:rPr>
            </w:pPr>
          </w:p>
        </w:tc>
        <w:tc>
          <w:tcPr>
            <w:tcW w:w="2330" w:type="pct"/>
          </w:tcPr>
          <w:p w:rsidR="00D936BC" w:rsidRPr="00D936BC" w:rsidRDefault="00D936BC" w:rsidP="00D936BC">
            <w:pPr>
              <w:jc w:val="both"/>
              <w:rPr>
                <w:sz w:val="20"/>
                <w:lang w:val="fr-CA"/>
              </w:rPr>
            </w:pPr>
            <w:r w:rsidRPr="00D936BC">
              <w:rPr>
                <w:sz w:val="20"/>
                <w:lang w:val="fr-CA"/>
              </w:rPr>
              <w:t>Rejet de la motion en autorisation d’interjeter d’appel</w:t>
            </w:r>
          </w:p>
          <w:p w:rsidR="00D936BC" w:rsidRPr="00D936BC" w:rsidRDefault="00D936BC" w:rsidP="00D936BC">
            <w:pPr>
              <w:jc w:val="both"/>
              <w:rPr>
                <w:sz w:val="20"/>
                <w:lang w:val="fr-CA"/>
              </w:rPr>
            </w:pPr>
          </w:p>
        </w:tc>
      </w:tr>
      <w:tr w:rsidR="00D936BC" w:rsidRPr="00D936BC" w:rsidTr="00E95A6A">
        <w:tc>
          <w:tcPr>
            <w:tcW w:w="2427" w:type="pct"/>
            <w:gridSpan w:val="2"/>
          </w:tcPr>
          <w:p w:rsidR="00D936BC" w:rsidRPr="00D936BC" w:rsidRDefault="00D936BC" w:rsidP="00D936BC">
            <w:pPr>
              <w:jc w:val="both"/>
              <w:rPr>
                <w:sz w:val="20"/>
                <w:lang w:val="fr-CA"/>
              </w:rPr>
            </w:pPr>
            <w:r w:rsidRPr="00D936BC">
              <w:rPr>
                <w:sz w:val="20"/>
                <w:lang w:val="fr-CA"/>
              </w:rPr>
              <w:t>5 janvier 2016</w:t>
            </w:r>
          </w:p>
          <w:p w:rsidR="00D936BC" w:rsidRPr="00D936BC" w:rsidRDefault="00D936BC" w:rsidP="00D936BC">
            <w:pPr>
              <w:jc w:val="both"/>
              <w:rPr>
                <w:sz w:val="20"/>
                <w:lang w:val="fr-CA"/>
              </w:rPr>
            </w:pPr>
            <w:r w:rsidRPr="00D936BC">
              <w:rPr>
                <w:sz w:val="20"/>
                <w:lang w:val="fr-CA"/>
              </w:rPr>
              <w:lastRenderedPageBreak/>
              <w:t>Cour suprême du Canada</w:t>
            </w:r>
          </w:p>
          <w:p w:rsidR="00D936BC" w:rsidRPr="00D936BC" w:rsidRDefault="00D936BC" w:rsidP="00D936BC">
            <w:pPr>
              <w:jc w:val="both"/>
              <w:rPr>
                <w:sz w:val="20"/>
                <w:lang w:val="fr-CA"/>
              </w:rPr>
            </w:pPr>
          </w:p>
        </w:tc>
        <w:tc>
          <w:tcPr>
            <w:tcW w:w="243" w:type="pct"/>
          </w:tcPr>
          <w:p w:rsidR="00D936BC" w:rsidRPr="00D936BC" w:rsidRDefault="00D936BC" w:rsidP="00D936BC">
            <w:pPr>
              <w:jc w:val="both"/>
              <w:rPr>
                <w:sz w:val="20"/>
                <w:lang w:val="fr-CA"/>
              </w:rPr>
            </w:pPr>
          </w:p>
        </w:tc>
        <w:tc>
          <w:tcPr>
            <w:tcW w:w="2330" w:type="pct"/>
          </w:tcPr>
          <w:p w:rsidR="00D936BC" w:rsidRPr="00D936BC" w:rsidRDefault="00D936BC" w:rsidP="00D936BC">
            <w:pPr>
              <w:jc w:val="both"/>
              <w:rPr>
                <w:sz w:val="20"/>
                <w:lang w:val="fr-CA"/>
              </w:rPr>
            </w:pPr>
            <w:r w:rsidRPr="00D936BC">
              <w:rPr>
                <w:sz w:val="20"/>
                <w:lang w:val="fr-CA"/>
              </w:rPr>
              <w:t>Dépôt de la demande d’autorisation d’appel</w:t>
            </w:r>
          </w:p>
          <w:p w:rsidR="00D936BC" w:rsidRPr="00D936BC" w:rsidRDefault="00D936BC" w:rsidP="00D936BC">
            <w:pPr>
              <w:jc w:val="both"/>
              <w:rPr>
                <w:sz w:val="20"/>
                <w:lang w:val="fr-CA"/>
              </w:rPr>
            </w:pPr>
          </w:p>
        </w:tc>
      </w:tr>
      <w:tr w:rsidR="00D936BC" w:rsidRPr="00D936BC" w:rsidTr="00E95A6A">
        <w:tc>
          <w:tcPr>
            <w:tcW w:w="2427" w:type="pct"/>
            <w:gridSpan w:val="2"/>
          </w:tcPr>
          <w:p w:rsidR="00D936BC" w:rsidRPr="00D936BC" w:rsidRDefault="00D936BC" w:rsidP="00D936BC">
            <w:pPr>
              <w:jc w:val="both"/>
              <w:rPr>
                <w:sz w:val="20"/>
                <w:lang w:val="fr-CA"/>
              </w:rPr>
            </w:pPr>
            <w:r w:rsidRPr="00D936BC">
              <w:rPr>
                <w:sz w:val="20"/>
                <w:lang w:val="fr-CA"/>
              </w:rPr>
              <w:lastRenderedPageBreak/>
              <w:t>10 mars 2016</w:t>
            </w:r>
          </w:p>
          <w:p w:rsidR="00D936BC" w:rsidRPr="00D936BC" w:rsidRDefault="00D936BC" w:rsidP="00D936BC">
            <w:pPr>
              <w:jc w:val="both"/>
              <w:rPr>
                <w:sz w:val="20"/>
                <w:lang w:val="fr-CA"/>
              </w:rPr>
            </w:pPr>
            <w:r w:rsidRPr="00D936BC">
              <w:rPr>
                <w:sz w:val="20"/>
                <w:lang w:val="fr-CA"/>
              </w:rPr>
              <w:t>Cour suprême du Canada</w:t>
            </w:r>
          </w:p>
        </w:tc>
        <w:tc>
          <w:tcPr>
            <w:tcW w:w="243" w:type="pct"/>
          </w:tcPr>
          <w:p w:rsidR="00D936BC" w:rsidRPr="00D936BC" w:rsidRDefault="00D936BC" w:rsidP="00D936BC">
            <w:pPr>
              <w:jc w:val="both"/>
              <w:rPr>
                <w:sz w:val="20"/>
                <w:lang w:val="fr-CA"/>
              </w:rPr>
            </w:pPr>
          </w:p>
        </w:tc>
        <w:tc>
          <w:tcPr>
            <w:tcW w:w="2330" w:type="pct"/>
          </w:tcPr>
          <w:p w:rsidR="00D936BC" w:rsidRPr="00D936BC" w:rsidRDefault="00D936BC" w:rsidP="00D936BC">
            <w:pPr>
              <w:jc w:val="both"/>
              <w:rPr>
                <w:sz w:val="20"/>
                <w:lang w:val="fr-CA"/>
              </w:rPr>
            </w:pPr>
            <w:r w:rsidRPr="00D936BC">
              <w:rPr>
                <w:sz w:val="20"/>
                <w:lang w:val="fr-CA"/>
              </w:rPr>
              <w:t xml:space="preserve">Dépôt de la demande modifiée d’autorisation d’appel </w:t>
            </w:r>
          </w:p>
          <w:p w:rsidR="00D936BC" w:rsidRPr="00D936BC" w:rsidRDefault="00D936BC" w:rsidP="00D936BC">
            <w:pPr>
              <w:jc w:val="both"/>
              <w:rPr>
                <w:sz w:val="20"/>
                <w:lang w:val="fr-CA"/>
              </w:rPr>
            </w:pPr>
          </w:p>
        </w:tc>
      </w:tr>
      <w:tr w:rsidR="00D936BC" w:rsidRPr="00D936BC" w:rsidTr="00E95A6A">
        <w:tc>
          <w:tcPr>
            <w:tcW w:w="2427" w:type="pct"/>
            <w:gridSpan w:val="2"/>
          </w:tcPr>
          <w:p w:rsidR="00D936BC" w:rsidRPr="00D936BC" w:rsidRDefault="00D936BC" w:rsidP="00D936BC">
            <w:pPr>
              <w:jc w:val="both"/>
              <w:rPr>
                <w:sz w:val="20"/>
                <w:lang w:val="fr-CA"/>
              </w:rPr>
            </w:pPr>
            <w:r w:rsidRPr="00D936BC">
              <w:rPr>
                <w:sz w:val="20"/>
                <w:lang w:val="fr-CA"/>
              </w:rPr>
              <w:t>11 mars 2016</w:t>
            </w:r>
          </w:p>
          <w:p w:rsidR="00D936BC" w:rsidRPr="00D936BC" w:rsidRDefault="00D936BC" w:rsidP="00D936BC">
            <w:pPr>
              <w:jc w:val="both"/>
              <w:rPr>
                <w:sz w:val="20"/>
                <w:lang w:val="fr-CA"/>
              </w:rPr>
            </w:pPr>
            <w:r w:rsidRPr="00D936BC">
              <w:rPr>
                <w:sz w:val="20"/>
                <w:lang w:val="fr-CA"/>
              </w:rPr>
              <w:t>Cour suprême du Canada</w:t>
            </w:r>
          </w:p>
        </w:tc>
        <w:tc>
          <w:tcPr>
            <w:tcW w:w="243" w:type="pct"/>
          </w:tcPr>
          <w:p w:rsidR="00D936BC" w:rsidRPr="00D936BC" w:rsidRDefault="00D936BC" w:rsidP="00D936BC">
            <w:pPr>
              <w:jc w:val="both"/>
              <w:rPr>
                <w:sz w:val="20"/>
                <w:lang w:val="fr-CA"/>
              </w:rPr>
            </w:pPr>
          </w:p>
        </w:tc>
        <w:tc>
          <w:tcPr>
            <w:tcW w:w="2330" w:type="pct"/>
          </w:tcPr>
          <w:p w:rsidR="00D936BC" w:rsidRPr="00D936BC" w:rsidRDefault="00D936BC" w:rsidP="00D936BC">
            <w:pPr>
              <w:jc w:val="both"/>
              <w:rPr>
                <w:sz w:val="20"/>
                <w:lang w:val="fr-CA"/>
              </w:rPr>
            </w:pPr>
            <w:r w:rsidRPr="00D936BC">
              <w:rPr>
                <w:sz w:val="20"/>
                <w:lang w:val="fr-CA"/>
              </w:rPr>
              <w:t>Dépôt de la requête en prorogation du délai de signification et de dépôt de la demande d’autorisation d’appel</w:t>
            </w:r>
          </w:p>
        </w:tc>
      </w:tr>
    </w:tbl>
    <w:p w:rsidR="00D936BC" w:rsidRPr="00D936BC" w:rsidRDefault="00D936BC" w:rsidP="00D936BC">
      <w:pPr>
        <w:jc w:val="both"/>
        <w:rPr>
          <w:sz w:val="20"/>
          <w:lang w:val="fr-CA"/>
        </w:rPr>
      </w:pPr>
    </w:p>
    <w:p w:rsidR="00722866" w:rsidRPr="00D10D3F" w:rsidRDefault="00722866" w:rsidP="001151FF">
      <w:pPr>
        <w:widowControl w:val="0"/>
        <w:ind w:left="360" w:hanging="360"/>
        <w:jc w:val="both"/>
        <w:rPr>
          <w:sz w:val="20"/>
          <w:lang w:val="fr-FR" w:eastAsia="en-CA"/>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1FF" w:rsidRPr="00D10D3F" w:rsidTr="00000FE4">
        <w:tc>
          <w:tcPr>
            <w:tcW w:w="543" w:type="pct"/>
          </w:tcPr>
          <w:p w:rsidR="001151FF" w:rsidRPr="00D10D3F" w:rsidRDefault="001151FF" w:rsidP="001151FF">
            <w:pPr>
              <w:jc w:val="both"/>
              <w:rPr>
                <w:sz w:val="20"/>
              </w:rPr>
            </w:pPr>
            <w:r w:rsidRPr="00D10D3F">
              <w:rPr>
                <w:rStyle w:val="SCCFileNumberChar"/>
                <w:sz w:val="20"/>
                <w:szCs w:val="20"/>
              </w:rPr>
              <w:t>36851</w:t>
            </w:r>
          </w:p>
        </w:tc>
        <w:tc>
          <w:tcPr>
            <w:tcW w:w="4457" w:type="pct"/>
            <w:gridSpan w:val="3"/>
          </w:tcPr>
          <w:p w:rsidR="001151FF" w:rsidRPr="00D10D3F" w:rsidRDefault="001151FF" w:rsidP="001151FF">
            <w:pPr>
              <w:pStyle w:val="SCCLsocParty"/>
              <w:jc w:val="both"/>
              <w:rPr>
                <w:b/>
                <w:sz w:val="20"/>
                <w:szCs w:val="20"/>
              </w:rPr>
            </w:pPr>
            <w:proofErr w:type="spellStart"/>
            <w:r w:rsidRPr="00D10D3F">
              <w:rPr>
                <w:b/>
                <w:sz w:val="20"/>
                <w:szCs w:val="20"/>
              </w:rPr>
              <w:t>Speciale</w:t>
            </w:r>
            <w:proofErr w:type="spellEnd"/>
            <w:r w:rsidRPr="00D10D3F">
              <w:rPr>
                <w:b/>
                <w:sz w:val="20"/>
                <w:szCs w:val="20"/>
              </w:rPr>
              <w:t xml:space="preserve"> Law Professional Corporation, Anthony M. </w:t>
            </w:r>
            <w:proofErr w:type="spellStart"/>
            <w:r w:rsidRPr="00D10D3F">
              <w:rPr>
                <w:b/>
                <w:sz w:val="20"/>
                <w:szCs w:val="20"/>
              </w:rPr>
              <w:t>Speciale</w:t>
            </w:r>
            <w:proofErr w:type="spellEnd"/>
            <w:r w:rsidRPr="00D10D3F">
              <w:rPr>
                <w:b/>
                <w:sz w:val="20"/>
                <w:szCs w:val="20"/>
              </w:rPr>
              <w:t xml:space="preserve"> v. </w:t>
            </w:r>
            <w:proofErr w:type="spellStart"/>
            <w:r w:rsidRPr="00D10D3F">
              <w:rPr>
                <w:b/>
                <w:sz w:val="20"/>
                <w:szCs w:val="20"/>
              </w:rPr>
              <w:t>Shrader</w:t>
            </w:r>
            <w:proofErr w:type="spellEnd"/>
            <w:r w:rsidRPr="00D10D3F">
              <w:rPr>
                <w:b/>
                <w:sz w:val="20"/>
                <w:szCs w:val="20"/>
              </w:rPr>
              <w:t xml:space="preserve"> Canada Limited</w:t>
            </w:r>
          </w:p>
          <w:p w:rsidR="001151FF" w:rsidRPr="00D10D3F" w:rsidRDefault="001151FF" w:rsidP="001151FF">
            <w:pPr>
              <w:jc w:val="both"/>
              <w:rPr>
                <w:sz w:val="20"/>
              </w:rPr>
            </w:pPr>
            <w:r w:rsidRPr="00D10D3F">
              <w:rPr>
                <w:sz w:val="20"/>
              </w:rPr>
              <w:t>(Ont.) (Civil) (By Leave)</w:t>
            </w:r>
          </w:p>
        </w:tc>
      </w:tr>
      <w:tr w:rsidR="001151FF" w:rsidRPr="00D10D3F" w:rsidTr="00000FE4">
        <w:tc>
          <w:tcPr>
            <w:tcW w:w="5000" w:type="pct"/>
            <w:gridSpan w:val="4"/>
          </w:tcPr>
          <w:p w:rsidR="001151FF" w:rsidRPr="00D10D3F" w:rsidRDefault="001151FF" w:rsidP="001151FF">
            <w:pPr>
              <w:jc w:val="both"/>
              <w:rPr>
                <w:sz w:val="20"/>
              </w:rPr>
            </w:pPr>
            <w:r w:rsidRPr="00D10D3F">
              <w:rPr>
                <w:sz w:val="20"/>
              </w:rPr>
              <w:t xml:space="preserve">Civil procedure – Legislation – Interpretation – Law of professions – Motion to adjourn, stay or quash an order for assessment of accounts – What constitutes an absence of “special circumstances” – Is the summary procedure for assessment of costs between solicitor and client a procedure to be used in limited situations – Does the </w:t>
            </w:r>
            <w:r w:rsidRPr="00D10D3F">
              <w:rPr>
                <w:i/>
                <w:sz w:val="20"/>
              </w:rPr>
              <w:t>Solicitors Act</w:t>
            </w:r>
            <w:r w:rsidRPr="00D10D3F">
              <w:rPr>
                <w:sz w:val="20"/>
              </w:rPr>
              <w:t xml:space="preserve">, R.S.O. 1990 c. S-15 create mandatory conditions for obtaining a Registrar’s order for an assessment – Is missing the 30-day deadline to seek a </w:t>
            </w:r>
            <w:r w:rsidRPr="00D10D3F">
              <w:rPr>
                <w:i/>
                <w:sz w:val="20"/>
              </w:rPr>
              <w:t>praecipe</w:t>
            </w:r>
            <w:r w:rsidRPr="00D10D3F">
              <w:rPr>
                <w:sz w:val="20"/>
              </w:rPr>
              <w:t xml:space="preserve"> order a mere irregularity or does it render the order invalid – Can attornment to jurisdiction be relied upon to cure a missed deadline – Is there a consistent and principled approach to determining whether a solicitor’s account is interim or final – Do general retainers result in accounts presumed to be final accounts.</w:t>
            </w:r>
          </w:p>
          <w:p w:rsidR="001151FF" w:rsidRPr="00D10D3F" w:rsidRDefault="001151FF" w:rsidP="001151FF">
            <w:pPr>
              <w:jc w:val="both"/>
              <w:rPr>
                <w:sz w:val="20"/>
              </w:rPr>
            </w:pPr>
          </w:p>
        </w:tc>
      </w:tr>
      <w:tr w:rsidR="001151FF" w:rsidRPr="00D10D3F" w:rsidTr="00000FE4">
        <w:tc>
          <w:tcPr>
            <w:tcW w:w="5000" w:type="pct"/>
            <w:gridSpan w:val="4"/>
          </w:tcPr>
          <w:p w:rsidR="001151FF" w:rsidRPr="00D10D3F" w:rsidRDefault="001151FF" w:rsidP="001151FF">
            <w:pPr>
              <w:jc w:val="both"/>
              <w:rPr>
                <w:sz w:val="20"/>
              </w:rPr>
            </w:pPr>
            <w:r w:rsidRPr="00D10D3F">
              <w:rPr>
                <w:sz w:val="20"/>
              </w:rPr>
              <w:t>The applicants acted as counsel to the respondent and from 2009 to 2013, Mr. </w:t>
            </w:r>
            <w:proofErr w:type="spellStart"/>
            <w:r w:rsidRPr="00D10D3F">
              <w:rPr>
                <w:sz w:val="20"/>
              </w:rPr>
              <w:t>Speciale</w:t>
            </w:r>
            <w:proofErr w:type="spellEnd"/>
            <w:r w:rsidRPr="00D10D3F">
              <w:rPr>
                <w:sz w:val="20"/>
              </w:rPr>
              <w:t xml:space="preserve"> was also the president and CEO of the respondent. In July 2013, the respondent obtained, pursuant to s. 3 of the </w:t>
            </w:r>
            <w:r w:rsidRPr="00D10D3F">
              <w:rPr>
                <w:i/>
                <w:sz w:val="20"/>
              </w:rPr>
              <w:t>Solicitors Act</w:t>
            </w:r>
            <w:r w:rsidRPr="00D10D3F">
              <w:rPr>
                <w:sz w:val="20"/>
              </w:rPr>
              <w:t xml:space="preserve">, R.S.O. 1990 c. S-15, the Registrar’s </w:t>
            </w:r>
            <w:r w:rsidRPr="00D10D3F">
              <w:rPr>
                <w:i/>
                <w:sz w:val="20"/>
              </w:rPr>
              <w:t>ex parte</w:t>
            </w:r>
            <w:r w:rsidRPr="00D10D3F">
              <w:rPr>
                <w:sz w:val="20"/>
              </w:rPr>
              <w:t xml:space="preserve"> order for assessment of the applicants’ accounts. All accounts had been on the firm’s letterhead, signed by Mr. </w:t>
            </w:r>
            <w:proofErr w:type="spellStart"/>
            <w:r w:rsidRPr="00D10D3F">
              <w:rPr>
                <w:sz w:val="20"/>
              </w:rPr>
              <w:t>Speciale</w:t>
            </w:r>
            <w:proofErr w:type="spellEnd"/>
            <w:r w:rsidRPr="00D10D3F">
              <w:rPr>
                <w:sz w:val="20"/>
              </w:rPr>
              <w:t xml:space="preserve">, and had been paid by the respondent. In October 2013, the applicants’ counsel informed the respondent they intended to bring a motion to challenge the order for assessment. In May 2015 the applicants brought an urgent motion to adjourn or stay the assessment and to quash the Registrar’s order (scheduled to proceed June 1, 2015) on, the basis, </w:t>
            </w:r>
            <w:r w:rsidRPr="00D10D3F">
              <w:rPr>
                <w:i/>
                <w:sz w:val="20"/>
              </w:rPr>
              <w:t xml:space="preserve">inter alia, </w:t>
            </w:r>
            <w:r w:rsidRPr="00D10D3F">
              <w:rPr>
                <w:sz w:val="20"/>
              </w:rPr>
              <w:t xml:space="preserve">that: the majority of accounts were in relation to management services rather than legal services; the accounts had been paid; the retainer was in dispute; and the order was made outside the time periods required under ss. 3(b) and 4 of the </w:t>
            </w:r>
            <w:r w:rsidRPr="00D10D3F">
              <w:rPr>
                <w:i/>
                <w:sz w:val="20"/>
              </w:rPr>
              <w:t>Solicitors Act</w:t>
            </w:r>
            <w:r w:rsidRPr="00D10D3F">
              <w:rPr>
                <w:sz w:val="20"/>
              </w:rPr>
              <w:t>. The Ontario Superior Court of Justice dismissed the motion to quash the Registrar’s order for an assessment of the solicitor’s accounts and denied the request for an adjournment of the assessment. The Court of Appeal for Ontario dismissed the appeal.</w:t>
            </w:r>
          </w:p>
        </w:tc>
      </w:tr>
      <w:tr w:rsidR="001151FF" w:rsidRPr="00D10D3F" w:rsidTr="00000FE4">
        <w:tc>
          <w:tcPr>
            <w:tcW w:w="5000" w:type="pct"/>
            <w:gridSpan w:val="4"/>
          </w:tcPr>
          <w:p w:rsidR="001151FF" w:rsidRPr="00D10D3F" w:rsidRDefault="001151FF" w:rsidP="001151FF">
            <w:pPr>
              <w:jc w:val="both"/>
              <w:rPr>
                <w:sz w:val="20"/>
              </w:rPr>
            </w:pPr>
          </w:p>
        </w:tc>
      </w:tr>
      <w:tr w:rsidR="001151FF" w:rsidRPr="00D10D3F" w:rsidTr="00000FE4">
        <w:tc>
          <w:tcPr>
            <w:tcW w:w="2427" w:type="pct"/>
            <w:gridSpan w:val="2"/>
          </w:tcPr>
          <w:p w:rsidR="001151FF" w:rsidRPr="00D10D3F" w:rsidRDefault="001151FF" w:rsidP="001151FF">
            <w:pPr>
              <w:jc w:val="both"/>
              <w:rPr>
                <w:sz w:val="20"/>
              </w:rPr>
            </w:pPr>
            <w:r w:rsidRPr="00D10D3F">
              <w:rPr>
                <w:sz w:val="20"/>
              </w:rPr>
              <w:t>May 27, 2015</w:t>
            </w:r>
          </w:p>
          <w:p w:rsidR="001151FF" w:rsidRPr="00D10D3F" w:rsidRDefault="001151FF" w:rsidP="001151FF">
            <w:pPr>
              <w:jc w:val="both"/>
              <w:rPr>
                <w:sz w:val="20"/>
              </w:rPr>
            </w:pPr>
            <w:r w:rsidRPr="00D10D3F">
              <w:rPr>
                <w:sz w:val="20"/>
              </w:rPr>
              <w:t>Ontario Superior Court of Justice</w:t>
            </w:r>
          </w:p>
          <w:p w:rsidR="001151FF" w:rsidRPr="00D10D3F" w:rsidRDefault="001151FF" w:rsidP="001151FF">
            <w:pPr>
              <w:jc w:val="both"/>
              <w:rPr>
                <w:sz w:val="20"/>
              </w:rPr>
            </w:pPr>
            <w:r w:rsidRPr="00D10D3F">
              <w:rPr>
                <w:sz w:val="20"/>
              </w:rPr>
              <w:t>(Turnbull J.)</w:t>
            </w:r>
          </w:p>
          <w:p w:rsidR="001151FF" w:rsidRPr="00D10D3F" w:rsidRDefault="001151FF" w:rsidP="001151FF">
            <w:pPr>
              <w:jc w:val="both"/>
              <w:rPr>
                <w:sz w:val="20"/>
              </w:rPr>
            </w:pPr>
            <w:r w:rsidRPr="00D10D3F">
              <w:rPr>
                <w:sz w:val="20"/>
              </w:rPr>
              <w:t xml:space="preserve">2015 ONSC 3388 </w:t>
            </w:r>
          </w:p>
          <w:p w:rsidR="001151FF" w:rsidRPr="00D10D3F" w:rsidRDefault="001151FF" w:rsidP="001151FF">
            <w:pPr>
              <w:jc w:val="both"/>
              <w:rPr>
                <w:sz w:val="20"/>
              </w:rPr>
            </w:pPr>
            <w:r w:rsidRPr="00D10D3F">
              <w:rPr>
                <w:sz w:val="20"/>
              </w:rPr>
              <w:t>2015 ONSC 3412</w:t>
            </w:r>
          </w:p>
          <w:p w:rsidR="001151FF" w:rsidRPr="00D10D3F" w:rsidRDefault="001151FF" w:rsidP="001151FF">
            <w:pPr>
              <w:jc w:val="both"/>
              <w:rPr>
                <w:sz w:val="20"/>
              </w:rPr>
            </w:pPr>
          </w:p>
        </w:tc>
        <w:tc>
          <w:tcPr>
            <w:tcW w:w="243" w:type="pct"/>
          </w:tcPr>
          <w:p w:rsidR="001151FF" w:rsidRPr="00D10D3F" w:rsidRDefault="001151FF" w:rsidP="001151FF">
            <w:pPr>
              <w:jc w:val="both"/>
              <w:rPr>
                <w:sz w:val="20"/>
              </w:rPr>
            </w:pPr>
          </w:p>
        </w:tc>
        <w:tc>
          <w:tcPr>
            <w:tcW w:w="2330" w:type="pct"/>
          </w:tcPr>
          <w:p w:rsidR="001151FF" w:rsidRPr="00D10D3F" w:rsidRDefault="001151FF" w:rsidP="001151FF">
            <w:pPr>
              <w:jc w:val="both"/>
              <w:rPr>
                <w:sz w:val="20"/>
              </w:rPr>
            </w:pPr>
            <w:r w:rsidRPr="00D10D3F">
              <w:rPr>
                <w:sz w:val="20"/>
              </w:rPr>
              <w:t>Motion to adjourn or stay assessment denied and motion to quash Registrar’s order of assessment, dismissed</w:t>
            </w:r>
          </w:p>
          <w:p w:rsidR="001151FF" w:rsidRPr="00D10D3F" w:rsidRDefault="001151FF" w:rsidP="001151FF">
            <w:pPr>
              <w:jc w:val="both"/>
              <w:rPr>
                <w:sz w:val="20"/>
              </w:rPr>
            </w:pPr>
          </w:p>
        </w:tc>
      </w:tr>
      <w:tr w:rsidR="001151FF" w:rsidRPr="00D10D3F" w:rsidTr="00000FE4">
        <w:tc>
          <w:tcPr>
            <w:tcW w:w="2427" w:type="pct"/>
            <w:gridSpan w:val="2"/>
          </w:tcPr>
          <w:p w:rsidR="001151FF" w:rsidRPr="00D10D3F" w:rsidRDefault="001151FF" w:rsidP="001151FF">
            <w:pPr>
              <w:jc w:val="both"/>
              <w:rPr>
                <w:sz w:val="20"/>
              </w:rPr>
            </w:pPr>
            <w:r w:rsidRPr="00D10D3F">
              <w:rPr>
                <w:sz w:val="20"/>
              </w:rPr>
              <w:t>December 7, 2015</w:t>
            </w:r>
          </w:p>
          <w:p w:rsidR="001151FF" w:rsidRPr="00D10D3F" w:rsidRDefault="001151FF" w:rsidP="001151FF">
            <w:pPr>
              <w:jc w:val="both"/>
              <w:rPr>
                <w:sz w:val="20"/>
              </w:rPr>
            </w:pPr>
            <w:r w:rsidRPr="00D10D3F">
              <w:rPr>
                <w:sz w:val="20"/>
              </w:rPr>
              <w:t>Court of Appeal for Ontario</w:t>
            </w:r>
          </w:p>
          <w:p w:rsidR="001151FF" w:rsidRPr="00D10D3F" w:rsidRDefault="001151FF" w:rsidP="001151FF">
            <w:pPr>
              <w:jc w:val="both"/>
              <w:rPr>
                <w:sz w:val="20"/>
              </w:rPr>
            </w:pPr>
            <w:r w:rsidRPr="00D10D3F">
              <w:rPr>
                <w:sz w:val="20"/>
              </w:rPr>
              <w:t>(</w:t>
            </w:r>
            <w:proofErr w:type="spellStart"/>
            <w:r w:rsidRPr="00D10D3F">
              <w:rPr>
                <w:sz w:val="20"/>
              </w:rPr>
              <w:t>Laskin</w:t>
            </w:r>
            <w:proofErr w:type="spellEnd"/>
            <w:r w:rsidRPr="00D10D3F">
              <w:rPr>
                <w:sz w:val="20"/>
              </w:rPr>
              <w:t xml:space="preserve">, </w:t>
            </w:r>
            <w:proofErr w:type="spellStart"/>
            <w:r w:rsidRPr="00D10D3F">
              <w:rPr>
                <w:sz w:val="20"/>
              </w:rPr>
              <w:t>Pardu</w:t>
            </w:r>
            <w:proofErr w:type="spellEnd"/>
            <w:r w:rsidRPr="00D10D3F">
              <w:rPr>
                <w:sz w:val="20"/>
              </w:rPr>
              <w:t xml:space="preserve"> and Miller JJ.A.)</w:t>
            </w:r>
          </w:p>
          <w:p w:rsidR="001151FF" w:rsidRPr="00D10D3F" w:rsidRDefault="00D936BC" w:rsidP="001151FF">
            <w:pPr>
              <w:jc w:val="both"/>
              <w:rPr>
                <w:sz w:val="20"/>
                <w:lang w:val="fr-CA"/>
              </w:rPr>
            </w:pPr>
            <w:hyperlink r:id="rId33" w:history="1">
              <w:r w:rsidR="001151FF" w:rsidRPr="00D10D3F">
                <w:rPr>
                  <w:rStyle w:val="Hyperlink"/>
                  <w:sz w:val="20"/>
                  <w:lang w:val="fr-CA"/>
                </w:rPr>
                <w:t>2015 ONCA 856</w:t>
              </w:r>
            </w:hyperlink>
            <w:r w:rsidR="001151FF" w:rsidRPr="00D10D3F">
              <w:rPr>
                <w:sz w:val="20"/>
                <w:lang w:val="fr-CA"/>
              </w:rPr>
              <w:t>; C60537</w:t>
            </w:r>
          </w:p>
          <w:p w:rsidR="001151FF" w:rsidRPr="00D10D3F" w:rsidRDefault="001151FF" w:rsidP="001151FF">
            <w:pPr>
              <w:jc w:val="both"/>
              <w:rPr>
                <w:sz w:val="20"/>
                <w:lang w:val="fr-CA"/>
              </w:rPr>
            </w:pPr>
          </w:p>
        </w:tc>
        <w:tc>
          <w:tcPr>
            <w:tcW w:w="243" w:type="pct"/>
          </w:tcPr>
          <w:p w:rsidR="001151FF" w:rsidRPr="00D10D3F" w:rsidRDefault="001151FF" w:rsidP="001151FF">
            <w:pPr>
              <w:jc w:val="both"/>
              <w:rPr>
                <w:sz w:val="20"/>
              </w:rPr>
            </w:pPr>
          </w:p>
        </w:tc>
        <w:tc>
          <w:tcPr>
            <w:tcW w:w="2330" w:type="pct"/>
          </w:tcPr>
          <w:p w:rsidR="001151FF" w:rsidRPr="00D10D3F" w:rsidRDefault="001151FF" w:rsidP="001151FF">
            <w:pPr>
              <w:jc w:val="both"/>
              <w:rPr>
                <w:sz w:val="20"/>
              </w:rPr>
            </w:pPr>
            <w:r w:rsidRPr="00D10D3F">
              <w:rPr>
                <w:sz w:val="20"/>
              </w:rPr>
              <w:t>Appeal dismissed</w:t>
            </w:r>
          </w:p>
          <w:p w:rsidR="001151FF" w:rsidRPr="00D10D3F" w:rsidRDefault="001151FF" w:rsidP="001151FF">
            <w:pPr>
              <w:jc w:val="both"/>
              <w:rPr>
                <w:sz w:val="20"/>
              </w:rPr>
            </w:pPr>
          </w:p>
        </w:tc>
      </w:tr>
      <w:tr w:rsidR="001151FF" w:rsidRPr="00D10D3F" w:rsidTr="00000FE4">
        <w:tc>
          <w:tcPr>
            <w:tcW w:w="2427" w:type="pct"/>
            <w:gridSpan w:val="2"/>
          </w:tcPr>
          <w:p w:rsidR="001151FF" w:rsidRPr="00D10D3F" w:rsidRDefault="001151FF" w:rsidP="001151FF">
            <w:pPr>
              <w:jc w:val="both"/>
              <w:rPr>
                <w:sz w:val="20"/>
              </w:rPr>
            </w:pPr>
            <w:r w:rsidRPr="00D10D3F">
              <w:rPr>
                <w:sz w:val="20"/>
              </w:rPr>
              <w:t>February 12, 2016</w:t>
            </w:r>
          </w:p>
          <w:p w:rsidR="001151FF" w:rsidRPr="00D10D3F" w:rsidRDefault="001151FF" w:rsidP="001151FF">
            <w:pPr>
              <w:jc w:val="both"/>
              <w:rPr>
                <w:sz w:val="20"/>
              </w:rPr>
            </w:pPr>
            <w:r w:rsidRPr="00D10D3F">
              <w:rPr>
                <w:sz w:val="20"/>
              </w:rPr>
              <w:t>Supreme Court of Canada</w:t>
            </w:r>
          </w:p>
          <w:p w:rsidR="001151FF" w:rsidRPr="00D10D3F" w:rsidRDefault="001151FF" w:rsidP="001151FF">
            <w:pPr>
              <w:jc w:val="both"/>
              <w:rPr>
                <w:sz w:val="20"/>
              </w:rPr>
            </w:pPr>
          </w:p>
        </w:tc>
        <w:tc>
          <w:tcPr>
            <w:tcW w:w="243" w:type="pct"/>
          </w:tcPr>
          <w:p w:rsidR="001151FF" w:rsidRPr="00D10D3F" w:rsidRDefault="001151FF" w:rsidP="001151FF">
            <w:pPr>
              <w:jc w:val="both"/>
              <w:rPr>
                <w:sz w:val="20"/>
              </w:rPr>
            </w:pPr>
          </w:p>
        </w:tc>
        <w:tc>
          <w:tcPr>
            <w:tcW w:w="2330" w:type="pct"/>
          </w:tcPr>
          <w:p w:rsidR="001151FF" w:rsidRPr="00D10D3F" w:rsidRDefault="001151FF" w:rsidP="004E230C">
            <w:pPr>
              <w:jc w:val="both"/>
              <w:rPr>
                <w:sz w:val="20"/>
              </w:rPr>
            </w:pPr>
            <w:r w:rsidRPr="00D10D3F">
              <w:rPr>
                <w:sz w:val="20"/>
              </w:rPr>
              <w:t>Motion for an extension of time to serve and file the leave application and application for leave to appeal filed</w:t>
            </w:r>
          </w:p>
        </w:tc>
      </w:tr>
    </w:tbl>
    <w:p w:rsidR="001151FF" w:rsidRPr="00D10D3F" w:rsidRDefault="001151FF" w:rsidP="001151FF">
      <w:pPr>
        <w:jc w:val="both"/>
        <w:rPr>
          <w:sz w:val="20"/>
        </w:rPr>
      </w:pPr>
    </w:p>
    <w:p w:rsidR="001151FF" w:rsidRPr="00D10D3F" w:rsidRDefault="001151FF" w:rsidP="001151F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1151FF" w:rsidRPr="00D10D3F" w:rsidTr="00000FE4">
        <w:tc>
          <w:tcPr>
            <w:tcW w:w="543" w:type="pct"/>
          </w:tcPr>
          <w:p w:rsidR="001151FF" w:rsidRPr="00D10D3F" w:rsidRDefault="001151FF" w:rsidP="001151FF">
            <w:pPr>
              <w:jc w:val="both"/>
              <w:rPr>
                <w:sz w:val="20"/>
                <w:lang w:val="fr-CA"/>
              </w:rPr>
            </w:pPr>
            <w:r w:rsidRPr="00D10D3F">
              <w:rPr>
                <w:rStyle w:val="SCCFileNumberChar"/>
                <w:sz w:val="20"/>
                <w:szCs w:val="20"/>
                <w:lang w:val="fr-CA"/>
              </w:rPr>
              <w:t>36851</w:t>
            </w:r>
          </w:p>
        </w:tc>
        <w:tc>
          <w:tcPr>
            <w:tcW w:w="4457" w:type="pct"/>
            <w:gridSpan w:val="3"/>
          </w:tcPr>
          <w:p w:rsidR="001151FF" w:rsidRPr="00D10D3F" w:rsidRDefault="001151FF" w:rsidP="001151FF">
            <w:pPr>
              <w:pStyle w:val="SCCLsocParty"/>
              <w:jc w:val="both"/>
              <w:rPr>
                <w:b/>
                <w:sz w:val="20"/>
                <w:szCs w:val="20"/>
                <w:lang w:val="en-US"/>
              </w:rPr>
            </w:pPr>
            <w:proofErr w:type="spellStart"/>
            <w:r w:rsidRPr="00D10D3F">
              <w:rPr>
                <w:b/>
                <w:sz w:val="20"/>
                <w:szCs w:val="20"/>
                <w:lang w:val="en-US"/>
              </w:rPr>
              <w:t>Speciale</w:t>
            </w:r>
            <w:proofErr w:type="spellEnd"/>
            <w:r w:rsidRPr="00D10D3F">
              <w:rPr>
                <w:b/>
                <w:sz w:val="20"/>
                <w:szCs w:val="20"/>
                <w:lang w:val="en-US"/>
              </w:rPr>
              <w:t xml:space="preserve"> Law Professional Corporation, Anthony M. </w:t>
            </w:r>
            <w:proofErr w:type="spellStart"/>
            <w:r w:rsidRPr="00D10D3F">
              <w:rPr>
                <w:b/>
                <w:sz w:val="20"/>
                <w:szCs w:val="20"/>
                <w:lang w:val="en-US"/>
              </w:rPr>
              <w:t>Speciale</w:t>
            </w:r>
            <w:proofErr w:type="spellEnd"/>
            <w:r w:rsidRPr="00D10D3F">
              <w:rPr>
                <w:b/>
                <w:sz w:val="20"/>
                <w:szCs w:val="20"/>
                <w:lang w:val="en-US"/>
              </w:rPr>
              <w:t xml:space="preserve"> c. </w:t>
            </w:r>
            <w:proofErr w:type="spellStart"/>
            <w:r w:rsidRPr="00D10D3F">
              <w:rPr>
                <w:b/>
                <w:sz w:val="20"/>
                <w:szCs w:val="20"/>
                <w:lang w:val="en-US"/>
              </w:rPr>
              <w:t>Shrader</w:t>
            </w:r>
            <w:proofErr w:type="spellEnd"/>
            <w:r w:rsidRPr="00D10D3F">
              <w:rPr>
                <w:b/>
                <w:sz w:val="20"/>
                <w:szCs w:val="20"/>
                <w:lang w:val="en-US"/>
              </w:rPr>
              <w:t xml:space="preserve"> Canada Limited</w:t>
            </w:r>
          </w:p>
          <w:p w:rsidR="001151FF" w:rsidRPr="00D10D3F" w:rsidRDefault="001151FF" w:rsidP="001151FF">
            <w:pPr>
              <w:jc w:val="both"/>
              <w:rPr>
                <w:sz w:val="20"/>
                <w:lang w:val="fr-CA"/>
              </w:rPr>
            </w:pPr>
            <w:r w:rsidRPr="00D10D3F">
              <w:rPr>
                <w:sz w:val="20"/>
                <w:lang w:val="fr-CA"/>
              </w:rPr>
              <w:t>(Ont.) (Civile) (Sur autorisation)</w:t>
            </w:r>
          </w:p>
        </w:tc>
      </w:tr>
      <w:tr w:rsidR="001151FF" w:rsidRPr="00D10D3F" w:rsidTr="00000FE4">
        <w:tc>
          <w:tcPr>
            <w:tcW w:w="5000" w:type="pct"/>
            <w:gridSpan w:val="4"/>
          </w:tcPr>
          <w:p w:rsidR="001151FF" w:rsidRPr="00D10D3F" w:rsidRDefault="001151FF" w:rsidP="001151FF">
            <w:pPr>
              <w:jc w:val="both"/>
              <w:rPr>
                <w:sz w:val="20"/>
                <w:lang w:val="fr-CA"/>
              </w:rPr>
            </w:pPr>
            <w:r w:rsidRPr="00D10D3F">
              <w:rPr>
                <w:sz w:val="20"/>
                <w:lang w:val="fr-CA"/>
              </w:rPr>
              <w:lastRenderedPageBreak/>
              <w:t xml:space="preserve">Procédure civile – Législation – Interprétation – Droit des professions – Motion en ajournement, en suspension ou en annulation d’une ordonnance de liquidation de mémoires – Qu’entend-on par une absence de « circonstances exceptionnelles »? – La procédure sommaire de liquidation des mémoires entre un procureur et son client est-elle une procédure qu’il convient d’utiliser dans des situations limitées? – La </w:t>
            </w:r>
            <w:r w:rsidRPr="00D10D3F">
              <w:rPr>
                <w:i/>
                <w:sz w:val="20"/>
                <w:lang w:val="fr-CA"/>
              </w:rPr>
              <w:t>Loi sur les procureurs</w:t>
            </w:r>
            <w:r w:rsidRPr="00D10D3F">
              <w:rPr>
                <w:sz w:val="20"/>
                <w:lang w:val="fr-CA"/>
              </w:rPr>
              <w:t xml:space="preserve">, L.R.O. 1990 ch. S-15 crée-t-elle des conditions obligatoires pour obtenir du greffier une ordonnance de liquidation? – Le non-respect d’une échéance de 30 jours pour solliciter une ordonnance </w:t>
            </w:r>
            <w:r w:rsidRPr="00D10D3F">
              <w:rPr>
                <w:i/>
                <w:sz w:val="20"/>
                <w:lang w:val="fr-CA"/>
              </w:rPr>
              <w:t>praecipe</w:t>
            </w:r>
            <w:r w:rsidRPr="00D10D3F">
              <w:rPr>
                <w:sz w:val="20"/>
                <w:lang w:val="fr-CA"/>
              </w:rPr>
              <w:t xml:space="preserve"> est-il une simple irrégularité ou a-t-il pour effet d’invalider l’ordonnance? – Peut-on s’appuyer sur l’acquiescement d’une compétence juridictionnelle pour remédier au non-respect d’une échéance? – Existe-t-il une approche uniforme et fondée sur les principes pour déterminer si le mémoire d’un procureur est provisoire ou définitif? – Le caractère général d’un mandat fait-il en sorte que les mémoires sont présumés être définitifs?</w:t>
            </w:r>
          </w:p>
          <w:p w:rsidR="001151FF" w:rsidRPr="00D10D3F" w:rsidRDefault="001151FF" w:rsidP="001151FF">
            <w:pPr>
              <w:jc w:val="both"/>
              <w:rPr>
                <w:sz w:val="20"/>
                <w:lang w:val="fr-CA"/>
              </w:rPr>
            </w:pPr>
          </w:p>
        </w:tc>
      </w:tr>
      <w:tr w:rsidR="001151FF" w:rsidRPr="00D10D3F" w:rsidTr="004327BC">
        <w:tc>
          <w:tcPr>
            <w:tcW w:w="5000" w:type="pct"/>
            <w:gridSpan w:val="4"/>
            <w:shd w:val="clear" w:color="auto" w:fill="auto"/>
          </w:tcPr>
          <w:p w:rsidR="001151FF" w:rsidRPr="00D10D3F" w:rsidRDefault="001151FF" w:rsidP="001151FF">
            <w:pPr>
              <w:jc w:val="both"/>
              <w:rPr>
                <w:sz w:val="20"/>
                <w:lang w:val="fr-CA"/>
              </w:rPr>
            </w:pPr>
            <w:r w:rsidRPr="00D10D3F">
              <w:rPr>
                <w:sz w:val="20"/>
                <w:lang w:val="fr-CA"/>
              </w:rPr>
              <w:t>Les demandeurs ont agi comme avocats de l’intimée et, de 2009 à 2013, M</w:t>
            </w:r>
            <w:r w:rsidRPr="00D10D3F">
              <w:rPr>
                <w:sz w:val="20"/>
                <w:vertAlign w:val="superscript"/>
                <w:lang w:val="fr-CA"/>
              </w:rPr>
              <w:t>e</w:t>
            </w:r>
            <w:r w:rsidRPr="00D10D3F">
              <w:rPr>
                <w:sz w:val="20"/>
                <w:lang w:val="fr-CA"/>
              </w:rPr>
              <w:t xml:space="preserve"> Speciale était également président et directeur général de l’intimée. En juillet 2013, l’intimée a obtenu, en application de l’art. 3 de la </w:t>
            </w:r>
            <w:r w:rsidRPr="00D10D3F">
              <w:rPr>
                <w:i/>
                <w:sz w:val="20"/>
                <w:lang w:val="fr-CA"/>
              </w:rPr>
              <w:t>Loi sur les procureurs</w:t>
            </w:r>
            <w:r w:rsidRPr="00D10D3F">
              <w:rPr>
                <w:sz w:val="20"/>
                <w:lang w:val="fr-CA"/>
              </w:rPr>
              <w:t xml:space="preserve">, L.R.O. 1990 ch. S-15, une ordonnance </w:t>
            </w:r>
            <w:r w:rsidRPr="00D10D3F">
              <w:rPr>
                <w:i/>
                <w:sz w:val="20"/>
                <w:lang w:val="fr-CA"/>
              </w:rPr>
              <w:t>ex parte</w:t>
            </w:r>
            <w:r w:rsidRPr="00D10D3F">
              <w:rPr>
                <w:sz w:val="20"/>
                <w:lang w:val="fr-CA"/>
              </w:rPr>
              <w:t xml:space="preserve"> du greffier pour la liquidation des mémoires du demandeur. Tous les mémoires avaient été établis sur le papier en-tête du cabinet, signés par M</w:t>
            </w:r>
            <w:r w:rsidRPr="00D10D3F">
              <w:rPr>
                <w:sz w:val="20"/>
                <w:vertAlign w:val="superscript"/>
                <w:lang w:val="fr-CA"/>
              </w:rPr>
              <w:t>e</w:t>
            </w:r>
            <w:r w:rsidRPr="00D10D3F">
              <w:rPr>
                <w:sz w:val="20"/>
                <w:lang w:val="fr-CA"/>
              </w:rPr>
              <w:t> Speciale, et avaient été acquittés par l’intimée. En octobre 2013, l’avocat des demandeurs a informé l’intimée qu’ils entendaient présenter une motion pour contester l’ordonnance de liquidation. En mai 2015, les demandeurs ont présenté une motion urgente en vue d’ajourner ou de suspendre la liquidation et d’annuler l’ordonnance du greffier (dont l’instruction était prévue le le 1</w:t>
            </w:r>
            <w:r w:rsidRPr="00D10D3F">
              <w:rPr>
                <w:sz w:val="20"/>
                <w:vertAlign w:val="superscript"/>
                <w:lang w:val="fr-CA"/>
              </w:rPr>
              <w:t>er</w:t>
            </w:r>
            <w:r w:rsidRPr="00D10D3F">
              <w:rPr>
                <w:sz w:val="20"/>
                <w:lang w:val="fr-CA"/>
              </w:rPr>
              <w:t xml:space="preserve"> juin 2015), notamment parce que la plupart des mémoires avaient trait à des services de gestion, plutôt qu’à des services juridiques, que les mémoires avaient été acquittés, que le mandat était contesté et que l’ordonnance avait été prononcée en dehors des délais prescrits par l’al. 3b) et l’art. 4 de la </w:t>
            </w:r>
            <w:r w:rsidRPr="00D10D3F">
              <w:rPr>
                <w:i/>
                <w:sz w:val="20"/>
                <w:lang w:val="fr-CA"/>
              </w:rPr>
              <w:t>Loi sur les procureurs</w:t>
            </w:r>
            <w:r w:rsidRPr="00D10D3F">
              <w:rPr>
                <w:sz w:val="20"/>
                <w:lang w:val="fr-CA"/>
              </w:rPr>
              <w:t>. La Cour supérieure de justice de l’Ontario a rejeté la motion en annulation de l’ordonnance du greffier pour la liquidation des mémoires du procureur et a rejeté la demande d’ajournement de la liquidation. La Cour d’appel de l’Ontario a rejeté l’appel.</w:t>
            </w:r>
          </w:p>
        </w:tc>
      </w:tr>
      <w:tr w:rsidR="001151FF" w:rsidRPr="00D10D3F" w:rsidTr="00000FE4">
        <w:tc>
          <w:tcPr>
            <w:tcW w:w="5000" w:type="pct"/>
            <w:gridSpan w:val="4"/>
          </w:tcPr>
          <w:p w:rsidR="001151FF" w:rsidRPr="00D10D3F" w:rsidRDefault="001151FF" w:rsidP="001151FF">
            <w:pPr>
              <w:jc w:val="both"/>
              <w:rPr>
                <w:sz w:val="20"/>
                <w:lang w:val="fr-CA"/>
              </w:rPr>
            </w:pPr>
          </w:p>
        </w:tc>
      </w:tr>
      <w:tr w:rsidR="001151FF" w:rsidRPr="00D10D3F" w:rsidTr="00000FE4">
        <w:tc>
          <w:tcPr>
            <w:tcW w:w="2427" w:type="pct"/>
            <w:gridSpan w:val="2"/>
          </w:tcPr>
          <w:p w:rsidR="001151FF" w:rsidRPr="00D10D3F" w:rsidRDefault="001151FF" w:rsidP="001151FF">
            <w:pPr>
              <w:jc w:val="both"/>
              <w:rPr>
                <w:sz w:val="20"/>
                <w:lang w:val="fr-CA"/>
              </w:rPr>
            </w:pPr>
            <w:r w:rsidRPr="00D10D3F">
              <w:rPr>
                <w:sz w:val="20"/>
                <w:lang w:val="fr-CA"/>
              </w:rPr>
              <w:t>27 mai 2015</w:t>
            </w:r>
          </w:p>
          <w:p w:rsidR="001151FF" w:rsidRPr="00D10D3F" w:rsidRDefault="001151FF" w:rsidP="001151FF">
            <w:pPr>
              <w:jc w:val="both"/>
              <w:rPr>
                <w:sz w:val="20"/>
                <w:lang w:val="fr-CA"/>
              </w:rPr>
            </w:pPr>
            <w:r w:rsidRPr="00D10D3F">
              <w:rPr>
                <w:sz w:val="20"/>
                <w:lang w:val="fr-CA"/>
              </w:rPr>
              <w:t xml:space="preserve">Cour supérieure de justice de l’Ontario </w:t>
            </w:r>
          </w:p>
          <w:p w:rsidR="001151FF" w:rsidRPr="00D10D3F" w:rsidRDefault="001151FF" w:rsidP="001151FF">
            <w:pPr>
              <w:jc w:val="both"/>
              <w:rPr>
                <w:sz w:val="20"/>
                <w:lang w:val="fr-CA"/>
              </w:rPr>
            </w:pPr>
            <w:r w:rsidRPr="00D10D3F">
              <w:rPr>
                <w:sz w:val="20"/>
                <w:lang w:val="fr-CA"/>
              </w:rPr>
              <w:t>(Juge Turnbull)</w:t>
            </w:r>
          </w:p>
          <w:p w:rsidR="001151FF" w:rsidRPr="00D10D3F" w:rsidRDefault="001151FF" w:rsidP="001151FF">
            <w:pPr>
              <w:jc w:val="both"/>
              <w:rPr>
                <w:sz w:val="20"/>
                <w:lang w:val="fr-CA"/>
              </w:rPr>
            </w:pPr>
            <w:r w:rsidRPr="00D10D3F">
              <w:rPr>
                <w:sz w:val="20"/>
                <w:lang w:val="fr-CA"/>
              </w:rPr>
              <w:t xml:space="preserve">2015 ONSC 3388 </w:t>
            </w:r>
          </w:p>
          <w:p w:rsidR="001151FF" w:rsidRPr="00D10D3F" w:rsidRDefault="001151FF" w:rsidP="001151FF">
            <w:pPr>
              <w:jc w:val="both"/>
              <w:rPr>
                <w:sz w:val="20"/>
                <w:lang w:val="fr-CA"/>
              </w:rPr>
            </w:pPr>
            <w:r w:rsidRPr="00D10D3F">
              <w:rPr>
                <w:sz w:val="20"/>
                <w:lang w:val="fr-CA"/>
              </w:rPr>
              <w:t>2015 ONSC 3412</w:t>
            </w:r>
          </w:p>
          <w:p w:rsidR="001151FF" w:rsidRPr="00D10D3F" w:rsidRDefault="001151FF" w:rsidP="001151FF">
            <w:pPr>
              <w:jc w:val="both"/>
              <w:rPr>
                <w:sz w:val="20"/>
                <w:lang w:val="fr-CA"/>
              </w:rPr>
            </w:pPr>
          </w:p>
        </w:tc>
        <w:tc>
          <w:tcPr>
            <w:tcW w:w="243" w:type="pct"/>
          </w:tcPr>
          <w:p w:rsidR="001151FF" w:rsidRPr="00D10D3F" w:rsidRDefault="001151FF" w:rsidP="001151FF">
            <w:pPr>
              <w:jc w:val="both"/>
              <w:rPr>
                <w:sz w:val="20"/>
                <w:lang w:val="fr-CA"/>
              </w:rPr>
            </w:pPr>
          </w:p>
        </w:tc>
        <w:tc>
          <w:tcPr>
            <w:tcW w:w="2330" w:type="pct"/>
          </w:tcPr>
          <w:p w:rsidR="001151FF" w:rsidRPr="00D10D3F" w:rsidRDefault="001151FF" w:rsidP="001151FF">
            <w:pPr>
              <w:jc w:val="both"/>
              <w:rPr>
                <w:sz w:val="20"/>
                <w:lang w:val="fr-CA"/>
              </w:rPr>
            </w:pPr>
            <w:r w:rsidRPr="00D10D3F">
              <w:rPr>
                <w:sz w:val="20"/>
                <w:lang w:val="fr-CA"/>
              </w:rPr>
              <w:t>Rejet de la motion en ajournement ou en suspension de la liquidation et rejet de la motion en annulation de l’ordonnance de liquidation prononcée par le greffier</w:t>
            </w:r>
          </w:p>
          <w:p w:rsidR="001151FF" w:rsidRPr="00D10D3F" w:rsidRDefault="001151FF" w:rsidP="001151FF">
            <w:pPr>
              <w:jc w:val="both"/>
              <w:rPr>
                <w:sz w:val="20"/>
                <w:lang w:val="fr-CA"/>
              </w:rPr>
            </w:pPr>
          </w:p>
        </w:tc>
      </w:tr>
      <w:tr w:rsidR="001151FF" w:rsidRPr="00D10D3F" w:rsidTr="00000FE4">
        <w:tc>
          <w:tcPr>
            <w:tcW w:w="2427" w:type="pct"/>
            <w:gridSpan w:val="2"/>
          </w:tcPr>
          <w:p w:rsidR="001151FF" w:rsidRPr="00D10D3F" w:rsidRDefault="001151FF" w:rsidP="001151FF">
            <w:pPr>
              <w:jc w:val="both"/>
              <w:rPr>
                <w:sz w:val="20"/>
                <w:lang w:val="fr-CA"/>
              </w:rPr>
            </w:pPr>
            <w:r w:rsidRPr="00D10D3F">
              <w:rPr>
                <w:sz w:val="20"/>
                <w:lang w:val="fr-CA"/>
              </w:rPr>
              <w:t>7 décembre 2015</w:t>
            </w:r>
          </w:p>
          <w:p w:rsidR="001151FF" w:rsidRPr="00D10D3F" w:rsidRDefault="001151FF" w:rsidP="001151FF">
            <w:pPr>
              <w:jc w:val="both"/>
              <w:rPr>
                <w:sz w:val="20"/>
                <w:lang w:val="fr-CA"/>
              </w:rPr>
            </w:pPr>
            <w:r w:rsidRPr="00D10D3F">
              <w:rPr>
                <w:sz w:val="20"/>
                <w:lang w:val="fr-CA"/>
              </w:rPr>
              <w:t xml:space="preserve">Cour d’appel de l’Ontario </w:t>
            </w:r>
          </w:p>
          <w:p w:rsidR="001151FF" w:rsidRPr="00D10D3F" w:rsidRDefault="001151FF" w:rsidP="001151FF">
            <w:pPr>
              <w:jc w:val="both"/>
              <w:rPr>
                <w:sz w:val="20"/>
                <w:lang w:val="fr-CA"/>
              </w:rPr>
            </w:pPr>
            <w:r w:rsidRPr="00D10D3F">
              <w:rPr>
                <w:sz w:val="20"/>
                <w:lang w:val="fr-CA"/>
              </w:rPr>
              <w:t>(Juges Laskin, Pardu et Miller)</w:t>
            </w:r>
          </w:p>
          <w:p w:rsidR="001151FF" w:rsidRPr="00D10D3F" w:rsidRDefault="00D936BC" w:rsidP="001151FF">
            <w:pPr>
              <w:jc w:val="both"/>
              <w:rPr>
                <w:sz w:val="20"/>
                <w:lang w:val="fr-CA"/>
              </w:rPr>
            </w:pPr>
            <w:hyperlink r:id="rId34" w:history="1">
              <w:r w:rsidR="001151FF" w:rsidRPr="00D10D3F">
                <w:rPr>
                  <w:rStyle w:val="Hyperlink"/>
                  <w:sz w:val="20"/>
                  <w:lang w:val="fr-CA"/>
                </w:rPr>
                <w:t>2015 ONCA 856</w:t>
              </w:r>
            </w:hyperlink>
            <w:r w:rsidR="001151FF" w:rsidRPr="00D10D3F">
              <w:rPr>
                <w:sz w:val="20"/>
                <w:lang w:val="fr-CA"/>
              </w:rPr>
              <w:t>; C60537</w:t>
            </w:r>
          </w:p>
          <w:p w:rsidR="001151FF" w:rsidRPr="00D10D3F" w:rsidRDefault="001151FF" w:rsidP="001151FF">
            <w:pPr>
              <w:jc w:val="both"/>
              <w:rPr>
                <w:sz w:val="20"/>
                <w:lang w:val="fr-CA"/>
              </w:rPr>
            </w:pPr>
          </w:p>
        </w:tc>
        <w:tc>
          <w:tcPr>
            <w:tcW w:w="243" w:type="pct"/>
          </w:tcPr>
          <w:p w:rsidR="001151FF" w:rsidRPr="00D10D3F" w:rsidRDefault="001151FF" w:rsidP="001151FF">
            <w:pPr>
              <w:jc w:val="both"/>
              <w:rPr>
                <w:sz w:val="20"/>
                <w:lang w:val="fr-CA"/>
              </w:rPr>
            </w:pPr>
          </w:p>
        </w:tc>
        <w:tc>
          <w:tcPr>
            <w:tcW w:w="2330" w:type="pct"/>
          </w:tcPr>
          <w:p w:rsidR="001151FF" w:rsidRPr="00D10D3F" w:rsidRDefault="001151FF" w:rsidP="001151FF">
            <w:pPr>
              <w:jc w:val="both"/>
              <w:rPr>
                <w:sz w:val="20"/>
                <w:lang w:val="fr-CA"/>
              </w:rPr>
            </w:pPr>
            <w:r w:rsidRPr="00D10D3F">
              <w:rPr>
                <w:sz w:val="20"/>
                <w:lang w:val="fr-CA"/>
              </w:rPr>
              <w:t>Rejet de l’appel</w:t>
            </w:r>
          </w:p>
          <w:p w:rsidR="001151FF" w:rsidRPr="00D10D3F" w:rsidRDefault="001151FF" w:rsidP="001151FF">
            <w:pPr>
              <w:jc w:val="both"/>
              <w:rPr>
                <w:sz w:val="20"/>
                <w:lang w:val="fr-CA"/>
              </w:rPr>
            </w:pPr>
          </w:p>
        </w:tc>
      </w:tr>
      <w:tr w:rsidR="001151FF" w:rsidRPr="00D10D3F" w:rsidTr="00000FE4">
        <w:tc>
          <w:tcPr>
            <w:tcW w:w="2427" w:type="pct"/>
            <w:gridSpan w:val="2"/>
          </w:tcPr>
          <w:p w:rsidR="001151FF" w:rsidRPr="00D10D3F" w:rsidRDefault="001151FF" w:rsidP="001151FF">
            <w:pPr>
              <w:jc w:val="both"/>
              <w:rPr>
                <w:sz w:val="20"/>
                <w:lang w:val="fr-CA"/>
              </w:rPr>
            </w:pPr>
            <w:r w:rsidRPr="00D10D3F">
              <w:rPr>
                <w:sz w:val="20"/>
                <w:lang w:val="fr-CA"/>
              </w:rPr>
              <w:t>12 février 2016</w:t>
            </w:r>
          </w:p>
          <w:p w:rsidR="001151FF" w:rsidRPr="00D10D3F" w:rsidRDefault="001151FF" w:rsidP="001151FF">
            <w:pPr>
              <w:jc w:val="both"/>
              <w:rPr>
                <w:sz w:val="20"/>
                <w:lang w:val="fr-CA"/>
              </w:rPr>
            </w:pPr>
            <w:r w:rsidRPr="00D10D3F">
              <w:rPr>
                <w:sz w:val="20"/>
                <w:lang w:val="fr-CA"/>
              </w:rPr>
              <w:t>Cour suprême du Canada</w:t>
            </w:r>
          </w:p>
          <w:p w:rsidR="001151FF" w:rsidRPr="00D10D3F" w:rsidRDefault="001151FF" w:rsidP="001151FF">
            <w:pPr>
              <w:jc w:val="both"/>
              <w:rPr>
                <w:sz w:val="20"/>
                <w:lang w:val="fr-CA"/>
              </w:rPr>
            </w:pPr>
          </w:p>
        </w:tc>
        <w:tc>
          <w:tcPr>
            <w:tcW w:w="243" w:type="pct"/>
          </w:tcPr>
          <w:p w:rsidR="001151FF" w:rsidRPr="00D10D3F" w:rsidRDefault="001151FF" w:rsidP="001151FF">
            <w:pPr>
              <w:jc w:val="both"/>
              <w:rPr>
                <w:sz w:val="20"/>
                <w:lang w:val="fr-CA"/>
              </w:rPr>
            </w:pPr>
          </w:p>
        </w:tc>
        <w:tc>
          <w:tcPr>
            <w:tcW w:w="2330" w:type="pct"/>
          </w:tcPr>
          <w:p w:rsidR="001151FF" w:rsidRPr="00D10D3F" w:rsidRDefault="001151FF" w:rsidP="001151FF">
            <w:pPr>
              <w:jc w:val="both"/>
              <w:rPr>
                <w:sz w:val="20"/>
                <w:lang w:val="fr-CA"/>
              </w:rPr>
            </w:pPr>
            <w:r w:rsidRPr="00D10D3F">
              <w:rPr>
                <w:sz w:val="20"/>
                <w:lang w:val="fr-CA"/>
              </w:rPr>
              <w:t>Dépôt de la requête en prorogation du délai de signification et de dépôt de la demande d’autorisation d’appel et de la demande d’autorisation d’appel</w:t>
            </w:r>
          </w:p>
        </w:tc>
      </w:tr>
    </w:tbl>
    <w:p w:rsidR="001151FF" w:rsidRPr="00D10D3F" w:rsidRDefault="001151FF" w:rsidP="001151FF">
      <w:pPr>
        <w:jc w:val="both"/>
        <w:rPr>
          <w:sz w:val="20"/>
          <w:lang w:val="fr-CA"/>
        </w:rPr>
      </w:pPr>
    </w:p>
    <w:p w:rsidR="00722866" w:rsidRPr="00D10D3F" w:rsidRDefault="00722866" w:rsidP="00A14921">
      <w:pPr>
        <w:widowControl w:val="0"/>
        <w:ind w:left="360" w:hanging="360"/>
        <w:rPr>
          <w:sz w:val="20"/>
          <w:lang w:val="fr-FR" w:eastAsia="en-CA"/>
        </w:rPr>
      </w:pPr>
    </w:p>
    <w:p w:rsidR="00FB00F7" w:rsidRPr="00D10D3F" w:rsidRDefault="00FB00F7" w:rsidP="00F32457">
      <w:pPr>
        <w:widowControl w:val="0"/>
        <w:jc w:val="both"/>
        <w:rPr>
          <w:sz w:val="20"/>
          <w:lang w:val="fr-CA" w:eastAsia="en-CA"/>
        </w:rPr>
      </w:pPr>
    </w:p>
    <w:p w:rsidR="00D3344A" w:rsidRPr="00D10D3F" w:rsidRDefault="00D3344A" w:rsidP="00D3344A">
      <w:pPr>
        <w:widowControl w:val="0"/>
        <w:outlineLvl w:val="0"/>
      </w:pPr>
      <w:r w:rsidRPr="00D10D3F">
        <w:t xml:space="preserve">Supreme Court of Canada / </w:t>
      </w:r>
      <w:proofErr w:type="spellStart"/>
      <w:r w:rsidRPr="00D10D3F">
        <w:t>Cour</w:t>
      </w:r>
      <w:proofErr w:type="spellEnd"/>
      <w:r w:rsidRPr="00D10D3F">
        <w:t xml:space="preserve"> </w:t>
      </w:r>
      <w:proofErr w:type="spellStart"/>
      <w:r w:rsidRPr="00D10D3F">
        <w:t>suprême</w:t>
      </w:r>
      <w:proofErr w:type="spellEnd"/>
      <w:r w:rsidRPr="00D10D3F">
        <w:t xml:space="preserve"> du </w:t>
      </w:r>
      <w:proofErr w:type="gramStart"/>
      <w:r w:rsidRPr="00D10D3F">
        <w:t>Canada :</w:t>
      </w:r>
      <w:proofErr w:type="gramEnd"/>
      <w:r w:rsidRPr="00D10D3F">
        <w:t xml:space="preserve"> </w:t>
      </w:r>
    </w:p>
    <w:p w:rsidR="00D3344A" w:rsidRPr="00D10D3F" w:rsidRDefault="00D936BC" w:rsidP="00D3344A">
      <w:pPr>
        <w:widowControl w:val="0"/>
        <w:outlineLvl w:val="0"/>
        <w:rPr>
          <w:u w:val="single"/>
        </w:rPr>
      </w:pPr>
      <w:hyperlink r:id="rId35" w:history="1">
        <w:r w:rsidR="00D3344A" w:rsidRPr="00D10D3F">
          <w:rPr>
            <w:rStyle w:val="Hyperlink"/>
          </w:rPr>
          <w:t>comments-commentaires@scc-csc.ca</w:t>
        </w:r>
      </w:hyperlink>
    </w:p>
    <w:p w:rsidR="00D3344A" w:rsidRPr="00D10D3F" w:rsidRDefault="0065588C" w:rsidP="00D3344A">
      <w:pPr>
        <w:widowControl w:val="0"/>
        <w:outlineLvl w:val="0"/>
      </w:pPr>
      <w:r w:rsidRPr="00D10D3F">
        <w:t>613-</w:t>
      </w:r>
      <w:r w:rsidR="00D3344A" w:rsidRPr="00D10D3F">
        <w:t>995-4330</w:t>
      </w:r>
    </w:p>
    <w:p w:rsidR="00497B5E" w:rsidRPr="00D10D3F" w:rsidRDefault="00497B5E" w:rsidP="00497B5E">
      <w:pPr>
        <w:widowControl w:val="0"/>
        <w:rPr>
          <w:sz w:val="20"/>
        </w:rPr>
      </w:pPr>
    </w:p>
    <w:p w:rsidR="00F6251B" w:rsidRPr="00B93544" w:rsidRDefault="003F43E6" w:rsidP="00F6251B">
      <w:pPr>
        <w:pStyle w:val="Footer"/>
        <w:jc w:val="center"/>
      </w:pPr>
      <w:r w:rsidRPr="00D10D3F">
        <w:t>- 30 -</w:t>
      </w:r>
    </w:p>
    <w:p w:rsidR="00F6251B" w:rsidRPr="00B93544" w:rsidRDefault="00F6251B" w:rsidP="00F6251B">
      <w:pPr>
        <w:pStyle w:val="Footer"/>
        <w:jc w:val="center"/>
      </w:pPr>
    </w:p>
    <w:sectPr w:rsidR="00F6251B" w:rsidRPr="00B93544" w:rsidSect="00524822">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B9"/>
    <w:multiLevelType w:val="hybridMultilevel"/>
    <w:tmpl w:val="FD566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F42C3"/>
    <w:multiLevelType w:val="hybridMultilevel"/>
    <w:tmpl w:val="24C272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594515"/>
    <w:multiLevelType w:val="hybridMultilevel"/>
    <w:tmpl w:val="544ECE44"/>
    <w:lvl w:ilvl="0" w:tplc="F6C231E4">
      <w:start w:val="8"/>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97F70"/>
    <w:multiLevelType w:val="hybridMultilevel"/>
    <w:tmpl w:val="D4A2EF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674BA6"/>
    <w:multiLevelType w:val="hybridMultilevel"/>
    <w:tmpl w:val="E9761880"/>
    <w:lvl w:ilvl="0" w:tplc="6F2080A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AA5CF1"/>
    <w:multiLevelType w:val="hybridMultilevel"/>
    <w:tmpl w:val="A8F89D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EA6E76"/>
    <w:multiLevelType w:val="hybridMultilevel"/>
    <w:tmpl w:val="DC540EF4"/>
    <w:lvl w:ilvl="0" w:tplc="B63EFA4C">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4910D47"/>
    <w:multiLevelType w:val="hybridMultilevel"/>
    <w:tmpl w:val="E91EC39C"/>
    <w:lvl w:ilvl="0" w:tplc="09EE625C">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5A6CDF"/>
    <w:multiLevelType w:val="hybridMultilevel"/>
    <w:tmpl w:val="DDC0BEAE"/>
    <w:lvl w:ilvl="0" w:tplc="0A4A138C">
      <w:start w:val="3"/>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5B80F73"/>
    <w:multiLevelType w:val="hybridMultilevel"/>
    <w:tmpl w:val="246455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F44F0"/>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18D75DE"/>
    <w:multiLevelType w:val="hybridMultilevel"/>
    <w:tmpl w:val="0964C2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1EC40BE"/>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A055700"/>
    <w:multiLevelType w:val="hybridMultilevel"/>
    <w:tmpl w:val="C472D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8831F9"/>
    <w:multiLevelType w:val="hybridMultilevel"/>
    <w:tmpl w:val="4D08AF68"/>
    <w:lvl w:ilvl="0" w:tplc="67BE5CDE">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E92A52"/>
    <w:multiLevelType w:val="hybridMultilevel"/>
    <w:tmpl w:val="0A78FA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C3815DA"/>
    <w:multiLevelType w:val="hybridMultilevel"/>
    <w:tmpl w:val="11FC39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646A8"/>
    <w:multiLevelType w:val="hybridMultilevel"/>
    <w:tmpl w:val="3F76FB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347B97"/>
    <w:multiLevelType w:val="hybridMultilevel"/>
    <w:tmpl w:val="462C5F40"/>
    <w:lvl w:ilvl="0" w:tplc="928817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C81D97"/>
    <w:multiLevelType w:val="hybridMultilevel"/>
    <w:tmpl w:val="9872B39A"/>
    <w:lvl w:ilvl="0" w:tplc="D6FABEE2">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5F3FD1"/>
    <w:multiLevelType w:val="hybridMultilevel"/>
    <w:tmpl w:val="24D0B8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813DD0"/>
    <w:multiLevelType w:val="hybridMultilevel"/>
    <w:tmpl w:val="AE686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FD02557"/>
    <w:multiLevelType w:val="hybridMultilevel"/>
    <w:tmpl w:val="64348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21"/>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
  </w:num>
  <w:num w:numId="19">
    <w:abstractNumId w:val="18"/>
  </w:num>
  <w:num w:numId="20">
    <w:abstractNumId w:val="15"/>
  </w:num>
  <w:num w:numId="21">
    <w:abstractNumId w:val="20"/>
  </w:num>
  <w:num w:numId="22">
    <w:abstractNumId w:val="0"/>
  </w:num>
  <w:num w:numId="23">
    <w:abstractNumId w:val="24"/>
  </w:num>
  <w:num w:numId="24">
    <w:abstractNumId w:val="10"/>
  </w:num>
  <w:num w:numId="25">
    <w:abstractNumId w:val="1"/>
  </w:num>
  <w:num w:numId="26">
    <w:abstractNumId w:val="13"/>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128A2"/>
    <w:rsid w:val="000136CC"/>
    <w:rsid w:val="0001374A"/>
    <w:rsid w:val="00014C19"/>
    <w:rsid w:val="000164DB"/>
    <w:rsid w:val="00016932"/>
    <w:rsid w:val="00016D65"/>
    <w:rsid w:val="00016D95"/>
    <w:rsid w:val="0001736B"/>
    <w:rsid w:val="00020797"/>
    <w:rsid w:val="00020816"/>
    <w:rsid w:val="00020DAE"/>
    <w:rsid w:val="0002267C"/>
    <w:rsid w:val="00024962"/>
    <w:rsid w:val="000250B7"/>
    <w:rsid w:val="000276EE"/>
    <w:rsid w:val="00032E02"/>
    <w:rsid w:val="00033257"/>
    <w:rsid w:val="00033D1E"/>
    <w:rsid w:val="00033D28"/>
    <w:rsid w:val="0003496D"/>
    <w:rsid w:val="00034A7F"/>
    <w:rsid w:val="00035790"/>
    <w:rsid w:val="000368C3"/>
    <w:rsid w:val="00041B58"/>
    <w:rsid w:val="00042069"/>
    <w:rsid w:val="00042390"/>
    <w:rsid w:val="0004298B"/>
    <w:rsid w:val="00043FDE"/>
    <w:rsid w:val="000467DE"/>
    <w:rsid w:val="00046CB2"/>
    <w:rsid w:val="00047CD6"/>
    <w:rsid w:val="00051DE6"/>
    <w:rsid w:val="00054F8E"/>
    <w:rsid w:val="000577D9"/>
    <w:rsid w:val="00060B62"/>
    <w:rsid w:val="00061283"/>
    <w:rsid w:val="000627A2"/>
    <w:rsid w:val="0006417A"/>
    <w:rsid w:val="00065F8F"/>
    <w:rsid w:val="00066B80"/>
    <w:rsid w:val="00067F50"/>
    <w:rsid w:val="00070830"/>
    <w:rsid w:val="00077E16"/>
    <w:rsid w:val="000809B3"/>
    <w:rsid w:val="00080EAB"/>
    <w:rsid w:val="00082444"/>
    <w:rsid w:val="000825A5"/>
    <w:rsid w:val="00082D8D"/>
    <w:rsid w:val="00083162"/>
    <w:rsid w:val="0008327A"/>
    <w:rsid w:val="000841F9"/>
    <w:rsid w:val="000843DB"/>
    <w:rsid w:val="000845AF"/>
    <w:rsid w:val="00085D13"/>
    <w:rsid w:val="00086629"/>
    <w:rsid w:val="00087808"/>
    <w:rsid w:val="00093693"/>
    <w:rsid w:val="00095627"/>
    <w:rsid w:val="000975EC"/>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64B"/>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AEC"/>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FE1"/>
    <w:rsid w:val="001147A4"/>
    <w:rsid w:val="001151FF"/>
    <w:rsid w:val="00115CF1"/>
    <w:rsid w:val="001170C6"/>
    <w:rsid w:val="00117137"/>
    <w:rsid w:val="00117AF3"/>
    <w:rsid w:val="001200D6"/>
    <w:rsid w:val="00120360"/>
    <w:rsid w:val="00120CA0"/>
    <w:rsid w:val="0012101A"/>
    <w:rsid w:val="0012202C"/>
    <w:rsid w:val="00122CE1"/>
    <w:rsid w:val="00123976"/>
    <w:rsid w:val="00124DEC"/>
    <w:rsid w:val="00124EFD"/>
    <w:rsid w:val="001262EF"/>
    <w:rsid w:val="0013159F"/>
    <w:rsid w:val="00131EB1"/>
    <w:rsid w:val="00132635"/>
    <w:rsid w:val="00134190"/>
    <w:rsid w:val="001354E7"/>
    <w:rsid w:val="00136710"/>
    <w:rsid w:val="00140982"/>
    <w:rsid w:val="00141200"/>
    <w:rsid w:val="00141591"/>
    <w:rsid w:val="0014243F"/>
    <w:rsid w:val="0014294E"/>
    <w:rsid w:val="00142C72"/>
    <w:rsid w:val="001432DF"/>
    <w:rsid w:val="00143519"/>
    <w:rsid w:val="00144111"/>
    <w:rsid w:val="00144A29"/>
    <w:rsid w:val="00147BE4"/>
    <w:rsid w:val="00147DE3"/>
    <w:rsid w:val="00150453"/>
    <w:rsid w:val="00150C10"/>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56E"/>
    <w:rsid w:val="00176790"/>
    <w:rsid w:val="00176D8B"/>
    <w:rsid w:val="00181375"/>
    <w:rsid w:val="001813C3"/>
    <w:rsid w:val="001819DA"/>
    <w:rsid w:val="00182705"/>
    <w:rsid w:val="001838E0"/>
    <w:rsid w:val="00183A15"/>
    <w:rsid w:val="00185355"/>
    <w:rsid w:val="001866BF"/>
    <w:rsid w:val="00186884"/>
    <w:rsid w:val="001878EB"/>
    <w:rsid w:val="0019000C"/>
    <w:rsid w:val="0019030D"/>
    <w:rsid w:val="0019092C"/>
    <w:rsid w:val="00190C7A"/>
    <w:rsid w:val="00190F7F"/>
    <w:rsid w:val="001947C1"/>
    <w:rsid w:val="001948EC"/>
    <w:rsid w:val="00194F2A"/>
    <w:rsid w:val="0019508F"/>
    <w:rsid w:val="001A06DE"/>
    <w:rsid w:val="001A08FF"/>
    <w:rsid w:val="001A1AE7"/>
    <w:rsid w:val="001A1F80"/>
    <w:rsid w:val="001A2314"/>
    <w:rsid w:val="001A3100"/>
    <w:rsid w:val="001A3A22"/>
    <w:rsid w:val="001A3AA1"/>
    <w:rsid w:val="001A4109"/>
    <w:rsid w:val="001A4547"/>
    <w:rsid w:val="001A48FB"/>
    <w:rsid w:val="001A4C89"/>
    <w:rsid w:val="001A562F"/>
    <w:rsid w:val="001A646C"/>
    <w:rsid w:val="001B1019"/>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E7B18"/>
    <w:rsid w:val="001F1F3F"/>
    <w:rsid w:val="001F27B1"/>
    <w:rsid w:val="001F2F00"/>
    <w:rsid w:val="001F5B11"/>
    <w:rsid w:val="00200F31"/>
    <w:rsid w:val="0020221F"/>
    <w:rsid w:val="00203AEA"/>
    <w:rsid w:val="00203D33"/>
    <w:rsid w:val="00205051"/>
    <w:rsid w:val="0020794A"/>
    <w:rsid w:val="00207A23"/>
    <w:rsid w:val="00207C7F"/>
    <w:rsid w:val="00210B48"/>
    <w:rsid w:val="0021175A"/>
    <w:rsid w:val="002120BD"/>
    <w:rsid w:val="00212962"/>
    <w:rsid w:val="00217135"/>
    <w:rsid w:val="0022132D"/>
    <w:rsid w:val="00221D16"/>
    <w:rsid w:val="00222064"/>
    <w:rsid w:val="00222CAE"/>
    <w:rsid w:val="00223622"/>
    <w:rsid w:val="00223B83"/>
    <w:rsid w:val="00225A53"/>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9649C"/>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B678E"/>
    <w:rsid w:val="002C10D1"/>
    <w:rsid w:val="002C239C"/>
    <w:rsid w:val="002C3A5F"/>
    <w:rsid w:val="002C5754"/>
    <w:rsid w:val="002C6BF5"/>
    <w:rsid w:val="002D0C49"/>
    <w:rsid w:val="002D2553"/>
    <w:rsid w:val="002D43A1"/>
    <w:rsid w:val="002D63D6"/>
    <w:rsid w:val="002D6680"/>
    <w:rsid w:val="002E00CC"/>
    <w:rsid w:val="002E0473"/>
    <w:rsid w:val="002E1AF1"/>
    <w:rsid w:val="002E3911"/>
    <w:rsid w:val="002E7777"/>
    <w:rsid w:val="002F06D0"/>
    <w:rsid w:val="002F2CF2"/>
    <w:rsid w:val="002F3830"/>
    <w:rsid w:val="002F38D7"/>
    <w:rsid w:val="002F4929"/>
    <w:rsid w:val="002F5989"/>
    <w:rsid w:val="002F73F4"/>
    <w:rsid w:val="002F7DDE"/>
    <w:rsid w:val="002F7E97"/>
    <w:rsid w:val="003006A1"/>
    <w:rsid w:val="003012A2"/>
    <w:rsid w:val="00304ACA"/>
    <w:rsid w:val="003127F4"/>
    <w:rsid w:val="00313652"/>
    <w:rsid w:val="0031376D"/>
    <w:rsid w:val="003151B5"/>
    <w:rsid w:val="00315AF8"/>
    <w:rsid w:val="003175F3"/>
    <w:rsid w:val="00317835"/>
    <w:rsid w:val="00317C72"/>
    <w:rsid w:val="003235CC"/>
    <w:rsid w:val="00324EC4"/>
    <w:rsid w:val="00325668"/>
    <w:rsid w:val="00325823"/>
    <w:rsid w:val="0032752E"/>
    <w:rsid w:val="0033097A"/>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C1E"/>
    <w:rsid w:val="003441F0"/>
    <w:rsid w:val="00346B36"/>
    <w:rsid w:val="0034796D"/>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67E02"/>
    <w:rsid w:val="0037013D"/>
    <w:rsid w:val="00370DA4"/>
    <w:rsid w:val="003710CD"/>
    <w:rsid w:val="00372E91"/>
    <w:rsid w:val="00372FAD"/>
    <w:rsid w:val="00372FD5"/>
    <w:rsid w:val="0037633B"/>
    <w:rsid w:val="00376958"/>
    <w:rsid w:val="00376C1A"/>
    <w:rsid w:val="0037769F"/>
    <w:rsid w:val="0037792A"/>
    <w:rsid w:val="00377C17"/>
    <w:rsid w:val="00377C46"/>
    <w:rsid w:val="003817A9"/>
    <w:rsid w:val="0038431A"/>
    <w:rsid w:val="0038547C"/>
    <w:rsid w:val="00385A88"/>
    <w:rsid w:val="00386E93"/>
    <w:rsid w:val="00387900"/>
    <w:rsid w:val="00387AF8"/>
    <w:rsid w:val="00390065"/>
    <w:rsid w:val="00390A1E"/>
    <w:rsid w:val="00392444"/>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3AF"/>
    <w:rsid w:val="003B2AC6"/>
    <w:rsid w:val="003B2F30"/>
    <w:rsid w:val="003B3019"/>
    <w:rsid w:val="003B34C2"/>
    <w:rsid w:val="003B39D7"/>
    <w:rsid w:val="003B4B2E"/>
    <w:rsid w:val="003B61F0"/>
    <w:rsid w:val="003B64B3"/>
    <w:rsid w:val="003B693A"/>
    <w:rsid w:val="003B6E18"/>
    <w:rsid w:val="003B7053"/>
    <w:rsid w:val="003B7102"/>
    <w:rsid w:val="003C019F"/>
    <w:rsid w:val="003C0C25"/>
    <w:rsid w:val="003C2D62"/>
    <w:rsid w:val="003C4234"/>
    <w:rsid w:val="003C5F5E"/>
    <w:rsid w:val="003C5FC2"/>
    <w:rsid w:val="003C6BB7"/>
    <w:rsid w:val="003D0A88"/>
    <w:rsid w:val="003D19A0"/>
    <w:rsid w:val="003D27BD"/>
    <w:rsid w:val="003D353C"/>
    <w:rsid w:val="003E19E7"/>
    <w:rsid w:val="003E29B3"/>
    <w:rsid w:val="003E36C0"/>
    <w:rsid w:val="003E3724"/>
    <w:rsid w:val="003E3957"/>
    <w:rsid w:val="003E7F59"/>
    <w:rsid w:val="003F0D8B"/>
    <w:rsid w:val="003F1E6F"/>
    <w:rsid w:val="003F1F9E"/>
    <w:rsid w:val="003F3BC1"/>
    <w:rsid w:val="003F43E6"/>
    <w:rsid w:val="003F4894"/>
    <w:rsid w:val="004000BE"/>
    <w:rsid w:val="004026BA"/>
    <w:rsid w:val="00403038"/>
    <w:rsid w:val="004030D5"/>
    <w:rsid w:val="0040388F"/>
    <w:rsid w:val="00406755"/>
    <w:rsid w:val="0040709C"/>
    <w:rsid w:val="00407F30"/>
    <w:rsid w:val="004116DA"/>
    <w:rsid w:val="004117D6"/>
    <w:rsid w:val="00411834"/>
    <w:rsid w:val="00411963"/>
    <w:rsid w:val="00412A23"/>
    <w:rsid w:val="004149DA"/>
    <w:rsid w:val="00415755"/>
    <w:rsid w:val="00416211"/>
    <w:rsid w:val="0042035D"/>
    <w:rsid w:val="00420841"/>
    <w:rsid w:val="00423732"/>
    <w:rsid w:val="00425B31"/>
    <w:rsid w:val="0042648D"/>
    <w:rsid w:val="00426957"/>
    <w:rsid w:val="00426976"/>
    <w:rsid w:val="00427722"/>
    <w:rsid w:val="00427F4F"/>
    <w:rsid w:val="00431731"/>
    <w:rsid w:val="00431779"/>
    <w:rsid w:val="00431A2A"/>
    <w:rsid w:val="00431CE6"/>
    <w:rsid w:val="00433C3E"/>
    <w:rsid w:val="00434AC5"/>
    <w:rsid w:val="00437108"/>
    <w:rsid w:val="00440246"/>
    <w:rsid w:val="00441588"/>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AAA"/>
    <w:rsid w:val="00474D9B"/>
    <w:rsid w:val="00475E1A"/>
    <w:rsid w:val="004774B6"/>
    <w:rsid w:val="004775E8"/>
    <w:rsid w:val="00481888"/>
    <w:rsid w:val="0048370B"/>
    <w:rsid w:val="00486750"/>
    <w:rsid w:val="00487EBC"/>
    <w:rsid w:val="00490DDC"/>
    <w:rsid w:val="00491D56"/>
    <w:rsid w:val="00491D60"/>
    <w:rsid w:val="00494CD1"/>
    <w:rsid w:val="004957BA"/>
    <w:rsid w:val="0049590A"/>
    <w:rsid w:val="00495CE9"/>
    <w:rsid w:val="004963CC"/>
    <w:rsid w:val="004970C9"/>
    <w:rsid w:val="00497B5E"/>
    <w:rsid w:val="004A224A"/>
    <w:rsid w:val="004A28DD"/>
    <w:rsid w:val="004A3074"/>
    <w:rsid w:val="004A570E"/>
    <w:rsid w:val="004A59B2"/>
    <w:rsid w:val="004A7CEC"/>
    <w:rsid w:val="004B06E1"/>
    <w:rsid w:val="004B129A"/>
    <w:rsid w:val="004B26C7"/>
    <w:rsid w:val="004B31C7"/>
    <w:rsid w:val="004B4BDC"/>
    <w:rsid w:val="004B4D42"/>
    <w:rsid w:val="004B4E10"/>
    <w:rsid w:val="004B612C"/>
    <w:rsid w:val="004B7E3E"/>
    <w:rsid w:val="004C0544"/>
    <w:rsid w:val="004C07ED"/>
    <w:rsid w:val="004C2585"/>
    <w:rsid w:val="004C281D"/>
    <w:rsid w:val="004C2E9D"/>
    <w:rsid w:val="004C4513"/>
    <w:rsid w:val="004C5A9B"/>
    <w:rsid w:val="004C7FC6"/>
    <w:rsid w:val="004D25B5"/>
    <w:rsid w:val="004D49C8"/>
    <w:rsid w:val="004D6E67"/>
    <w:rsid w:val="004E00B4"/>
    <w:rsid w:val="004E0963"/>
    <w:rsid w:val="004E0B2F"/>
    <w:rsid w:val="004E1B3F"/>
    <w:rsid w:val="004E230C"/>
    <w:rsid w:val="004E2A8E"/>
    <w:rsid w:val="004F000D"/>
    <w:rsid w:val="004F0EC9"/>
    <w:rsid w:val="004F27DD"/>
    <w:rsid w:val="004F40AB"/>
    <w:rsid w:val="0050050B"/>
    <w:rsid w:val="0050132A"/>
    <w:rsid w:val="00502F3E"/>
    <w:rsid w:val="00503196"/>
    <w:rsid w:val="00503967"/>
    <w:rsid w:val="00503ADE"/>
    <w:rsid w:val="00504706"/>
    <w:rsid w:val="0050674F"/>
    <w:rsid w:val="00506A2E"/>
    <w:rsid w:val="00510BE0"/>
    <w:rsid w:val="00510C5C"/>
    <w:rsid w:val="00511E62"/>
    <w:rsid w:val="005208AC"/>
    <w:rsid w:val="00520B14"/>
    <w:rsid w:val="00521DC2"/>
    <w:rsid w:val="00521EFA"/>
    <w:rsid w:val="0052230A"/>
    <w:rsid w:val="00523237"/>
    <w:rsid w:val="00523A16"/>
    <w:rsid w:val="00523D2D"/>
    <w:rsid w:val="00524822"/>
    <w:rsid w:val="005256DB"/>
    <w:rsid w:val="00525AC4"/>
    <w:rsid w:val="00525B79"/>
    <w:rsid w:val="005264A5"/>
    <w:rsid w:val="00526D01"/>
    <w:rsid w:val="00532EB0"/>
    <w:rsid w:val="00533CD5"/>
    <w:rsid w:val="00534871"/>
    <w:rsid w:val="00535069"/>
    <w:rsid w:val="00535A60"/>
    <w:rsid w:val="005372AF"/>
    <w:rsid w:val="00540D5C"/>
    <w:rsid w:val="00541971"/>
    <w:rsid w:val="00541FF9"/>
    <w:rsid w:val="00544481"/>
    <w:rsid w:val="0054689F"/>
    <w:rsid w:val="00546DAD"/>
    <w:rsid w:val="00550D90"/>
    <w:rsid w:val="005542A1"/>
    <w:rsid w:val="005549AB"/>
    <w:rsid w:val="00555A0C"/>
    <w:rsid w:val="00555A17"/>
    <w:rsid w:val="00555EC7"/>
    <w:rsid w:val="00557DCC"/>
    <w:rsid w:val="00561169"/>
    <w:rsid w:val="005617DA"/>
    <w:rsid w:val="00561B18"/>
    <w:rsid w:val="0056339B"/>
    <w:rsid w:val="0056580C"/>
    <w:rsid w:val="00565B20"/>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4AC"/>
    <w:rsid w:val="005B4EB8"/>
    <w:rsid w:val="005B5497"/>
    <w:rsid w:val="005B5790"/>
    <w:rsid w:val="005B5E9D"/>
    <w:rsid w:val="005B6F1B"/>
    <w:rsid w:val="005B711B"/>
    <w:rsid w:val="005C1453"/>
    <w:rsid w:val="005C196C"/>
    <w:rsid w:val="005C1C71"/>
    <w:rsid w:val="005C2CA2"/>
    <w:rsid w:val="005C3064"/>
    <w:rsid w:val="005C3191"/>
    <w:rsid w:val="005C3C86"/>
    <w:rsid w:val="005C4651"/>
    <w:rsid w:val="005C725E"/>
    <w:rsid w:val="005C7BBF"/>
    <w:rsid w:val="005D019B"/>
    <w:rsid w:val="005D3069"/>
    <w:rsid w:val="005D370F"/>
    <w:rsid w:val="005D3730"/>
    <w:rsid w:val="005D3BD1"/>
    <w:rsid w:val="005D5D26"/>
    <w:rsid w:val="005E0B86"/>
    <w:rsid w:val="005E2F89"/>
    <w:rsid w:val="005E4545"/>
    <w:rsid w:val="005E4A75"/>
    <w:rsid w:val="005E4E13"/>
    <w:rsid w:val="005E5730"/>
    <w:rsid w:val="005E73A1"/>
    <w:rsid w:val="005E76FD"/>
    <w:rsid w:val="005F4197"/>
    <w:rsid w:val="005F4C67"/>
    <w:rsid w:val="005F5163"/>
    <w:rsid w:val="005F52C6"/>
    <w:rsid w:val="005F541C"/>
    <w:rsid w:val="006067DB"/>
    <w:rsid w:val="006073F9"/>
    <w:rsid w:val="00607F86"/>
    <w:rsid w:val="00610BC0"/>
    <w:rsid w:val="0061157C"/>
    <w:rsid w:val="0061282A"/>
    <w:rsid w:val="006131E5"/>
    <w:rsid w:val="006132AE"/>
    <w:rsid w:val="00615427"/>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7BC"/>
    <w:rsid w:val="00641C9C"/>
    <w:rsid w:val="00642EB3"/>
    <w:rsid w:val="006441AD"/>
    <w:rsid w:val="006442C8"/>
    <w:rsid w:val="00646E32"/>
    <w:rsid w:val="0065353F"/>
    <w:rsid w:val="00654B60"/>
    <w:rsid w:val="00655090"/>
    <w:rsid w:val="0065588C"/>
    <w:rsid w:val="00657727"/>
    <w:rsid w:val="0066366C"/>
    <w:rsid w:val="006648D1"/>
    <w:rsid w:val="00664E1D"/>
    <w:rsid w:val="00666BA1"/>
    <w:rsid w:val="00667D20"/>
    <w:rsid w:val="006700CB"/>
    <w:rsid w:val="00670428"/>
    <w:rsid w:val="006708BC"/>
    <w:rsid w:val="00670BF6"/>
    <w:rsid w:val="006721DF"/>
    <w:rsid w:val="00672A20"/>
    <w:rsid w:val="00674329"/>
    <w:rsid w:val="00674808"/>
    <w:rsid w:val="00674CE6"/>
    <w:rsid w:val="00676BB6"/>
    <w:rsid w:val="00677279"/>
    <w:rsid w:val="00677979"/>
    <w:rsid w:val="00680316"/>
    <w:rsid w:val="006803A0"/>
    <w:rsid w:val="0068141A"/>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1FF1"/>
    <w:rsid w:val="006B293F"/>
    <w:rsid w:val="006B35F3"/>
    <w:rsid w:val="006B40C1"/>
    <w:rsid w:val="006B5F49"/>
    <w:rsid w:val="006B6A20"/>
    <w:rsid w:val="006C1EDD"/>
    <w:rsid w:val="006C2F5C"/>
    <w:rsid w:val="006C4010"/>
    <w:rsid w:val="006C477E"/>
    <w:rsid w:val="006C5AD3"/>
    <w:rsid w:val="006C6D7A"/>
    <w:rsid w:val="006D0350"/>
    <w:rsid w:val="006D0C02"/>
    <w:rsid w:val="006D0F19"/>
    <w:rsid w:val="006D2B2B"/>
    <w:rsid w:val="006D3FB0"/>
    <w:rsid w:val="006D443D"/>
    <w:rsid w:val="006D614A"/>
    <w:rsid w:val="006D6B5E"/>
    <w:rsid w:val="006D6CA1"/>
    <w:rsid w:val="006D7DA7"/>
    <w:rsid w:val="006E27D1"/>
    <w:rsid w:val="006E2CD8"/>
    <w:rsid w:val="006E43D2"/>
    <w:rsid w:val="006E4462"/>
    <w:rsid w:val="006E465C"/>
    <w:rsid w:val="006E4B08"/>
    <w:rsid w:val="006E4EB7"/>
    <w:rsid w:val="006E7F81"/>
    <w:rsid w:val="006F1443"/>
    <w:rsid w:val="006F1C69"/>
    <w:rsid w:val="006F2579"/>
    <w:rsid w:val="006F2887"/>
    <w:rsid w:val="006F713E"/>
    <w:rsid w:val="006F750C"/>
    <w:rsid w:val="006F7EB1"/>
    <w:rsid w:val="00700AD5"/>
    <w:rsid w:val="00702B93"/>
    <w:rsid w:val="00702D4F"/>
    <w:rsid w:val="00703D5F"/>
    <w:rsid w:val="007045FC"/>
    <w:rsid w:val="0070488F"/>
    <w:rsid w:val="00704CDE"/>
    <w:rsid w:val="00704CF9"/>
    <w:rsid w:val="0070582E"/>
    <w:rsid w:val="007073E2"/>
    <w:rsid w:val="00710713"/>
    <w:rsid w:val="007123C3"/>
    <w:rsid w:val="0071266E"/>
    <w:rsid w:val="007130F7"/>
    <w:rsid w:val="00714183"/>
    <w:rsid w:val="0071691D"/>
    <w:rsid w:val="00721EC2"/>
    <w:rsid w:val="007226F3"/>
    <w:rsid w:val="00722866"/>
    <w:rsid w:val="0072344E"/>
    <w:rsid w:val="007240C3"/>
    <w:rsid w:val="007243CC"/>
    <w:rsid w:val="007263B7"/>
    <w:rsid w:val="00727632"/>
    <w:rsid w:val="007301CB"/>
    <w:rsid w:val="00731957"/>
    <w:rsid w:val="00733697"/>
    <w:rsid w:val="00733EF3"/>
    <w:rsid w:val="007356BB"/>
    <w:rsid w:val="00735BED"/>
    <w:rsid w:val="0073666D"/>
    <w:rsid w:val="0073669E"/>
    <w:rsid w:val="00736799"/>
    <w:rsid w:val="0073707B"/>
    <w:rsid w:val="00737C67"/>
    <w:rsid w:val="00737D1D"/>
    <w:rsid w:val="00737F76"/>
    <w:rsid w:val="00741002"/>
    <w:rsid w:val="00741637"/>
    <w:rsid w:val="007418D4"/>
    <w:rsid w:val="00742121"/>
    <w:rsid w:val="0074467F"/>
    <w:rsid w:val="00744F24"/>
    <w:rsid w:val="0074501E"/>
    <w:rsid w:val="00745868"/>
    <w:rsid w:val="00746472"/>
    <w:rsid w:val="00746CD0"/>
    <w:rsid w:val="00747C5A"/>
    <w:rsid w:val="00751DE7"/>
    <w:rsid w:val="00752CE8"/>
    <w:rsid w:val="0075428A"/>
    <w:rsid w:val="0075561B"/>
    <w:rsid w:val="00757ED0"/>
    <w:rsid w:val="00760A78"/>
    <w:rsid w:val="00764725"/>
    <w:rsid w:val="00764B6B"/>
    <w:rsid w:val="00764F0C"/>
    <w:rsid w:val="00766432"/>
    <w:rsid w:val="00766983"/>
    <w:rsid w:val="007671A5"/>
    <w:rsid w:val="00767A28"/>
    <w:rsid w:val="00770893"/>
    <w:rsid w:val="007712C3"/>
    <w:rsid w:val="00771D3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43A8"/>
    <w:rsid w:val="00795FC0"/>
    <w:rsid w:val="007963D7"/>
    <w:rsid w:val="00796527"/>
    <w:rsid w:val="007975AC"/>
    <w:rsid w:val="007A0F7C"/>
    <w:rsid w:val="007A10D6"/>
    <w:rsid w:val="007A12A7"/>
    <w:rsid w:val="007A14FC"/>
    <w:rsid w:val="007A340C"/>
    <w:rsid w:val="007A4A3D"/>
    <w:rsid w:val="007A5A11"/>
    <w:rsid w:val="007A6F16"/>
    <w:rsid w:val="007A7B6E"/>
    <w:rsid w:val="007A7F7F"/>
    <w:rsid w:val="007A7FD6"/>
    <w:rsid w:val="007B09DF"/>
    <w:rsid w:val="007B292B"/>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12F"/>
    <w:rsid w:val="007E1C60"/>
    <w:rsid w:val="007E450C"/>
    <w:rsid w:val="007E4A09"/>
    <w:rsid w:val="007E4C9C"/>
    <w:rsid w:val="007E5486"/>
    <w:rsid w:val="007E5B1C"/>
    <w:rsid w:val="007E5F2E"/>
    <w:rsid w:val="007E6196"/>
    <w:rsid w:val="007E6656"/>
    <w:rsid w:val="007E70BF"/>
    <w:rsid w:val="007E735A"/>
    <w:rsid w:val="007F0085"/>
    <w:rsid w:val="007F080F"/>
    <w:rsid w:val="007F0F01"/>
    <w:rsid w:val="007F155F"/>
    <w:rsid w:val="007F1A99"/>
    <w:rsid w:val="007F22ED"/>
    <w:rsid w:val="007F24DA"/>
    <w:rsid w:val="007F3253"/>
    <w:rsid w:val="007F4DE5"/>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456D"/>
    <w:rsid w:val="008465CB"/>
    <w:rsid w:val="0085127E"/>
    <w:rsid w:val="008517C6"/>
    <w:rsid w:val="00852898"/>
    <w:rsid w:val="008534CC"/>
    <w:rsid w:val="00853C98"/>
    <w:rsid w:val="0085543E"/>
    <w:rsid w:val="008568B0"/>
    <w:rsid w:val="008578F2"/>
    <w:rsid w:val="008600ED"/>
    <w:rsid w:val="00860366"/>
    <w:rsid w:val="00861CAB"/>
    <w:rsid w:val="008627A8"/>
    <w:rsid w:val="00862B21"/>
    <w:rsid w:val="00863E02"/>
    <w:rsid w:val="00865274"/>
    <w:rsid w:val="00865940"/>
    <w:rsid w:val="00865EEC"/>
    <w:rsid w:val="00866A27"/>
    <w:rsid w:val="008701DC"/>
    <w:rsid w:val="0087081B"/>
    <w:rsid w:val="008739F1"/>
    <w:rsid w:val="00874308"/>
    <w:rsid w:val="00877B13"/>
    <w:rsid w:val="00880AB5"/>
    <w:rsid w:val="00880AD5"/>
    <w:rsid w:val="00881457"/>
    <w:rsid w:val="00882802"/>
    <w:rsid w:val="008836A7"/>
    <w:rsid w:val="00884467"/>
    <w:rsid w:val="00887F03"/>
    <w:rsid w:val="00893B95"/>
    <w:rsid w:val="008941B2"/>
    <w:rsid w:val="008A1084"/>
    <w:rsid w:val="008A1DA7"/>
    <w:rsid w:val="008A3884"/>
    <w:rsid w:val="008A4ABF"/>
    <w:rsid w:val="008A739F"/>
    <w:rsid w:val="008B0108"/>
    <w:rsid w:val="008B15A4"/>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8F75F1"/>
    <w:rsid w:val="00901457"/>
    <w:rsid w:val="0090233F"/>
    <w:rsid w:val="009035A2"/>
    <w:rsid w:val="009056CA"/>
    <w:rsid w:val="0090688C"/>
    <w:rsid w:val="0090766E"/>
    <w:rsid w:val="009119D3"/>
    <w:rsid w:val="00922101"/>
    <w:rsid w:val="009244F7"/>
    <w:rsid w:val="00924C0D"/>
    <w:rsid w:val="0092587F"/>
    <w:rsid w:val="00925AA4"/>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5C3B"/>
    <w:rsid w:val="00976FE8"/>
    <w:rsid w:val="0097799A"/>
    <w:rsid w:val="00977C25"/>
    <w:rsid w:val="009807C9"/>
    <w:rsid w:val="00980CAF"/>
    <w:rsid w:val="0098122A"/>
    <w:rsid w:val="009816C8"/>
    <w:rsid w:val="00982327"/>
    <w:rsid w:val="009833CB"/>
    <w:rsid w:val="009836FB"/>
    <w:rsid w:val="009837A3"/>
    <w:rsid w:val="009843E2"/>
    <w:rsid w:val="0098582B"/>
    <w:rsid w:val="009861EE"/>
    <w:rsid w:val="009912E2"/>
    <w:rsid w:val="00991536"/>
    <w:rsid w:val="009918AC"/>
    <w:rsid w:val="00993DAC"/>
    <w:rsid w:val="00996373"/>
    <w:rsid w:val="00996A23"/>
    <w:rsid w:val="00997046"/>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B"/>
    <w:rsid w:val="009B7BAA"/>
    <w:rsid w:val="009C08E6"/>
    <w:rsid w:val="009C09D7"/>
    <w:rsid w:val="009C1B38"/>
    <w:rsid w:val="009C205F"/>
    <w:rsid w:val="009C3B2A"/>
    <w:rsid w:val="009C4918"/>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9F77F0"/>
    <w:rsid w:val="00A00F88"/>
    <w:rsid w:val="00A01AAA"/>
    <w:rsid w:val="00A02007"/>
    <w:rsid w:val="00A024F6"/>
    <w:rsid w:val="00A02A8B"/>
    <w:rsid w:val="00A041C7"/>
    <w:rsid w:val="00A06B3C"/>
    <w:rsid w:val="00A12CC9"/>
    <w:rsid w:val="00A14921"/>
    <w:rsid w:val="00A20173"/>
    <w:rsid w:val="00A2060D"/>
    <w:rsid w:val="00A20B21"/>
    <w:rsid w:val="00A216B7"/>
    <w:rsid w:val="00A21708"/>
    <w:rsid w:val="00A242AE"/>
    <w:rsid w:val="00A242EA"/>
    <w:rsid w:val="00A2504D"/>
    <w:rsid w:val="00A271B3"/>
    <w:rsid w:val="00A272BE"/>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1446"/>
    <w:rsid w:val="00A62285"/>
    <w:rsid w:val="00A65A66"/>
    <w:rsid w:val="00A66EE4"/>
    <w:rsid w:val="00A70197"/>
    <w:rsid w:val="00A70585"/>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5538"/>
    <w:rsid w:val="00AB6656"/>
    <w:rsid w:val="00AB717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541B"/>
    <w:rsid w:val="00AE747B"/>
    <w:rsid w:val="00AE7DE5"/>
    <w:rsid w:val="00AF1653"/>
    <w:rsid w:val="00AF3BF4"/>
    <w:rsid w:val="00AF3F93"/>
    <w:rsid w:val="00AF50BF"/>
    <w:rsid w:val="00B02DE3"/>
    <w:rsid w:val="00B037AA"/>
    <w:rsid w:val="00B054BA"/>
    <w:rsid w:val="00B06804"/>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27DB4"/>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0A02"/>
    <w:rsid w:val="00B62043"/>
    <w:rsid w:val="00B63682"/>
    <w:rsid w:val="00B6581A"/>
    <w:rsid w:val="00B6639E"/>
    <w:rsid w:val="00B670E5"/>
    <w:rsid w:val="00B70890"/>
    <w:rsid w:val="00B71CAF"/>
    <w:rsid w:val="00B7320C"/>
    <w:rsid w:val="00B73752"/>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3544"/>
    <w:rsid w:val="00B94A45"/>
    <w:rsid w:val="00B957C1"/>
    <w:rsid w:val="00B95A58"/>
    <w:rsid w:val="00B974A4"/>
    <w:rsid w:val="00B9752D"/>
    <w:rsid w:val="00BA01C1"/>
    <w:rsid w:val="00BA06FA"/>
    <w:rsid w:val="00BA0A23"/>
    <w:rsid w:val="00BA3460"/>
    <w:rsid w:val="00BA39C2"/>
    <w:rsid w:val="00BA5F1E"/>
    <w:rsid w:val="00BA6D44"/>
    <w:rsid w:val="00BA7782"/>
    <w:rsid w:val="00BB047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513D"/>
    <w:rsid w:val="00BD62A2"/>
    <w:rsid w:val="00BD6A96"/>
    <w:rsid w:val="00BD6BF0"/>
    <w:rsid w:val="00BD74B1"/>
    <w:rsid w:val="00BE037A"/>
    <w:rsid w:val="00BE112A"/>
    <w:rsid w:val="00BE17E6"/>
    <w:rsid w:val="00BE17EB"/>
    <w:rsid w:val="00BE1D6C"/>
    <w:rsid w:val="00BE27CF"/>
    <w:rsid w:val="00BE2D7E"/>
    <w:rsid w:val="00BE3EAD"/>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1013"/>
    <w:rsid w:val="00C23824"/>
    <w:rsid w:val="00C23B84"/>
    <w:rsid w:val="00C264D9"/>
    <w:rsid w:val="00C2655A"/>
    <w:rsid w:val="00C269D6"/>
    <w:rsid w:val="00C26F6A"/>
    <w:rsid w:val="00C31354"/>
    <w:rsid w:val="00C319FB"/>
    <w:rsid w:val="00C31C5A"/>
    <w:rsid w:val="00C31EAC"/>
    <w:rsid w:val="00C3269C"/>
    <w:rsid w:val="00C342CA"/>
    <w:rsid w:val="00C34515"/>
    <w:rsid w:val="00C34A03"/>
    <w:rsid w:val="00C34D9A"/>
    <w:rsid w:val="00C36C08"/>
    <w:rsid w:val="00C36CF8"/>
    <w:rsid w:val="00C36FF2"/>
    <w:rsid w:val="00C37183"/>
    <w:rsid w:val="00C373FF"/>
    <w:rsid w:val="00C412AD"/>
    <w:rsid w:val="00C419F7"/>
    <w:rsid w:val="00C4313B"/>
    <w:rsid w:val="00C45F01"/>
    <w:rsid w:val="00C4698C"/>
    <w:rsid w:val="00C5207F"/>
    <w:rsid w:val="00C52D21"/>
    <w:rsid w:val="00C5543B"/>
    <w:rsid w:val="00C573B1"/>
    <w:rsid w:val="00C600EE"/>
    <w:rsid w:val="00C64192"/>
    <w:rsid w:val="00C67D33"/>
    <w:rsid w:val="00C72D39"/>
    <w:rsid w:val="00C7351D"/>
    <w:rsid w:val="00C752EB"/>
    <w:rsid w:val="00C75878"/>
    <w:rsid w:val="00C76BBB"/>
    <w:rsid w:val="00C779D4"/>
    <w:rsid w:val="00C77C0E"/>
    <w:rsid w:val="00C81430"/>
    <w:rsid w:val="00C86829"/>
    <w:rsid w:val="00C935F6"/>
    <w:rsid w:val="00C95234"/>
    <w:rsid w:val="00C9788C"/>
    <w:rsid w:val="00C97C59"/>
    <w:rsid w:val="00CA0C2B"/>
    <w:rsid w:val="00CA418B"/>
    <w:rsid w:val="00CA42DE"/>
    <w:rsid w:val="00CB1766"/>
    <w:rsid w:val="00CB1E90"/>
    <w:rsid w:val="00CB1EB4"/>
    <w:rsid w:val="00CB328F"/>
    <w:rsid w:val="00CB3A38"/>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D7204"/>
    <w:rsid w:val="00CE0A6E"/>
    <w:rsid w:val="00CE113C"/>
    <w:rsid w:val="00CE2C20"/>
    <w:rsid w:val="00CE42F4"/>
    <w:rsid w:val="00CE6C1C"/>
    <w:rsid w:val="00CE7B3F"/>
    <w:rsid w:val="00CE7C81"/>
    <w:rsid w:val="00CF0EF2"/>
    <w:rsid w:val="00CF47E5"/>
    <w:rsid w:val="00CF732A"/>
    <w:rsid w:val="00D00533"/>
    <w:rsid w:val="00D01406"/>
    <w:rsid w:val="00D015A7"/>
    <w:rsid w:val="00D0250E"/>
    <w:rsid w:val="00D0423A"/>
    <w:rsid w:val="00D04A90"/>
    <w:rsid w:val="00D06EF2"/>
    <w:rsid w:val="00D07131"/>
    <w:rsid w:val="00D07526"/>
    <w:rsid w:val="00D07E3B"/>
    <w:rsid w:val="00D10D3F"/>
    <w:rsid w:val="00D1308F"/>
    <w:rsid w:val="00D14B1E"/>
    <w:rsid w:val="00D17E05"/>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5AA2"/>
    <w:rsid w:val="00D362BE"/>
    <w:rsid w:val="00D36BE9"/>
    <w:rsid w:val="00D3722A"/>
    <w:rsid w:val="00D37579"/>
    <w:rsid w:val="00D40B0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66EFA"/>
    <w:rsid w:val="00D7143F"/>
    <w:rsid w:val="00D72409"/>
    <w:rsid w:val="00D73621"/>
    <w:rsid w:val="00D7507B"/>
    <w:rsid w:val="00D75499"/>
    <w:rsid w:val="00D7557F"/>
    <w:rsid w:val="00D75794"/>
    <w:rsid w:val="00D75BC9"/>
    <w:rsid w:val="00D77016"/>
    <w:rsid w:val="00D77153"/>
    <w:rsid w:val="00D81BB1"/>
    <w:rsid w:val="00D84F6A"/>
    <w:rsid w:val="00D8506B"/>
    <w:rsid w:val="00D86ADC"/>
    <w:rsid w:val="00D90791"/>
    <w:rsid w:val="00D90F27"/>
    <w:rsid w:val="00D90F8B"/>
    <w:rsid w:val="00D91524"/>
    <w:rsid w:val="00D928A3"/>
    <w:rsid w:val="00D936BC"/>
    <w:rsid w:val="00D95433"/>
    <w:rsid w:val="00D95F43"/>
    <w:rsid w:val="00D9772E"/>
    <w:rsid w:val="00DA0DC8"/>
    <w:rsid w:val="00DA17B0"/>
    <w:rsid w:val="00DA2C00"/>
    <w:rsid w:val="00DA33EC"/>
    <w:rsid w:val="00DA3F09"/>
    <w:rsid w:val="00DA5E1F"/>
    <w:rsid w:val="00DA6D82"/>
    <w:rsid w:val="00DB06D2"/>
    <w:rsid w:val="00DB169C"/>
    <w:rsid w:val="00DB180E"/>
    <w:rsid w:val="00DB21E9"/>
    <w:rsid w:val="00DB27AF"/>
    <w:rsid w:val="00DB292F"/>
    <w:rsid w:val="00DB3608"/>
    <w:rsid w:val="00DB3966"/>
    <w:rsid w:val="00DB3F0F"/>
    <w:rsid w:val="00DB5A3F"/>
    <w:rsid w:val="00DB78EC"/>
    <w:rsid w:val="00DC124A"/>
    <w:rsid w:val="00DC2AD7"/>
    <w:rsid w:val="00DC2CDA"/>
    <w:rsid w:val="00DC6EBF"/>
    <w:rsid w:val="00DD4D17"/>
    <w:rsid w:val="00DD5846"/>
    <w:rsid w:val="00DD620A"/>
    <w:rsid w:val="00DD7392"/>
    <w:rsid w:val="00DE11D6"/>
    <w:rsid w:val="00DE1AEE"/>
    <w:rsid w:val="00DE2212"/>
    <w:rsid w:val="00DE2457"/>
    <w:rsid w:val="00DE2C8D"/>
    <w:rsid w:val="00DE5E69"/>
    <w:rsid w:val="00DE610C"/>
    <w:rsid w:val="00DE6891"/>
    <w:rsid w:val="00DE7B73"/>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92D"/>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B9B"/>
    <w:rsid w:val="00E30FF3"/>
    <w:rsid w:val="00E31BA9"/>
    <w:rsid w:val="00E31E1C"/>
    <w:rsid w:val="00E337E8"/>
    <w:rsid w:val="00E33A8F"/>
    <w:rsid w:val="00E34AA2"/>
    <w:rsid w:val="00E37FAF"/>
    <w:rsid w:val="00E4090B"/>
    <w:rsid w:val="00E41F06"/>
    <w:rsid w:val="00E42B30"/>
    <w:rsid w:val="00E42DA2"/>
    <w:rsid w:val="00E45E6B"/>
    <w:rsid w:val="00E50167"/>
    <w:rsid w:val="00E5097C"/>
    <w:rsid w:val="00E51DDA"/>
    <w:rsid w:val="00E52A08"/>
    <w:rsid w:val="00E5361B"/>
    <w:rsid w:val="00E54925"/>
    <w:rsid w:val="00E604A4"/>
    <w:rsid w:val="00E61C4E"/>
    <w:rsid w:val="00E63C6C"/>
    <w:rsid w:val="00E63F87"/>
    <w:rsid w:val="00E6527E"/>
    <w:rsid w:val="00E65A41"/>
    <w:rsid w:val="00E710C9"/>
    <w:rsid w:val="00E71666"/>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033"/>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C6654"/>
    <w:rsid w:val="00ED11BA"/>
    <w:rsid w:val="00ED1764"/>
    <w:rsid w:val="00ED200B"/>
    <w:rsid w:val="00ED2520"/>
    <w:rsid w:val="00ED2E12"/>
    <w:rsid w:val="00ED4F03"/>
    <w:rsid w:val="00ED52B2"/>
    <w:rsid w:val="00EE0ADC"/>
    <w:rsid w:val="00EE173D"/>
    <w:rsid w:val="00EE231A"/>
    <w:rsid w:val="00EE24D6"/>
    <w:rsid w:val="00EE59C6"/>
    <w:rsid w:val="00EE75E5"/>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3D28"/>
    <w:rsid w:val="00F152B2"/>
    <w:rsid w:val="00F16949"/>
    <w:rsid w:val="00F17D2D"/>
    <w:rsid w:val="00F20894"/>
    <w:rsid w:val="00F22AFE"/>
    <w:rsid w:val="00F23754"/>
    <w:rsid w:val="00F237A4"/>
    <w:rsid w:val="00F24087"/>
    <w:rsid w:val="00F24A5E"/>
    <w:rsid w:val="00F265F6"/>
    <w:rsid w:val="00F26653"/>
    <w:rsid w:val="00F27291"/>
    <w:rsid w:val="00F2770C"/>
    <w:rsid w:val="00F314C0"/>
    <w:rsid w:val="00F32457"/>
    <w:rsid w:val="00F32569"/>
    <w:rsid w:val="00F33889"/>
    <w:rsid w:val="00F35C22"/>
    <w:rsid w:val="00F41337"/>
    <w:rsid w:val="00F41940"/>
    <w:rsid w:val="00F44405"/>
    <w:rsid w:val="00F46255"/>
    <w:rsid w:val="00F47DC5"/>
    <w:rsid w:val="00F50A23"/>
    <w:rsid w:val="00F518F3"/>
    <w:rsid w:val="00F5367B"/>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5C44"/>
    <w:rsid w:val="00F86C88"/>
    <w:rsid w:val="00F86D13"/>
    <w:rsid w:val="00F87535"/>
    <w:rsid w:val="00F91915"/>
    <w:rsid w:val="00F921C0"/>
    <w:rsid w:val="00F92282"/>
    <w:rsid w:val="00F9337A"/>
    <w:rsid w:val="00F962B4"/>
    <w:rsid w:val="00F972B0"/>
    <w:rsid w:val="00FA0210"/>
    <w:rsid w:val="00FA2BF8"/>
    <w:rsid w:val="00FA3AA3"/>
    <w:rsid w:val="00FA4324"/>
    <w:rsid w:val="00FA538C"/>
    <w:rsid w:val="00FA5D62"/>
    <w:rsid w:val="00FA6040"/>
    <w:rsid w:val="00FA6293"/>
    <w:rsid w:val="00FA6373"/>
    <w:rsid w:val="00FB00F7"/>
    <w:rsid w:val="00FB08CC"/>
    <w:rsid w:val="00FB1304"/>
    <w:rsid w:val="00FB3686"/>
    <w:rsid w:val="00FB4545"/>
    <w:rsid w:val="00FB478F"/>
    <w:rsid w:val="00FB56BD"/>
    <w:rsid w:val="00FB578C"/>
    <w:rsid w:val="00FB58BB"/>
    <w:rsid w:val="00FB597D"/>
    <w:rsid w:val="00FB634D"/>
    <w:rsid w:val="00FC0D59"/>
    <w:rsid w:val="00FC1A5C"/>
    <w:rsid w:val="00FC2D4C"/>
    <w:rsid w:val="00FC39EA"/>
    <w:rsid w:val="00FC4943"/>
    <w:rsid w:val="00FC60B8"/>
    <w:rsid w:val="00FC6DE6"/>
    <w:rsid w:val="00FD15AF"/>
    <w:rsid w:val="00FD2F1A"/>
    <w:rsid w:val="00FD4EC8"/>
    <w:rsid w:val="00FD5E81"/>
    <w:rsid w:val="00FD7F01"/>
    <w:rsid w:val="00FE0775"/>
    <w:rsid w:val="00FE0F88"/>
    <w:rsid w:val="00FE3782"/>
    <w:rsid w:val="00FE3AC5"/>
    <w:rsid w:val="00FE44CF"/>
    <w:rsid w:val="00FE4721"/>
    <w:rsid w:val="00FE4D2A"/>
    <w:rsid w:val="00FE4FD0"/>
    <w:rsid w:val="00FE5051"/>
    <w:rsid w:val="00FE5839"/>
    <w:rsid w:val="00FE5B58"/>
    <w:rsid w:val="00FE6E80"/>
    <w:rsid w:val="00FF2F3F"/>
    <w:rsid w:val="00FF58F3"/>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822" TargetMode="External"/><Relationship Id="rId13" Type="http://schemas.openxmlformats.org/officeDocument/2006/relationships/hyperlink" Target="http://www.scc-csc.ca/case-dossier/info/sum-som-eng.aspx?cas=36736" TargetMode="External"/><Relationship Id="rId18" Type="http://schemas.openxmlformats.org/officeDocument/2006/relationships/hyperlink" Target="http://www.canlii.org/en/ab/abca/doc/2015/2015abca210/2015abca210.html?resultIndex=1" TargetMode="External"/><Relationship Id="rId26" Type="http://schemas.openxmlformats.org/officeDocument/2006/relationships/hyperlink" Target="http://www.canlii.org/en/ab/abca/doc/2015/2015abca383/2015abca383.html?autocompleteStr=2015%20ABCA%20383&amp;autocompletePos=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anlii.org/en/ns/nssc/doc/2014/2014nssc219/2014nssc219.html?resultIndex=1" TargetMode="External"/><Relationship Id="rId34" Type="http://schemas.openxmlformats.org/officeDocument/2006/relationships/hyperlink" Target="http://www.canlii.org/en/on/onca/doc/2015/2015onca856/2015onca856.html?autocompleteStr=2015%20ONCA%20856&amp;autocompletePos=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6846" TargetMode="External"/><Relationship Id="rId17" Type="http://schemas.openxmlformats.org/officeDocument/2006/relationships/hyperlink" Target="http://www.canlii.org/en/ab/abca/doc/2015/2015abca210/2015abca210.html?resultIndex=1" TargetMode="External"/><Relationship Id="rId25" Type="http://schemas.openxmlformats.org/officeDocument/2006/relationships/hyperlink" Target="http://www.canlii.org/en/ab/abca/doc/2015/2015abca383/2015abca383.html?autocompleteStr=2015%20ABCA%20383&amp;autocompletePos=1" TargetMode="External"/><Relationship Id="rId33" Type="http://schemas.openxmlformats.org/officeDocument/2006/relationships/hyperlink" Target="http://www.canlii.org/en/on/onca/doc/2015/2015onca856/2015onca856.html?autocompleteStr=2015%20ONCA%20856&amp;autocompletePos=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c-csc.ca/case-dossier/info/sum-som-eng.aspx?cas=36851" TargetMode="External"/><Relationship Id="rId20" Type="http://schemas.openxmlformats.org/officeDocument/2006/relationships/hyperlink" Target="file:///C:\Users\Roger%20Caron\Documents\Documents%20Word\Traduction%20juridique%20(clients)\Cour%20supr&#234;me%20du%20Canada\Mandat%20160414-1\%3chttp:\canlii.ca\t\gmgxq%3e," TargetMode="External"/><Relationship Id="rId29" Type="http://schemas.openxmlformats.org/officeDocument/2006/relationships/hyperlink" Target="http://www.canlii.org/en/on/onca/doc/2015/2015onca835/2015onca835.html?autocompleteStr=2015%20ONCA%20835&amp;autocompletePos=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858" TargetMode="External"/><Relationship Id="rId24" Type="http://schemas.openxmlformats.org/officeDocument/2006/relationships/hyperlink" Target="http://www.canlii.org/en/ns/nsca/doc/2015/2015nsca104/2015nsca104.html?resultIndex=1" TargetMode="External"/><Relationship Id="rId32" Type="http://schemas.openxmlformats.org/officeDocument/2006/relationships/hyperlink" Target="http://www.canlii.org/en/on/onscdc/doc/2015/2015onsc2234/2015onsc2234.html?autocompleteStr=2015%20ONSC%202234&amp;autocompletePos=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c-csc.ca/case-dossier/info/sum-som-eng.aspx?cas=36795" TargetMode="External"/><Relationship Id="rId23" Type="http://schemas.openxmlformats.org/officeDocument/2006/relationships/hyperlink" Target="http://www.canlii.org/en/ns/nssc/doc/2014/2014nssc219/2014nssc219.html?resultIndex=1" TargetMode="External"/><Relationship Id="rId28" Type="http://schemas.openxmlformats.org/officeDocument/2006/relationships/hyperlink" Target="http://canlii.ca/t/gm5g6" TargetMode="External"/><Relationship Id="rId36" Type="http://schemas.openxmlformats.org/officeDocument/2006/relationships/header" Target="header1.xml"/><Relationship Id="rId10" Type="http://schemas.openxmlformats.org/officeDocument/2006/relationships/hyperlink" Target="http://www.scc-csc.ca/case-dossier/info/sum-som-eng.aspx?cas=36809" TargetMode="External"/><Relationship Id="rId19" Type="http://schemas.openxmlformats.org/officeDocument/2006/relationships/hyperlink" Target="%3chttp:/canlii.ca/t/gmgxq%3e," TargetMode="External"/><Relationship Id="rId31" Type="http://schemas.openxmlformats.org/officeDocument/2006/relationships/hyperlink" Target="http://www.canlii.org/en/on/onscdc/doc/2015/2015onsc2234/2015onsc2234.html?autocompleteStr=2015%20ONSC%202234&amp;autocompletePos=1" TargetMode="External"/><Relationship Id="rId4" Type="http://schemas.openxmlformats.org/officeDocument/2006/relationships/settings" Target="settings.xml"/><Relationship Id="rId9" Type="http://schemas.openxmlformats.org/officeDocument/2006/relationships/hyperlink" Target="http://www.scc-csc.ca/case-dossier/info/sum-som-eng.aspx?cas=36849" TargetMode="External"/><Relationship Id="rId14" Type="http://schemas.openxmlformats.org/officeDocument/2006/relationships/hyperlink" Target="http://www.scc-csc.ca/case-dossier/info/sum-som-eng.aspx?cas=36828" TargetMode="External"/><Relationship Id="rId22" Type="http://schemas.openxmlformats.org/officeDocument/2006/relationships/hyperlink" Target="http://www.canlii.org/en/ns/nsca/doc/2015/2015nsca104/2015nsca104.html?resultIndex=1" TargetMode="External"/><Relationship Id="rId27" Type="http://schemas.openxmlformats.org/officeDocument/2006/relationships/hyperlink" Target="http://canlii.ca/t/gm5g6" TargetMode="External"/><Relationship Id="rId30" Type="http://schemas.openxmlformats.org/officeDocument/2006/relationships/hyperlink" Target="http://www.canlii.org/en/on/onca/doc/2015/2015onca835/2015onca835.html?autocompleteStr=2015%20ONCA%20835&amp;autocompletePos=1"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F440B-B76C-4222-B7D9-FF8CDAB6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7566</Words>
  <Characters>43127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50592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2016-05-06T15:13:00Z</dcterms:created>
  <dcterms:modified xsi:type="dcterms:W3CDTF">2016-05-11T18:30:00Z</dcterms:modified>
</cp:coreProperties>
</file>