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16381" w:rsidRDefault="001C4415" w:rsidP="001C4415">
      <w:pPr>
        <w:pStyle w:val="Header"/>
        <w:jc w:val="center"/>
        <w:rPr>
          <w:b/>
          <w:sz w:val="32"/>
        </w:rPr>
      </w:pPr>
      <w:r w:rsidRPr="00716381">
        <w:rPr>
          <w:b/>
          <w:sz w:val="32"/>
        </w:rPr>
        <w:t>Supreme Court of Canada / Cour suprême du Canada</w:t>
      </w:r>
    </w:p>
    <w:p w:rsidR="001C4415" w:rsidRPr="00716381" w:rsidRDefault="001C4415" w:rsidP="001C4415">
      <w:pPr>
        <w:widowControl w:val="0"/>
        <w:rPr>
          <w:i/>
        </w:rPr>
      </w:pPr>
    </w:p>
    <w:p w:rsidR="001C4415" w:rsidRPr="00716381" w:rsidRDefault="001C4415" w:rsidP="001C4415">
      <w:pPr>
        <w:widowControl w:val="0"/>
        <w:rPr>
          <w:i/>
        </w:rPr>
      </w:pPr>
    </w:p>
    <w:p w:rsidR="001C4415" w:rsidRPr="00716381" w:rsidRDefault="001C4415" w:rsidP="001C4415">
      <w:pPr>
        <w:widowControl w:val="0"/>
        <w:rPr>
          <w:i/>
        </w:rPr>
      </w:pPr>
      <w:r w:rsidRPr="00716381">
        <w:rPr>
          <w:i/>
        </w:rPr>
        <w:t>(le français suit)</w:t>
      </w:r>
    </w:p>
    <w:p w:rsidR="001C4415" w:rsidRPr="00716381" w:rsidRDefault="001C4415" w:rsidP="001C4415">
      <w:pPr>
        <w:widowControl w:val="0"/>
      </w:pPr>
    </w:p>
    <w:p w:rsidR="001C4415" w:rsidRPr="00716381" w:rsidRDefault="000347C1" w:rsidP="00214729">
      <w:pPr>
        <w:widowControl w:val="0"/>
        <w:jc w:val="center"/>
        <w:rPr>
          <w:b/>
        </w:rPr>
      </w:pPr>
      <w:r w:rsidRPr="00716381">
        <w:fldChar w:fldCharType="begin"/>
      </w:r>
      <w:r w:rsidR="00FA7412" w:rsidRPr="00716381">
        <w:instrText xml:space="preserve"> SEQ CHAPTER \h \r 1</w:instrText>
      </w:r>
      <w:r w:rsidRPr="00716381">
        <w:fldChar w:fldCharType="end"/>
      </w:r>
      <w:r w:rsidR="00455BB9" w:rsidRPr="00716381">
        <w:rPr>
          <w:b/>
        </w:rPr>
        <w:t>JUDGMENT</w:t>
      </w:r>
      <w:r w:rsidR="00E738B3">
        <w:rPr>
          <w:b/>
        </w:rPr>
        <w:t>S</w:t>
      </w:r>
      <w:r w:rsidR="00FA7412" w:rsidRPr="00716381">
        <w:rPr>
          <w:b/>
        </w:rPr>
        <w:t xml:space="preserve"> TO BE RENDERED IN APPEA</w:t>
      </w:r>
      <w:r w:rsidR="00342E49" w:rsidRPr="00716381">
        <w:rPr>
          <w:b/>
        </w:rPr>
        <w:t>L</w:t>
      </w:r>
      <w:r w:rsidR="00E738B3">
        <w:rPr>
          <w:b/>
        </w:rPr>
        <w:t>S</w:t>
      </w:r>
    </w:p>
    <w:p w:rsidR="005A7C1B" w:rsidRPr="00716381" w:rsidRDefault="005A7C1B" w:rsidP="005A7C1B">
      <w:pPr>
        <w:widowControl w:val="0"/>
        <w:rPr>
          <w:b/>
        </w:rPr>
      </w:pPr>
    </w:p>
    <w:p w:rsidR="00EC79B0" w:rsidRPr="00716381" w:rsidRDefault="00C86395" w:rsidP="00EC79B0">
      <w:pPr>
        <w:widowControl w:val="0"/>
        <w:rPr>
          <w:b/>
        </w:rPr>
      </w:pPr>
      <w:r w:rsidRPr="000A5B7A">
        <w:rPr>
          <w:b/>
        </w:rPr>
        <w:t>Ju</w:t>
      </w:r>
      <w:r w:rsidR="000A5B7A" w:rsidRPr="000A5B7A">
        <w:rPr>
          <w:b/>
        </w:rPr>
        <w:t>ly</w:t>
      </w:r>
      <w:r w:rsidRPr="000A5B7A">
        <w:rPr>
          <w:b/>
        </w:rPr>
        <w:t xml:space="preserve"> </w:t>
      </w:r>
      <w:r w:rsidR="000A5B7A" w:rsidRPr="000A5B7A">
        <w:rPr>
          <w:b/>
        </w:rPr>
        <w:t>4</w:t>
      </w:r>
      <w:r w:rsidR="00EC79B0" w:rsidRPr="000A5B7A">
        <w:rPr>
          <w:b/>
        </w:rPr>
        <w:t>, 201</w:t>
      </w:r>
      <w:r w:rsidR="006E5414" w:rsidRPr="000A5B7A">
        <w:rPr>
          <w:b/>
        </w:rPr>
        <w:t>6</w:t>
      </w:r>
    </w:p>
    <w:p w:rsidR="00EC79B0" w:rsidRPr="00716381" w:rsidRDefault="00EC79B0" w:rsidP="00EC79B0">
      <w:pPr>
        <w:widowControl w:val="0"/>
        <w:rPr>
          <w:b/>
        </w:rPr>
      </w:pPr>
      <w:r w:rsidRPr="00716381">
        <w:rPr>
          <w:b/>
        </w:rPr>
        <w:t>For immediate release</w:t>
      </w:r>
    </w:p>
    <w:p w:rsidR="00EC79B0" w:rsidRPr="00716381" w:rsidRDefault="00EC79B0" w:rsidP="00EC79B0">
      <w:pPr>
        <w:widowControl w:val="0"/>
      </w:pPr>
    </w:p>
    <w:p w:rsidR="00EC79B0" w:rsidRPr="00716381" w:rsidRDefault="00EC79B0" w:rsidP="00EC79B0">
      <w:pPr>
        <w:widowControl w:val="0"/>
      </w:pPr>
      <w:r w:rsidRPr="00716381">
        <w:rPr>
          <w:b/>
        </w:rPr>
        <w:t>OTTAWA</w:t>
      </w:r>
      <w:r w:rsidRPr="00716381">
        <w:t xml:space="preserve"> – The Supreme Court of Canad</w:t>
      </w:r>
      <w:r w:rsidR="00455BB9" w:rsidRPr="00716381">
        <w:t>a announced today that judgment</w:t>
      </w:r>
      <w:r w:rsidR="00434C8B">
        <w:t>s</w:t>
      </w:r>
      <w:r w:rsidRPr="00716381">
        <w:t xml:space="preserve"> in the following appeal</w:t>
      </w:r>
      <w:r w:rsidR="00E738B3">
        <w:t>s</w:t>
      </w:r>
      <w:r w:rsidRPr="00716381">
        <w:t xml:space="preserve"> will be delivered at 9:45 a.m. E</w:t>
      </w:r>
      <w:r w:rsidR="004E605A" w:rsidRPr="00716381">
        <w:t>D</w:t>
      </w:r>
      <w:r w:rsidR="00DC6C1E" w:rsidRPr="00716381">
        <w:t>T</w:t>
      </w:r>
      <w:r w:rsidR="00D74667" w:rsidRPr="00716381">
        <w:t xml:space="preserve"> on</w:t>
      </w:r>
      <w:r w:rsidR="00DC6C1E" w:rsidRPr="00716381">
        <w:t xml:space="preserve"> </w:t>
      </w:r>
      <w:r w:rsidR="00E738B3">
        <w:t>Friday, Ju</w:t>
      </w:r>
      <w:r w:rsidR="00833B00">
        <w:t>ly</w:t>
      </w:r>
      <w:r w:rsidR="00E738B3">
        <w:t xml:space="preserve"> </w:t>
      </w:r>
      <w:r w:rsidR="00833B00">
        <w:t>8</w:t>
      </w:r>
      <w:r w:rsidR="00E738B3">
        <w:t>,</w:t>
      </w:r>
      <w:r w:rsidR="00E63199" w:rsidRPr="00716381">
        <w:t xml:space="preserve"> 2</w:t>
      </w:r>
      <w:r w:rsidR="0086609D" w:rsidRPr="00716381">
        <w:t>01</w:t>
      </w:r>
      <w:r w:rsidR="006E5414" w:rsidRPr="00716381">
        <w:t>6</w:t>
      </w:r>
      <w:r w:rsidR="00455BB9" w:rsidRPr="00716381">
        <w:t>.  This</w:t>
      </w:r>
      <w:r w:rsidRPr="00716381">
        <w:t xml:space="preserve"> list is subject to change.</w:t>
      </w:r>
    </w:p>
    <w:p w:rsidR="001C4415" w:rsidRPr="00716381" w:rsidRDefault="001C4415" w:rsidP="001C4415">
      <w:pPr>
        <w:widowControl w:val="0"/>
        <w:rPr>
          <w:szCs w:val="24"/>
        </w:rPr>
      </w:pPr>
    </w:p>
    <w:p w:rsidR="001C4415" w:rsidRPr="00716381" w:rsidRDefault="001C4415" w:rsidP="001C4415">
      <w:pPr>
        <w:widowControl w:val="0"/>
      </w:pPr>
    </w:p>
    <w:p w:rsidR="001335A1" w:rsidRPr="00716381" w:rsidRDefault="001335A1" w:rsidP="001335A1">
      <w:pPr>
        <w:widowControl w:val="0"/>
        <w:jc w:val="center"/>
        <w:rPr>
          <w:b/>
          <w:lang w:val="fr-CA"/>
        </w:rPr>
      </w:pPr>
      <w:r w:rsidRPr="00716381">
        <w:rPr>
          <w:b/>
          <w:lang w:val="fr-CA"/>
        </w:rPr>
        <w:t>PROCHAIN</w:t>
      </w:r>
      <w:r w:rsidR="00E738B3">
        <w:rPr>
          <w:b/>
          <w:lang w:val="fr-CA"/>
        </w:rPr>
        <w:t>S</w:t>
      </w:r>
      <w:r w:rsidRPr="00716381">
        <w:rPr>
          <w:b/>
          <w:lang w:val="fr-CA"/>
        </w:rPr>
        <w:t xml:space="preserve"> JUGEMENT</w:t>
      </w:r>
      <w:r w:rsidR="00E738B3">
        <w:rPr>
          <w:b/>
          <w:lang w:val="fr-CA"/>
        </w:rPr>
        <w:t>S</w:t>
      </w:r>
      <w:r w:rsidR="00455BB9" w:rsidRPr="00716381">
        <w:rPr>
          <w:b/>
          <w:lang w:val="fr-CA"/>
        </w:rPr>
        <w:t xml:space="preserve"> SUR APPEL</w:t>
      </w:r>
      <w:r w:rsidR="00E738B3">
        <w:rPr>
          <w:b/>
          <w:lang w:val="fr-CA"/>
        </w:rPr>
        <w:t>S</w:t>
      </w:r>
    </w:p>
    <w:p w:rsidR="001335A1" w:rsidRPr="00716381" w:rsidRDefault="001335A1" w:rsidP="001335A1">
      <w:pPr>
        <w:widowControl w:val="0"/>
        <w:rPr>
          <w:lang w:val="fr-CA"/>
        </w:rPr>
      </w:pPr>
    </w:p>
    <w:p w:rsidR="00EC79B0" w:rsidRPr="00716381" w:rsidRDefault="00EC79B0" w:rsidP="00EC79B0">
      <w:pPr>
        <w:widowControl w:val="0"/>
        <w:rPr>
          <w:b/>
          <w:lang w:val="fr-CA"/>
        </w:rPr>
      </w:pPr>
      <w:r w:rsidRPr="000A5B7A">
        <w:rPr>
          <w:b/>
          <w:lang w:val="fr-CA"/>
        </w:rPr>
        <w:t xml:space="preserve">Le </w:t>
      </w:r>
      <w:r w:rsidR="000A5B7A" w:rsidRPr="000A5B7A">
        <w:rPr>
          <w:b/>
          <w:lang w:val="fr-CA"/>
        </w:rPr>
        <w:t>4</w:t>
      </w:r>
      <w:r w:rsidR="004E605A" w:rsidRPr="000A5B7A">
        <w:rPr>
          <w:b/>
          <w:lang w:val="fr-CA"/>
        </w:rPr>
        <w:t xml:space="preserve"> </w:t>
      </w:r>
      <w:r w:rsidR="00C86395" w:rsidRPr="000A5B7A">
        <w:rPr>
          <w:b/>
          <w:lang w:val="fr-CA"/>
        </w:rPr>
        <w:t>jui</w:t>
      </w:r>
      <w:r w:rsidR="000A5B7A" w:rsidRPr="000A5B7A">
        <w:rPr>
          <w:b/>
          <w:lang w:val="fr-CA"/>
        </w:rPr>
        <w:t>llet</w:t>
      </w:r>
      <w:r w:rsidR="00C86395" w:rsidRPr="000A5B7A">
        <w:rPr>
          <w:b/>
          <w:lang w:val="fr-CA"/>
        </w:rPr>
        <w:t xml:space="preserve"> </w:t>
      </w:r>
      <w:r w:rsidR="0086609D" w:rsidRPr="000A5B7A">
        <w:rPr>
          <w:b/>
          <w:lang w:val="fr-CA"/>
        </w:rPr>
        <w:t>201</w:t>
      </w:r>
      <w:r w:rsidR="006E5414" w:rsidRPr="000A5B7A">
        <w:rPr>
          <w:b/>
          <w:lang w:val="fr-CA"/>
        </w:rPr>
        <w:t>6</w:t>
      </w:r>
    </w:p>
    <w:p w:rsidR="00EC79B0" w:rsidRPr="00716381" w:rsidRDefault="00EC79B0" w:rsidP="00EC79B0">
      <w:pPr>
        <w:widowControl w:val="0"/>
        <w:rPr>
          <w:b/>
          <w:lang w:val="fr-CA"/>
        </w:rPr>
      </w:pPr>
      <w:r w:rsidRPr="00716381">
        <w:rPr>
          <w:b/>
          <w:lang w:val="fr-CA"/>
        </w:rPr>
        <w:t>Pour diffusion immédiate</w:t>
      </w:r>
    </w:p>
    <w:p w:rsidR="00EC79B0" w:rsidRPr="00716381" w:rsidRDefault="00EC79B0" w:rsidP="00EC79B0">
      <w:pPr>
        <w:widowControl w:val="0"/>
        <w:rPr>
          <w:b/>
          <w:lang w:val="fr-CA"/>
        </w:rPr>
      </w:pPr>
    </w:p>
    <w:p w:rsidR="007440A4" w:rsidRPr="00716381" w:rsidRDefault="007440A4" w:rsidP="007440A4">
      <w:pPr>
        <w:widowControl w:val="0"/>
        <w:rPr>
          <w:lang w:val="fr-CA"/>
        </w:rPr>
      </w:pPr>
      <w:r w:rsidRPr="00716381">
        <w:rPr>
          <w:b/>
          <w:lang w:val="fr-CA"/>
        </w:rPr>
        <w:t>OTTAWA</w:t>
      </w:r>
      <w:r w:rsidRPr="00716381">
        <w:rPr>
          <w:lang w:val="fr-CA"/>
        </w:rPr>
        <w:t xml:space="preserve"> – La Cour suprême du Canada annonce que jugement</w:t>
      </w:r>
      <w:r w:rsidR="00434C8B">
        <w:rPr>
          <w:lang w:val="fr-CA"/>
        </w:rPr>
        <w:t>s</w:t>
      </w:r>
      <w:r w:rsidRPr="00716381">
        <w:rPr>
          <w:lang w:val="fr-CA"/>
        </w:rPr>
        <w:t xml:space="preserve"> ser</w:t>
      </w:r>
      <w:r w:rsidR="00434C8B">
        <w:rPr>
          <w:lang w:val="fr-CA"/>
        </w:rPr>
        <w:t>ont</w:t>
      </w:r>
      <w:r w:rsidRPr="00716381">
        <w:rPr>
          <w:lang w:val="fr-CA"/>
        </w:rPr>
        <w:t xml:space="preserve"> rendu</w:t>
      </w:r>
      <w:r w:rsidR="00434C8B">
        <w:rPr>
          <w:lang w:val="fr-CA"/>
        </w:rPr>
        <w:t>s</w:t>
      </w:r>
      <w:r w:rsidRPr="00716381">
        <w:rPr>
          <w:lang w:val="fr-CA"/>
        </w:rPr>
        <w:t xml:space="preserve"> dans l</w:t>
      </w:r>
      <w:r>
        <w:rPr>
          <w:lang w:val="fr-CA"/>
        </w:rPr>
        <w:t xml:space="preserve">es </w:t>
      </w:r>
      <w:r w:rsidRPr="00716381">
        <w:rPr>
          <w:lang w:val="fr-CA"/>
        </w:rPr>
        <w:t>appel</w:t>
      </w:r>
      <w:r>
        <w:rPr>
          <w:lang w:val="fr-CA"/>
        </w:rPr>
        <w:t>s</w:t>
      </w:r>
      <w:r w:rsidRPr="00716381">
        <w:rPr>
          <w:lang w:val="fr-CA"/>
        </w:rPr>
        <w:t xml:space="preserve"> suivant</w:t>
      </w:r>
      <w:r>
        <w:rPr>
          <w:lang w:val="fr-CA"/>
        </w:rPr>
        <w:t>s</w:t>
      </w:r>
      <w:r w:rsidRPr="00716381">
        <w:rPr>
          <w:lang w:val="fr-CA"/>
        </w:rPr>
        <w:t xml:space="preserve"> </w:t>
      </w:r>
      <w:r w:rsidR="00833B00">
        <w:rPr>
          <w:lang w:val="fr-CA"/>
        </w:rPr>
        <w:t xml:space="preserve">le </w:t>
      </w:r>
      <w:r>
        <w:rPr>
          <w:lang w:val="fr-CA"/>
        </w:rPr>
        <w:t xml:space="preserve">vendredi </w:t>
      </w:r>
      <w:r w:rsidR="00833B00">
        <w:rPr>
          <w:lang w:val="fr-CA"/>
        </w:rPr>
        <w:t>8</w:t>
      </w:r>
      <w:r>
        <w:rPr>
          <w:lang w:val="fr-CA"/>
        </w:rPr>
        <w:t xml:space="preserve"> jui</w:t>
      </w:r>
      <w:r w:rsidR="00833B00">
        <w:rPr>
          <w:lang w:val="fr-CA"/>
        </w:rPr>
        <w:t>llet</w:t>
      </w:r>
      <w:r>
        <w:rPr>
          <w:lang w:val="fr-CA"/>
        </w:rPr>
        <w:t xml:space="preserve"> </w:t>
      </w:r>
      <w:r w:rsidRPr="00716381">
        <w:rPr>
          <w:lang w:val="fr-CA"/>
        </w:rPr>
        <w:t>2016, à 9 h 45 HAE.  Cette liste est sujette à modifications.</w:t>
      </w:r>
    </w:p>
    <w:p w:rsidR="001335A1" w:rsidRPr="00716381" w:rsidRDefault="001335A1" w:rsidP="001335A1">
      <w:pPr>
        <w:widowControl w:val="0"/>
        <w:rPr>
          <w:sz w:val="20"/>
          <w:lang w:val="fr-CA"/>
        </w:rPr>
      </w:pPr>
    </w:p>
    <w:p w:rsidR="001335A1" w:rsidRPr="00716381" w:rsidRDefault="005C7A4F" w:rsidP="001335A1">
      <w:pPr>
        <w:widowControl w:val="0"/>
        <w:rPr>
          <w:sz w:val="20"/>
          <w:lang w:val="fr-CA"/>
        </w:rPr>
      </w:pPr>
      <w:r w:rsidRPr="00716381">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16381" w:rsidRDefault="00340C6D" w:rsidP="00340C6D">
      <w:pPr>
        <w:jc w:val="both"/>
        <w:rPr>
          <w:bCs/>
          <w:lang w:val="fr-CA"/>
        </w:rPr>
      </w:pPr>
    </w:p>
    <w:p w:rsidR="00486701" w:rsidRPr="00E738B3" w:rsidRDefault="00756F46" w:rsidP="00340C6D">
      <w:pPr>
        <w:jc w:val="both"/>
      </w:pPr>
      <w:r>
        <w:rPr>
          <w:i/>
        </w:rPr>
        <w:t xml:space="preserve">Barrett Richard </w:t>
      </w:r>
      <w:r w:rsidR="00833B00">
        <w:rPr>
          <w:i/>
        </w:rPr>
        <w:t>Jordan</w:t>
      </w:r>
      <w:r w:rsidR="00E738B3" w:rsidRPr="00354620">
        <w:rPr>
          <w:i/>
        </w:rPr>
        <w:t xml:space="preserve"> v. </w:t>
      </w:r>
      <w:r w:rsidR="00E738B3">
        <w:rPr>
          <w:i/>
        </w:rPr>
        <w:t>Her Majesty the Queen</w:t>
      </w:r>
      <w:r w:rsidR="009F18D7" w:rsidRPr="00716381">
        <w:t xml:space="preserve"> (</w:t>
      </w:r>
      <w:r>
        <w:t>B.C</w:t>
      </w:r>
      <w:r w:rsidR="009F18D7" w:rsidRPr="00716381">
        <w:t xml:space="preserve">.) </w:t>
      </w:r>
      <w:r w:rsidR="00253698" w:rsidRPr="00E738B3">
        <w:t>(</w:t>
      </w:r>
      <w:hyperlink r:id="rId7" w:history="1">
        <w:r w:rsidR="00253698" w:rsidRPr="00E738B3">
          <w:rPr>
            <w:rStyle w:val="Hyperlink"/>
          </w:rPr>
          <w:t>3</w:t>
        </w:r>
        <w:r w:rsidR="00C86395" w:rsidRPr="00E738B3">
          <w:rPr>
            <w:rStyle w:val="Hyperlink"/>
          </w:rPr>
          <w:t>6</w:t>
        </w:r>
        <w:r w:rsidR="00833B00">
          <w:rPr>
            <w:rStyle w:val="Hyperlink"/>
          </w:rPr>
          <w:t>068</w:t>
        </w:r>
      </w:hyperlink>
      <w:r w:rsidR="00253698" w:rsidRPr="00E738B3">
        <w:t>)</w:t>
      </w:r>
    </w:p>
    <w:p w:rsidR="009F18D7" w:rsidRPr="00E738B3" w:rsidRDefault="009F18D7" w:rsidP="00340C6D">
      <w:pPr>
        <w:jc w:val="both"/>
      </w:pPr>
    </w:p>
    <w:p w:rsidR="00072A63" w:rsidRDefault="00833B00" w:rsidP="00340C6D">
      <w:pPr>
        <w:jc w:val="both"/>
        <w:rPr>
          <w:szCs w:val="24"/>
        </w:rPr>
      </w:pPr>
      <w:r>
        <w:rPr>
          <w:i/>
          <w:szCs w:val="24"/>
        </w:rPr>
        <w:t>Her Majesty the Queen</w:t>
      </w:r>
      <w:r w:rsidR="00E738B3">
        <w:rPr>
          <w:i/>
          <w:szCs w:val="24"/>
        </w:rPr>
        <w:t xml:space="preserve"> v. </w:t>
      </w:r>
      <w:r w:rsidR="00713963">
        <w:rPr>
          <w:i/>
          <w:szCs w:val="24"/>
        </w:rPr>
        <w:t xml:space="preserve">Kenneth Gavin </w:t>
      </w:r>
      <w:r>
        <w:rPr>
          <w:i/>
          <w:szCs w:val="24"/>
        </w:rPr>
        <w:t>Williamson</w:t>
      </w:r>
      <w:r w:rsidR="00E738B3">
        <w:rPr>
          <w:i/>
          <w:szCs w:val="24"/>
        </w:rPr>
        <w:t xml:space="preserve"> </w:t>
      </w:r>
      <w:r w:rsidR="00713963">
        <w:rPr>
          <w:szCs w:val="24"/>
        </w:rPr>
        <w:t>(Ont.</w:t>
      </w:r>
      <w:r w:rsidR="00E738B3">
        <w:rPr>
          <w:szCs w:val="24"/>
        </w:rPr>
        <w:t>) (</w:t>
      </w:r>
      <w:hyperlink r:id="rId8" w:history="1">
        <w:r w:rsidR="00E738B3" w:rsidRPr="00E738B3">
          <w:rPr>
            <w:rStyle w:val="Hyperlink"/>
            <w:szCs w:val="24"/>
          </w:rPr>
          <w:t>36</w:t>
        </w:r>
        <w:r>
          <w:rPr>
            <w:rStyle w:val="Hyperlink"/>
            <w:szCs w:val="24"/>
          </w:rPr>
          <w:t>112</w:t>
        </w:r>
      </w:hyperlink>
      <w:r w:rsidR="00E738B3">
        <w:rPr>
          <w:szCs w:val="24"/>
        </w:rPr>
        <w:t>)</w:t>
      </w:r>
    </w:p>
    <w:p w:rsidR="00E738B3" w:rsidRDefault="00E738B3" w:rsidP="00340C6D">
      <w:pPr>
        <w:jc w:val="both"/>
        <w:rPr>
          <w:szCs w:val="24"/>
        </w:rPr>
      </w:pPr>
    </w:p>
    <w:p w:rsidR="00E738B3" w:rsidRPr="000201CD" w:rsidRDefault="00E738B3" w:rsidP="00340C6D">
      <w:pPr>
        <w:jc w:val="both"/>
        <w:rPr>
          <w:sz w:val="20"/>
        </w:rPr>
      </w:pPr>
    </w:p>
    <w:bookmarkStart w:id="0" w:name="1"/>
    <w:bookmarkEnd w:id="0"/>
    <w:p w:rsidR="000201CD" w:rsidRPr="000201CD" w:rsidRDefault="000201CD" w:rsidP="005B1E43">
      <w:pPr>
        <w:widowControl w:val="0"/>
        <w:ind w:left="709" w:hanging="709"/>
        <w:jc w:val="both"/>
        <w:rPr>
          <w:b/>
          <w:i/>
          <w:sz w:val="20"/>
          <w:lang w:val="en-CA"/>
        </w:rPr>
      </w:pPr>
      <w:r w:rsidRPr="000201CD">
        <w:rPr>
          <w:b/>
          <w:sz w:val="20"/>
          <w:lang w:val="en-CA"/>
        </w:rPr>
        <w:fldChar w:fldCharType="begin"/>
      </w:r>
      <w:r w:rsidRPr="000201CD">
        <w:rPr>
          <w:b/>
          <w:sz w:val="20"/>
        </w:rPr>
        <w:instrText xml:space="preserve"> SEQ CHAPTER \h \r 1</w:instrText>
      </w:r>
      <w:r w:rsidRPr="000201CD">
        <w:rPr>
          <w:b/>
          <w:sz w:val="20"/>
        </w:rPr>
        <w:fldChar w:fldCharType="end"/>
      </w:r>
      <w:r w:rsidRPr="000201CD">
        <w:rPr>
          <w:b/>
          <w:sz w:val="20"/>
          <w:lang w:val="en-CA"/>
        </w:rPr>
        <w:t>36068</w:t>
      </w:r>
      <w:r w:rsidRPr="000201CD">
        <w:rPr>
          <w:sz w:val="20"/>
          <w:lang w:val="en-CA"/>
        </w:rPr>
        <w:tab/>
      </w:r>
      <w:bookmarkStart w:id="1" w:name="3"/>
      <w:bookmarkEnd w:id="1"/>
      <w:r w:rsidRPr="000201CD">
        <w:rPr>
          <w:b/>
          <w:i/>
          <w:sz w:val="20"/>
        </w:rPr>
        <w:t>Barrett</w:t>
      </w:r>
      <w:r w:rsidRPr="000201CD">
        <w:rPr>
          <w:b/>
          <w:i/>
          <w:sz w:val="20"/>
          <w:lang w:val="en-CA"/>
        </w:rPr>
        <w:t xml:space="preserve"> Richard Jordan v. Her Majesty the Queen</w:t>
      </w:r>
    </w:p>
    <w:p w:rsidR="000201CD" w:rsidRPr="000201CD" w:rsidRDefault="000201CD" w:rsidP="005B1E43">
      <w:pPr>
        <w:rPr>
          <w:sz w:val="20"/>
          <w:lang w:val="en-CA"/>
        </w:rPr>
      </w:pPr>
    </w:p>
    <w:p w:rsidR="000201CD" w:rsidRPr="000201CD" w:rsidRDefault="000201CD" w:rsidP="00A934AA">
      <w:pPr>
        <w:jc w:val="both"/>
        <w:rPr>
          <w:sz w:val="20"/>
        </w:rPr>
      </w:pPr>
      <w:r w:rsidRPr="000201CD">
        <w:rPr>
          <w:sz w:val="20"/>
        </w:rPr>
        <w:t xml:space="preserve">Canadian Charter of Rights and Freedoms - Right to be tried within a reasonable time - How is the issue of institutional delay to be weighed in </w:t>
      </w:r>
      <w:proofErr w:type="gramStart"/>
      <w:r w:rsidRPr="000201CD">
        <w:rPr>
          <w:sz w:val="20"/>
        </w:rPr>
        <w:t>a</w:t>
      </w:r>
      <w:proofErr w:type="gramEnd"/>
      <w:r w:rsidRPr="000201CD">
        <w:rPr>
          <w:sz w:val="20"/>
        </w:rPr>
        <w:t xml:space="preserve"> s. 11(b) application? - Should institutional delay be accorded “less weight” in the s. 11(b) analysis? - Can the length of tolerable delay be extended in circumstances where “some”, but not “substantial” prejudice has been found?</w:t>
      </w:r>
    </w:p>
    <w:p w:rsidR="000201CD" w:rsidRPr="000201CD" w:rsidRDefault="000201CD" w:rsidP="005B1E43">
      <w:pPr>
        <w:rPr>
          <w:sz w:val="20"/>
        </w:rPr>
      </w:pPr>
    </w:p>
    <w:p w:rsidR="000201CD" w:rsidRPr="000201CD" w:rsidRDefault="000201CD" w:rsidP="00A934AA">
      <w:pPr>
        <w:jc w:val="both"/>
        <w:rPr>
          <w:sz w:val="20"/>
        </w:rPr>
      </w:pPr>
      <w:r w:rsidRPr="000201CD">
        <w:rPr>
          <w:sz w:val="20"/>
        </w:rPr>
        <w:t>Between March and December 2008, the appellant was the subject of a police investigation into a dial-a-dope operation selling cocaine and heroin. The police executed a search warrant at the applicant’s residence which yielded 42.3 grams of heroin, 1463.5 grams of cocaine and crack cocaine, $6640 in cash and an employee “shift calendar” for the dial-a-dope line. The appellant was charged with several drug trafficking related offences in 2008. In September 2012 the appellant brought an application for judicial stay of proceedings pursuant to s. 24(1) of the Charter alleging his rights under s. 11(b) had been infringed due to an unreasonable delay in bringing his case to trial. The trial judge found that 32.5 months of delay in this case was due to institutional delay. The trial judge dismissed the application holding that there was no Charter breach. In June 2013 admissions of fact were entered and the appellant was convicted.</w:t>
      </w:r>
    </w:p>
    <w:p w:rsidR="000201CD" w:rsidRPr="000201CD" w:rsidRDefault="000201CD">
      <w:pPr>
        <w:rPr>
          <w:sz w:val="20"/>
        </w:rPr>
      </w:pPr>
    </w:p>
    <w:p w:rsidR="000201CD" w:rsidRPr="000201CD" w:rsidRDefault="000201CD" w:rsidP="005B1E43">
      <w:pPr>
        <w:widowControl w:val="0"/>
        <w:jc w:val="both"/>
        <w:rPr>
          <w:sz w:val="20"/>
          <w:lang w:val="en-CA"/>
        </w:rPr>
      </w:pPr>
      <w:r w:rsidRPr="000201CD">
        <w:rPr>
          <w:sz w:val="20"/>
          <w:lang w:val="en-CA"/>
        </w:rPr>
        <w:t>Origin of the case:</w:t>
      </w:r>
      <w:r w:rsidRPr="000201CD">
        <w:rPr>
          <w:sz w:val="20"/>
          <w:lang w:val="en-CA"/>
        </w:rPr>
        <w:tab/>
      </w:r>
      <w:r w:rsidRPr="000201CD">
        <w:rPr>
          <w:sz w:val="20"/>
          <w:lang w:val="en-CA"/>
        </w:rPr>
        <w:tab/>
      </w:r>
      <w:r>
        <w:rPr>
          <w:sz w:val="20"/>
          <w:lang w:val="en-CA"/>
        </w:rPr>
        <w:tab/>
      </w:r>
      <w:r w:rsidRPr="000201CD">
        <w:rPr>
          <w:sz w:val="20"/>
          <w:lang w:val="en-CA"/>
        </w:rPr>
        <w:tab/>
      </w:r>
      <w:bookmarkStart w:id="2" w:name="4"/>
      <w:bookmarkEnd w:id="2"/>
      <w:r w:rsidRPr="000201CD">
        <w:rPr>
          <w:sz w:val="20"/>
          <w:lang w:val="en-CA"/>
        </w:rPr>
        <w:t>British Columbia</w:t>
      </w:r>
    </w:p>
    <w:p w:rsidR="000201CD" w:rsidRPr="000201CD" w:rsidRDefault="000201CD" w:rsidP="005B1E43">
      <w:pPr>
        <w:widowControl w:val="0"/>
        <w:jc w:val="both"/>
        <w:rPr>
          <w:sz w:val="20"/>
          <w:lang w:val="en-CA"/>
        </w:rPr>
      </w:pPr>
    </w:p>
    <w:p w:rsidR="000201CD" w:rsidRPr="000201CD" w:rsidRDefault="000201CD" w:rsidP="005B1E43">
      <w:pPr>
        <w:widowControl w:val="0"/>
        <w:jc w:val="both"/>
        <w:rPr>
          <w:sz w:val="20"/>
          <w:lang w:val="en-CA"/>
        </w:rPr>
      </w:pPr>
      <w:r w:rsidRPr="000201CD">
        <w:rPr>
          <w:sz w:val="20"/>
          <w:lang w:val="en-CA"/>
        </w:rPr>
        <w:t>File No.:</w:t>
      </w:r>
      <w:r w:rsidRPr="000201CD">
        <w:rPr>
          <w:sz w:val="20"/>
          <w:lang w:val="en-CA"/>
        </w:rPr>
        <w:tab/>
      </w:r>
      <w:r w:rsidRPr="000201CD">
        <w:rPr>
          <w:sz w:val="20"/>
          <w:lang w:val="en-CA"/>
        </w:rPr>
        <w:tab/>
      </w:r>
      <w:r w:rsidRPr="000201CD">
        <w:rPr>
          <w:sz w:val="20"/>
          <w:lang w:val="en-CA"/>
        </w:rPr>
        <w:tab/>
      </w:r>
      <w:r w:rsidRPr="000201CD">
        <w:rPr>
          <w:sz w:val="20"/>
          <w:lang w:val="en-CA"/>
        </w:rPr>
        <w:tab/>
      </w:r>
      <w:bookmarkStart w:id="3" w:name="2"/>
      <w:bookmarkEnd w:id="3"/>
      <w:r>
        <w:rPr>
          <w:sz w:val="20"/>
          <w:lang w:val="en-CA"/>
        </w:rPr>
        <w:tab/>
      </w:r>
      <w:r>
        <w:rPr>
          <w:sz w:val="20"/>
          <w:lang w:val="en-CA"/>
        </w:rPr>
        <w:tab/>
      </w:r>
      <w:r>
        <w:rPr>
          <w:sz w:val="20"/>
          <w:lang w:val="en-CA"/>
        </w:rPr>
        <w:tab/>
      </w:r>
      <w:r w:rsidRPr="000201CD">
        <w:rPr>
          <w:sz w:val="20"/>
          <w:lang w:val="en-CA"/>
        </w:rPr>
        <w:t>36068</w:t>
      </w:r>
    </w:p>
    <w:p w:rsidR="000201CD" w:rsidRPr="000201CD" w:rsidRDefault="000201CD" w:rsidP="005B1E43">
      <w:pPr>
        <w:widowControl w:val="0"/>
        <w:jc w:val="both"/>
        <w:rPr>
          <w:sz w:val="20"/>
          <w:lang w:val="en-CA"/>
        </w:rPr>
      </w:pPr>
    </w:p>
    <w:p w:rsidR="000201CD" w:rsidRPr="000201CD" w:rsidRDefault="000201CD" w:rsidP="005B1E43">
      <w:pPr>
        <w:rPr>
          <w:sz w:val="20"/>
        </w:rPr>
      </w:pPr>
      <w:r w:rsidRPr="000201CD">
        <w:rPr>
          <w:sz w:val="20"/>
          <w:lang w:val="en-CA"/>
        </w:rPr>
        <w:t>Judgment of the Court of Appeal:</w:t>
      </w:r>
      <w:r w:rsidRPr="000201CD">
        <w:rPr>
          <w:sz w:val="20"/>
          <w:lang w:val="en-CA"/>
        </w:rPr>
        <w:tab/>
      </w:r>
      <w:bookmarkStart w:id="4" w:name="5"/>
      <w:bookmarkEnd w:id="4"/>
      <w:r w:rsidRPr="000201CD">
        <w:rPr>
          <w:sz w:val="20"/>
        </w:rPr>
        <w:t>June 20, 2014</w:t>
      </w:r>
    </w:p>
    <w:p w:rsidR="000201CD" w:rsidRPr="000201CD" w:rsidRDefault="000201CD" w:rsidP="005B1E43">
      <w:pPr>
        <w:widowControl w:val="0"/>
        <w:jc w:val="both"/>
        <w:rPr>
          <w:sz w:val="20"/>
          <w:lang w:val="en-CA"/>
        </w:rPr>
      </w:pPr>
    </w:p>
    <w:p w:rsidR="000201CD" w:rsidRPr="000201CD" w:rsidRDefault="000201CD" w:rsidP="005B1E43">
      <w:pPr>
        <w:widowControl w:val="0"/>
        <w:jc w:val="both"/>
        <w:rPr>
          <w:sz w:val="20"/>
          <w:lang w:val="en-CA"/>
        </w:rPr>
      </w:pPr>
      <w:r w:rsidRPr="000201CD">
        <w:rPr>
          <w:sz w:val="20"/>
          <w:lang w:val="en-CA"/>
        </w:rPr>
        <w:lastRenderedPageBreak/>
        <w:t>Counsel:</w:t>
      </w:r>
      <w:r w:rsidRPr="000201CD">
        <w:rPr>
          <w:sz w:val="20"/>
          <w:lang w:val="en-CA"/>
        </w:rPr>
        <w:tab/>
      </w:r>
      <w:r w:rsidRPr="000201CD">
        <w:rPr>
          <w:sz w:val="20"/>
          <w:lang w:val="en-CA"/>
        </w:rPr>
        <w:tab/>
      </w:r>
      <w:r w:rsidRPr="000201CD">
        <w:rPr>
          <w:sz w:val="20"/>
          <w:lang w:val="en-CA"/>
        </w:rPr>
        <w:tab/>
      </w:r>
      <w:r w:rsidRPr="000201CD">
        <w:rPr>
          <w:sz w:val="20"/>
          <w:lang w:val="en-CA"/>
        </w:rPr>
        <w:tab/>
      </w:r>
      <w:bookmarkStart w:id="5" w:name="6"/>
      <w:bookmarkEnd w:id="5"/>
      <w:r>
        <w:rPr>
          <w:sz w:val="20"/>
          <w:lang w:val="en-CA"/>
        </w:rPr>
        <w:tab/>
      </w:r>
      <w:r>
        <w:rPr>
          <w:sz w:val="20"/>
          <w:lang w:val="en-CA"/>
        </w:rPr>
        <w:tab/>
      </w:r>
      <w:r>
        <w:rPr>
          <w:sz w:val="20"/>
          <w:lang w:val="en-CA"/>
        </w:rPr>
        <w:tab/>
      </w:r>
      <w:r w:rsidRPr="000201CD">
        <w:rPr>
          <w:sz w:val="20"/>
          <w:lang w:val="en-CA"/>
        </w:rPr>
        <w:t xml:space="preserve">Richard C.C. Peck, Eric V. </w:t>
      </w:r>
      <w:proofErr w:type="spellStart"/>
      <w:r w:rsidRPr="000201CD">
        <w:rPr>
          <w:sz w:val="20"/>
          <w:lang w:val="en-CA"/>
        </w:rPr>
        <w:t>Gottardi</w:t>
      </w:r>
      <w:proofErr w:type="spellEnd"/>
      <w:r w:rsidRPr="000201CD">
        <w:rPr>
          <w:sz w:val="20"/>
          <w:lang w:val="en-CA"/>
        </w:rPr>
        <w:t xml:space="preserve"> for the Appellant</w:t>
      </w:r>
    </w:p>
    <w:p w:rsidR="000201CD" w:rsidRDefault="000201CD" w:rsidP="00B24183">
      <w:pPr>
        <w:widowControl w:val="0"/>
        <w:jc w:val="both"/>
        <w:rPr>
          <w:sz w:val="20"/>
          <w:lang w:val="en-CA"/>
        </w:rPr>
      </w:pPr>
      <w:r w:rsidRPr="000201CD">
        <w:rPr>
          <w:sz w:val="20"/>
          <w:lang w:val="en-CA"/>
        </w:rPr>
        <w:tab/>
      </w:r>
      <w:r w:rsidRPr="000201CD">
        <w:rPr>
          <w:sz w:val="20"/>
          <w:lang w:val="en-CA"/>
        </w:rPr>
        <w:tab/>
      </w:r>
      <w:r w:rsidRPr="000201CD">
        <w:rPr>
          <w:sz w:val="20"/>
          <w:lang w:val="en-CA"/>
        </w:rPr>
        <w:tab/>
      </w:r>
      <w:r w:rsidRPr="000201CD">
        <w:rPr>
          <w:sz w:val="20"/>
          <w:lang w:val="en-CA"/>
        </w:rPr>
        <w:tab/>
      </w:r>
      <w:r w:rsidRPr="000201CD">
        <w:rPr>
          <w:sz w:val="20"/>
          <w:lang w:val="en-CA"/>
        </w:rPr>
        <w:tab/>
      </w:r>
      <w:bookmarkStart w:id="6" w:name="7"/>
      <w:bookmarkEnd w:id="6"/>
      <w:r>
        <w:rPr>
          <w:sz w:val="20"/>
          <w:lang w:val="en-CA"/>
        </w:rPr>
        <w:tab/>
      </w:r>
      <w:r>
        <w:rPr>
          <w:sz w:val="20"/>
          <w:lang w:val="en-CA"/>
        </w:rPr>
        <w:tab/>
      </w:r>
      <w:r>
        <w:rPr>
          <w:sz w:val="20"/>
          <w:lang w:val="en-CA"/>
        </w:rPr>
        <w:tab/>
      </w:r>
      <w:r w:rsidRPr="000201CD">
        <w:rPr>
          <w:sz w:val="20"/>
          <w:lang w:val="en-CA"/>
        </w:rPr>
        <w:t>Peter R. La Prairie for the Respondent</w:t>
      </w:r>
    </w:p>
    <w:p w:rsidR="000201CD" w:rsidRDefault="000201CD" w:rsidP="00B24183">
      <w:pPr>
        <w:widowControl w:val="0"/>
        <w:jc w:val="both"/>
        <w:rPr>
          <w:sz w:val="20"/>
          <w:lang w:val="en-CA"/>
        </w:rPr>
      </w:pPr>
    </w:p>
    <w:p w:rsidR="000201CD" w:rsidRDefault="000201CD" w:rsidP="00B24183">
      <w:pPr>
        <w:widowControl w:val="0"/>
        <w:jc w:val="both"/>
        <w:rPr>
          <w:sz w:val="20"/>
          <w:lang w:val="en-CA"/>
        </w:rPr>
      </w:pPr>
    </w:p>
    <w:p w:rsidR="000201CD" w:rsidRPr="000201CD" w:rsidRDefault="000201CD" w:rsidP="000201CD">
      <w:pPr>
        <w:pStyle w:val="SCCLsocParty"/>
        <w:rPr>
          <w:b/>
          <w:sz w:val="20"/>
          <w:szCs w:val="20"/>
        </w:rPr>
      </w:pPr>
      <w:r w:rsidRPr="000201CD">
        <w:rPr>
          <w:b/>
          <w:i w:val="0"/>
          <w:sz w:val="20"/>
          <w:lang w:val="en-CA"/>
        </w:rPr>
        <w:t>36068</w:t>
      </w:r>
      <w:r w:rsidRPr="000201CD">
        <w:rPr>
          <w:b/>
          <w:i w:val="0"/>
          <w:sz w:val="20"/>
          <w:lang w:val="en-CA"/>
        </w:rPr>
        <w:tab/>
      </w:r>
      <w:proofErr w:type="spellStart"/>
      <w:r w:rsidRPr="000201CD">
        <w:rPr>
          <w:b/>
          <w:sz w:val="20"/>
          <w:szCs w:val="20"/>
        </w:rPr>
        <w:t>Barrett</w:t>
      </w:r>
      <w:proofErr w:type="spellEnd"/>
      <w:r w:rsidRPr="000201CD">
        <w:rPr>
          <w:b/>
          <w:sz w:val="20"/>
          <w:szCs w:val="20"/>
        </w:rPr>
        <w:t xml:space="preserve"> Richard Jordan c. Sa Majesté la Reine</w:t>
      </w:r>
    </w:p>
    <w:p w:rsidR="000201CD" w:rsidRDefault="000201CD" w:rsidP="00B24183">
      <w:pPr>
        <w:widowControl w:val="0"/>
        <w:jc w:val="both"/>
        <w:rPr>
          <w:sz w:val="20"/>
          <w:lang w:val="en-CA"/>
        </w:rPr>
      </w:pPr>
    </w:p>
    <w:p w:rsidR="000201CD" w:rsidRPr="000201CD" w:rsidRDefault="000201CD" w:rsidP="000201CD">
      <w:pPr>
        <w:rPr>
          <w:sz w:val="20"/>
          <w:lang w:val="fr-CA"/>
        </w:rPr>
      </w:pPr>
      <w:r w:rsidRPr="000201CD">
        <w:rPr>
          <w:i/>
          <w:sz w:val="20"/>
          <w:lang w:val="fr-CA"/>
        </w:rPr>
        <w:t xml:space="preserve">Charte canadienne des droits et libertés </w:t>
      </w:r>
      <w:r w:rsidRPr="000201CD">
        <w:rPr>
          <w:sz w:val="20"/>
          <w:lang w:val="fr-CA"/>
        </w:rPr>
        <w:t>- Procès dans un délai raisonnable - Comment doit-on apprécier la question du délai institutionnel dans une demande fondée sur l’al. 11</w:t>
      </w:r>
      <w:r w:rsidRPr="000201CD">
        <w:rPr>
          <w:i/>
          <w:sz w:val="20"/>
          <w:lang w:val="fr-CA"/>
        </w:rPr>
        <w:t>b)</w:t>
      </w:r>
      <w:r w:rsidRPr="000201CD">
        <w:rPr>
          <w:sz w:val="20"/>
          <w:lang w:val="fr-CA"/>
        </w:rPr>
        <w:t>? -</w:t>
      </w:r>
      <w:r w:rsidRPr="000201CD">
        <w:rPr>
          <w:i/>
          <w:sz w:val="20"/>
          <w:lang w:val="fr-CA"/>
        </w:rPr>
        <w:t xml:space="preserve"> </w:t>
      </w:r>
      <w:r w:rsidRPr="000201CD">
        <w:rPr>
          <w:sz w:val="20"/>
          <w:lang w:val="fr-CA"/>
        </w:rPr>
        <w:t>La question du délai institutionnel devrait</w:t>
      </w:r>
      <w:r w:rsidRPr="000201CD">
        <w:rPr>
          <w:sz w:val="20"/>
          <w:lang w:val="fr-CA"/>
        </w:rPr>
        <w:noBreakHyphen/>
        <w:t>elle se voir accorder « moins de poids » dans l’analyse fondée sur l’al. 11</w:t>
      </w:r>
      <w:r w:rsidRPr="000201CD">
        <w:rPr>
          <w:i/>
          <w:sz w:val="20"/>
          <w:lang w:val="fr-CA"/>
        </w:rPr>
        <w:t>b</w:t>
      </w:r>
      <w:r w:rsidRPr="000201CD">
        <w:rPr>
          <w:sz w:val="20"/>
          <w:lang w:val="fr-CA"/>
        </w:rPr>
        <w:t>)? - La durée du délai tolérable devrait</w:t>
      </w:r>
      <w:r w:rsidRPr="000201CD">
        <w:rPr>
          <w:sz w:val="20"/>
          <w:lang w:val="fr-CA"/>
        </w:rPr>
        <w:noBreakHyphen/>
        <w:t>elle être prolongée lorsque l’on a conclu à l’existence d’un « certain » préjudice », mais non d’un préjudice « important »?</w:t>
      </w:r>
    </w:p>
    <w:p w:rsidR="000201CD" w:rsidRDefault="000201CD" w:rsidP="00B24183">
      <w:pPr>
        <w:widowControl w:val="0"/>
        <w:jc w:val="both"/>
        <w:rPr>
          <w:sz w:val="20"/>
          <w:lang w:val="en-CA"/>
        </w:rPr>
      </w:pPr>
    </w:p>
    <w:p w:rsidR="000201CD" w:rsidRDefault="000201CD" w:rsidP="00B24183">
      <w:pPr>
        <w:widowControl w:val="0"/>
        <w:jc w:val="both"/>
        <w:rPr>
          <w:sz w:val="20"/>
          <w:lang w:val="en-CA"/>
        </w:rPr>
      </w:pPr>
      <w:r w:rsidRPr="000201CD">
        <w:rPr>
          <w:sz w:val="20"/>
          <w:lang w:val="fr-CA"/>
        </w:rPr>
        <w:t xml:space="preserve">Entre mars et décembre 2008, l’appelant a été l’objet d’une enquête policière sur une opération de vente de cocaïne et d’héroïne sur appel. Les policiers ont exécuté un mandat de perquisition au domicile du demandeur, ce qui a permis d’y découvrir 42,3 g d’héroïne, 1 463,5 g de cocaïne et de crack, 6 640 $ en argent comptant et un calendrier de « quarts de travail » pour la vente en ligne. L’appelant a été accusé de plusieurs infractions liées au trafic de la drogue en 2008. En septembre 2012, l’appelant a présenté une demande d’arrêt des procédures en application du par. 24(1) de la </w:t>
      </w:r>
      <w:r w:rsidRPr="000201CD">
        <w:rPr>
          <w:i/>
          <w:sz w:val="20"/>
          <w:lang w:val="fr-CA"/>
        </w:rPr>
        <w:t>Charte</w:t>
      </w:r>
      <w:r w:rsidRPr="000201CD">
        <w:rPr>
          <w:sz w:val="20"/>
          <w:lang w:val="fr-CA"/>
        </w:rPr>
        <w:t>, alléguant que les droits que lui garantit l’al. 11</w:t>
      </w:r>
      <w:r w:rsidRPr="000201CD">
        <w:rPr>
          <w:i/>
          <w:sz w:val="20"/>
          <w:lang w:val="fr-CA"/>
        </w:rPr>
        <w:t>b)</w:t>
      </w:r>
      <w:r w:rsidRPr="000201CD">
        <w:rPr>
          <w:sz w:val="20"/>
          <w:lang w:val="fr-CA"/>
        </w:rPr>
        <w:t xml:space="preserve"> avaient été violés en raison d’un délai déraisonnable avant le début de son procès. Le juge du procès a conclu que le délai de 32,5 mois en l’espèce était attribuable à un délai institutionnel. Il a rejeté la demande, concluant qu’il n’y avait eu aucune violation de la </w:t>
      </w:r>
      <w:r w:rsidRPr="000201CD">
        <w:rPr>
          <w:i/>
          <w:sz w:val="20"/>
          <w:lang w:val="fr-CA"/>
        </w:rPr>
        <w:t>Charte</w:t>
      </w:r>
      <w:r w:rsidRPr="000201CD">
        <w:rPr>
          <w:sz w:val="20"/>
          <w:lang w:val="fr-CA"/>
        </w:rPr>
        <w:t>. En juin 2013, des admissions de fait ont été inscrites et l’appelant a été déclaré coupable.</w:t>
      </w:r>
    </w:p>
    <w:p w:rsidR="000201CD" w:rsidRDefault="000201CD" w:rsidP="00B24183">
      <w:pPr>
        <w:widowControl w:val="0"/>
        <w:jc w:val="both"/>
        <w:rPr>
          <w:sz w:val="20"/>
          <w:lang w:val="en-CA"/>
        </w:rPr>
      </w:pPr>
    </w:p>
    <w:p w:rsidR="000A4718" w:rsidRPr="000201CD" w:rsidRDefault="000201CD" w:rsidP="000A4718">
      <w:pPr>
        <w:rPr>
          <w:sz w:val="20"/>
          <w:lang w:val="fr-CA"/>
        </w:rPr>
      </w:pPr>
      <w:r w:rsidRPr="000201CD">
        <w:rPr>
          <w:sz w:val="20"/>
          <w:lang w:val="fr-CA"/>
        </w:rPr>
        <w:t>Origine</w:t>
      </w:r>
      <w:r w:rsidRPr="000201CD">
        <w:rPr>
          <w:sz w:val="20"/>
        </w:rPr>
        <w:t> :</w:t>
      </w:r>
      <w:r w:rsidR="000A4718">
        <w:rPr>
          <w:sz w:val="20"/>
        </w:rPr>
        <w:tab/>
      </w:r>
      <w:r w:rsidR="000A4718">
        <w:rPr>
          <w:sz w:val="20"/>
        </w:rPr>
        <w:tab/>
      </w:r>
      <w:r w:rsidR="000A4718">
        <w:rPr>
          <w:sz w:val="20"/>
        </w:rPr>
        <w:tab/>
      </w:r>
      <w:r w:rsidR="000A4718">
        <w:rPr>
          <w:sz w:val="20"/>
        </w:rPr>
        <w:tab/>
      </w:r>
      <w:r w:rsidR="000A4718">
        <w:rPr>
          <w:sz w:val="20"/>
        </w:rPr>
        <w:tab/>
      </w:r>
      <w:r w:rsidR="000A4718" w:rsidRPr="000201CD">
        <w:rPr>
          <w:sz w:val="20"/>
          <w:lang w:val="fr-CA"/>
        </w:rPr>
        <w:t>Colombie</w:t>
      </w:r>
      <w:r w:rsidR="000A4718" w:rsidRPr="000201CD">
        <w:rPr>
          <w:sz w:val="20"/>
          <w:lang w:val="fr-CA"/>
        </w:rPr>
        <w:noBreakHyphen/>
        <w:t xml:space="preserve">Britannique </w:t>
      </w:r>
    </w:p>
    <w:p w:rsidR="000201CD" w:rsidRDefault="000201CD" w:rsidP="00B24183">
      <w:pPr>
        <w:widowControl w:val="0"/>
        <w:jc w:val="both"/>
        <w:rPr>
          <w:sz w:val="20"/>
          <w:lang w:val="en-CA"/>
        </w:rPr>
      </w:pPr>
    </w:p>
    <w:p w:rsidR="000A4718" w:rsidRPr="000201CD" w:rsidRDefault="000A4718" w:rsidP="000A4718">
      <w:pPr>
        <w:rPr>
          <w:sz w:val="20"/>
          <w:lang w:val="fr-CA"/>
        </w:rPr>
      </w:pPr>
      <w:r w:rsidRPr="000201CD">
        <w:rPr>
          <w:sz w:val="20"/>
          <w:lang w:val="fr-CA"/>
        </w:rPr>
        <w:t>N</w:t>
      </w:r>
      <w:r w:rsidRPr="000201CD">
        <w:rPr>
          <w:sz w:val="20"/>
          <w:vertAlign w:val="superscript"/>
          <w:lang w:val="fr-CA"/>
        </w:rPr>
        <w:t>o </w:t>
      </w:r>
      <w:r w:rsidRPr="000201CD">
        <w:rPr>
          <w:sz w:val="20"/>
          <w:lang w:val="fr-CA"/>
        </w:rPr>
        <w:t>du greffe :</w:t>
      </w:r>
      <w:r>
        <w:rPr>
          <w:sz w:val="20"/>
          <w:lang w:val="fr-CA"/>
        </w:rPr>
        <w:tab/>
      </w:r>
      <w:r>
        <w:rPr>
          <w:sz w:val="20"/>
          <w:lang w:val="fr-CA"/>
        </w:rPr>
        <w:tab/>
      </w:r>
      <w:r>
        <w:rPr>
          <w:sz w:val="20"/>
          <w:lang w:val="fr-CA"/>
        </w:rPr>
        <w:tab/>
      </w:r>
      <w:r>
        <w:rPr>
          <w:sz w:val="20"/>
          <w:lang w:val="fr-CA"/>
        </w:rPr>
        <w:tab/>
      </w:r>
      <w:r w:rsidRPr="000201CD">
        <w:rPr>
          <w:sz w:val="20"/>
          <w:lang w:val="fr-CA"/>
        </w:rPr>
        <w:t>36068</w:t>
      </w:r>
    </w:p>
    <w:p w:rsidR="000201CD" w:rsidRDefault="000201CD" w:rsidP="00B24183">
      <w:pPr>
        <w:widowControl w:val="0"/>
        <w:jc w:val="both"/>
        <w:rPr>
          <w:sz w:val="20"/>
          <w:lang w:val="en-CA"/>
        </w:rPr>
      </w:pPr>
    </w:p>
    <w:p w:rsidR="000201CD" w:rsidRDefault="000A4718" w:rsidP="00B24183">
      <w:pPr>
        <w:widowControl w:val="0"/>
        <w:jc w:val="both"/>
        <w:rPr>
          <w:sz w:val="20"/>
          <w:lang w:val="en-CA"/>
        </w:rPr>
      </w:pPr>
      <w:r w:rsidRPr="000201CD">
        <w:rPr>
          <w:sz w:val="20"/>
          <w:lang w:val="fr-CA"/>
        </w:rPr>
        <w:t>Arrêt de la Cour d’appel :</w:t>
      </w:r>
      <w:r>
        <w:rPr>
          <w:sz w:val="20"/>
          <w:lang w:val="fr-CA"/>
        </w:rPr>
        <w:tab/>
      </w:r>
      <w:r w:rsidRPr="000201CD">
        <w:rPr>
          <w:sz w:val="20"/>
          <w:lang w:val="fr-CA"/>
        </w:rPr>
        <w:t>20 juin 2014</w:t>
      </w:r>
    </w:p>
    <w:p w:rsidR="000201CD" w:rsidRDefault="000201CD" w:rsidP="00B24183">
      <w:pPr>
        <w:widowControl w:val="0"/>
        <w:jc w:val="both"/>
        <w:rPr>
          <w:sz w:val="20"/>
          <w:lang w:val="en-CA"/>
        </w:rPr>
      </w:pPr>
    </w:p>
    <w:p w:rsidR="000A4718" w:rsidRPr="000201CD" w:rsidRDefault="000A4718" w:rsidP="000A4718">
      <w:pPr>
        <w:widowControl w:val="0"/>
        <w:rPr>
          <w:sz w:val="20"/>
          <w:lang w:val="fr-CA"/>
        </w:rPr>
      </w:pPr>
      <w:r w:rsidRPr="000201CD">
        <w:rPr>
          <w:sz w:val="20"/>
          <w:lang w:val="fr-CA"/>
        </w:rPr>
        <w:t>Avocats :</w:t>
      </w:r>
      <w:r>
        <w:rPr>
          <w:sz w:val="20"/>
          <w:lang w:val="fr-CA"/>
        </w:rPr>
        <w:tab/>
      </w:r>
      <w:r>
        <w:rPr>
          <w:sz w:val="20"/>
          <w:lang w:val="fr-CA"/>
        </w:rPr>
        <w:tab/>
      </w:r>
      <w:r>
        <w:rPr>
          <w:sz w:val="20"/>
          <w:lang w:val="fr-CA"/>
        </w:rPr>
        <w:tab/>
      </w:r>
      <w:r>
        <w:rPr>
          <w:sz w:val="20"/>
          <w:lang w:val="fr-CA"/>
        </w:rPr>
        <w:tab/>
      </w:r>
      <w:r w:rsidRPr="000201CD">
        <w:rPr>
          <w:sz w:val="20"/>
          <w:lang w:val="fr-CA"/>
        </w:rPr>
        <w:t xml:space="preserve">Richard C.C. Peck, </w:t>
      </w:r>
      <w:proofErr w:type="spellStart"/>
      <w:r w:rsidRPr="000201CD">
        <w:rPr>
          <w:sz w:val="20"/>
          <w:lang w:val="fr-CA"/>
        </w:rPr>
        <w:t>Eric</w:t>
      </w:r>
      <w:proofErr w:type="spellEnd"/>
      <w:r w:rsidRPr="000201CD">
        <w:rPr>
          <w:sz w:val="20"/>
          <w:lang w:val="fr-CA"/>
        </w:rPr>
        <w:t xml:space="preserve"> V. </w:t>
      </w:r>
      <w:proofErr w:type="spellStart"/>
      <w:r w:rsidRPr="000201CD">
        <w:rPr>
          <w:sz w:val="20"/>
          <w:lang w:val="fr-CA"/>
        </w:rPr>
        <w:t>Gottardi</w:t>
      </w:r>
      <w:proofErr w:type="spellEnd"/>
      <w:r w:rsidRPr="000201CD">
        <w:rPr>
          <w:sz w:val="20"/>
          <w:lang w:val="fr-CA"/>
        </w:rPr>
        <w:t xml:space="preserve"> pour l’appelant</w:t>
      </w:r>
    </w:p>
    <w:p w:rsidR="000201CD" w:rsidRDefault="000A4718" w:rsidP="000A4718">
      <w:pPr>
        <w:widowControl w:val="0"/>
        <w:ind w:left="1800" w:firstLine="360"/>
        <w:jc w:val="both"/>
        <w:rPr>
          <w:sz w:val="20"/>
          <w:lang w:val="en-CA"/>
        </w:rPr>
      </w:pPr>
      <w:r w:rsidRPr="000201CD">
        <w:rPr>
          <w:sz w:val="20"/>
          <w:lang w:val="fr-CA"/>
        </w:rPr>
        <w:t>Peter R. La Prairie pour l’intimée</w:t>
      </w:r>
    </w:p>
    <w:p w:rsidR="001F1CCF" w:rsidRPr="000A4718" w:rsidRDefault="001F1CCF" w:rsidP="00340C6D">
      <w:pPr>
        <w:jc w:val="both"/>
        <w:rPr>
          <w:sz w:val="20"/>
        </w:rPr>
      </w:pPr>
    </w:p>
    <w:p w:rsidR="001F1CCF" w:rsidRPr="000A4718" w:rsidRDefault="001F1CCF" w:rsidP="00340C6D">
      <w:pPr>
        <w:jc w:val="both"/>
        <w:rPr>
          <w:sz w:val="20"/>
        </w:rPr>
      </w:pPr>
    </w:p>
    <w:p w:rsidR="000A4718" w:rsidRPr="000A4718" w:rsidRDefault="000A4718" w:rsidP="00703683">
      <w:pPr>
        <w:widowControl w:val="0"/>
        <w:ind w:left="709" w:hanging="709"/>
        <w:jc w:val="both"/>
        <w:rPr>
          <w:b/>
          <w:i/>
          <w:sz w:val="20"/>
          <w:lang w:val="en-CA"/>
        </w:rPr>
      </w:pPr>
      <w:r w:rsidRPr="000A4718">
        <w:rPr>
          <w:b/>
          <w:sz w:val="20"/>
          <w:lang w:val="en-CA"/>
        </w:rPr>
        <w:fldChar w:fldCharType="begin"/>
      </w:r>
      <w:r w:rsidRPr="000A4718">
        <w:rPr>
          <w:b/>
          <w:sz w:val="20"/>
        </w:rPr>
        <w:instrText xml:space="preserve"> SEQ CHAPTER \h \r 1</w:instrText>
      </w:r>
      <w:r w:rsidRPr="000A4718">
        <w:rPr>
          <w:b/>
          <w:sz w:val="20"/>
        </w:rPr>
        <w:fldChar w:fldCharType="end"/>
      </w:r>
      <w:r w:rsidRPr="000A4718">
        <w:rPr>
          <w:b/>
          <w:sz w:val="20"/>
          <w:lang w:val="en-CA"/>
        </w:rPr>
        <w:t>36112</w:t>
      </w:r>
      <w:r w:rsidRPr="000A4718">
        <w:rPr>
          <w:sz w:val="20"/>
          <w:lang w:val="en-CA"/>
        </w:rPr>
        <w:tab/>
      </w:r>
      <w:r w:rsidRPr="000A4718">
        <w:rPr>
          <w:b/>
          <w:i/>
          <w:sz w:val="20"/>
          <w:lang w:val="en-CA"/>
        </w:rPr>
        <w:t xml:space="preserve">Her </w:t>
      </w:r>
      <w:r w:rsidRPr="000A4718">
        <w:rPr>
          <w:b/>
          <w:i/>
          <w:sz w:val="20"/>
        </w:rPr>
        <w:t>Majesty</w:t>
      </w:r>
      <w:r w:rsidRPr="000A4718">
        <w:rPr>
          <w:b/>
          <w:i/>
          <w:sz w:val="20"/>
          <w:lang w:val="en-CA"/>
        </w:rPr>
        <w:t xml:space="preserve"> the Queen v. Kenneth Gavin Williamson</w:t>
      </w:r>
    </w:p>
    <w:p w:rsidR="000A4718" w:rsidRPr="000A4718" w:rsidRDefault="000A4718">
      <w:pPr>
        <w:widowControl w:val="0"/>
        <w:ind w:left="1440" w:hanging="1440"/>
        <w:jc w:val="both"/>
        <w:rPr>
          <w:sz w:val="20"/>
          <w:lang w:val="en-CA"/>
        </w:rPr>
      </w:pPr>
    </w:p>
    <w:p w:rsidR="000A4718" w:rsidRPr="000A4718" w:rsidRDefault="000A4718" w:rsidP="003543CA">
      <w:pPr>
        <w:widowControl w:val="0"/>
        <w:ind w:left="1440" w:hanging="1440"/>
        <w:jc w:val="both"/>
        <w:rPr>
          <w:i/>
          <w:sz w:val="20"/>
          <w:lang w:val="en-CA"/>
        </w:rPr>
      </w:pPr>
      <w:r w:rsidRPr="000A4718">
        <w:rPr>
          <w:sz w:val="20"/>
          <w:lang w:val="en-CA"/>
        </w:rPr>
        <w:t>(Publication ban in case)</w:t>
      </w:r>
      <w:r w:rsidRPr="000A4718">
        <w:rPr>
          <w:i/>
          <w:sz w:val="20"/>
          <w:lang w:val="en-CA"/>
        </w:rPr>
        <w:t xml:space="preserve"> </w:t>
      </w:r>
    </w:p>
    <w:p w:rsidR="000A4718" w:rsidRPr="000A4718" w:rsidRDefault="000A4718">
      <w:pPr>
        <w:widowControl w:val="0"/>
        <w:ind w:left="1440" w:hanging="1440"/>
        <w:jc w:val="both"/>
        <w:rPr>
          <w:sz w:val="20"/>
          <w:lang w:val="en-CA"/>
        </w:rPr>
      </w:pPr>
    </w:p>
    <w:p w:rsidR="000A4718" w:rsidRPr="000A4718" w:rsidRDefault="000A4718" w:rsidP="003543CA">
      <w:pPr>
        <w:widowControl w:val="0"/>
        <w:jc w:val="both"/>
        <w:rPr>
          <w:sz w:val="20"/>
          <w:lang w:val="en-CA"/>
        </w:rPr>
      </w:pPr>
      <w:r w:rsidRPr="000A4718">
        <w:rPr>
          <w:i/>
          <w:sz w:val="20"/>
          <w:lang w:val="en-CA"/>
        </w:rPr>
        <w:t xml:space="preserve">Canadian Charter of Rights and Freedoms </w:t>
      </w:r>
      <w:r w:rsidRPr="000A4718">
        <w:rPr>
          <w:sz w:val="20"/>
          <w:lang w:val="en-CA"/>
        </w:rPr>
        <w:t>- Criminal law - Procedural rights - Trial within a reasonable time - What rules and principles guide judges in their use of their own personal knowledge of or experience with institutional resources and court practices in adjudicating claims of infringement of the constitutional right to a trial within a reasonable time? - What is the proper role of “inferred prejudice” in determining whether the right to be tried within a reasonable time has been infringed?</w:t>
      </w:r>
    </w:p>
    <w:p w:rsidR="000A4718" w:rsidRPr="000A4718" w:rsidRDefault="000A4718">
      <w:pPr>
        <w:widowControl w:val="0"/>
        <w:jc w:val="both"/>
        <w:rPr>
          <w:sz w:val="20"/>
          <w:lang w:val="en-CA"/>
        </w:rPr>
      </w:pPr>
    </w:p>
    <w:p w:rsidR="000A4718" w:rsidRPr="000A4718" w:rsidRDefault="000A4718">
      <w:pPr>
        <w:widowControl w:val="0"/>
        <w:jc w:val="both"/>
        <w:rPr>
          <w:sz w:val="20"/>
        </w:rPr>
      </w:pPr>
      <w:r w:rsidRPr="000A4718">
        <w:rPr>
          <w:sz w:val="20"/>
          <w:lang w:val="en-CA"/>
        </w:rPr>
        <w:t xml:space="preserve">The respondent was charged with sexual offences against a young boy committed over thirty years ago. He was arrested at the school where he taught on January 6, 2009. The Information, charging the respondent, was sworn the following day. He was held in custody until January 12, 2009, when he was released on bail. He elected for a trial by judge and jury in the Superior Court of Justice, which was scheduled to commence on December 12, 2011. The record of the case indicated that the preliminary inquiry was adjourned once because another matter took precedence and a second time because the presiding judge and investigating officer were not available. The respondent and his lawyer travelled from Ottawa on both of these dates without prior notice that the proceedings would be adjourned. </w:t>
      </w:r>
      <w:r w:rsidRPr="000A4718">
        <w:rPr>
          <w:sz w:val="20"/>
        </w:rPr>
        <w:t xml:space="preserve">On August 4, 2010, the judicial pre-trial conference in the Superior Court was adjourned because the assigned Crown counsel was not present. Although earlier dates were available, there was no evidence about whether Crown counsel was available earlier than September 29, 2010, when Crown counsel attended and the pre-trial conference took place. The matter was then adjourned to the assignment court on October 22, 2010, when the pre-trial applications and jury trial were scheduled. The record also disclosed that the Crown delayed in providing full disclosure, resulting in four months of delay. A number of pre-trial applications were brought by both the Crown and </w:t>
      </w:r>
      <w:proofErr w:type="spellStart"/>
      <w:r w:rsidRPr="000A4718">
        <w:rPr>
          <w:sz w:val="20"/>
        </w:rPr>
        <w:t>defence</w:t>
      </w:r>
      <w:proofErr w:type="spellEnd"/>
      <w:r w:rsidRPr="000A4718">
        <w:rPr>
          <w:sz w:val="20"/>
        </w:rPr>
        <w:t>. The jury trial began on December 12, 2011 and ended on December 20, 2011.</w:t>
      </w:r>
      <w:bookmarkStart w:id="7" w:name="QuickMark_1"/>
      <w:bookmarkEnd w:id="7"/>
    </w:p>
    <w:p w:rsidR="000A4718" w:rsidRPr="000A4718" w:rsidRDefault="000A4718">
      <w:pPr>
        <w:widowControl w:val="0"/>
        <w:jc w:val="both"/>
        <w:rPr>
          <w:sz w:val="20"/>
          <w:lang w:val="en-CA"/>
        </w:rPr>
      </w:pPr>
    </w:p>
    <w:p w:rsidR="000A4718" w:rsidRPr="000A4718" w:rsidRDefault="000A4718">
      <w:pPr>
        <w:widowControl w:val="0"/>
        <w:jc w:val="both"/>
        <w:rPr>
          <w:sz w:val="20"/>
          <w:lang w:val="en-CA"/>
        </w:rPr>
      </w:pPr>
      <w:r w:rsidRPr="000A4718">
        <w:rPr>
          <w:sz w:val="20"/>
          <w:lang w:val="en-CA"/>
        </w:rPr>
        <w:t>Origin of the case:</w:t>
      </w:r>
      <w:r w:rsidRPr="000A4718">
        <w:rPr>
          <w:sz w:val="20"/>
          <w:lang w:val="en-CA"/>
        </w:rPr>
        <w:tab/>
      </w:r>
      <w:r w:rsidRPr="000A4718">
        <w:rPr>
          <w:sz w:val="20"/>
          <w:lang w:val="en-CA"/>
        </w:rPr>
        <w:tab/>
      </w:r>
      <w:r>
        <w:rPr>
          <w:sz w:val="20"/>
          <w:lang w:val="en-CA"/>
        </w:rPr>
        <w:tab/>
      </w:r>
      <w:r w:rsidRPr="000A4718">
        <w:rPr>
          <w:sz w:val="20"/>
          <w:lang w:val="en-CA"/>
        </w:rPr>
        <w:tab/>
        <w:t>Ontario</w:t>
      </w:r>
    </w:p>
    <w:p w:rsidR="000A4718" w:rsidRPr="000A4718" w:rsidRDefault="000A4718">
      <w:pPr>
        <w:widowControl w:val="0"/>
        <w:jc w:val="both"/>
        <w:rPr>
          <w:sz w:val="20"/>
          <w:lang w:val="en-CA"/>
        </w:rPr>
      </w:pPr>
    </w:p>
    <w:p w:rsidR="000A4718" w:rsidRPr="000A4718" w:rsidRDefault="000A4718">
      <w:pPr>
        <w:widowControl w:val="0"/>
        <w:jc w:val="both"/>
        <w:rPr>
          <w:sz w:val="20"/>
          <w:lang w:val="en-CA"/>
        </w:rPr>
      </w:pPr>
      <w:r w:rsidRPr="000A4718">
        <w:rPr>
          <w:sz w:val="20"/>
          <w:lang w:val="en-CA"/>
        </w:rPr>
        <w:t>File No.:</w:t>
      </w:r>
      <w:r w:rsidRPr="000A4718">
        <w:rPr>
          <w:sz w:val="20"/>
          <w:lang w:val="en-CA"/>
        </w:rPr>
        <w:tab/>
      </w:r>
      <w:r w:rsidRPr="000A4718">
        <w:rPr>
          <w:sz w:val="20"/>
          <w:lang w:val="en-CA"/>
        </w:rPr>
        <w:tab/>
      </w:r>
      <w:r w:rsidRPr="000A4718">
        <w:rPr>
          <w:sz w:val="20"/>
          <w:lang w:val="en-CA"/>
        </w:rPr>
        <w:tab/>
      </w:r>
      <w:r>
        <w:rPr>
          <w:sz w:val="20"/>
          <w:lang w:val="en-CA"/>
        </w:rPr>
        <w:tab/>
      </w:r>
      <w:r>
        <w:rPr>
          <w:sz w:val="20"/>
          <w:lang w:val="en-CA"/>
        </w:rPr>
        <w:tab/>
      </w:r>
      <w:r>
        <w:rPr>
          <w:sz w:val="20"/>
          <w:lang w:val="en-CA"/>
        </w:rPr>
        <w:tab/>
      </w:r>
      <w:r w:rsidRPr="000A4718">
        <w:rPr>
          <w:sz w:val="20"/>
          <w:lang w:val="en-CA"/>
        </w:rPr>
        <w:tab/>
        <w:t>36112</w:t>
      </w:r>
    </w:p>
    <w:p w:rsidR="000A4718" w:rsidRPr="000A4718" w:rsidRDefault="000A4718">
      <w:pPr>
        <w:widowControl w:val="0"/>
        <w:jc w:val="both"/>
        <w:rPr>
          <w:sz w:val="20"/>
          <w:lang w:val="en-CA"/>
        </w:rPr>
      </w:pPr>
    </w:p>
    <w:p w:rsidR="000A4718" w:rsidRPr="000A4718" w:rsidRDefault="000A4718" w:rsidP="00473C7A">
      <w:pPr>
        <w:rPr>
          <w:sz w:val="20"/>
        </w:rPr>
      </w:pPr>
      <w:r w:rsidRPr="000A4718">
        <w:rPr>
          <w:sz w:val="20"/>
          <w:lang w:val="en-CA"/>
        </w:rPr>
        <w:t>Judgment of the Court of Appeal:</w:t>
      </w:r>
      <w:r w:rsidRPr="000A4718">
        <w:rPr>
          <w:sz w:val="20"/>
          <w:lang w:val="en-CA"/>
        </w:rPr>
        <w:tab/>
      </w:r>
      <w:r w:rsidRPr="000A4718">
        <w:rPr>
          <w:sz w:val="20"/>
        </w:rPr>
        <w:t>August 19, 2014</w:t>
      </w:r>
    </w:p>
    <w:p w:rsidR="000A4718" w:rsidRPr="000A4718" w:rsidRDefault="000A4718">
      <w:pPr>
        <w:widowControl w:val="0"/>
        <w:jc w:val="both"/>
        <w:rPr>
          <w:sz w:val="20"/>
          <w:lang w:val="en-CA"/>
        </w:rPr>
      </w:pPr>
    </w:p>
    <w:p w:rsidR="000A4718" w:rsidRPr="000A4718" w:rsidRDefault="000A4718">
      <w:pPr>
        <w:widowControl w:val="0"/>
        <w:jc w:val="both"/>
        <w:rPr>
          <w:sz w:val="20"/>
          <w:lang w:val="en-CA"/>
        </w:rPr>
      </w:pPr>
      <w:r w:rsidRPr="000A4718">
        <w:rPr>
          <w:sz w:val="20"/>
          <w:lang w:val="en-CA"/>
        </w:rPr>
        <w:t>Counsel:</w:t>
      </w:r>
      <w:r w:rsidRPr="000A4718">
        <w:rPr>
          <w:sz w:val="20"/>
          <w:lang w:val="en-CA"/>
        </w:rPr>
        <w:tab/>
      </w:r>
      <w:r w:rsidRPr="000A4718">
        <w:rPr>
          <w:sz w:val="20"/>
          <w:lang w:val="en-CA"/>
        </w:rPr>
        <w:tab/>
      </w:r>
      <w:r w:rsidRPr="000A4718">
        <w:rPr>
          <w:sz w:val="20"/>
          <w:lang w:val="en-CA"/>
        </w:rPr>
        <w:tab/>
      </w:r>
      <w:r>
        <w:rPr>
          <w:sz w:val="20"/>
          <w:lang w:val="en-CA"/>
        </w:rPr>
        <w:tab/>
      </w:r>
      <w:r>
        <w:rPr>
          <w:sz w:val="20"/>
          <w:lang w:val="en-CA"/>
        </w:rPr>
        <w:tab/>
      </w:r>
      <w:r w:rsidR="002D3690">
        <w:rPr>
          <w:sz w:val="20"/>
          <w:lang w:val="en-CA"/>
        </w:rPr>
        <w:tab/>
      </w:r>
      <w:r w:rsidRPr="000A4718">
        <w:rPr>
          <w:sz w:val="20"/>
          <w:lang w:val="en-CA"/>
        </w:rPr>
        <w:tab/>
        <w:t>Eric Siebenmorgen and Tracy Kozlowski for the Appellant</w:t>
      </w:r>
    </w:p>
    <w:p w:rsidR="000A4718" w:rsidRDefault="000A4718">
      <w:pPr>
        <w:widowControl w:val="0"/>
        <w:jc w:val="both"/>
        <w:rPr>
          <w:sz w:val="20"/>
          <w:lang w:val="en-CA"/>
        </w:rPr>
      </w:pPr>
      <w:r w:rsidRPr="000A4718">
        <w:rPr>
          <w:sz w:val="20"/>
          <w:lang w:val="en-CA"/>
        </w:rPr>
        <w:tab/>
      </w:r>
      <w:r w:rsidRPr="000A4718">
        <w:rPr>
          <w:sz w:val="20"/>
          <w:lang w:val="en-CA"/>
        </w:rPr>
        <w:tab/>
      </w:r>
      <w:r w:rsidR="002D3690">
        <w:rPr>
          <w:sz w:val="20"/>
          <w:lang w:val="en-CA"/>
        </w:rPr>
        <w:tab/>
      </w:r>
      <w:r w:rsidRPr="000A4718">
        <w:rPr>
          <w:sz w:val="20"/>
          <w:lang w:val="en-CA"/>
        </w:rPr>
        <w:tab/>
      </w:r>
      <w:r w:rsidRPr="000A4718">
        <w:rPr>
          <w:sz w:val="20"/>
          <w:lang w:val="en-CA"/>
        </w:rPr>
        <w:tab/>
      </w:r>
      <w:r>
        <w:rPr>
          <w:sz w:val="20"/>
          <w:lang w:val="en-CA"/>
        </w:rPr>
        <w:tab/>
      </w:r>
      <w:r>
        <w:rPr>
          <w:sz w:val="20"/>
          <w:lang w:val="en-CA"/>
        </w:rPr>
        <w:tab/>
      </w:r>
      <w:r w:rsidRPr="000A4718">
        <w:rPr>
          <w:sz w:val="20"/>
          <w:lang w:val="en-CA"/>
        </w:rPr>
        <w:tab/>
        <w:t>John H. Hale for the Respondent</w:t>
      </w:r>
    </w:p>
    <w:p w:rsidR="000A4718" w:rsidRDefault="000A4718">
      <w:pPr>
        <w:widowControl w:val="0"/>
        <w:jc w:val="both"/>
        <w:rPr>
          <w:sz w:val="20"/>
          <w:lang w:val="en-CA"/>
        </w:rPr>
      </w:pPr>
    </w:p>
    <w:p w:rsidR="000A4718" w:rsidRDefault="000A4718">
      <w:pPr>
        <w:widowControl w:val="0"/>
        <w:jc w:val="both"/>
        <w:rPr>
          <w:sz w:val="20"/>
          <w:lang w:val="en-CA"/>
        </w:rPr>
      </w:pPr>
    </w:p>
    <w:p w:rsidR="000A4718" w:rsidRPr="000A4718" w:rsidRDefault="000A4718" w:rsidP="000A4718">
      <w:pPr>
        <w:pStyle w:val="SCCLsocParty"/>
        <w:rPr>
          <w:b/>
          <w:sz w:val="20"/>
          <w:szCs w:val="20"/>
        </w:rPr>
      </w:pPr>
      <w:r w:rsidRPr="000A4718">
        <w:rPr>
          <w:b/>
          <w:i w:val="0"/>
          <w:sz w:val="20"/>
          <w:lang w:val="en-CA"/>
        </w:rPr>
        <w:t>36112</w:t>
      </w:r>
      <w:r>
        <w:rPr>
          <w:b/>
          <w:sz w:val="20"/>
          <w:lang w:val="en-CA"/>
        </w:rPr>
        <w:tab/>
      </w:r>
      <w:r w:rsidRPr="000A4718">
        <w:rPr>
          <w:b/>
          <w:sz w:val="20"/>
          <w:szCs w:val="20"/>
        </w:rPr>
        <w:t>Sa Majesté la Reine c. Kenneth Gavin Williamson</w:t>
      </w:r>
    </w:p>
    <w:p w:rsidR="000A4718" w:rsidRDefault="000A4718">
      <w:pPr>
        <w:widowControl w:val="0"/>
        <w:jc w:val="both"/>
        <w:rPr>
          <w:sz w:val="20"/>
          <w:lang w:val="en-CA"/>
        </w:rPr>
      </w:pPr>
    </w:p>
    <w:p w:rsidR="000A4718" w:rsidRPr="000A4718" w:rsidRDefault="000A4718" w:rsidP="000A4718">
      <w:pPr>
        <w:pStyle w:val="SCCBanSummary"/>
        <w:rPr>
          <w:smallCaps w:val="0"/>
          <w:sz w:val="20"/>
          <w:szCs w:val="20"/>
          <w:lang w:val="fr-CA"/>
        </w:rPr>
      </w:pPr>
      <w:r w:rsidRPr="000A4718">
        <w:rPr>
          <w:smallCaps w:val="0"/>
          <w:sz w:val="20"/>
          <w:szCs w:val="20"/>
          <w:lang w:val="fr-CA"/>
        </w:rPr>
        <w:t>(Ordonnance de non</w:t>
      </w:r>
      <w:r w:rsidRPr="000A4718">
        <w:rPr>
          <w:smallCaps w:val="0"/>
          <w:sz w:val="20"/>
          <w:szCs w:val="20"/>
          <w:lang w:val="fr-CA"/>
        </w:rPr>
        <w:noBreakHyphen/>
        <w:t>publication dans le dossier)</w:t>
      </w:r>
    </w:p>
    <w:p w:rsidR="000A4718" w:rsidRPr="000A4718" w:rsidRDefault="000A4718" w:rsidP="000A4718">
      <w:pPr>
        <w:rPr>
          <w:sz w:val="20"/>
          <w:lang w:val="fr-CA"/>
        </w:rPr>
      </w:pPr>
    </w:p>
    <w:p w:rsidR="000A4718" w:rsidRDefault="000A4718" w:rsidP="000A4718">
      <w:pPr>
        <w:widowControl w:val="0"/>
        <w:jc w:val="both"/>
        <w:rPr>
          <w:sz w:val="20"/>
          <w:lang w:val="en-CA"/>
        </w:rPr>
      </w:pPr>
      <w:r w:rsidRPr="000A4718">
        <w:rPr>
          <w:i/>
          <w:sz w:val="20"/>
          <w:lang w:val="fr-CA"/>
        </w:rPr>
        <w:t>Charte canadienne des droits et libertés</w:t>
      </w:r>
      <w:r w:rsidRPr="000A4718">
        <w:rPr>
          <w:sz w:val="20"/>
          <w:lang w:val="fr-CA"/>
        </w:rPr>
        <w:t xml:space="preserve"> - Droit criminel - Droits procéduraux - Procès dans un délai raisonnable - Quelles règles et quels principes guident les juges lorsqu’ils utilisent leur propre connaissance ou expérience personnelle à l’égard des ressources institutionnelles et des pratiques de la cour pour se prononcer sur des allégations d’atteinte au droit constitutionnel à un procès dans un délai raisonnable? - Quel rôle devrait jouer la « déduction de préjudice » lorsqu’il s’agit de déterminer si le droit d’être jugé dans un délai raisonnable a été violé?</w:t>
      </w:r>
    </w:p>
    <w:p w:rsidR="000A4718" w:rsidRDefault="000A4718">
      <w:pPr>
        <w:widowControl w:val="0"/>
        <w:jc w:val="both"/>
        <w:rPr>
          <w:sz w:val="20"/>
          <w:lang w:val="en-CA"/>
        </w:rPr>
      </w:pPr>
    </w:p>
    <w:p w:rsidR="000A4718" w:rsidRPr="000A4718" w:rsidRDefault="000A4718" w:rsidP="000A4718">
      <w:pPr>
        <w:rPr>
          <w:color w:val="000000"/>
          <w:sz w:val="20"/>
          <w:lang w:val="fr-CA"/>
        </w:rPr>
      </w:pPr>
      <w:r w:rsidRPr="000A4718">
        <w:rPr>
          <w:color w:val="000000"/>
          <w:sz w:val="20"/>
          <w:lang w:val="fr-CA"/>
        </w:rPr>
        <w:t>L’intimé a été accusé d’infractions à caractère sexuel commises à l’égard d’un jeune garçon il y a plus de trente ans. L’intimé a été arrêté à l’école où il enseignait le 6 janvier 2009. La dénonciation accusant l’intimé a été établie sous serment le lendemain. L’intimé a été détenu jusqu’au 12 janvier 2009, lorsqu’il a été libéré sous caution. Il a choisi de subir son procès devant juge et jury en Cour supérieure de justice et la date de son procès a été fixée au 12 décembre 2011. Il ressort du dossier que l’enquête préliminaire a été ajournée une fois parce qu’une autre affaire devait être instruite en priorité et une deuxième fois parce que le juge président et un enquêteur n’étaient pas disponibles. L’intimé et son avocat ont voyagé d’Ottawa à chacune de ces dates sans avoir été préalablement informés de ces ajournements. Le 4 août 2010, la conférence préparatoire en Cour supérieure a été ajournée parce que l’avocat du ministère public affecté au dossier n’était pas présent. Même si des dates antérieures étaient disponibles, il n’y avait aucune preuve sur la question de savoir si des avocats du ministère public étaient disponibles avant le 29 septembre 2010, lorsque l’avocat du ministère public a comparu et que la conférence préparatoire a eu lieu. L’affaire a alors été ajournée à l’audience de mise au rôle le 22 octobre 2010, lorsque les dates des demandes avant le procès et la date du procès devant jury ont été fixées. Il ressortait en outre du dossier que le ministère public avait tardé à divulguer toute la preuve, ce qui a entraîné un délai de quatre mois. Un certain nombre de demandes avant le procès ont été présentées par le ministère public et la défense. Le procès devant jury a commencé le 12 décembre 2011 et a pris fin le 20 décembre 2011.</w:t>
      </w:r>
    </w:p>
    <w:p w:rsidR="000A4718" w:rsidRDefault="000A4718">
      <w:pPr>
        <w:widowControl w:val="0"/>
        <w:jc w:val="both"/>
        <w:rPr>
          <w:sz w:val="20"/>
          <w:lang w:val="en-CA"/>
        </w:rPr>
      </w:pPr>
    </w:p>
    <w:p w:rsidR="000A4718" w:rsidRDefault="000A4718">
      <w:pPr>
        <w:widowControl w:val="0"/>
        <w:jc w:val="both"/>
        <w:rPr>
          <w:sz w:val="20"/>
          <w:lang w:val="en-CA"/>
        </w:rPr>
      </w:pPr>
      <w:r w:rsidRPr="000A4718">
        <w:rPr>
          <w:sz w:val="20"/>
          <w:lang w:val="fr-CA"/>
        </w:rPr>
        <w:t>Origine</w:t>
      </w:r>
      <w:r w:rsidR="00714A0E">
        <w:rPr>
          <w:sz w:val="20"/>
          <w:lang w:val="fr-CA"/>
        </w:rPr>
        <w:t> :</w:t>
      </w:r>
      <w:r>
        <w:rPr>
          <w:sz w:val="20"/>
          <w:lang w:val="fr-CA"/>
        </w:rPr>
        <w:tab/>
      </w:r>
      <w:r>
        <w:rPr>
          <w:sz w:val="20"/>
          <w:lang w:val="fr-CA"/>
        </w:rPr>
        <w:tab/>
      </w:r>
      <w:r>
        <w:rPr>
          <w:sz w:val="20"/>
          <w:lang w:val="fr-CA"/>
        </w:rPr>
        <w:tab/>
      </w:r>
      <w:r>
        <w:rPr>
          <w:sz w:val="20"/>
          <w:lang w:val="fr-CA"/>
        </w:rPr>
        <w:tab/>
      </w:r>
      <w:r>
        <w:rPr>
          <w:sz w:val="20"/>
          <w:lang w:val="fr-CA"/>
        </w:rPr>
        <w:tab/>
        <w:t xml:space="preserve"> Ontario</w:t>
      </w:r>
    </w:p>
    <w:p w:rsidR="000A4718" w:rsidRDefault="000A4718">
      <w:pPr>
        <w:widowControl w:val="0"/>
        <w:jc w:val="both"/>
        <w:rPr>
          <w:sz w:val="20"/>
          <w:lang w:val="en-CA"/>
        </w:rPr>
      </w:pPr>
    </w:p>
    <w:p w:rsidR="000A4718" w:rsidRDefault="000A4718">
      <w:pPr>
        <w:widowControl w:val="0"/>
        <w:jc w:val="both"/>
        <w:rPr>
          <w:sz w:val="20"/>
          <w:lang w:val="en-CA"/>
        </w:rPr>
      </w:pPr>
      <w:r w:rsidRPr="000A4718">
        <w:rPr>
          <w:sz w:val="20"/>
          <w:lang w:val="fr-CA"/>
        </w:rPr>
        <w:t>N</w:t>
      </w:r>
      <w:r w:rsidRPr="000A4718">
        <w:rPr>
          <w:sz w:val="20"/>
          <w:vertAlign w:val="superscript"/>
          <w:lang w:val="fr-CA"/>
        </w:rPr>
        <w:t>o</w:t>
      </w:r>
      <w:r w:rsidRPr="000A4718">
        <w:rPr>
          <w:sz w:val="20"/>
          <w:lang w:val="fr-CA"/>
        </w:rPr>
        <w:t xml:space="preserve"> du greffe</w:t>
      </w:r>
      <w:r w:rsidR="00714A0E">
        <w:rPr>
          <w:sz w:val="20"/>
          <w:lang w:val="fr-CA"/>
        </w:rPr>
        <w:t> :</w:t>
      </w:r>
      <w:r>
        <w:rPr>
          <w:sz w:val="20"/>
          <w:lang w:val="fr-CA"/>
        </w:rPr>
        <w:tab/>
      </w:r>
      <w:r>
        <w:rPr>
          <w:sz w:val="20"/>
          <w:lang w:val="fr-CA"/>
        </w:rPr>
        <w:tab/>
      </w:r>
      <w:r>
        <w:rPr>
          <w:sz w:val="20"/>
          <w:lang w:val="fr-CA"/>
        </w:rPr>
        <w:tab/>
        <w:t>36112</w:t>
      </w:r>
    </w:p>
    <w:p w:rsidR="000A4718" w:rsidRDefault="000A4718">
      <w:pPr>
        <w:widowControl w:val="0"/>
        <w:jc w:val="both"/>
        <w:rPr>
          <w:sz w:val="20"/>
          <w:lang w:val="en-CA"/>
        </w:rPr>
      </w:pPr>
    </w:p>
    <w:p w:rsidR="000A4718" w:rsidRPr="000A4718" w:rsidRDefault="000A4718" w:rsidP="000A4718">
      <w:pPr>
        <w:rPr>
          <w:sz w:val="20"/>
          <w:lang w:val="fr-CA"/>
        </w:rPr>
      </w:pPr>
      <w:r w:rsidRPr="000A4718">
        <w:rPr>
          <w:sz w:val="20"/>
          <w:lang w:val="fr-CA"/>
        </w:rPr>
        <w:t>Arrêt de la Cour d’appel</w:t>
      </w:r>
      <w:r w:rsidR="00714A0E">
        <w:rPr>
          <w:sz w:val="20"/>
          <w:lang w:val="fr-CA"/>
        </w:rPr>
        <w:t> :</w:t>
      </w:r>
      <w:r>
        <w:rPr>
          <w:sz w:val="20"/>
          <w:lang w:val="fr-CA"/>
        </w:rPr>
        <w:tab/>
      </w:r>
      <w:r w:rsidRPr="000A4718">
        <w:rPr>
          <w:sz w:val="20"/>
          <w:lang w:val="fr-CA"/>
        </w:rPr>
        <w:t>19 août 2014</w:t>
      </w:r>
    </w:p>
    <w:p w:rsidR="000A4718" w:rsidRDefault="000A4718">
      <w:pPr>
        <w:widowControl w:val="0"/>
        <w:jc w:val="both"/>
        <w:rPr>
          <w:sz w:val="20"/>
          <w:lang w:val="en-CA"/>
        </w:rPr>
      </w:pPr>
    </w:p>
    <w:p w:rsidR="00714A0E" w:rsidRPr="000A4718" w:rsidRDefault="00714A0E" w:rsidP="00714A0E">
      <w:pPr>
        <w:widowControl w:val="0"/>
        <w:rPr>
          <w:sz w:val="20"/>
          <w:lang w:val="fr-CA"/>
        </w:rPr>
      </w:pPr>
      <w:proofErr w:type="spellStart"/>
      <w:r>
        <w:rPr>
          <w:sz w:val="20"/>
          <w:lang w:val="en-CA"/>
        </w:rPr>
        <w:t>Avocats</w:t>
      </w:r>
      <w:proofErr w:type="spellEnd"/>
      <w:r>
        <w:rPr>
          <w:sz w:val="20"/>
          <w:lang w:val="en-CA"/>
        </w:rPr>
        <w:t>:</w:t>
      </w:r>
      <w:r>
        <w:rPr>
          <w:sz w:val="20"/>
          <w:lang w:val="en-CA"/>
        </w:rPr>
        <w:tab/>
      </w:r>
      <w:r>
        <w:rPr>
          <w:sz w:val="20"/>
          <w:lang w:val="en-CA"/>
        </w:rPr>
        <w:tab/>
      </w:r>
      <w:r>
        <w:rPr>
          <w:sz w:val="20"/>
          <w:lang w:val="en-CA"/>
        </w:rPr>
        <w:tab/>
      </w:r>
      <w:r>
        <w:rPr>
          <w:sz w:val="20"/>
          <w:lang w:val="en-CA"/>
        </w:rPr>
        <w:tab/>
      </w:r>
      <w:r>
        <w:rPr>
          <w:sz w:val="20"/>
          <w:lang w:val="en-CA"/>
        </w:rPr>
        <w:tab/>
      </w:r>
      <w:proofErr w:type="spellStart"/>
      <w:r w:rsidRPr="000A4718">
        <w:rPr>
          <w:sz w:val="20"/>
          <w:lang w:val="fr-CA"/>
        </w:rPr>
        <w:t>Eric</w:t>
      </w:r>
      <w:proofErr w:type="spellEnd"/>
      <w:r w:rsidRPr="000A4718">
        <w:rPr>
          <w:sz w:val="20"/>
          <w:lang w:val="fr-CA"/>
        </w:rPr>
        <w:t xml:space="preserve"> Siebenmorgen </w:t>
      </w:r>
      <w:bookmarkStart w:id="8" w:name="_GoBack"/>
      <w:bookmarkEnd w:id="8"/>
      <w:r w:rsidRPr="000A4718">
        <w:rPr>
          <w:sz w:val="20"/>
          <w:lang w:val="fr-CA"/>
        </w:rPr>
        <w:t>et Tracy Kozlowski pour l’appelante</w:t>
      </w:r>
    </w:p>
    <w:p w:rsidR="00714A0E" w:rsidRPr="000A4718" w:rsidRDefault="00714A0E" w:rsidP="00714A0E">
      <w:pPr>
        <w:widowControl w:val="0"/>
        <w:ind w:left="1800" w:firstLine="360"/>
        <w:rPr>
          <w:sz w:val="20"/>
          <w:lang w:val="fr-CA"/>
        </w:rPr>
      </w:pPr>
      <w:r w:rsidRPr="000A4718">
        <w:rPr>
          <w:sz w:val="20"/>
          <w:lang w:val="fr-CA"/>
        </w:rPr>
        <w:t xml:space="preserve">John H. Hale pour l’intimé </w:t>
      </w:r>
    </w:p>
    <w:p w:rsidR="000A4718" w:rsidRDefault="000A4718">
      <w:pPr>
        <w:widowControl w:val="0"/>
        <w:jc w:val="both"/>
        <w:rPr>
          <w:sz w:val="20"/>
          <w:lang w:val="en-CA"/>
        </w:rPr>
      </w:pPr>
    </w:p>
    <w:p w:rsidR="000A4718" w:rsidRDefault="000A4718">
      <w:pPr>
        <w:widowControl w:val="0"/>
        <w:jc w:val="both"/>
        <w:rPr>
          <w:sz w:val="20"/>
          <w:lang w:val="en-CA"/>
        </w:rPr>
      </w:pPr>
    </w:p>
    <w:p w:rsidR="00072A63" w:rsidRPr="000A4718" w:rsidRDefault="00072A63" w:rsidP="00EC79B0">
      <w:pPr>
        <w:jc w:val="both"/>
        <w:rPr>
          <w:sz w:val="20"/>
        </w:rPr>
      </w:pPr>
    </w:p>
    <w:p w:rsidR="001C4415" w:rsidRPr="00716381" w:rsidRDefault="001C4415" w:rsidP="001C4415">
      <w:pPr>
        <w:widowControl w:val="0"/>
        <w:outlineLvl w:val="0"/>
      </w:pPr>
      <w:r w:rsidRPr="00716381">
        <w:t xml:space="preserve">Supreme Court of Canada / Cour suprême du </w:t>
      </w:r>
      <w:proofErr w:type="gramStart"/>
      <w:r w:rsidRPr="00716381">
        <w:t>Canada :</w:t>
      </w:r>
      <w:proofErr w:type="gramEnd"/>
      <w:r w:rsidRPr="00716381">
        <w:t xml:space="preserve"> </w:t>
      </w:r>
    </w:p>
    <w:p w:rsidR="001C4415" w:rsidRPr="00716381" w:rsidRDefault="000A5B7A" w:rsidP="001C4415">
      <w:pPr>
        <w:widowControl w:val="0"/>
        <w:outlineLvl w:val="0"/>
        <w:rPr>
          <w:color w:val="0000FF"/>
          <w:u w:val="single"/>
        </w:rPr>
      </w:pPr>
      <w:hyperlink r:id="rId9" w:history="1">
        <w:r w:rsidR="001C4415" w:rsidRPr="00716381">
          <w:rPr>
            <w:rStyle w:val="Hyperlink"/>
          </w:rPr>
          <w:t>comments-commentaires@scc-csc.ca</w:t>
        </w:r>
      </w:hyperlink>
    </w:p>
    <w:p w:rsidR="001C4415" w:rsidRPr="00716381" w:rsidRDefault="001C4415" w:rsidP="001C4415">
      <w:pPr>
        <w:widowControl w:val="0"/>
        <w:outlineLvl w:val="0"/>
      </w:pPr>
      <w:r w:rsidRPr="00716381">
        <w:t>(613) 995-4330</w:t>
      </w:r>
    </w:p>
    <w:p w:rsidR="001C4415" w:rsidRPr="00716381" w:rsidRDefault="001C4415" w:rsidP="001C4415">
      <w:pPr>
        <w:widowControl w:val="0"/>
        <w:rPr>
          <w:sz w:val="20"/>
        </w:rPr>
      </w:pPr>
    </w:p>
    <w:p w:rsidR="0036476C" w:rsidRPr="00716381" w:rsidRDefault="001C4415" w:rsidP="0036476C">
      <w:pPr>
        <w:pStyle w:val="Footer"/>
        <w:jc w:val="center"/>
      </w:pPr>
      <w:r w:rsidRPr="00716381">
        <w:t xml:space="preserve">- 30 </w:t>
      </w:r>
      <w:r w:rsidR="0036476C" w:rsidRPr="00716381">
        <w:t xml:space="preserve">– </w:t>
      </w:r>
    </w:p>
    <w:p w:rsidR="0036476C" w:rsidRPr="00716381"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01CD"/>
    <w:rsid w:val="0002161B"/>
    <w:rsid w:val="00021901"/>
    <w:rsid w:val="000347C1"/>
    <w:rsid w:val="00035555"/>
    <w:rsid w:val="00035B99"/>
    <w:rsid w:val="0003611D"/>
    <w:rsid w:val="0003620E"/>
    <w:rsid w:val="00040E3C"/>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4718"/>
    <w:rsid w:val="000A5B7A"/>
    <w:rsid w:val="000A7900"/>
    <w:rsid w:val="000B0E38"/>
    <w:rsid w:val="000B216A"/>
    <w:rsid w:val="000C1225"/>
    <w:rsid w:val="000C466B"/>
    <w:rsid w:val="000C71ED"/>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17F1"/>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A572B"/>
    <w:rsid w:val="001B092D"/>
    <w:rsid w:val="001B0D7E"/>
    <w:rsid w:val="001B4934"/>
    <w:rsid w:val="001B599A"/>
    <w:rsid w:val="001B71AA"/>
    <w:rsid w:val="001C0462"/>
    <w:rsid w:val="001C3E08"/>
    <w:rsid w:val="001C4415"/>
    <w:rsid w:val="001C6FEC"/>
    <w:rsid w:val="001E4A60"/>
    <w:rsid w:val="001E5E23"/>
    <w:rsid w:val="001E70CD"/>
    <w:rsid w:val="001F1643"/>
    <w:rsid w:val="001F1CCF"/>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3690"/>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2E49"/>
    <w:rsid w:val="00346B6F"/>
    <w:rsid w:val="00346F0D"/>
    <w:rsid w:val="00350C6A"/>
    <w:rsid w:val="00350CE0"/>
    <w:rsid w:val="00352B94"/>
    <w:rsid w:val="00353AB0"/>
    <w:rsid w:val="0035462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34C8B"/>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167FC"/>
    <w:rsid w:val="00520A3C"/>
    <w:rsid w:val="00525362"/>
    <w:rsid w:val="00525B8E"/>
    <w:rsid w:val="00531567"/>
    <w:rsid w:val="00534E1E"/>
    <w:rsid w:val="0053718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3963"/>
    <w:rsid w:val="00714A0E"/>
    <w:rsid w:val="00716381"/>
    <w:rsid w:val="00724998"/>
    <w:rsid w:val="00727681"/>
    <w:rsid w:val="00731F00"/>
    <w:rsid w:val="00732616"/>
    <w:rsid w:val="00732764"/>
    <w:rsid w:val="00743AB2"/>
    <w:rsid w:val="00743CD0"/>
    <w:rsid w:val="007440A4"/>
    <w:rsid w:val="007464AD"/>
    <w:rsid w:val="007505FE"/>
    <w:rsid w:val="00753E0D"/>
    <w:rsid w:val="00756F46"/>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33B00"/>
    <w:rsid w:val="00843914"/>
    <w:rsid w:val="00844A0C"/>
    <w:rsid w:val="00845B97"/>
    <w:rsid w:val="00851A46"/>
    <w:rsid w:val="00851B24"/>
    <w:rsid w:val="00857775"/>
    <w:rsid w:val="00861E1D"/>
    <w:rsid w:val="0086609D"/>
    <w:rsid w:val="00870608"/>
    <w:rsid w:val="008709FF"/>
    <w:rsid w:val="008716D8"/>
    <w:rsid w:val="00875923"/>
    <w:rsid w:val="008766B1"/>
    <w:rsid w:val="008814A0"/>
    <w:rsid w:val="0088190D"/>
    <w:rsid w:val="00893647"/>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1102"/>
    <w:rsid w:val="009214B3"/>
    <w:rsid w:val="0092264F"/>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4739"/>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2787A"/>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94A"/>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38B3"/>
    <w:rsid w:val="00E7552C"/>
    <w:rsid w:val="00E75EDC"/>
    <w:rsid w:val="00E76F19"/>
    <w:rsid w:val="00E77DF7"/>
    <w:rsid w:val="00E802FE"/>
    <w:rsid w:val="00E82DB5"/>
    <w:rsid w:val="00E8450A"/>
    <w:rsid w:val="00E93DBE"/>
    <w:rsid w:val="00E9584F"/>
    <w:rsid w:val="00E95DDE"/>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paragraph" w:styleId="Heading1">
    <w:name w:val="heading 1"/>
    <w:basedOn w:val="Normal"/>
    <w:next w:val="Normal"/>
    <w:link w:val="Heading1Char"/>
    <w:uiPriority w:val="9"/>
    <w:qFormat/>
    <w:rsid w:val="000201CD"/>
    <w:pPr>
      <w:keepNext/>
      <w:keepLines/>
      <w:spacing w:before="480"/>
      <w:jc w:val="both"/>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character" w:customStyle="1" w:styleId="Heading1Char">
    <w:name w:val="Heading 1 Char"/>
    <w:basedOn w:val="DefaultParagraphFont"/>
    <w:link w:val="Heading1"/>
    <w:uiPriority w:val="9"/>
    <w:rsid w:val="000201CD"/>
    <w:rPr>
      <w:rFonts w:asciiTheme="majorHAnsi" w:eastAsiaTheme="majorEastAsia" w:hAnsiTheme="majorHAnsi" w:cstheme="majorBidi"/>
      <w:b/>
      <w:bCs/>
      <w:color w:val="365F91" w:themeColor="accent1" w:themeShade="BF"/>
      <w:sz w:val="28"/>
      <w:szCs w:val="28"/>
      <w:lang w:val="en-CA"/>
    </w:rPr>
  </w:style>
  <w:style w:type="paragraph" w:customStyle="1" w:styleId="SCCFileNumber">
    <w:name w:val="SCC.FileNumber"/>
    <w:basedOn w:val="Normal"/>
    <w:next w:val="Normal"/>
    <w:link w:val="SCCFileNumberChar"/>
    <w:rsid w:val="000201CD"/>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201CD"/>
    <w:rPr>
      <w:rFonts w:eastAsiaTheme="minorHAnsi" w:cstheme="minorBidi"/>
      <w:b/>
      <w:sz w:val="24"/>
      <w:szCs w:val="22"/>
      <w:lang w:val="en-CA"/>
    </w:rPr>
  </w:style>
  <w:style w:type="paragraph" w:customStyle="1" w:styleId="SCCBanSummary">
    <w:name w:val="SCC.BanSummary"/>
    <w:basedOn w:val="Normal"/>
    <w:next w:val="Normal"/>
    <w:link w:val="SCCBanSummaryChar"/>
    <w:rsid w:val="000A4718"/>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A4718"/>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1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06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2016-06-23T14:01:00Z</dcterms:created>
  <dcterms:modified xsi:type="dcterms:W3CDTF">2016-07-04T13:41:00Z</dcterms:modified>
</cp:coreProperties>
</file>