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9255B" w:rsidRDefault="003F43E6" w:rsidP="00122CE1">
      <w:pPr>
        <w:pStyle w:val="Header"/>
        <w:tabs>
          <w:tab w:val="left" w:pos="1620"/>
          <w:tab w:val="left" w:pos="1710"/>
        </w:tabs>
        <w:jc w:val="center"/>
        <w:rPr>
          <w:b/>
          <w:sz w:val="32"/>
        </w:rPr>
      </w:pPr>
      <w:r w:rsidRPr="0099255B">
        <w:rPr>
          <w:b/>
          <w:sz w:val="32"/>
        </w:rPr>
        <w:t>Supreme Court of Canada / Cour suprême du Canada</w:t>
      </w:r>
    </w:p>
    <w:p w:rsidR="003F43E6" w:rsidRPr="0099255B" w:rsidRDefault="003F43E6" w:rsidP="006F2579">
      <w:pPr>
        <w:widowControl w:val="0"/>
        <w:rPr>
          <w:i/>
        </w:rPr>
      </w:pPr>
    </w:p>
    <w:p w:rsidR="006F2579" w:rsidRPr="0099255B" w:rsidRDefault="006F2579" w:rsidP="006F2579">
      <w:pPr>
        <w:widowControl w:val="0"/>
        <w:rPr>
          <w:i/>
        </w:rPr>
      </w:pPr>
      <w:r w:rsidRPr="0099255B">
        <w:rPr>
          <w:i/>
        </w:rPr>
        <w:t>(le français suit)</w:t>
      </w:r>
    </w:p>
    <w:p w:rsidR="006F2579" w:rsidRPr="0099255B" w:rsidRDefault="006F2579" w:rsidP="006F2579">
      <w:pPr>
        <w:widowControl w:val="0"/>
      </w:pPr>
    </w:p>
    <w:p w:rsidR="006F2579" w:rsidRPr="0099255B" w:rsidRDefault="00B07908" w:rsidP="006F2579">
      <w:pPr>
        <w:widowControl w:val="0"/>
        <w:jc w:val="center"/>
        <w:rPr>
          <w:b/>
        </w:rPr>
      </w:pPr>
      <w:r w:rsidRPr="0099255B">
        <w:fldChar w:fldCharType="begin"/>
      </w:r>
      <w:r w:rsidR="006F2579" w:rsidRPr="0099255B">
        <w:instrText xml:space="preserve"> SEQ CHAPTER \h \r 1</w:instrText>
      </w:r>
      <w:r w:rsidRPr="0099255B">
        <w:fldChar w:fldCharType="end"/>
      </w:r>
      <w:r w:rsidR="006F2579" w:rsidRPr="0099255B">
        <w:rPr>
          <w:b/>
        </w:rPr>
        <w:t>JUDGMENT</w:t>
      </w:r>
      <w:r w:rsidR="00B17AAC" w:rsidRPr="0099255B">
        <w:rPr>
          <w:b/>
        </w:rPr>
        <w:t>S</w:t>
      </w:r>
      <w:r w:rsidR="006F2579" w:rsidRPr="0099255B">
        <w:rPr>
          <w:b/>
        </w:rPr>
        <w:t xml:space="preserve"> TO B</w:t>
      </w:r>
      <w:r w:rsidR="00001846" w:rsidRPr="0099255B">
        <w:rPr>
          <w:b/>
        </w:rPr>
        <w:t>E RENDERED IN LEAVE APPLICATION</w:t>
      </w:r>
      <w:r w:rsidR="00AE4C09" w:rsidRPr="0099255B">
        <w:rPr>
          <w:b/>
        </w:rPr>
        <w:t>S</w:t>
      </w:r>
    </w:p>
    <w:p w:rsidR="006F2579" w:rsidRPr="0099255B" w:rsidRDefault="006F2579" w:rsidP="006F2579">
      <w:pPr>
        <w:widowControl w:val="0"/>
        <w:rPr>
          <w:b/>
        </w:rPr>
      </w:pPr>
    </w:p>
    <w:p w:rsidR="006F2579" w:rsidRPr="0099255B" w:rsidRDefault="00DA48B0" w:rsidP="006F2579">
      <w:pPr>
        <w:widowControl w:val="0"/>
        <w:rPr>
          <w:b/>
        </w:rPr>
      </w:pPr>
      <w:r w:rsidRPr="0099255B">
        <w:rPr>
          <w:b/>
        </w:rPr>
        <w:t>Ju</w:t>
      </w:r>
      <w:r w:rsidR="006546B9" w:rsidRPr="0099255B">
        <w:rPr>
          <w:b/>
        </w:rPr>
        <w:t>ly</w:t>
      </w:r>
      <w:r w:rsidR="003817A9" w:rsidRPr="0099255B">
        <w:rPr>
          <w:b/>
        </w:rPr>
        <w:t xml:space="preserve"> </w:t>
      </w:r>
      <w:r w:rsidR="00EE69B9">
        <w:rPr>
          <w:b/>
        </w:rPr>
        <w:t>11</w:t>
      </w:r>
      <w:r w:rsidR="00AB5538" w:rsidRPr="0099255B">
        <w:rPr>
          <w:b/>
        </w:rPr>
        <w:t>,</w:t>
      </w:r>
      <w:r w:rsidR="006F2579" w:rsidRPr="0099255B">
        <w:rPr>
          <w:b/>
        </w:rPr>
        <w:t xml:space="preserve"> </w:t>
      </w:r>
      <w:r w:rsidR="0054689F" w:rsidRPr="0099255B">
        <w:rPr>
          <w:b/>
        </w:rPr>
        <w:t>201</w:t>
      </w:r>
      <w:r w:rsidR="00674329" w:rsidRPr="0099255B">
        <w:rPr>
          <w:b/>
        </w:rPr>
        <w:t>6</w:t>
      </w:r>
    </w:p>
    <w:p w:rsidR="006F2579" w:rsidRPr="0099255B" w:rsidRDefault="006F2579" w:rsidP="006F2579">
      <w:pPr>
        <w:widowControl w:val="0"/>
        <w:rPr>
          <w:b/>
        </w:rPr>
      </w:pPr>
      <w:r w:rsidRPr="0099255B">
        <w:rPr>
          <w:b/>
        </w:rPr>
        <w:t>For immediate release</w:t>
      </w:r>
      <w:bookmarkStart w:id="0" w:name="_GoBack"/>
      <w:bookmarkEnd w:id="0"/>
    </w:p>
    <w:p w:rsidR="006F2579" w:rsidRPr="0099255B" w:rsidRDefault="006F2579" w:rsidP="006F2579">
      <w:pPr>
        <w:widowControl w:val="0"/>
      </w:pPr>
    </w:p>
    <w:p w:rsidR="006F2579" w:rsidRPr="0099255B" w:rsidRDefault="006F2579" w:rsidP="006F2579">
      <w:pPr>
        <w:widowControl w:val="0"/>
      </w:pPr>
      <w:r w:rsidRPr="0099255B">
        <w:rPr>
          <w:b/>
        </w:rPr>
        <w:t>OTTAWA</w:t>
      </w:r>
      <w:r w:rsidRPr="0099255B">
        <w:t xml:space="preserve"> – The Supreme Court of Canada announced today that judgment in the following application</w:t>
      </w:r>
      <w:r w:rsidR="008600ED" w:rsidRPr="0099255B">
        <w:t>s</w:t>
      </w:r>
      <w:r w:rsidRPr="0099255B">
        <w:t xml:space="preserve"> for leave to appeal will be delivered at 9:45 a.m. E</w:t>
      </w:r>
      <w:r w:rsidR="003817A9" w:rsidRPr="0099255B">
        <w:t>D</w:t>
      </w:r>
      <w:r w:rsidRPr="0099255B">
        <w:t xml:space="preserve">T on Thursday, </w:t>
      </w:r>
      <w:r w:rsidR="00647687" w:rsidRPr="0099255B">
        <w:t>Ju</w:t>
      </w:r>
      <w:r w:rsidR="006546B9" w:rsidRPr="0099255B">
        <w:t>ly</w:t>
      </w:r>
      <w:r w:rsidR="007E112F" w:rsidRPr="0099255B">
        <w:t xml:space="preserve"> </w:t>
      </w:r>
      <w:r w:rsidR="00EE69B9">
        <w:t>14</w:t>
      </w:r>
      <w:r w:rsidR="007E112F" w:rsidRPr="0099255B">
        <w:t>,</w:t>
      </w:r>
      <w:r w:rsidR="002F38D7" w:rsidRPr="0099255B">
        <w:t xml:space="preserve"> </w:t>
      </w:r>
      <w:r w:rsidR="006648D1" w:rsidRPr="0099255B">
        <w:t>201</w:t>
      </w:r>
      <w:r w:rsidR="00674329" w:rsidRPr="0099255B">
        <w:t>6</w:t>
      </w:r>
      <w:r w:rsidRPr="0099255B">
        <w:t>.  This list is subject to change.</w:t>
      </w:r>
    </w:p>
    <w:p w:rsidR="00FF5AA4" w:rsidRPr="0099255B" w:rsidRDefault="00FF5AA4" w:rsidP="006F2579">
      <w:pPr>
        <w:widowControl w:val="0"/>
      </w:pPr>
    </w:p>
    <w:p w:rsidR="00B43418" w:rsidRPr="0099255B" w:rsidRDefault="00B43418" w:rsidP="006F2579">
      <w:pPr>
        <w:widowControl w:val="0"/>
      </w:pPr>
    </w:p>
    <w:p w:rsidR="006F2579" w:rsidRPr="0099255B" w:rsidRDefault="006F2579" w:rsidP="006F2579">
      <w:pPr>
        <w:widowControl w:val="0"/>
        <w:jc w:val="center"/>
        <w:rPr>
          <w:lang w:val="fr-CA"/>
        </w:rPr>
      </w:pPr>
      <w:r w:rsidRPr="0099255B">
        <w:rPr>
          <w:b/>
          <w:lang w:val="fr-CA"/>
        </w:rPr>
        <w:t>PROCHAIN</w:t>
      </w:r>
      <w:r w:rsidR="00B17AAC" w:rsidRPr="0099255B">
        <w:rPr>
          <w:b/>
          <w:lang w:val="fr-CA"/>
        </w:rPr>
        <w:t>S</w:t>
      </w:r>
      <w:r w:rsidRPr="0099255B">
        <w:rPr>
          <w:b/>
          <w:lang w:val="fr-CA"/>
        </w:rPr>
        <w:t xml:space="preserve"> JUGEMENT</w:t>
      </w:r>
      <w:r w:rsidR="00B17AAC" w:rsidRPr="0099255B">
        <w:rPr>
          <w:b/>
          <w:lang w:val="fr-CA"/>
        </w:rPr>
        <w:t>S</w:t>
      </w:r>
      <w:r w:rsidR="00001846" w:rsidRPr="0099255B">
        <w:rPr>
          <w:b/>
          <w:lang w:val="fr-CA"/>
        </w:rPr>
        <w:t xml:space="preserve"> SUR DEMANDE</w:t>
      </w:r>
      <w:r w:rsidR="00B17AAC" w:rsidRPr="0099255B">
        <w:rPr>
          <w:b/>
          <w:lang w:val="fr-CA"/>
        </w:rPr>
        <w:t>S</w:t>
      </w:r>
      <w:r w:rsidRPr="0099255B">
        <w:rPr>
          <w:b/>
          <w:lang w:val="fr-CA"/>
        </w:rPr>
        <w:t xml:space="preserve"> D’AUTORISATION</w:t>
      </w:r>
    </w:p>
    <w:p w:rsidR="006F2579" w:rsidRPr="0099255B" w:rsidRDefault="006F2579" w:rsidP="006F2579">
      <w:pPr>
        <w:widowControl w:val="0"/>
        <w:rPr>
          <w:lang w:val="fr-CA"/>
        </w:rPr>
      </w:pPr>
    </w:p>
    <w:p w:rsidR="006F2579" w:rsidRPr="0099255B" w:rsidRDefault="006F2579" w:rsidP="006F2579">
      <w:pPr>
        <w:widowControl w:val="0"/>
        <w:rPr>
          <w:b/>
          <w:lang w:val="fr-CA"/>
        </w:rPr>
      </w:pPr>
      <w:r w:rsidRPr="0099255B">
        <w:rPr>
          <w:b/>
          <w:lang w:val="fr-CA"/>
        </w:rPr>
        <w:t>Le</w:t>
      </w:r>
      <w:r w:rsidR="00957A76" w:rsidRPr="0099255B">
        <w:rPr>
          <w:b/>
          <w:lang w:val="fr-CA"/>
        </w:rPr>
        <w:t xml:space="preserve"> </w:t>
      </w:r>
      <w:r w:rsidR="00EE69B9">
        <w:rPr>
          <w:b/>
          <w:lang w:val="fr-CA"/>
        </w:rPr>
        <w:t>11</w:t>
      </w:r>
      <w:r w:rsidR="004C4BEC" w:rsidRPr="0099255B">
        <w:rPr>
          <w:b/>
          <w:lang w:val="fr-CA"/>
        </w:rPr>
        <w:t xml:space="preserve"> </w:t>
      </w:r>
      <w:r w:rsidR="00DA48B0" w:rsidRPr="0099255B">
        <w:rPr>
          <w:b/>
          <w:lang w:val="fr-CA"/>
        </w:rPr>
        <w:t>jui</w:t>
      </w:r>
      <w:r w:rsidR="006546B9" w:rsidRPr="0099255B">
        <w:rPr>
          <w:b/>
          <w:lang w:val="fr-CA"/>
        </w:rPr>
        <w:t>llet</w:t>
      </w:r>
      <w:r w:rsidR="00674329" w:rsidRPr="0099255B">
        <w:rPr>
          <w:b/>
          <w:lang w:val="fr-CA"/>
        </w:rPr>
        <w:t xml:space="preserve"> 2016</w:t>
      </w:r>
    </w:p>
    <w:p w:rsidR="006F2579" w:rsidRPr="0099255B" w:rsidRDefault="006F2579" w:rsidP="006F2579">
      <w:pPr>
        <w:widowControl w:val="0"/>
        <w:rPr>
          <w:b/>
          <w:lang w:val="fr-CA"/>
        </w:rPr>
      </w:pPr>
      <w:r w:rsidRPr="0099255B">
        <w:rPr>
          <w:b/>
          <w:lang w:val="fr-CA"/>
        </w:rPr>
        <w:t>Pour diffusion immédiate</w:t>
      </w:r>
    </w:p>
    <w:p w:rsidR="006F2579" w:rsidRPr="0099255B" w:rsidRDefault="006F2579" w:rsidP="006F2579">
      <w:pPr>
        <w:widowControl w:val="0"/>
        <w:rPr>
          <w:b/>
          <w:lang w:val="fr-CA"/>
        </w:rPr>
      </w:pPr>
    </w:p>
    <w:p w:rsidR="006F2579" w:rsidRPr="0099255B" w:rsidRDefault="006F2579" w:rsidP="006F2579">
      <w:pPr>
        <w:widowControl w:val="0"/>
        <w:rPr>
          <w:lang w:val="fr-CA"/>
        </w:rPr>
      </w:pPr>
      <w:r w:rsidRPr="0099255B">
        <w:rPr>
          <w:b/>
          <w:lang w:val="fr-CA"/>
        </w:rPr>
        <w:t>OTTAWA</w:t>
      </w:r>
      <w:r w:rsidRPr="0099255B">
        <w:rPr>
          <w:lang w:val="fr-CA"/>
        </w:rPr>
        <w:t xml:space="preserve"> – La Cour suprême du Canada annonce que jugement ser</w:t>
      </w:r>
      <w:r w:rsidR="004259F9" w:rsidRPr="0099255B">
        <w:rPr>
          <w:lang w:val="fr-CA"/>
        </w:rPr>
        <w:t>a</w:t>
      </w:r>
      <w:r w:rsidRPr="0099255B">
        <w:rPr>
          <w:lang w:val="fr-CA"/>
        </w:rPr>
        <w:t xml:space="preserve"> rendu dans l</w:t>
      </w:r>
      <w:r w:rsidR="008600ED" w:rsidRPr="0099255B">
        <w:rPr>
          <w:lang w:val="fr-CA"/>
        </w:rPr>
        <w:t>es</w:t>
      </w:r>
      <w:r w:rsidRPr="0099255B">
        <w:rPr>
          <w:lang w:val="fr-CA"/>
        </w:rPr>
        <w:t xml:space="preserve"> demande</w:t>
      </w:r>
      <w:r w:rsidR="008600ED" w:rsidRPr="0099255B">
        <w:rPr>
          <w:lang w:val="fr-CA"/>
        </w:rPr>
        <w:t>s</w:t>
      </w:r>
      <w:r w:rsidRPr="0099255B">
        <w:rPr>
          <w:lang w:val="fr-CA"/>
        </w:rPr>
        <w:t xml:space="preserve"> d</w:t>
      </w:r>
      <w:r w:rsidR="00001846" w:rsidRPr="0099255B">
        <w:rPr>
          <w:lang w:val="fr-CA"/>
        </w:rPr>
        <w:t>’autorisation d’appel suivante</w:t>
      </w:r>
      <w:r w:rsidR="008600ED" w:rsidRPr="0099255B">
        <w:rPr>
          <w:lang w:val="fr-CA"/>
        </w:rPr>
        <w:t>s</w:t>
      </w:r>
      <w:r w:rsidRPr="0099255B">
        <w:rPr>
          <w:lang w:val="fr-CA"/>
        </w:rPr>
        <w:t xml:space="preserve"> le jeudi </w:t>
      </w:r>
      <w:r w:rsidR="00EE69B9">
        <w:rPr>
          <w:lang w:val="fr-CA"/>
        </w:rPr>
        <w:t>14</w:t>
      </w:r>
      <w:r w:rsidR="007E112F" w:rsidRPr="0099255B">
        <w:rPr>
          <w:lang w:val="fr-CA"/>
        </w:rPr>
        <w:t xml:space="preserve"> </w:t>
      </w:r>
      <w:r w:rsidR="00647687" w:rsidRPr="0099255B">
        <w:rPr>
          <w:lang w:val="fr-CA"/>
        </w:rPr>
        <w:t>jui</w:t>
      </w:r>
      <w:r w:rsidR="006546B9" w:rsidRPr="0099255B">
        <w:rPr>
          <w:lang w:val="fr-CA"/>
        </w:rPr>
        <w:t>llet</w:t>
      </w:r>
      <w:r w:rsidR="00674329" w:rsidRPr="0099255B">
        <w:rPr>
          <w:lang w:val="fr-CA"/>
        </w:rPr>
        <w:t xml:space="preserve"> </w:t>
      </w:r>
      <w:r w:rsidR="006648D1" w:rsidRPr="0099255B">
        <w:rPr>
          <w:lang w:val="fr-CA"/>
        </w:rPr>
        <w:t>201</w:t>
      </w:r>
      <w:r w:rsidR="00674329" w:rsidRPr="0099255B">
        <w:rPr>
          <w:lang w:val="fr-CA"/>
        </w:rPr>
        <w:t>6</w:t>
      </w:r>
      <w:r w:rsidRPr="0099255B">
        <w:rPr>
          <w:lang w:val="fr-CA"/>
        </w:rPr>
        <w:t xml:space="preserve">, à 9 h 45 </w:t>
      </w:r>
      <w:r w:rsidR="000627A2" w:rsidRPr="0099255B">
        <w:rPr>
          <w:lang w:val="fr-CA"/>
        </w:rPr>
        <w:t>H</w:t>
      </w:r>
      <w:r w:rsidR="003817A9" w:rsidRPr="0099255B">
        <w:rPr>
          <w:lang w:val="fr-CA"/>
        </w:rPr>
        <w:t>A</w:t>
      </w:r>
      <w:r w:rsidRPr="0099255B">
        <w:rPr>
          <w:lang w:val="fr-CA"/>
        </w:rPr>
        <w:t>E.  Cette liste est sujette à modifications.</w:t>
      </w:r>
    </w:p>
    <w:p w:rsidR="0080556B" w:rsidRPr="0099255B" w:rsidRDefault="0080556B" w:rsidP="009B14F4">
      <w:pPr>
        <w:widowControl w:val="0"/>
        <w:jc w:val="both"/>
        <w:rPr>
          <w:sz w:val="20"/>
          <w:lang w:val="fr-CA"/>
        </w:rPr>
      </w:pPr>
    </w:p>
    <w:p w:rsidR="001838E0" w:rsidRPr="0099255B" w:rsidRDefault="003D353C" w:rsidP="009B14F4">
      <w:pPr>
        <w:widowControl w:val="0"/>
        <w:jc w:val="both"/>
        <w:rPr>
          <w:sz w:val="20"/>
          <w:lang w:val="fr-CA"/>
        </w:rPr>
      </w:pPr>
      <w:r w:rsidRPr="0099255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Default="00BE2C4B" w:rsidP="009A5F3F">
      <w:pPr>
        <w:widowControl w:val="0"/>
        <w:autoSpaceDE w:val="0"/>
        <w:autoSpaceDN w:val="0"/>
        <w:adjustRightInd w:val="0"/>
        <w:ind w:left="360" w:hanging="360"/>
        <w:rPr>
          <w:rFonts w:eastAsiaTheme="minorEastAsia"/>
          <w:sz w:val="20"/>
          <w:lang w:val="en-CA" w:eastAsia="en-CA"/>
        </w:rPr>
      </w:pPr>
    </w:p>
    <w:p w:rsidR="00420604" w:rsidRPr="00420604" w:rsidRDefault="00420604" w:rsidP="00420604">
      <w:pPr>
        <w:pStyle w:val="ListParagraph"/>
        <w:numPr>
          <w:ilvl w:val="0"/>
          <w:numId w:val="46"/>
        </w:numPr>
        <w:ind w:left="360"/>
        <w:rPr>
          <w:sz w:val="20"/>
          <w:lang w:val="en-CA" w:eastAsia="en-CA"/>
        </w:rPr>
      </w:pPr>
      <w:r w:rsidRPr="00420604">
        <w:rPr>
          <w:i/>
          <w:sz w:val="20"/>
          <w:lang w:val="en-CA" w:eastAsia="en-CA"/>
        </w:rPr>
        <w:t>Wayne Rodney Fedan v. Her Majesty the Queen</w:t>
      </w:r>
      <w:r w:rsidRPr="00420604">
        <w:rPr>
          <w:sz w:val="20"/>
          <w:lang w:val="en-CA" w:eastAsia="en-CA"/>
        </w:rPr>
        <w:t xml:space="preserve"> (B.C.) (Criminal) (By Leave) </w:t>
      </w:r>
      <w:r w:rsidR="00913DCC" w:rsidRPr="0099255B">
        <w:rPr>
          <w:sz w:val="20"/>
        </w:rPr>
        <w:t>(</w:t>
      </w:r>
      <w:hyperlink r:id="rId8" w:history="1">
        <w:r w:rsidR="00913DCC" w:rsidRPr="0099255B">
          <w:rPr>
            <w:rStyle w:val="Hyperlink"/>
            <w:sz w:val="20"/>
          </w:rPr>
          <w:t>369</w:t>
        </w:r>
        <w:r w:rsidR="00913DCC">
          <w:rPr>
            <w:rStyle w:val="Hyperlink"/>
            <w:sz w:val="20"/>
          </w:rPr>
          <w:t>70</w:t>
        </w:r>
      </w:hyperlink>
      <w:r w:rsidR="00913DCC" w:rsidRPr="0099255B">
        <w:rPr>
          <w:sz w:val="20"/>
        </w:rPr>
        <w:t>)</w:t>
      </w:r>
    </w:p>
    <w:p w:rsidR="00420604" w:rsidRPr="00420604" w:rsidRDefault="00420604" w:rsidP="00420604">
      <w:pPr>
        <w:ind w:left="360" w:hanging="360"/>
        <w:rPr>
          <w:sz w:val="20"/>
          <w:lang w:val="en-CA" w:eastAsia="en-CA"/>
        </w:rPr>
      </w:pPr>
    </w:p>
    <w:p w:rsidR="00420604" w:rsidRPr="00420604" w:rsidRDefault="00420604" w:rsidP="00420604">
      <w:pPr>
        <w:pStyle w:val="ListParagraph"/>
        <w:numPr>
          <w:ilvl w:val="0"/>
          <w:numId w:val="46"/>
        </w:numPr>
        <w:ind w:left="360"/>
        <w:rPr>
          <w:sz w:val="20"/>
          <w:lang w:val="en-CA" w:eastAsia="en-CA"/>
        </w:rPr>
      </w:pPr>
      <w:r w:rsidRPr="00420604">
        <w:rPr>
          <w:i/>
          <w:sz w:val="20"/>
          <w:lang w:val="en-CA" w:eastAsia="en-CA"/>
        </w:rPr>
        <w:t>The Corporation of the City of Nelson v. Mary Geraldine Mowatt et al.</w:t>
      </w:r>
      <w:r w:rsidRPr="00420604">
        <w:rPr>
          <w:sz w:val="20"/>
          <w:lang w:val="en-CA" w:eastAsia="en-CA"/>
        </w:rPr>
        <w:t xml:space="preserve"> (B.C.) (Civil) (By Leave)</w:t>
      </w:r>
      <w:r w:rsidR="004762ED">
        <w:rPr>
          <w:sz w:val="20"/>
          <w:lang w:val="en-CA" w:eastAsia="en-CA"/>
        </w:rPr>
        <w:t xml:space="preserve"> </w:t>
      </w:r>
      <w:r w:rsidR="004762ED" w:rsidRPr="0099255B">
        <w:rPr>
          <w:sz w:val="20"/>
        </w:rPr>
        <w:t>(</w:t>
      </w:r>
      <w:hyperlink r:id="rId9" w:history="1">
        <w:r w:rsidR="004762ED" w:rsidRPr="0099255B">
          <w:rPr>
            <w:rStyle w:val="Hyperlink"/>
            <w:sz w:val="20"/>
          </w:rPr>
          <w:t>369</w:t>
        </w:r>
        <w:r w:rsidR="004762ED">
          <w:rPr>
            <w:rStyle w:val="Hyperlink"/>
            <w:sz w:val="20"/>
          </w:rPr>
          <w:t>99</w:t>
        </w:r>
      </w:hyperlink>
      <w:r w:rsidR="004762ED" w:rsidRPr="0099255B">
        <w:rPr>
          <w:sz w:val="20"/>
        </w:rPr>
        <w:t>)</w:t>
      </w:r>
    </w:p>
    <w:p w:rsidR="00EE69B9" w:rsidRPr="00420604" w:rsidRDefault="00EE69B9" w:rsidP="00420604">
      <w:pPr>
        <w:widowControl w:val="0"/>
        <w:autoSpaceDE w:val="0"/>
        <w:autoSpaceDN w:val="0"/>
        <w:adjustRightInd w:val="0"/>
        <w:ind w:left="360" w:hanging="360"/>
        <w:rPr>
          <w:rFonts w:eastAsiaTheme="minorEastAsia"/>
          <w:sz w:val="20"/>
          <w:lang w:val="en-CA" w:eastAsia="en-CA"/>
        </w:rPr>
      </w:pPr>
    </w:p>
    <w:p w:rsidR="00420604" w:rsidRPr="00420604" w:rsidRDefault="00420604" w:rsidP="00420604">
      <w:pPr>
        <w:pStyle w:val="SCCAppellantInfoAppellantInfo"/>
        <w:numPr>
          <w:ilvl w:val="0"/>
          <w:numId w:val="46"/>
        </w:numPr>
        <w:ind w:left="360"/>
        <w:rPr>
          <w:sz w:val="20"/>
          <w:szCs w:val="20"/>
        </w:rPr>
      </w:pPr>
      <w:r w:rsidRPr="00420604">
        <w:rPr>
          <w:i/>
          <w:sz w:val="20"/>
          <w:szCs w:val="20"/>
        </w:rPr>
        <w:t>Nicola Nero v. Her Majesty the Queen</w:t>
      </w:r>
      <w:r w:rsidRPr="00420604">
        <w:rPr>
          <w:sz w:val="20"/>
          <w:szCs w:val="20"/>
        </w:rPr>
        <w:t xml:space="preserve"> (Ont.) (Criminal) (By Leave)</w:t>
      </w:r>
      <w:r w:rsidR="00423FCE">
        <w:rPr>
          <w:sz w:val="20"/>
          <w:szCs w:val="20"/>
        </w:rPr>
        <w:t xml:space="preserve"> </w:t>
      </w:r>
      <w:r w:rsidR="00423FCE" w:rsidRPr="0099255B">
        <w:rPr>
          <w:sz w:val="20"/>
        </w:rPr>
        <w:t>(</w:t>
      </w:r>
      <w:hyperlink r:id="rId10" w:history="1">
        <w:r w:rsidR="00423FCE" w:rsidRPr="0099255B">
          <w:rPr>
            <w:rStyle w:val="Hyperlink"/>
            <w:sz w:val="20"/>
          </w:rPr>
          <w:t>369</w:t>
        </w:r>
        <w:r w:rsidR="00423FCE">
          <w:rPr>
            <w:rStyle w:val="Hyperlink"/>
            <w:sz w:val="20"/>
          </w:rPr>
          <w:t>84</w:t>
        </w:r>
      </w:hyperlink>
      <w:r w:rsidR="00423FCE" w:rsidRPr="0099255B">
        <w:rPr>
          <w:sz w:val="20"/>
        </w:rPr>
        <w:t>)</w:t>
      </w:r>
    </w:p>
    <w:p w:rsidR="00420604" w:rsidRPr="00420604" w:rsidRDefault="00420604" w:rsidP="00420604">
      <w:pPr>
        <w:ind w:left="360" w:hanging="360"/>
        <w:rPr>
          <w:sz w:val="20"/>
          <w:lang w:val="en-CA"/>
        </w:rPr>
      </w:pPr>
    </w:p>
    <w:p w:rsidR="00420604" w:rsidRPr="00420604" w:rsidRDefault="00420604" w:rsidP="00420604">
      <w:pPr>
        <w:pStyle w:val="SCCAppellantInfoAppellantInfo"/>
        <w:numPr>
          <w:ilvl w:val="0"/>
          <w:numId w:val="46"/>
        </w:numPr>
        <w:ind w:left="360"/>
        <w:rPr>
          <w:sz w:val="20"/>
          <w:szCs w:val="20"/>
        </w:rPr>
      </w:pPr>
      <w:r w:rsidRPr="00420604">
        <w:rPr>
          <w:i/>
          <w:sz w:val="20"/>
          <w:szCs w:val="20"/>
        </w:rPr>
        <w:t>Martino Caputo v. Her Majesty the Queen</w:t>
      </w:r>
      <w:r w:rsidRPr="00420604">
        <w:rPr>
          <w:sz w:val="20"/>
          <w:szCs w:val="20"/>
        </w:rPr>
        <w:t xml:space="preserve"> (Ont.) (Criminal) (By Leave)</w:t>
      </w:r>
      <w:r w:rsidR="00810F07">
        <w:rPr>
          <w:sz w:val="20"/>
          <w:szCs w:val="20"/>
        </w:rPr>
        <w:t xml:space="preserve"> </w:t>
      </w:r>
      <w:r w:rsidR="00810F07" w:rsidRPr="0099255B">
        <w:rPr>
          <w:sz w:val="20"/>
        </w:rPr>
        <w:t>(</w:t>
      </w:r>
      <w:hyperlink r:id="rId11" w:history="1">
        <w:r w:rsidR="00810F07" w:rsidRPr="0099255B">
          <w:rPr>
            <w:rStyle w:val="Hyperlink"/>
            <w:sz w:val="20"/>
          </w:rPr>
          <w:t>369</w:t>
        </w:r>
        <w:r w:rsidR="00810F07">
          <w:rPr>
            <w:rStyle w:val="Hyperlink"/>
            <w:sz w:val="20"/>
          </w:rPr>
          <w:t>85</w:t>
        </w:r>
      </w:hyperlink>
      <w:r w:rsidR="00810F07" w:rsidRPr="0099255B">
        <w:rPr>
          <w:sz w:val="20"/>
        </w:rPr>
        <w:t>)</w:t>
      </w:r>
    </w:p>
    <w:p w:rsidR="00420604" w:rsidRPr="00420604" w:rsidRDefault="00420604" w:rsidP="00420604">
      <w:pPr>
        <w:ind w:left="360" w:hanging="360"/>
        <w:rPr>
          <w:sz w:val="20"/>
          <w:lang w:val="en-CA"/>
        </w:rPr>
      </w:pPr>
    </w:p>
    <w:p w:rsidR="00420604" w:rsidRPr="00420604" w:rsidRDefault="00420604" w:rsidP="00420604">
      <w:pPr>
        <w:pStyle w:val="SCCAppellantInfoAppellantInfo"/>
        <w:numPr>
          <w:ilvl w:val="0"/>
          <w:numId w:val="46"/>
        </w:numPr>
        <w:ind w:left="360"/>
        <w:rPr>
          <w:sz w:val="20"/>
          <w:szCs w:val="20"/>
        </w:rPr>
      </w:pPr>
      <w:r w:rsidRPr="00420604">
        <w:rPr>
          <w:i/>
          <w:sz w:val="20"/>
          <w:szCs w:val="20"/>
        </w:rPr>
        <w:t xml:space="preserve">E.U. et al. v. Children’s Aid Society of Toronto et al. </w:t>
      </w:r>
      <w:r w:rsidRPr="00420604">
        <w:rPr>
          <w:sz w:val="20"/>
          <w:szCs w:val="20"/>
        </w:rPr>
        <w:t>(Ont.) (Civil) (By Leave)</w:t>
      </w:r>
      <w:r w:rsidR="004C228F">
        <w:rPr>
          <w:sz w:val="20"/>
          <w:szCs w:val="20"/>
        </w:rPr>
        <w:t xml:space="preserve"> </w:t>
      </w:r>
      <w:r w:rsidR="004C228F" w:rsidRPr="0099255B">
        <w:rPr>
          <w:sz w:val="20"/>
        </w:rPr>
        <w:t>(</w:t>
      </w:r>
      <w:hyperlink r:id="rId12" w:history="1">
        <w:r w:rsidR="004C228F" w:rsidRPr="0099255B">
          <w:rPr>
            <w:rStyle w:val="Hyperlink"/>
            <w:sz w:val="20"/>
          </w:rPr>
          <w:t>369</w:t>
        </w:r>
        <w:r w:rsidR="004C228F">
          <w:rPr>
            <w:rStyle w:val="Hyperlink"/>
            <w:sz w:val="20"/>
          </w:rPr>
          <w:t>76</w:t>
        </w:r>
      </w:hyperlink>
      <w:r w:rsidR="004C228F" w:rsidRPr="0099255B">
        <w:rPr>
          <w:sz w:val="20"/>
        </w:rPr>
        <w:t>)</w:t>
      </w:r>
    </w:p>
    <w:p w:rsidR="00EE69B9" w:rsidRPr="00FD0A45" w:rsidRDefault="00EE69B9" w:rsidP="00FD0A45">
      <w:pPr>
        <w:widowControl w:val="0"/>
        <w:autoSpaceDE w:val="0"/>
        <w:autoSpaceDN w:val="0"/>
        <w:adjustRightInd w:val="0"/>
        <w:ind w:left="360" w:hanging="360"/>
        <w:jc w:val="both"/>
        <w:rPr>
          <w:rFonts w:eastAsiaTheme="minorEastAsia"/>
          <w:sz w:val="20"/>
          <w:lang w:val="en-CA" w:eastAsia="en-CA"/>
        </w:rPr>
      </w:pPr>
    </w:p>
    <w:p w:rsidR="002B61A8" w:rsidRPr="00FD0A45" w:rsidRDefault="002B61A8" w:rsidP="00FD0A45">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0A45" w:rsidRPr="00FD0A45" w:rsidTr="00E95A6A">
        <w:tc>
          <w:tcPr>
            <w:tcW w:w="543" w:type="pct"/>
          </w:tcPr>
          <w:p w:rsidR="00FD0A45" w:rsidRPr="00FD0A45" w:rsidRDefault="00FD0A45" w:rsidP="00FD0A45">
            <w:pPr>
              <w:jc w:val="both"/>
              <w:rPr>
                <w:sz w:val="20"/>
              </w:rPr>
            </w:pPr>
            <w:r w:rsidRPr="00FD0A45">
              <w:rPr>
                <w:rStyle w:val="SCCFileNumberChar"/>
                <w:sz w:val="20"/>
                <w:szCs w:val="20"/>
              </w:rPr>
              <w:t>36970</w:t>
            </w:r>
          </w:p>
        </w:tc>
        <w:tc>
          <w:tcPr>
            <w:tcW w:w="4457" w:type="pct"/>
            <w:gridSpan w:val="3"/>
          </w:tcPr>
          <w:p w:rsidR="00FD0A45" w:rsidRPr="00FD0A45" w:rsidRDefault="00FD0A45" w:rsidP="00FD0A45">
            <w:pPr>
              <w:pStyle w:val="SCCLsocParty"/>
              <w:jc w:val="both"/>
              <w:rPr>
                <w:b/>
                <w:sz w:val="20"/>
                <w:szCs w:val="20"/>
              </w:rPr>
            </w:pPr>
            <w:r w:rsidRPr="00FD0A45">
              <w:rPr>
                <w:b/>
                <w:sz w:val="20"/>
                <w:szCs w:val="20"/>
              </w:rPr>
              <w:t>Wayne Rodney Fedan v. Her Majesty the Queen</w:t>
            </w:r>
          </w:p>
          <w:p w:rsidR="00FD0A45" w:rsidRPr="00FD0A45" w:rsidRDefault="00FD0A45" w:rsidP="00FD0A45">
            <w:pPr>
              <w:jc w:val="both"/>
              <w:rPr>
                <w:sz w:val="20"/>
              </w:rPr>
            </w:pPr>
            <w:r w:rsidRPr="00FD0A45">
              <w:rPr>
                <w:sz w:val="20"/>
              </w:rPr>
              <w:t>(B.C.) (Criminal) (By Leave)</w:t>
            </w:r>
          </w:p>
        </w:tc>
      </w:tr>
      <w:tr w:rsidR="00FD0A45" w:rsidRPr="00FD0A45" w:rsidTr="00E95A6A">
        <w:tc>
          <w:tcPr>
            <w:tcW w:w="5000" w:type="pct"/>
            <w:gridSpan w:val="4"/>
          </w:tcPr>
          <w:p w:rsidR="00FD0A45" w:rsidRPr="00FD0A45" w:rsidRDefault="00FD0A45" w:rsidP="00FD0A45">
            <w:pPr>
              <w:jc w:val="both"/>
              <w:rPr>
                <w:sz w:val="20"/>
              </w:rPr>
            </w:pPr>
            <w:r w:rsidRPr="00FD0A45">
              <w:rPr>
                <w:i/>
                <w:sz w:val="20"/>
              </w:rPr>
              <w:t>Charter of Rights</w:t>
            </w:r>
            <w:r w:rsidRPr="00FD0A45">
              <w:rPr>
                <w:sz w:val="20"/>
              </w:rPr>
              <w:t xml:space="preserve"> – Search and Seizure – Remedy – </w:t>
            </w:r>
            <w:r w:rsidRPr="00FD0A45">
              <w:rPr>
                <w:iCs/>
                <w:sz w:val="20"/>
              </w:rPr>
              <w:t xml:space="preserve">Police obtained warrant authorizing forensic search and seizure of blood, DNA, fingerprints, personal effects and documentation in applicant’s vehicle relating to registration, insurance and maintenance logs – Warrant </w:t>
            </w:r>
            <w:r w:rsidRPr="00FD0A45">
              <w:rPr>
                <w:sz w:val="20"/>
              </w:rPr>
              <w:t xml:space="preserve">did not specify seizure of the manufacturer-installed sensing diagnostic module (SDM) embedded underneath the floor of the driver’s seat or a search of its data – Whether the applicant had a reasonable expectation of privacy in the SDM and its data – Whether applicant’s s. 8 </w:t>
            </w:r>
            <w:r w:rsidRPr="00FD0A45">
              <w:rPr>
                <w:i/>
                <w:iCs/>
                <w:sz w:val="20"/>
              </w:rPr>
              <w:t xml:space="preserve">Charter </w:t>
            </w:r>
            <w:r w:rsidRPr="00FD0A45">
              <w:rPr>
                <w:iCs/>
                <w:sz w:val="20"/>
              </w:rPr>
              <w:t xml:space="preserve">rights violated – Whether </w:t>
            </w:r>
            <w:r w:rsidRPr="00FD0A45">
              <w:rPr>
                <w:sz w:val="20"/>
              </w:rPr>
              <w:t xml:space="preserve">any evidence obtained in violation of the applicant’s s. 8 </w:t>
            </w:r>
            <w:r w:rsidRPr="00FD0A45">
              <w:rPr>
                <w:i/>
                <w:sz w:val="20"/>
              </w:rPr>
              <w:t>Charter</w:t>
            </w:r>
            <w:r w:rsidRPr="00FD0A45">
              <w:rPr>
                <w:sz w:val="20"/>
              </w:rPr>
              <w:t xml:space="preserve"> rights should be excluded pursuant to s. 24(2) of the </w:t>
            </w:r>
            <w:r w:rsidRPr="00FD0A45">
              <w:rPr>
                <w:i/>
                <w:iCs/>
                <w:sz w:val="20"/>
              </w:rPr>
              <w:t>Charter</w:t>
            </w:r>
            <w:r w:rsidRPr="00FD0A45">
              <w:rPr>
                <w:iCs/>
                <w:sz w:val="20"/>
              </w:rPr>
              <w:t xml:space="preserve"> – </w:t>
            </w:r>
            <w:r w:rsidRPr="00FD0A45">
              <w:rPr>
                <w:i/>
                <w:iCs/>
                <w:sz w:val="20"/>
              </w:rPr>
              <w:t>Charter of Rights and Freedoms</w:t>
            </w:r>
            <w:r w:rsidRPr="00FD0A45">
              <w:rPr>
                <w:iCs/>
                <w:sz w:val="20"/>
              </w:rPr>
              <w:t>, ss. 8 and 24(2).</w:t>
            </w:r>
          </w:p>
        </w:tc>
      </w:tr>
      <w:tr w:rsidR="00FD0A45" w:rsidRPr="00FD0A45" w:rsidTr="00E95A6A">
        <w:tc>
          <w:tcPr>
            <w:tcW w:w="5000" w:type="pct"/>
            <w:gridSpan w:val="4"/>
          </w:tcPr>
          <w:p w:rsidR="00FD0A45" w:rsidRPr="00FD0A45" w:rsidRDefault="00FD0A45" w:rsidP="00FD0A45">
            <w:pPr>
              <w:jc w:val="both"/>
              <w:rPr>
                <w:sz w:val="20"/>
              </w:rPr>
            </w:pPr>
          </w:p>
        </w:tc>
      </w:tr>
      <w:tr w:rsidR="00FD0A45" w:rsidRPr="00FD0A45" w:rsidTr="00FD0A45">
        <w:trPr>
          <w:trHeight w:val="2070"/>
        </w:trPr>
        <w:tc>
          <w:tcPr>
            <w:tcW w:w="5000" w:type="pct"/>
            <w:gridSpan w:val="4"/>
          </w:tcPr>
          <w:p w:rsidR="00FD0A45" w:rsidRPr="00FD0A45" w:rsidRDefault="00FD0A45" w:rsidP="00FD0A45">
            <w:pPr>
              <w:jc w:val="both"/>
              <w:rPr>
                <w:iCs/>
                <w:sz w:val="20"/>
              </w:rPr>
            </w:pPr>
            <w:r w:rsidRPr="00FD0A45">
              <w:rPr>
                <w:iCs/>
                <w:sz w:val="20"/>
              </w:rPr>
              <w:lastRenderedPageBreak/>
              <w:t>The applicant was the owner and operator of a pick-up truck involved in a single vehicle accident where two passengers died</w:t>
            </w:r>
            <w:r w:rsidRPr="00FD0A45">
              <w:rPr>
                <w:sz w:val="20"/>
              </w:rPr>
              <w:t>.</w:t>
            </w:r>
            <w:r w:rsidRPr="00FD0A45">
              <w:rPr>
                <w:iCs/>
                <w:sz w:val="20"/>
              </w:rPr>
              <w:t xml:space="preserve"> Following the accident, the applicant’s truck was lawfully seized without a warrant pursuant to s. 489(2) of the </w:t>
            </w:r>
            <w:r w:rsidRPr="00FD0A45">
              <w:rPr>
                <w:i/>
                <w:iCs/>
                <w:sz w:val="20"/>
              </w:rPr>
              <w:t>Criminal Code</w:t>
            </w:r>
            <w:r w:rsidRPr="00FD0A45">
              <w:rPr>
                <w:iCs/>
                <w:sz w:val="20"/>
              </w:rPr>
              <w:t xml:space="preserve">. Two days later, the police obtained a warrant to search the vehicle. </w:t>
            </w:r>
            <w:r w:rsidRPr="00FD0A45">
              <w:rPr>
                <w:sz w:val="20"/>
              </w:rPr>
              <w:t>It did not specify the seizure of the manufacturer-installed SDM embedded underneath the floor of the driver’s seat or a search of its data.</w:t>
            </w:r>
            <w:r w:rsidRPr="00FD0A45">
              <w:rPr>
                <w:iCs/>
                <w:sz w:val="20"/>
              </w:rPr>
              <w:t xml:space="preserve"> A </w:t>
            </w:r>
            <w:proofErr w:type="spellStart"/>
            <w:r w:rsidRPr="00FD0A45">
              <w:rPr>
                <w:i/>
                <w:iCs/>
                <w:sz w:val="20"/>
              </w:rPr>
              <w:t>voir</w:t>
            </w:r>
            <w:proofErr w:type="spellEnd"/>
            <w:r w:rsidRPr="00FD0A45">
              <w:rPr>
                <w:i/>
                <w:iCs/>
                <w:sz w:val="20"/>
              </w:rPr>
              <w:t xml:space="preserve"> dire</w:t>
            </w:r>
            <w:r w:rsidRPr="00FD0A45">
              <w:rPr>
                <w:iCs/>
                <w:sz w:val="20"/>
              </w:rPr>
              <w:t xml:space="preserve"> was held on the admissibility of the SDM data. The trial judge held that the applicant had no subjective expectation of privacy in the SDM data and; therefore, its warrantless seizure and search did not violate his s. 8 </w:t>
            </w:r>
            <w:r w:rsidRPr="00FD0A45">
              <w:rPr>
                <w:i/>
                <w:iCs/>
                <w:sz w:val="20"/>
              </w:rPr>
              <w:t>Charter</w:t>
            </w:r>
            <w:r w:rsidRPr="00FD0A45">
              <w:rPr>
                <w:iCs/>
                <w:sz w:val="20"/>
              </w:rPr>
              <w:t xml:space="preserve"> right. In the alternative, the trial judge would have admitted the evidence under s. 24(2) of the </w:t>
            </w:r>
            <w:r w:rsidRPr="00FD0A45">
              <w:rPr>
                <w:i/>
                <w:iCs/>
                <w:sz w:val="20"/>
              </w:rPr>
              <w:t>Charter</w:t>
            </w:r>
            <w:r w:rsidRPr="00FD0A45">
              <w:rPr>
                <w:iCs/>
                <w:sz w:val="20"/>
              </w:rPr>
              <w:t>. The applicant was convicted of two counts of dangerous driving causing death. The Court of Appeal dismissed the conviction appeal</w:t>
            </w:r>
          </w:p>
        </w:tc>
      </w:tr>
      <w:tr w:rsidR="00FD0A45" w:rsidRPr="00FD0A45" w:rsidTr="00E95A6A">
        <w:tc>
          <w:tcPr>
            <w:tcW w:w="5000" w:type="pct"/>
            <w:gridSpan w:val="4"/>
          </w:tcPr>
          <w:p w:rsidR="00FD0A45" w:rsidRPr="00FD0A45" w:rsidRDefault="00FD0A45" w:rsidP="00FD0A45">
            <w:pPr>
              <w:jc w:val="both"/>
              <w:rPr>
                <w:sz w:val="20"/>
              </w:rPr>
            </w:pPr>
          </w:p>
        </w:tc>
      </w:tr>
      <w:tr w:rsidR="00FD0A45" w:rsidRPr="00FD0A45" w:rsidTr="00E95A6A">
        <w:tc>
          <w:tcPr>
            <w:tcW w:w="2427" w:type="pct"/>
            <w:gridSpan w:val="2"/>
          </w:tcPr>
          <w:p w:rsidR="00FD0A45" w:rsidRPr="00FD0A45" w:rsidRDefault="00FD0A45" w:rsidP="00FD0A45">
            <w:pPr>
              <w:jc w:val="both"/>
              <w:rPr>
                <w:sz w:val="20"/>
              </w:rPr>
            </w:pPr>
            <w:r w:rsidRPr="00FD0A45">
              <w:rPr>
                <w:sz w:val="20"/>
              </w:rPr>
              <w:t>August 25, 2014</w:t>
            </w:r>
          </w:p>
          <w:p w:rsidR="00FD0A45" w:rsidRPr="00FD0A45" w:rsidRDefault="00FD0A45" w:rsidP="00FD0A45">
            <w:pPr>
              <w:jc w:val="both"/>
              <w:rPr>
                <w:sz w:val="20"/>
              </w:rPr>
            </w:pPr>
            <w:r w:rsidRPr="00FD0A45">
              <w:rPr>
                <w:sz w:val="20"/>
              </w:rPr>
              <w:t>Supreme Court of British Columbia</w:t>
            </w:r>
          </w:p>
          <w:p w:rsidR="00FD0A45" w:rsidRPr="00FD0A45" w:rsidRDefault="00FD0A45" w:rsidP="00FD0A45">
            <w:pPr>
              <w:jc w:val="both"/>
              <w:rPr>
                <w:sz w:val="20"/>
              </w:rPr>
            </w:pPr>
            <w:r w:rsidRPr="00FD0A45">
              <w:rPr>
                <w:sz w:val="20"/>
              </w:rPr>
              <w:t>(</w:t>
            </w:r>
            <w:proofErr w:type="spellStart"/>
            <w:r w:rsidRPr="00FD0A45">
              <w:rPr>
                <w:sz w:val="20"/>
              </w:rPr>
              <w:t>Kloegman</w:t>
            </w:r>
            <w:proofErr w:type="spellEnd"/>
            <w:r w:rsidRPr="00FD0A45">
              <w:rPr>
                <w:sz w:val="20"/>
              </w:rPr>
              <w:t xml:space="preserve"> J.)</w:t>
            </w:r>
          </w:p>
          <w:p w:rsidR="00FD0A45" w:rsidRPr="00FD0A45" w:rsidRDefault="00FD0A45" w:rsidP="00FD0A45">
            <w:pPr>
              <w:jc w:val="both"/>
              <w:rPr>
                <w:sz w:val="20"/>
              </w:rPr>
            </w:pPr>
            <w:r w:rsidRPr="00FD0A45">
              <w:rPr>
                <w:sz w:val="20"/>
              </w:rPr>
              <w:t>2014 BCSC 1716</w:t>
            </w:r>
          </w:p>
          <w:p w:rsidR="00FD0A45" w:rsidRPr="00FD0A45" w:rsidRDefault="00FD0A45" w:rsidP="00FD0A45">
            <w:pPr>
              <w:jc w:val="both"/>
              <w:rPr>
                <w:sz w:val="20"/>
              </w:rPr>
            </w:pPr>
            <w:hyperlink r:id="rId13" w:history="1">
              <w:r w:rsidRPr="00FD0A45">
                <w:rPr>
                  <w:rStyle w:val="Hyperlink"/>
                  <w:sz w:val="20"/>
                </w:rPr>
                <w:t>http://canlii.ca/t/g8z5v</w:t>
              </w:r>
            </w:hyperlink>
          </w:p>
          <w:p w:rsidR="00FD0A45" w:rsidRPr="00FD0A45" w:rsidRDefault="00FD0A45" w:rsidP="00FD0A45">
            <w:pPr>
              <w:jc w:val="both"/>
              <w:rPr>
                <w:sz w:val="20"/>
              </w:rPr>
            </w:pP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rPr>
            </w:pPr>
            <w:proofErr w:type="spellStart"/>
            <w:r w:rsidRPr="00FD0A45">
              <w:rPr>
                <w:i/>
                <w:sz w:val="20"/>
              </w:rPr>
              <w:t>Voir</w:t>
            </w:r>
            <w:proofErr w:type="spellEnd"/>
            <w:r w:rsidRPr="00FD0A45">
              <w:rPr>
                <w:i/>
                <w:sz w:val="20"/>
              </w:rPr>
              <w:t xml:space="preserve"> dire</w:t>
            </w:r>
            <w:r w:rsidRPr="00FD0A45">
              <w:rPr>
                <w:sz w:val="20"/>
              </w:rPr>
              <w:t xml:space="preserve"> ruling</w:t>
            </w:r>
          </w:p>
          <w:p w:rsidR="00FD0A45" w:rsidRPr="00FD0A45" w:rsidRDefault="00FD0A45" w:rsidP="00FD0A45">
            <w:pPr>
              <w:jc w:val="both"/>
              <w:rPr>
                <w:sz w:val="20"/>
              </w:rPr>
            </w:pPr>
          </w:p>
        </w:tc>
      </w:tr>
      <w:tr w:rsidR="00FD0A45" w:rsidRPr="00FD0A45" w:rsidTr="00E95A6A">
        <w:tc>
          <w:tcPr>
            <w:tcW w:w="2427" w:type="pct"/>
            <w:gridSpan w:val="2"/>
          </w:tcPr>
          <w:p w:rsidR="00FD0A45" w:rsidRPr="00FD0A45" w:rsidRDefault="00FD0A45" w:rsidP="00FD0A45">
            <w:pPr>
              <w:jc w:val="both"/>
              <w:rPr>
                <w:sz w:val="20"/>
              </w:rPr>
            </w:pPr>
            <w:r w:rsidRPr="00FD0A45">
              <w:rPr>
                <w:sz w:val="20"/>
              </w:rPr>
              <w:t>September 5, 2014</w:t>
            </w:r>
          </w:p>
          <w:p w:rsidR="00FD0A45" w:rsidRPr="00FD0A45" w:rsidRDefault="00FD0A45" w:rsidP="00FD0A45">
            <w:pPr>
              <w:jc w:val="both"/>
              <w:rPr>
                <w:sz w:val="20"/>
              </w:rPr>
            </w:pPr>
            <w:r w:rsidRPr="00FD0A45">
              <w:rPr>
                <w:sz w:val="20"/>
              </w:rPr>
              <w:t>Supreme Court of British Columbia</w:t>
            </w:r>
          </w:p>
          <w:p w:rsidR="00FD0A45" w:rsidRPr="00FD0A45" w:rsidRDefault="00FD0A45" w:rsidP="00FD0A45">
            <w:pPr>
              <w:jc w:val="both"/>
              <w:rPr>
                <w:sz w:val="20"/>
              </w:rPr>
            </w:pPr>
            <w:r w:rsidRPr="00FD0A45">
              <w:rPr>
                <w:sz w:val="20"/>
              </w:rPr>
              <w:t>(</w:t>
            </w:r>
            <w:proofErr w:type="spellStart"/>
            <w:r w:rsidRPr="00FD0A45">
              <w:rPr>
                <w:sz w:val="20"/>
              </w:rPr>
              <w:t>Kloegman</w:t>
            </w:r>
            <w:proofErr w:type="spellEnd"/>
            <w:r w:rsidRPr="00FD0A45">
              <w:rPr>
                <w:sz w:val="20"/>
              </w:rPr>
              <w:t xml:space="preserve"> J.)</w:t>
            </w:r>
          </w:p>
          <w:p w:rsidR="00FD0A45" w:rsidRPr="00FD0A45" w:rsidRDefault="00FD0A45" w:rsidP="00FD0A45">
            <w:pPr>
              <w:jc w:val="both"/>
              <w:rPr>
                <w:sz w:val="20"/>
              </w:rPr>
            </w:pPr>
            <w:r w:rsidRPr="00FD0A45">
              <w:rPr>
                <w:sz w:val="20"/>
              </w:rPr>
              <w:t>2014 BCSC 2527</w:t>
            </w:r>
          </w:p>
          <w:p w:rsidR="00FD0A45" w:rsidRPr="00FD0A45" w:rsidRDefault="00FD0A45" w:rsidP="00FD0A45">
            <w:pPr>
              <w:jc w:val="both"/>
              <w:rPr>
                <w:sz w:val="20"/>
              </w:rPr>
            </w:pPr>
            <w:hyperlink r:id="rId14" w:history="1">
              <w:r w:rsidRPr="00FD0A45">
                <w:rPr>
                  <w:rStyle w:val="Hyperlink"/>
                  <w:sz w:val="20"/>
                </w:rPr>
                <w:t>http://canlii.ca/t/gg1wz</w:t>
              </w:r>
            </w:hyperlink>
          </w:p>
          <w:p w:rsidR="00FD0A45" w:rsidRPr="00FD0A45" w:rsidRDefault="00FD0A45" w:rsidP="00FD0A45">
            <w:pPr>
              <w:jc w:val="both"/>
              <w:rPr>
                <w:sz w:val="20"/>
              </w:rPr>
            </w:pP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rPr>
            </w:pPr>
            <w:r w:rsidRPr="00FD0A45">
              <w:rPr>
                <w:sz w:val="20"/>
              </w:rPr>
              <w:t xml:space="preserve">Conviction: </w:t>
            </w:r>
            <w:r w:rsidRPr="00FD0A45">
              <w:rPr>
                <w:iCs/>
                <w:sz w:val="20"/>
              </w:rPr>
              <w:t>two counts of dangerous driving causing death</w:t>
            </w:r>
          </w:p>
          <w:p w:rsidR="00FD0A45" w:rsidRPr="00FD0A45" w:rsidRDefault="00FD0A45" w:rsidP="00FD0A45">
            <w:pPr>
              <w:jc w:val="both"/>
              <w:rPr>
                <w:sz w:val="20"/>
              </w:rPr>
            </w:pPr>
          </w:p>
        </w:tc>
      </w:tr>
      <w:tr w:rsidR="00FD0A45" w:rsidRPr="00FD0A45" w:rsidTr="00E95A6A">
        <w:tc>
          <w:tcPr>
            <w:tcW w:w="2427" w:type="pct"/>
            <w:gridSpan w:val="2"/>
          </w:tcPr>
          <w:p w:rsidR="00FD0A45" w:rsidRPr="00FD0A45" w:rsidRDefault="00FD0A45" w:rsidP="00FD0A45">
            <w:pPr>
              <w:jc w:val="both"/>
              <w:rPr>
                <w:sz w:val="20"/>
              </w:rPr>
            </w:pPr>
            <w:r w:rsidRPr="00FD0A45">
              <w:rPr>
                <w:sz w:val="20"/>
              </w:rPr>
              <w:t>January 25, 2016</w:t>
            </w:r>
          </w:p>
          <w:p w:rsidR="00FD0A45" w:rsidRPr="00FD0A45" w:rsidRDefault="00FD0A45" w:rsidP="00FD0A45">
            <w:pPr>
              <w:jc w:val="both"/>
              <w:rPr>
                <w:sz w:val="20"/>
              </w:rPr>
            </w:pPr>
            <w:r w:rsidRPr="00FD0A45">
              <w:rPr>
                <w:sz w:val="20"/>
              </w:rPr>
              <w:t xml:space="preserve">Court of Appeal for British Columbia </w:t>
            </w:r>
          </w:p>
          <w:p w:rsidR="00FD0A45" w:rsidRPr="00FD0A45" w:rsidRDefault="00FD0A45" w:rsidP="00FD0A45">
            <w:pPr>
              <w:jc w:val="both"/>
              <w:rPr>
                <w:sz w:val="20"/>
              </w:rPr>
            </w:pPr>
            <w:r w:rsidRPr="00FD0A45">
              <w:rPr>
                <w:sz w:val="20"/>
              </w:rPr>
              <w:t>(Vancouver)</w:t>
            </w:r>
          </w:p>
          <w:p w:rsidR="00FD0A45" w:rsidRPr="00FD0A45" w:rsidRDefault="00FD0A45" w:rsidP="00FD0A45">
            <w:pPr>
              <w:jc w:val="both"/>
              <w:rPr>
                <w:sz w:val="20"/>
              </w:rPr>
            </w:pPr>
            <w:r w:rsidRPr="00FD0A45">
              <w:rPr>
                <w:sz w:val="20"/>
              </w:rPr>
              <w:t>(Frankel, Smith, Savage JJ.A.)</w:t>
            </w:r>
          </w:p>
          <w:p w:rsidR="00FD0A45" w:rsidRPr="00FD0A45" w:rsidRDefault="00FD0A45" w:rsidP="00FD0A45">
            <w:pPr>
              <w:jc w:val="both"/>
              <w:rPr>
                <w:sz w:val="20"/>
              </w:rPr>
            </w:pPr>
            <w:r w:rsidRPr="00FD0A45">
              <w:rPr>
                <w:sz w:val="20"/>
              </w:rPr>
              <w:t>2016 BCCA 26; CA42318</w:t>
            </w:r>
          </w:p>
          <w:p w:rsidR="00FD0A45" w:rsidRPr="00FD0A45" w:rsidRDefault="00FD0A45" w:rsidP="00FD0A45">
            <w:pPr>
              <w:jc w:val="both"/>
              <w:rPr>
                <w:sz w:val="20"/>
              </w:rPr>
            </w:pPr>
            <w:hyperlink r:id="rId15" w:history="1">
              <w:r w:rsidRPr="00FD0A45">
                <w:rPr>
                  <w:rStyle w:val="Hyperlink"/>
                  <w:rFonts w:eastAsiaTheme="majorEastAsia"/>
                  <w:sz w:val="20"/>
                </w:rPr>
                <w:t>http://canlii.ca/t/gn22f</w:t>
              </w:r>
            </w:hyperlink>
          </w:p>
          <w:p w:rsidR="00FD0A45" w:rsidRPr="00FD0A45" w:rsidRDefault="00FD0A45" w:rsidP="00FD0A45">
            <w:pPr>
              <w:jc w:val="both"/>
              <w:rPr>
                <w:sz w:val="20"/>
              </w:rPr>
            </w:pP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rPr>
            </w:pPr>
            <w:r w:rsidRPr="00FD0A45">
              <w:rPr>
                <w:sz w:val="20"/>
              </w:rPr>
              <w:t>Appeal against conviction dismissed</w:t>
            </w:r>
          </w:p>
          <w:p w:rsidR="00FD0A45" w:rsidRPr="00FD0A45" w:rsidRDefault="00FD0A45" w:rsidP="00FD0A45">
            <w:pPr>
              <w:jc w:val="both"/>
              <w:rPr>
                <w:sz w:val="20"/>
              </w:rPr>
            </w:pPr>
          </w:p>
        </w:tc>
      </w:tr>
      <w:tr w:rsidR="00FD0A45" w:rsidRPr="00FD0A45" w:rsidTr="00E95A6A">
        <w:tc>
          <w:tcPr>
            <w:tcW w:w="2427" w:type="pct"/>
            <w:gridSpan w:val="2"/>
          </w:tcPr>
          <w:p w:rsidR="00FD0A45" w:rsidRPr="00FD0A45" w:rsidRDefault="00FD0A45" w:rsidP="00FD0A45">
            <w:pPr>
              <w:jc w:val="both"/>
              <w:rPr>
                <w:sz w:val="20"/>
              </w:rPr>
            </w:pPr>
            <w:r w:rsidRPr="00FD0A45">
              <w:rPr>
                <w:sz w:val="20"/>
              </w:rPr>
              <w:t>April 21, 2016</w:t>
            </w:r>
          </w:p>
          <w:p w:rsidR="00FD0A45" w:rsidRPr="00FD0A45" w:rsidRDefault="00FD0A45" w:rsidP="00FD0A45">
            <w:pPr>
              <w:jc w:val="both"/>
              <w:rPr>
                <w:sz w:val="20"/>
              </w:rPr>
            </w:pPr>
            <w:r w:rsidRPr="00FD0A45">
              <w:rPr>
                <w:sz w:val="20"/>
              </w:rPr>
              <w:t>Supreme Court of Canada</w:t>
            </w: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rPr>
            </w:pPr>
            <w:r w:rsidRPr="00FD0A45">
              <w:rPr>
                <w:sz w:val="20"/>
              </w:rPr>
              <w:t>Motion for an extension of time to serve and file the application for leave to appeal and application for leave to appeal filed</w:t>
            </w:r>
          </w:p>
        </w:tc>
      </w:tr>
    </w:tbl>
    <w:p w:rsidR="00FD0A45" w:rsidRDefault="00FD0A45" w:rsidP="00FD0A45">
      <w:pPr>
        <w:jc w:val="both"/>
        <w:rPr>
          <w:sz w:val="20"/>
        </w:rPr>
      </w:pPr>
    </w:p>
    <w:p w:rsidR="00FD0A45" w:rsidRPr="00FD0A45" w:rsidRDefault="00FD0A45" w:rsidP="00FD0A4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0A45" w:rsidRPr="00FD0A45" w:rsidTr="00E95A6A">
        <w:tc>
          <w:tcPr>
            <w:tcW w:w="543" w:type="pct"/>
          </w:tcPr>
          <w:p w:rsidR="00FD0A45" w:rsidRPr="00FD0A45" w:rsidRDefault="00FD0A45" w:rsidP="00FD0A45">
            <w:pPr>
              <w:jc w:val="both"/>
              <w:rPr>
                <w:sz w:val="20"/>
              </w:rPr>
            </w:pPr>
            <w:r w:rsidRPr="00FD0A45">
              <w:rPr>
                <w:rStyle w:val="SCCFileNumberChar"/>
                <w:sz w:val="20"/>
                <w:szCs w:val="20"/>
              </w:rPr>
              <w:t>36970</w:t>
            </w:r>
          </w:p>
        </w:tc>
        <w:tc>
          <w:tcPr>
            <w:tcW w:w="4457" w:type="pct"/>
            <w:gridSpan w:val="3"/>
          </w:tcPr>
          <w:p w:rsidR="00FD0A45" w:rsidRPr="00FD0A45" w:rsidRDefault="00FD0A45" w:rsidP="00FD0A45">
            <w:pPr>
              <w:pStyle w:val="SCCLsocParty"/>
              <w:jc w:val="both"/>
              <w:rPr>
                <w:b/>
                <w:sz w:val="20"/>
                <w:szCs w:val="20"/>
              </w:rPr>
            </w:pPr>
            <w:r w:rsidRPr="00FD0A45">
              <w:rPr>
                <w:b/>
                <w:sz w:val="20"/>
                <w:szCs w:val="20"/>
              </w:rPr>
              <w:t>Wayne Rodney Fedan c. Sa Majesté la Reine</w:t>
            </w:r>
          </w:p>
          <w:p w:rsidR="00FD0A45" w:rsidRPr="00FD0A45" w:rsidRDefault="00FD0A45" w:rsidP="00FD0A45">
            <w:pPr>
              <w:jc w:val="both"/>
              <w:rPr>
                <w:sz w:val="20"/>
                <w:lang w:val="fr-CA"/>
              </w:rPr>
            </w:pPr>
            <w:r w:rsidRPr="00FD0A45">
              <w:rPr>
                <w:sz w:val="20"/>
                <w:lang w:val="fr-CA"/>
              </w:rPr>
              <w:t>(C.-B.) (Criminelle) (Sur autorisation)</w:t>
            </w:r>
          </w:p>
        </w:tc>
      </w:tr>
      <w:tr w:rsidR="00FD0A45" w:rsidRPr="00FD0A45" w:rsidTr="00E95A6A">
        <w:tc>
          <w:tcPr>
            <w:tcW w:w="5000" w:type="pct"/>
            <w:gridSpan w:val="4"/>
          </w:tcPr>
          <w:p w:rsidR="00FD0A45" w:rsidRPr="00FD0A45" w:rsidRDefault="00FD0A45" w:rsidP="00FD0A45">
            <w:pPr>
              <w:jc w:val="both"/>
              <w:rPr>
                <w:sz w:val="20"/>
                <w:lang w:val="fr-CA"/>
              </w:rPr>
            </w:pPr>
            <w:r w:rsidRPr="00FD0A45">
              <w:rPr>
                <w:i/>
                <w:sz w:val="20"/>
                <w:lang w:val="fr-CA"/>
              </w:rPr>
              <w:t>Charte des droits</w:t>
            </w:r>
            <w:r w:rsidRPr="00FD0A45">
              <w:rPr>
                <w:sz w:val="20"/>
                <w:lang w:val="fr-CA"/>
              </w:rPr>
              <w:t xml:space="preserve"> – Fouilles, perquisitions et saisies – Réparation – Obtention par la police d’un mandat l’autorisant à utiliser des moyens criminalistiques pour prélever des échantillons de sang et d’ADN, des empreintes digitales et à saisir des effets personnels et de la </w:t>
            </w:r>
            <w:r w:rsidRPr="00FD0A45">
              <w:rPr>
                <w:iCs/>
                <w:sz w:val="20"/>
                <w:lang w:val="fr-CA"/>
              </w:rPr>
              <w:t xml:space="preserve">documentation relatifs à l’enregistrement, aux assurances et aux relevés d’entretien dans le véhicule du demandeur – Le mandat ne prévoyait pas explicitement la saisie du module de détection et de diagnostic (MDD) installé par le fabricant et inséré sous le plancher du siège du conducteur, ni la fouille des données qu’il contient </w:t>
            </w:r>
            <w:r w:rsidRPr="00FD0A45">
              <w:rPr>
                <w:sz w:val="20"/>
                <w:lang w:val="fr-CA"/>
              </w:rPr>
              <w:t xml:space="preserve">– Le demandeur avait-il une attente raisonnable en matière de vie privée à l’égard du MDD et de ses données? – Y a-t-il eu violation des droits garantis au demandeur par l’art. 8 de la </w:t>
            </w:r>
            <w:r w:rsidRPr="00FD0A45">
              <w:rPr>
                <w:i/>
                <w:iCs/>
                <w:sz w:val="20"/>
                <w:lang w:val="fr-CA"/>
              </w:rPr>
              <w:t>Charte</w:t>
            </w:r>
            <w:r w:rsidRPr="00FD0A45">
              <w:rPr>
                <w:iCs/>
                <w:sz w:val="20"/>
                <w:lang w:val="fr-CA"/>
              </w:rPr>
              <w:t xml:space="preserve">? – Tout élément de preuve obtenu en violation des droits garantis au demandeur par l’art. 8 de la </w:t>
            </w:r>
            <w:r w:rsidRPr="00FD0A45">
              <w:rPr>
                <w:i/>
                <w:sz w:val="20"/>
                <w:lang w:val="fr-CA"/>
              </w:rPr>
              <w:t>Charte</w:t>
            </w:r>
            <w:r w:rsidRPr="00FD0A45">
              <w:rPr>
                <w:sz w:val="20"/>
                <w:lang w:val="fr-CA"/>
              </w:rPr>
              <w:t xml:space="preserve"> doit-il être exclu en application du par. 24(2) de la </w:t>
            </w:r>
            <w:r w:rsidRPr="00FD0A45">
              <w:rPr>
                <w:i/>
                <w:iCs/>
                <w:sz w:val="20"/>
                <w:lang w:val="fr-CA"/>
              </w:rPr>
              <w:t>Charte</w:t>
            </w:r>
            <w:r w:rsidRPr="00FD0A45">
              <w:rPr>
                <w:iCs/>
                <w:sz w:val="20"/>
                <w:lang w:val="fr-CA"/>
              </w:rPr>
              <w:t xml:space="preserve">? – </w:t>
            </w:r>
            <w:r w:rsidRPr="00FD0A45">
              <w:rPr>
                <w:i/>
                <w:iCs/>
                <w:sz w:val="20"/>
                <w:lang w:val="fr-CA"/>
              </w:rPr>
              <w:t>Charte des droits et libertés</w:t>
            </w:r>
            <w:r w:rsidRPr="00FD0A45">
              <w:rPr>
                <w:iCs/>
                <w:sz w:val="20"/>
                <w:lang w:val="fr-CA"/>
              </w:rPr>
              <w:t>, art. 8 et 24(2).</w:t>
            </w:r>
          </w:p>
        </w:tc>
      </w:tr>
      <w:tr w:rsidR="00FD0A45" w:rsidRPr="00FD0A45" w:rsidTr="00E95A6A">
        <w:tc>
          <w:tcPr>
            <w:tcW w:w="5000" w:type="pct"/>
            <w:gridSpan w:val="4"/>
          </w:tcPr>
          <w:p w:rsidR="00FD0A45" w:rsidRPr="00FD0A45" w:rsidRDefault="00FD0A45" w:rsidP="00FD0A45">
            <w:pPr>
              <w:jc w:val="both"/>
              <w:rPr>
                <w:sz w:val="20"/>
                <w:lang w:val="fr-CA"/>
              </w:rPr>
            </w:pPr>
          </w:p>
        </w:tc>
      </w:tr>
      <w:tr w:rsidR="00FD0A45" w:rsidRPr="00FD0A45" w:rsidTr="00FD0A45">
        <w:trPr>
          <w:trHeight w:val="2340"/>
        </w:trPr>
        <w:tc>
          <w:tcPr>
            <w:tcW w:w="5000" w:type="pct"/>
            <w:gridSpan w:val="4"/>
          </w:tcPr>
          <w:p w:rsidR="00FD0A45" w:rsidRPr="00FD0A45" w:rsidRDefault="00FD0A45" w:rsidP="00FD0A45">
            <w:pPr>
              <w:jc w:val="both"/>
              <w:rPr>
                <w:iCs/>
                <w:sz w:val="20"/>
                <w:lang w:val="fr-CA"/>
              </w:rPr>
            </w:pPr>
            <w:r w:rsidRPr="00FD0A45">
              <w:rPr>
                <w:iCs/>
                <w:sz w:val="20"/>
                <w:lang w:val="fr-CA"/>
              </w:rPr>
              <w:lastRenderedPageBreak/>
              <w:t xml:space="preserve">Le demandeur était le propriétaire et le conducteur d’une camionnette, le seul véhicule impliqué dans un accident au cours duquel deux passagers sont morts. Après l’accident, la camionnette du demandeur a été légalement saisie sans mandat en vertu du par. 489(2) du </w:t>
            </w:r>
            <w:r w:rsidRPr="00FD0A45">
              <w:rPr>
                <w:i/>
                <w:iCs/>
                <w:sz w:val="20"/>
                <w:lang w:val="fr-CA"/>
              </w:rPr>
              <w:t>Code criminel</w:t>
            </w:r>
            <w:r w:rsidRPr="00FD0A45">
              <w:rPr>
                <w:iCs/>
                <w:sz w:val="20"/>
                <w:lang w:val="fr-CA"/>
              </w:rPr>
              <w:t xml:space="preserve">. Deux jours plus tard, les policiers ont obtenu un mandat pour fouiller le véhicule. Ce mandat n’autorisait pas expressément la saisie du MDD installé par le fabricant et inséré sous le plancher du siège du conducteur, ni la fouille des données qu’il contient. Il y a eu un voir dire sur l’admissibilité des données du MDD. La juge du procès a conclu que le demandeur n’avait aucune attente subjective en matière de vie privée à l’égard de ces données; par conséquent, leur saisie et leur fouille sans mandat ne violaient pas le droit que lui garantit l’art. 8 de la </w:t>
            </w:r>
            <w:r w:rsidRPr="00FD0A45">
              <w:rPr>
                <w:i/>
                <w:iCs/>
                <w:sz w:val="20"/>
                <w:lang w:val="fr-CA"/>
              </w:rPr>
              <w:t>Charte</w:t>
            </w:r>
            <w:r w:rsidRPr="00FD0A45">
              <w:rPr>
                <w:iCs/>
                <w:sz w:val="20"/>
                <w:lang w:val="fr-CA"/>
              </w:rPr>
              <w:t xml:space="preserve">. À titre subsidiaire, la juge du procès aurait admis la preuve au titre du par. 24(2) de la </w:t>
            </w:r>
            <w:r w:rsidRPr="00FD0A45">
              <w:rPr>
                <w:i/>
                <w:iCs/>
                <w:sz w:val="20"/>
                <w:lang w:val="fr-CA"/>
              </w:rPr>
              <w:t>Charte</w:t>
            </w:r>
            <w:r w:rsidRPr="00FD0A45">
              <w:rPr>
                <w:iCs/>
                <w:sz w:val="20"/>
                <w:lang w:val="fr-CA"/>
              </w:rPr>
              <w:t>. Le demandeur a été reconnu coupable de deux chefs de conduite dangereuse ayant causé la mort. La Cour d’appel a rejeté l’appel formé contre la déclaration de culpabilité.</w:t>
            </w:r>
          </w:p>
        </w:tc>
      </w:tr>
      <w:tr w:rsidR="00FD0A45" w:rsidRPr="00FD0A45" w:rsidTr="00E95A6A">
        <w:tc>
          <w:tcPr>
            <w:tcW w:w="5000" w:type="pct"/>
            <w:gridSpan w:val="4"/>
          </w:tcPr>
          <w:p w:rsidR="00FD0A45" w:rsidRPr="00FD0A45" w:rsidRDefault="00FD0A45" w:rsidP="00FD0A45">
            <w:pPr>
              <w:jc w:val="both"/>
              <w:rPr>
                <w:sz w:val="20"/>
                <w:lang w:val="fr-CA"/>
              </w:rPr>
            </w:pPr>
          </w:p>
        </w:tc>
      </w:tr>
      <w:tr w:rsidR="00FD0A45" w:rsidRPr="00FD0A45" w:rsidTr="00E95A6A">
        <w:tc>
          <w:tcPr>
            <w:tcW w:w="2427" w:type="pct"/>
            <w:gridSpan w:val="2"/>
          </w:tcPr>
          <w:p w:rsidR="00FD0A45" w:rsidRPr="00FD0A45" w:rsidRDefault="00FD0A45" w:rsidP="00FD0A45">
            <w:pPr>
              <w:jc w:val="both"/>
              <w:rPr>
                <w:sz w:val="20"/>
                <w:lang w:val="fr-CA"/>
              </w:rPr>
            </w:pPr>
            <w:r w:rsidRPr="00FD0A45">
              <w:rPr>
                <w:sz w:val="20"/>
                <w:lang w:val="fr-CA"/>
              </w:rPr>
              <w:t>25 août 2014</w:t>
            </w:r>
          </w:p>
          <w:p w:rsidR="00FD0A45" w:rsidRPr="00FD0A45" w:rsidRDefault="00FD0A45" w:rsidP="00FD0A45">
            <w:pPr>
              <w:jc w:val="both"/>
              <w:rPr>
                <w:sz w:val="20"/>
                <w:lang w:val="fr-CA"/>
              </w:rPr>
            </w:pPr>
            <w:r w:rsidRPr="00FD0A45">
              <w:rPr>
                <w:sz w:val="20"/>
                <w:lang w:val="fr-CA"/>
              </w:rPr>
              <w:t>Cour suprême de la Colombie-Britannique</w:t>
            </w:r>
          </w:p>
          <w:p w:rsidR="00FD0A45" w:rsidRPr="00FD0A45" w:rsidRDefault="00FD0A45" w:rsidP="00FD0A45">
            <w:pPr>
              <w:jc w:val="both"/>
              <w:rPr>
                <w:sz w:val="20"/>
              </w:rPr>
            </w:pPr>
            <w:r w:rsidRPr="00FD0A45">
              <w:rPr>
                <w:sz w:val="20"/>
              </w:rPr>
              <w:t>(Juge Kloegman)</w:t>
            </w:r>
          </w:p>
          <w:p w:rsidR="00FD0A45" w:rsidRPr="00FD0A45" w:rsidRDefault="00FD0A45" w:rsidP="00FD0A45">
            <w:pPr>
              <w:jc w:val="both"/>
              <w:rPr>
                <w:sz w:val="20"/>
              </w:rPr>
            </w:pPr>
            <w:r w:rsidRPr="00FD0A45">
              <w:rPr>
                <w:sz w:val="20"/>
              </w:rPr>
              <w:t>2014 BCSC 1716</w:t>
            </w:r>
          </w:p>
          <w:p w:rsidR="00FD0A45" w:rsidRPr="00FD0A45" w:rsidRDefault="00FD0A45" w:rsidP="00FD0A45">
            <w:pPr>
              <w:jc w:val="both"/>
              <w:rPr>
                <w:sz w:val="20"/>
              </w:rPr>
            </w:pPr>
            <w:hyperlink r:id="rId16" w:history="1">
              <w:r w:rsidRPr="00FD0A45">
                <w:rPr>
                  <w:rStyle w:val="Hyperlink"/>
                  <w:sz w:val="20"/>
                </w:rPr>
                <w:t>http://canlii.ca/t/g8z5v</w:t>
              </w:r>
            </w:hyperlink>
          </w:p>
          <w:p w:rsidR="00FD0A45" w:rsidRPr="00FD0A45" w:rsidRDefault="00FD0A45" w:rsidP="00FD0A45">
            <w:pPr>
              <w:jc w:val="both"/>
              <w:rPr>
                <w:sz w:val="20"/>
              </w:rPr>
            </w:pP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lang w:val="fr-CA"/>
              </w:rPr>
            </w:pPr>
            <w:r w:rsidRPr="00FD0A45">
              <w:rPr>
                <w:sz w:val="20"/>
                <w:lang w:val="fr-CA"/>
              </w:rPr>
              <w:t>Décision rendue à l’issue d’un voir dire</w:t>
            </w:r>
          </w:p>
          <w:p w:rsidR="00FD0A45" w:rsidRPr="00FD0A45" w:rsidRDefault="00FD0A45" w:rsidP="00FD0A45">
            <w:pPr>
              <w:jc w:val="both"/>
              <w:rPr>
                <w:sz w:val="20"/>
                <w:lang w:val="fr-CA"/>
              </w:rPr>
            </w:pPr>
          </w:p>
        </w:tc>
      </w:tr>
      <w:tr w:rsidR="00FD0A45" w:rsidRPr="00FD0A45" w:rsidTr="00E95A6A">
        <w:tc>
          <w:tcPr>
            <w:tcW w:w="2427" w:type="pct"/>
            <w:gridSpan w:val="2"/>
          </w:tcPr>
          <w:p w:rsidR="00FD0A45" w:rsidRPr="00FD0A45" w:rsidRDefault="00FD0A45" w:rsidP="00FD0A45">
            <w:pPr>
              <w:jc w:val="both"/>
              <w:rPr>
                <w:sz w:val="20"/>
                <w:lang w:val="fr-CA"/>
              </w:rPr>
            </w:pPr>
            <w:r w:rsidRPr="00FD0A45">
              <w:rPr>
                <w:sz w:val="20"/>
                <w:lang w:val="fr-CA"/>
              </w:rPr>
              <w:t>5 septembre 2014</w:t>
            </w:r>
          </w:p>
          <w:p w:rsidR="00FD0A45" w:rsidRPr="00FD0A45" w:rsidRDefault="00FD0A45" w:rsidP="00FD0A45">
            <w:pPr>
              <w:jc w:val="both"/>
              <w:rPr>
                <w:sz w:val="20"/>
                <w:lang w:val="fr-CA"/>
              </w:rPr>
            </w:pPr>
            <w:r w:rsidRPr="00FD0A45">
              <w:rPr>
                <w:sz w:val="20"/>
                <w:lang w:val="fr-CA"/>
              </w:rPr>
              <w:t>Cour suprême de la Colombie-Britannique</w:t>
            </w:r>
          </w:p>
          <w:p w:rsidR="00FD0A45" w:rsidRPr="00FD0A45" w:rsidRDefault="00FD0A45" w:rsidP="00FD0A45">
            <w:pPr>
              <w:jc w:val="both"/>
              <w:rPr>
                <w:sz w:val="20"/>
              </w:rPr>
            </w:pPr>
            <w:r w:rsidRPr="00FD0A45">
              <w:rPr>
                <w:sz w:val="20"/>
              </w:rPr>
              <w:t>(Juge Kloegman)</w:t>
            </w:r>
          </w:p>
          <w:p w:rsidR="00FD0A45" w:rsidRPr="00FD0A45" w:rsidRDefault="00FD0A45" w:rsidP="00FD0A45">
            <w:pPr>
              <w:jc w:val="both"/>
              <w:rPr>
                <w:sz w:val="20"/>
              </w:rPr>
            </w:pPr>
            <w:r w:rsidRPr="00FD0A45">
              <w:rPr>
                <w:sz w:val="20"/>
              </w:rPr>
              <w:t>2014 BCSC 2527</w:t>
            </w:r>
          </w:p>
          <w:p w:rsidR="00FD0A45" w:rsidRPr="00FD0A45" w:rsidRDefault="00FD0A45" w:rsidP="00FD0A45">
            <w:pPr>
              <w:jc w:val="both"/>
              <w:rPr>
                <w:sz w:val="20"/>
              </w:rPr>
            </w:pPr>
            <w:hyperlink r:id="rId17" w:history="1">
              <w:r w:rsidRPr="00FD0A45">
                <w:rPr>
                  <w:rStyle w:val="Hyperlink"/>
                  <w:sz w:val="20"/>
                </w:rPr>
                <w:t>http://canlii.ca/t/gg1wz</w:t>
              </w:r>
            </w:hyperlink>
          </w:p>
          <w:p w:rsidR="00FD0A45" w:rsidRPr="00FD0A45" w:rsidRDefault="00FD0A45" w:rsidP="00FD0A45">
            <w:pPr>
              <w:jc w:val="both"/>
              <w:rPr>
                <w:sz w:val="20"/>
              </w:rPr>
            </w:pP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lang w:val="fr-CA"/>
              </w:rPr>
            </w:pPr>
            <w:r w:rsidRPr="00FD0A45">
              <w:rPr>
                <w:sz w:val="20"/>
                <w:lang w:val="fr-CA"/>
              </w:rPr>
              <w:t>Déclaration de culpabilité pour deux chefs de conduite dangereuse ayant causé la mort</w:t>
            </w:r>
          </w:p>
          <w:p w:rsidR="00FD0A45" w:rsidRPr="00FD0A45" w:rsidRDefault="00FD0A45" w:rsidP="00FD0A45">
            <w:pPr>
              <w:jc w:val="both"/>
              <w:rPr>
                <w:sz w:val="20"/>
                <w:lang w:val="fr-CA"/>
              </w:rPr>
            </w:pPr>
          </w:p>
        </w:tc>
      </w:tr>
      <w:tr w:rsidR="00FD0A45" w:rsidRPr="00FD0A45" w:rsidTr="00E95A6A">
        <w:tc>
          <w:tcPr>
            <w:tcW w:w="2427" w:type="pct"/>
            <w:gridSpan w:val="2"/>
          </w:tcPr>
          <w:p w:rsidR="00FD0A45" w:rsidRPr="00FD0A45" w:rsidRDefault="00FD0A45" w:rsidP="00FD0A45">
            <w:pPr>
              <w:jc w:val="both"/>
              <w:rPr>
                <w:sz w:val="20"/>
                <w:lang w:val="fr-CA"/>
              </w:rPr>
            </w:pPr>
            <w:r w:rsidRPr="00FD0A45">
              <w:rPr>
                <w:sz w:val="20"/>
                <w:lang w:val="fr-CA"/>
              </w:rPr>
              <w:t>25 janvier 2016</w:t>
            </w:r>
          </w:p>
          <w:p w:rsidR="00FD0A45" w:rsidRPr="00FD0A45" w:rsidRDefault="00FD0A45" w:rsidP="00FD0A45">
            <w:pPr>
              <w:jc w:val="both"/>
              <w:rPr>
                <w:sz w:val="20"/>
                <w:lang w:val="fr-CA"/>
              </w:rPr>
            </w:pPr>
            <w:r w:rsidRPr="00FD0A45">
              <w:rPr>
                <w:sz w:val="20"/>
                <w:lang w:val="fr-CA"/>
              </w:rPr>
              <w:t xml:space="preserve">Cour d’appel de la Colombie-Britannique </w:t>
            </w:r>
          </w:p>
          <w:p w:rsidR="00FD0A45" w:rsidRPr="00FD0A45" w:rsidRDefault="00FD0A45" w:rsidP="00FD0A45">
            <w:pPr>
              <w:jc w:val="both"/>
              <w:rPr>
                <w:sz w:val="20"/>
                <w:lang w:val="fr-CA"/>
              </w:rPr>
            </w:pPr>
            <w:r w:rsidRPr="00FD0A45">
              <w:rPr>
                <w:sz w:val="20"/>
                <w:lang w:val="fr-CA"/>
              </w:rPr>
              <w:t>(Vancouver)</w:t>
            </w:r>
          </w:p>
          <w:p w:rsidR="00FD0A45" w:rsidRPr="00FD0A45" w:rsidRDefault="00FD0A45" w:rsidP="00FD0A45">
            <w:pPr>
              <w:jc w:val="both"/>
              <w:rPr>
                <w:sz w:val="20"/>
                <w:lang w:val="fr-CA"/>
              </w:rPr>
            </w:pPr>
            <w:r w:rsidRPr="00FD0A45">
              <w:rPr>
                <w:sz w:val="20"/>
                <w:lang w:val="fr-CA"/>
              </w:rPr>
              <w:t xml:space="preserve">(Juges </w:t>
            </w:r>
            <w:proofErr w:type="spellStart"/>
            <w:r w:rsidRPr="00FD0A45">
              <w:rPr>
                <w:sz w:val="20"/>
                <w:lang w:val="fr-CA"/>
              </w:rPr>
              <w:t>Frankel</w:t>
            </w:r>
            <w:proofErr w:type="spellEnd"/>
            <w:r w:rsidRPr="00FD0A45">
              <w:rPr>
                <w:sz w:val="20"/>
                <w:lang w:val="fr-CA"/>
              </w:rPr>
              <w:t>, Smith et Savage)</w:t>
            </w:r>
          </w:p>
          <w:p w:rsidR="00FD0A45" w:rsidRPr="00FD0A45" w:rsidRDefault="00FD0A45" w:rsidP="00FD0A45">
            <w:pPr>
              <w:jc w:val="both"/>
              <w:rPr>
                <w:sz w:val="20"/>
              </w:rPr>
            </w:pPr>
            <w:r w:rsidRPr="00FD0A45">
              <w:rPr>
                <w:sz w:val="20"/>
              </w:rPr>
              <w:t>2016 BCCA 26; CA42318</w:t>
            </w:r>
          </w:p>
          <w:p w:rsidR="00FD0A45" w:rsidRPr="00FD0A45" w:rsidRDefault="00FD0A45" w:rsidP="00FD0A45">
            <w:pPr>
              <w:jc w:val="both"/>
              <w:rPr>
                <w:sz w:val="20"/>
              </w:rPr>
            </w:pPr>
            <w:hyperlink r:id="rId18" w:history="1">
              <w:r w:rsidRPr="00FD0A45">
                <w:rPr>
                  <w:rStyle w:val="Hyperlink"/>
                  <w:rFonts w:eastAsiaTheme="majorEastAsia"/>
                  <w:sz w:val="20"/>
                </w:rPr>
                <w:t>http://canlii.ca/t/gn22f</w:t>
              </w:r>
            </w:hyperlink>
          </w:p>
          <w:p w:rsidR="00FD0A45" w:rsidRPr="00FD0A45" w:rsidRDefault="00FD0A45" w:rsidP="00FD0A45">
            <w:pPr>
              <w:jc w:val="both"/>
              <w:rPr>
                <w:sz w:val="20"/>
              </w:rPr>
            </w:pP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lang w:val="fr-CA"/>
              </w:rPr>
            </w:pPr>
            <w:r w:rsidRPr="00FD0A45">
              <w:rPr>
                <w:sz w:val="20"/>
                <w:lang w:val="fr-CA"/>
              </w:rPr>
              <w:t>Rejet de l’appel formé contre la déclaration de culpabilité</w:t>
            </w:r>
          </w:p>
          <w:p w:rsidR="00FD0A45" w:rsidRPr="00FD0A45" w:rsidRDefault="00FD0A45" w:rsidP="00FD0A45">
            <w:pPr>
              <w:jc w:val="both"/>
              <w:rPr>
                <w:sz w:val="20"/>
                <w:lang w:val="fr-CA"/>
              </w:rPr>
            </w:pPr>
          </w:p>
        </w:tc>
      </w:tr>
      <w:tr w:rsidR="00FD0A45" w:rsidRPr="00FD0A45" w:rsidTr="00E95A6A">
        <w:tc>
          <w:tcPr>
            <w:tcW w:w="2427" w:type="pct"/>
            <w:gridSpan w:val="2"/>
          </w:tcPr>
          <w:p w:rsidR="00FD0A45" w:rsidRPr="00FD0A45" w:rsidRDefault="00FD0A45" w:rsidP="00FD0A45">
            <w:pPr>
              <w:jc w:val="both"/>
              <w:rPr>
                <w:sz w:val="20"/>
              </w:rPr>
            </w:pPr>
            <w:r w:rsidRPr="00FD0A45">
              <w:rPr>
                <w:sz w:val="20"/>
              </w:rPr>
              <w:t xml:space="preserve">21 </w:t>
            </w:r>
            <w:proofErr w:type="spellStart"/>
            <w:r w:rsidRPr="00FD0A45">
              <w:rPr>
                <w:sz w:val="20"/>
              </w:rPr>
              <w:t>avril</w:t>
            </w:r>
            <w:proofErr w:type="spellEnd"/>
            <w:r w:rsidRPr="00FD0A45">
              <w:rPr>
                <w:sz w:val="20"/>
              </w:rPr>
              <w:t xml:space="preserve"> 2016</w:t>
            </w:r>
          </w:p>
          <w:p w:rsidR="00FD0A45" w:rsidRPr="00FD0A45" w:rsidRDefault="00FD0A45" w:rsidP="00FD0A45">
            <w:pPr>
              <w:jc w:val="both"/>
              <w:rPr>
                <w:sz w:val="20"/>
              </w:rPr>
            </w:pPr>
            <w:proofErr w:type="spellStart"/>
            <w:r w:rsidRPr="00FD0A45">
              <w:rPr>
                <w:sz w:val="20"/>
              </w:rPr>
              <w:t>Cour</w:t>
            </w:r>
            <w:proofErr w:type="spellEnd"/>
            <w:r w:rsidRPr="00FD0A45">
              <w:rPr>
                <w:sz w:val="20"/>
              </w:rPr>
              <w:t xml:space="preserve"> </w:t>
            </w:r>
            <w:proofErr w:type="spellStart"/>
            <w:r w:rsidRPr="00FD0A45">
              <w:rPr>
                <w:sz w:val="20"/>
              </w:rPr>
              <w:t>suprême</w:t>
            </w:r>
            <w:proofErr w:type="spellEnd"/>
            <w:r w:rsidRPr="00FD0A45">
              <w:rPr>
                <w:sz w:val="20"/>
              </w:rPr>
              <w:t xml:space="preserve"> du Canada</w:t>
            </w:r>
          </w:p>
        </w:tc>
        <w:tc>
          <w:tcPr>
            <w:tcW w:w="243" w:type="pct"/>
          </w:tcPr>
          <w:p w:rsidR="00FD0A45" w:rsidRPr="00FD0A45" w:rsidRDefault="00FD0A45" w:rsidP="00FD0A45">
            <w:pPr>
              <w:jc w:val="both"/>
              <w:rPr>
                <w:sz w:val="20"/>
              </w:rPr>
            </w:pPr>
          </w:p>
        </w:tc>
        <w:tc>
          <w:tcPr>
            <w:tcW w:w="2330" w:type="pct"/>
          </w:tcPr>
          <w:p w:rsidR="00FD0A45" w:rsidRPr="00FD0A45" w:rsidRDefault="00FD0A45" w:rsidP="00FD0A45">
            <w:pPr>
              <w:jc w:val="both"/>
              <w:rPr>
                <w:sz w:val="20"/>
                <w:lang w:val="fr-CA"/>
              </w:rPr>
            </w:pPr>
            <w:r w:rsidRPr="00FD0A45">
              <w:rPr>
                <w:sz w:val="20"/>
                <w:lang w:val="fr-CA"/>
              </w:rPr>
              <w:t xml:space="preserve">Dépôt de la requête en prorogation du délai pour signifier et déposer la demande d’autorisation d’appel et de la demande d’autorisation d’appel </w:t>
            </w:r>
          </w:p>
        </w:tc>
      </w:tr>
    </w:tbl>
    <w:p w:rsidR="00FD0A45" w:rsidRPr="00FD0A45" w:rsidRDefault="00FD0A45" w:rsidP="00FD0A45">
      <w:pPr>
        <w:jc w:val="both"/>
        <w:rPr>
          <w:sz w:val="20"/>
          <w:lang w:val="fr-CA"/>
        </w:rPr>
      </w:pPr>
    </w:p>
    <w:p w:rsidR="00684CAA" w:rsidRPr="00BF386F" w:rsidRDefault="00684CAA" w:rsidP="00BF386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86F" w:rsidRPr="00BF386F" w:rsidTr="00E95A6A">
        <w:tc>
          <w:tcPr>
            <w:tcW w:w="543" w:type="pct"/>
          </w:tcPr>
          <w:p w:rsidR="00BF386F" w:rsidRPr="00BF386F" w:rsidRDefault="00BF386F" w:rsidP="00BF386F">
            <w:pPr>
              <w:jc w:val="both"/>
              <w:rPr>
                <w:sz w:val="20"/>
              </w:rPr>
            </w:pPr>
            <w:r w:rsidRPr="00BF386F">
              <w:rPr>
                <w:rStyle w:val="SCCFileNumberChar"/>
                <w:sz w:val="20"/>
                <w:szCs w:val="20"/>
              </w:rPr>
              <w:t>36999</w:t>
            </w:r>
          </w:p>
        </w:tc>
        <w:tc>
          <w:tcPr>
            <w:tcW w:w="4457" w:type="pct"/>
            <w:gridSpan w:val="3"/>
          </w:tcPr>
          <w:p w:rsidR="00BF386F" w:rsidRPr="00BF386F" w:rsidRDefault="00BF386F" w:rsidP="00BF386F">
            <w:pPr>
              <w:pStyle w:val="SCCLsocParty"/>
              <w:jc w:val="both"/>
              <w:rPr>
                <w:b/>
                <w:sz w:val="20"/>
                <w:szCs w:val="20"/>
              </w:rPr>
            </w:pPr>
            <w:r w:rsidRPr="00BF386F">
              <w:rPr>
                <w:b/>
                <w:sz w:val="20"/>
                <w:szCs w:val="20"/>
              </w:rPr>
              <w:t>The Corporation of the City of Nelson v. Mary Geraldine Mowatt, Earl Wayne Mowatt</w:t>
            </w:r>
          </w:p>
          <w:p w:rsidR="00BF386F" w:rsidRPr="00BF386F" w:rsidRDefault="00BF386F" w:rsidP="00BF386F">
            <w:pPr>
              <w:jc w:val="both"/>
              <w:rPr>
                <w:sz w:val="20"/>
              </w:rPr>
            </w:pPr>
            <w:r w:rsidRPr="00BF386F">
              <w:rPr>
                <w:sz w:val="20"/>
              </w:rPr>
              <w:t>(B.C.) (Civil) (By Leave)</w:t>
            </w:r>
          </w:p>
        </w:tc>
      </w:tr>
      <w:tr w:rsidR="00BF386F" w:rsidRPr="00BF386F" w:rsidTr="00E95A6A">
        <w:tc>
          <w:tcPr>
            <w:tcW w:w="5000" w:type="pct"/>
            <w:gridSpan w:val="4"/>
          </w:tcPr>
          <w:p w:rsidR="00BF386F" w:rsidRPr="00BF386F" w:rsidRDefault="00BF386F" w:rsidP="00BF386F">
            <w:pPr>
              <w:jc w:val="both"/>
              <w:rPr>
                <w:sz w:val="20"/>
              </w:rPr>
            </w:pPr>
            <w:r w:rsidRPr="00BF386F">
              <w:rPr>
                <w:sz w:val="20"/>
              </w:rPr>
              <w:t xml:space="preserve">Property – Real property – Acquisition of title by way of adverse possession – Whether, as a matter of law, a distinct approach to the exercise of the fact-finding function is required for claims involving facts alleged to have occurred at a time beyond living memory? – Whether the doctrine of “inconsistent use” is part of the law of adverse possession in Canada? – Whether s. 20 of the </w:t>
            </w:r>
            <w:r w:rsidRPr="00BF386F">
              <w:rPr>
                <w:i/>
                <w:sz w:val="20"/>
              </w:rPr>
              <w:t>Land Title Act</w:t>
            </w:r>
            <w:r w:rsidRPr="00BF386F">
              <w:rPr>
                <w:sz w:val="20"/>
              </w:rPr>
              <w:t xml:space="preserve"> precludes the transfer of title other than in accordance with the legislation? – </w:t>
            </w:r>
            <w:r w:rsidRPr="00BF386F">
              <w:rPr>
                <w:i/>
                <w:sz w:val="20"/>
              </w:rPr>
              <w:t>Land Title Act</w:t>
            </w:r>
            <w:r w:rsidRPr="00BF386F">
              <w:rPr>
                <w:sz w:val="20"/>
              </w:rPr>
              <w:t xml:space="preserve">, </w:t>
            </w:r>
            <w:hyperlink r:id="rId19" w:history="1">
              <w:r w:rsidRPr="00BF386F">
                <w:rPr>
                  <w:color w:val="151515"/>
                  <w:sz w:val="20"/>
                </w:rPr>
                <w:t>R.S.B.C. 1996 c. 250</w:t>
              </w:r>
            </w:hyperlink>
            <w:r w:rsidRPr="00BF386F">
              <w:rPr>
                <w:color w:val="151515"/>
                <w:sz w:val="20"/>
              </w:rPr>
              <w:t>, s. 20.</w:t>
            </w:r>
          </w:p>
        </w:tc>
      </w:tr>
      <w:tr w:rsidR="00BF386F" w:rsidRPr="00BF386F" w:rsidTr="00E95A6A">
        <w:tc>
          <w:tcPr>
            <w:tcW w:w="5000" w:type="pct"/>
            <w:gridSpan w:val="4"/>
          </w:tcPr>
          <w:p w:rsidR="00BF386F" w:rsidRPr="00BF386F" w:rsidRDefault="00BF386F" w:rsidP="00BF386F">
            <w:pPr>
              <w:jc w:val="both"/>
              <w:rPr>
                <w:sz w:val="20"/>
              </w:rPr>
            </w:pPr>
          </w:p>
        </w:tc>
      </w:tr>
      <w:tr w:rsidR="00BF386F" w:rsidRPr="00BF386F" w:rsidTr="00E95A6A">
        <w:tc>
          <w:tcPr>
            <w:tcW w:w="5000" w:type="pct"/>
            <w:gridSpan w:val="4"/>
          </w:tcPr>
          <w:p w:rsidR="00BF386F" w:rsidRPr="00BF386F" w:rsidRDefault="00BF386F" w:rsidP="00BF386F">
            <w:pPr>
              <w:jc w:val="both"/>
              <w:rPr>
                <w:sz w:val="20"/>
              </w:rPr>
            </w:pPr>
            <w:r w:rsidRPr="00BF386F">
              <w:rPr>
                <w:sz w:val="20"/>
              </w:rPr>
              <w:t xml:space="preserve">Mrs. Mary Geraldine </w:t>
            </w:r>
            <w:proofErr w:type="spellStart"/>
            <w:r w:rsidRPr="00BF386F">
              <w:rPr>
                <w:sz w:val="20"/>
              </w:rPr>
              <w:t>Mowatt</w:t>
            </w:r>
            <w:proofErr w:type="spellEnd"/>
            <w:r w:rsidRPr="00BF386F">
              <w:rPr>
                <w:sz w:val="20"/>
              </w:rPr>
              <w:t xml:space="preserve"> and Mr. Earl Wayne </w:t>
            </w:r>
            <w:proofErr w:type="spellStart"/>
            <w:r w:rsidRPr="00BF386F">
              <w:rPr>
                <w:sz w:val="20"/>
              </w:rPr>
              <w:t>Mowatt</w:t>
            </w:r>
            <w:proofErr w:type="spellEnd"/>
            <w:r w:rsidRPr="00BF386F">
              <w:rPr>
                <w:sz w:val="20"/>
              </w:rPr>
              <w:t xml:space="preserve">, the respondents, live at properties bearing the civil addresses 1112 and 1114 Beatty St. in the City of Nelson, Province of British Columbia. They claim to have purchased both lots at the same time in 1992 from the former owner, Ms. Marquis. The Applicant, the City of Nelson, however, took the view that the lot bearing the civil address 1114 Beatty St. is a municipal road allowance and contends </w:t>
            </w:r>
            <w:r w:rsidRPr="00BF386F">
              <w:rPr>
                <w:color w:val="151515"/>
                <w:sz w:val="20"/>
              </w:rPr>
              <w:t xml:space="preserve">that it was escheated to the Crown after the dissolution of the land company that had owned it pursuant s. 3A of the </w:t>
            </w:r>
            <w:r w:rsidRPr="00BF386F">
              <w:rPr>
                <w:i/>
                <w:color w:val="151515"/>
                <w:sz w:val="20"/>
              </w:rPr>
              <w:t>Escheat Act</w:t>
            </w:r>
            <w:r w:rsidRPr="00BF386F">
              <w:rPr>
                <w:color w:val="151515"/>
                <w:sz w:val="20"/>
              </w:rPr>
              <w:t>, R.S.B.C. 1924, c. 81, as amended by S.B.C. 1929, c. 23, s. 2 in 1930-31</w:t>
            </w:r>
            <w:r w:rsidRPr="00BF386F">
              <w:rPr>
                <w:sz w:val="20"/>
              </w:rPr>
              <w:t>. In the past, the City had directed Mrs. and Mr. </w:t>
            </w:r>
            <w:proofErr w:type="spellStart"/>
            <w:r w:rsidRPr="00BF386F">
              <w:rPr>
                <w:sz w:val="20"/>
              </w:rPr>
              <w:t>Mowatt</w:t>
            </w:r>
            <w:proofErr w:type="spellEnd"/>
            <w:r w:rsidRPr="00BF386F">
              <w:rPr>
                <w:sz w:val="20"/>
              </w:rPr>
              <w:t>, and the former owner, to remove their buildings from the lot because it was City land. In order to clarify their title to the land, Mrs. and Mr. </w:t>
            </w:r>
            <w:proofErr w:type="spellStart"/>
            <w:r w:rsidRPr="00BF386F">
              <w:rPr>
                <w:sz w:val="20"/>
              </w:rPr>
              <w:t>Mowatt</w:t>
            </w:r>
            <w:proofErr w:type="spellEnd"/>
            <w:r w:rsidRPr="00BF386F">
              <w:rPr>
                <w:sz w:val="20"/>
              </w:rPr>
              <w:t xml:space="preserve"> took a petition seeking a judicial investigation of the disputed lot under the </w:t>
            </w:r>
            <w:r w:rsidRPr="00BF386F">
              <w:rPr>
                <w:i/>
                <w:sz w:val="20"/>
              </w:rPr>
              <w:t>Land Title Inquiry Act</w:t>
            </w:r>
            <w:r w:rsidRPr="00BF386F">
              <w:rPr>
                <w:sz w:val="20"/>
              </w:rPr>
              <w:t>, R.S.B.C. 1996, c. 251, a declaration that they were the owners of the lot in fee simple in possession and an order that they had established good, safe-holding and marketable title in fee simple.</w:t>
            </w:r>
          </w:p>
          <w:p w:rsidR="00BF386F" w:rsidRPr="00BF386F" w:rsidRDefault="00BF386F" w:rsidP="00BF386F">
            <w:pPr>
              <w:jc w:val="both"/>
              <w:rPr>
                <w:sz w:val="20"/>
              </w:rPr>
            </w:pPr>
          </w:p>
        </w:tc>
      </w:tr>
      <w:tr w:rsidR="00BF386F" w:rsidRPr="00BF386F" w:rsidTr="00E95A6A">
        <w:tc>
          <w:tcPr>
            <w:tcW w:w="2427" w:type="pct"/>
            <w:gridSpan w:val="2"/>
          </w:tcPr>
          <w:p w:rsidR="00BF386F" w:rsidRPr="00BF386F" w:rsidRDefault="00BF386F" w:rsidP="00BF386F">
            <w:pPr>
              <w:jc w:val="both"/>
              <w:rPr>
                <w:sz w:val="20"/>
              </w:rPr>
            </w:pPr>
            <w:r w:rsidRPr="00BF386F">
              <w:rPr>
                <w:sz w:val="20"/>
              </w:rPr>
              <w:t>June 4, 2014</w:t>
            </w:r>
          </w:p>
          <w:p w:rsidR="00BF386F" w:rsidRPr="00BF386F" w:rsidRDefault="00BF386F" w:rsidP="00BF386F">
            <w:pPr>
              <w:jc w:val="both"/>
              <w:rPr>
                <w:sz w:val="20"/>
              </w:rPr>
            </w:pPr>
            <w:r w:rsidRPr="00BF386F">
              <w:rPr>
                <w:sz w:val="20"/>
              </w:rPr>
              <w:t>Supreme Court of British Columbia</w:t>
            </w:r>
          </w:p>
          <w:p w:rsidR="00BF386F" w:rsidRPr="00BF386F" w:rsidRDefault="00BF386F" w:rsidP="00BF386F">
            <w:pPr>
              <w:jc w:val="both"/>
              <w:rPr>
                <w:sz w:val="20"/>
              </w:rPr>
            </w:pPr>
            <w:r w:rsidRPr="00BF386F">
              <w:rPr>
                <w:sz w:val="20"/>
              </w:rPr>
              <w:t>(Kelleher J.)</w:t>
            </w:r>
          </w:p>
          <w:p w:rsidR="00BF386F" w:rsidRPr="00BF386F" w:rsidRDefault="00BF386F" w:rsidP="00BF386F">
            <w:pPr>
              <w:jc w:val="both"/>
              <w:rPr>
                <w:sz w:val="20"/>
              </w:rPr>
            </w:pPr>
            <w:hyperlink r:id="rId20" w:history="1">
              <w:r w:rsidRPr="00BF386F">
                <w:rPr>
                  <w:rStyle w:val="Hyperlink"/>
                  <w:sz w:val="20"/>
                </w:rPr>
                <w:t>2014 BCSC 988</w:t>
              </w:r>
            </w:hyperlink>
          </w:p>
          <w:p w:rsidR="00BF386F" w:rsidRPr="00BF386F" w:rsidRDefault="00BF386F" w:rsidP="00BF386F">
            <w:pPr>
              <w:jc w:val="both"/>
              <w:rPr>
                <w:sz w:val="20"/>
              </w:rPr>
            </w:pPr>
          </w:p>
        </w:tc>
        <w:tc>
          <w:tcPr>
            <w:tcW w:w="243" w:type="pct"/>
          </w:tcPr>
          <w:p w:rsidR="00BF386F" w:rsidRPr="00BF386F" w:rsidRDefault="00BF386F" w:rsidP="00BF386F">
            <w:pPr>
              <w:jc w:val="both"/>
              <w:rPr>
                <w:sz w:val="20"/>
              </w:rPr>
            </w:pPr>
          </w:p>
        </w:tc>
        <w:tc>
          <w:tcPr>
            <w:tcW w:w="2330" w:type="pct"/>
          </w:tcPr>
          <w:p w:rsidR="00BF386F" w:rsidRPr="00BF386F" w:rsidRDefault="00BF386F" w:rsidP="00BF386F">
            <w:pPr>
              <w:jc w:val="both"/>
              <w:rPr>
                <w:sz w:val="20"/>
              </w:rPr>
            </w:pPr>
            <w:r w:rsidRPr="00BF386F">
              <w:rPr>
                <w:sz w:val="20"/>
              </w:rPr>
              <w:t xml:space="preserve">Judgment: petitioners can produce further evidence. </w:t>
            </w:r>
          </w:p>
        </w:tc>
      </w:tr>
      <w:tr w:rsidR="00BF386F" w:rsidRPr="00BF386F" w:rsidTr="00E95A6A">
        <w:tc>
          <w:tcPr>
            <w:tcW w:w="2427" w:type="pct"/>
            <w:gridSpan w:val="2"/>
          </w:tcPr>
          <w:p w:rsidR="00BF386F" w:rsidRPr="00BF386F" w:rsidRDefault="00BF386F" w:rsidP="00BF386F">
            <w:pPr>
              <w:jc w:val="both"/>
              <w:rPr>
                <w:sz w:val="20"/>
              </w:rPr>
            </w:pPr>
            <w:r w:rsidRPr="00BF386F">
              <w:rPr>
                <w:sz w:val="20"/>
              </w:rPr>
              <w:t>November 27, 2014</w:t>
            </w:r>
          </w:p>
          <w:p w:rsidR="00BF386F" w:rsidRPr="00BF386F" w:rsidRDefault="00BF386F" w:rsidP="00BF386F">
            <w:pPr>
              <w:jc w:val="both"/>
              <w:rPr>
                <w:sz w:val="20"/>
              </w:rPr>
            </w:pPr>
            <w:r w:rsidRPr="00BF386F">
              <w:rPr>
                <w:sz w:val="20"/>
              </w:rPr>
              <w:t>Supreme Court of British Columbia</w:t>
            </w:r>
          </w:p>
          <w:p w:rsidR="00BF386F" w:rsidRPr="00BF386F" w:rsidRDefault="00BF386F" w:rsidP="00BF386F">
            <w:pPr>
              <w:jc w:val="both"/>
              <w:rPr>
                <w:sz w:val="20"/>
              </w:rPr>
            </w:pPr>
            <w:r w:rsidRPr="00BF386F">
              <w:rPr>
                <w:sz w:val="20"/>
              </w:rPr>
              <w:t>(Kelleher J.)</w:t>
            </w:r>
          </w:p>
          <w:p w:rsidR="00BF386F" w:rsidRPr="00BF386F" w:rsidRDefault="00BF386F" w:rsidP="00BF386F">
            <w:pPr>
              <w:jc w:val="both"/>
              <w:rPr>
                <w:sz w:val="20"/>
              </w:rPr>
            </w:pPr>
            <w:hyperlink r:id="rId21" w:history="1">
              <w:r w:rsidRPr="00BF386F">
                <w:rPr>
                  <w:rStyle w:val="Hyperlink"/>
                  <w:sz w:val="20"/>
                </w:rPr>
                <w:t>2014 BCSC 2219</w:t>
              </w:r>
            </w:hyperlink>
          </w:p>
          <w:p w:rsidR="00BF386F" w:rsidRPr="00BF386F" w:rsidRDefault="00BF386F" w:rsidP="00BF386F">
            <w:pPr>
              <w:jc w:val="both"/>
              <w:rPr>
                <w:sz w:val="20"/>
              </w:rPr>
            </w:pPr>
          </w:p>
        </w:tc>
        <w:tc>
          <w:tcPr>
            <w:tcW w:w="243" w:type="pct"/>
          </w:tcPr>
          <w:p w:rsidR="00BF386F" w:rsidRPr="00BF386F" w:rsidRDefault="00BF386F" w:rsidP="00BF386F">
            <w:pPr>
              <w:jc w:val="both"/>
              <w:rPr>
                <w:sz w:val="20"/>
              </w:rPr>
            </w:pPr>
          </w:p>
        </w:tc>
        <w:tc>
          <w:tcPr>
            <w:tcW w:w="2330" w:type="pct"/>
          </w:tcPr>
          <w:p w:rsidR="00BF386F" w:rsidRPr="00BF386F" w:rsidRDefault="00BF386F" w:rsidP="00BF386F">
            <w:pPr>
              <w:jc w:val="both"/>
              <w:rPr>
                <w:sz w:val="20"/>
              </w:rPr>
            </w:pPr>
            <w:r w:rsidRPr="00BF386F">
              <w:rPr>
                <w:sz w:val="20"/>
              </w:rPr>
              <w:t xml:space="preserve">Petition seeking a declaration of title dismissed; </w:t>
            </w:r>
          </w:p>
          <w:p w:rsidR="00BF386F" w:rsidRPr="00BF386F" w:rsidRDefault="00BF386F" w:rsidP="00BF386F">
            <w:pPr>
              <w:jc w:val="both"/>
              <w:rPr>
                <w:sz w:val="20"/>
              </w:rPr>
            </w:pPr>
            <w:r w:rsidRPr="00BF386F">
              <w:rPr>
                <w:sz w:val="20"/>
              </w:rPr>
              <w:t>Summary trial application granted.</w:t>
            </w:r>
          </w:p>
        </w:tc>
      </w:tr>
      <w:tr w:rsidR="00BF386F" w:rsidRPr="00BF386F" w:rsidTr="00E95A6A">
        <w:tc>
          <w:tcPr>
            <w:tcW w:w="2427" w:type="pct"/>
            <w:gridSpan w:val="2"/>
          </w:tcPr>
          <w:p w:rsidR="00BF386F" w:rsidRPr="00BF386F" w:rsidRDefault="00BF386F" w:rsidP="00BF386F">
            <w:pPr>
              <w:jc w:val="both"/>
              <w:rPr>
                <w:sz w:val="20"/>
              </w:rPr>
            </w:pPr>
            <w:r w:rsidRPr="00BF386F">
              <w:rPr>
                <w:sz w:val="20"/>
              </w:rPr>
              <w:t>March 10, 2016</w:t>
            </w:r>
          </w:p>
          <w:p w:rsidR="00BF386F" w:rsidRPr="00BF386F" w:rsidRDefault="00BF386F" w:rsidP="00BF386F">
            <w:pPr>
              <w:jc w:val="both"/>
              <w:rPr>
                <w:sz w:val="20"/>
              </w:rPr>
            </w:pPr>
            <w:r w:rsidRPr="00BF386F">
              <w:rPr>
                <w:sz w:val="20"/>
              </w:rPr>
              <w:t xml:space="preserve">Court of Appeal for British Columbia </w:t>
            </w:r>
          </w:p>
          <w:p w:rsidR="00BF386F" w:rsidRPr="00BF386F" w:rsidRDefault="00BF386F" w:rsidP="00BF386F">
            <w:pPr>
              <w:jc w:val="both"/>
              <w:rPr>
                <w:sz w:val="20"/>
              </w:rPr>
            </w:pPr>
            <w:r w:rsidRPr="00BF386F">
              <w:rPr>
                <w:sz w:val="20"/>
              </w:rPr>
              <w:t>(Vancouver)</w:t>
            </w:r>
          </w:p>
          <w:p w:rsidR="00BF386F" w:rsidRPr="00BF386F" w:rsidRDefault="00BF386F" w:rsidP="00BF386F">
            <w:pPr>
              <w:jc w:val="both"/>
              <w:rPr>
                <w:sz w:val="20"/>
              </w:rPr>
            </w:pPr>
            <w:r w:rsidRPr="00BF386F">
              <w:rPr>
                <w:sz w:val="20"/>
              </w:rPr>
              <w:t xml:space="preserve">(Saunders, </w:t>
            </w:r>
            <w:proofErr w:type="spellStart"/>
            <w:r w:rsidRPr="00BF386F">
              <w:rPr>
                <w:sz w:val="20"/>
              </w:rPr>
              <w:t>Chiasson</w:t>
            </w:r>
            <w:proofErr w:type="spellEnd"/>
            <w:r w:rsidRPr="00BF386F">
              <w:rPr>
                <w:sz w:val="20"/>
              </w:rPr>
              <w:t xml:space="preserve"> and Harris JJ.A.)</w:t>
            </w:r>
          </w:p>
          <w:p w:rsidR="00BF386F" w:rsidRPr="00BF386F" w:rsidRDefault="00BF386F" w:rsidP="00BF386F">
            <w:pPr>
              <w:jc w:val="both"/>
              <w:rPr>
                <w:sz w:val="20"/>
              </w:rPr>
            </w:pPr>
            <w:hyperlink r:id="rId22" w:history="1">
              <w:r w:rsidRPr="00BF386F">
                <w:rPr>
                  <w:rStyle w:val="Hyperlink"/>
                  <w:sz w:val="20"/>
                </w:rPr>
                <w:t>2016 BCCA 113</w:t>
              </w:r>
            </w:hyperlink>
          </w:p>
          <w:p w:rsidR="00BF386F" w:rsidRPr="00BF386F" w:rsidRDefault="00BF386F" w:rsidP="00BF386F">
            <w:pPr>
              <w:jc w:val="both"/>
              <w:rPr>
                <w:sz w:val="20"/>
              </w:rPr>
            </w:pPr>
          </w:p>
        </w:tc>
        <w:tc>
          <w:tcPr>
            <w:tcW w:w="243" w:type="pct"/>
          </w:tcPr>
          <w:p w:rsidR="00BF386F" w:rsidRPr="00BF386F" w:rsidRDefault="00BF386F" w:rsidP="00BF386F">
            <w:pPr>
              <w:jc w:val="both"/>
              <w:rPr>
                <w:sz w:val="20"/>
              </w:rPr>
            </w:pPr>
          </w:p>
        </w:tc>
        <w:tc>
          <w:tcPr>
            <w:tcW w:w="2330" w:type="pct"/>
          </w:tcPr>
          <w:p w:rsidR="00BF386F" w:rsidRPr="00BF386F" w:rsidRDefault="00BF386F" w:rsidP="00BF386F">
            <w:pPr>
              <w:jc w:val="both"/>
              <w:rPr>
                <w:sz w:val="20"/>
              </w:rPr>
            </w:pPr>
            <w:r w:rsidRPr="00BF386F">
              <w:rPr>
                <w:sz w:val="20"/>
              </w:rPr>
              <w:t>Appeal on petition granted;</w:t>
            </w:r>
          </w:p>
          <w:p w:rsidR="00BF386F" w:rsidRPr="00BF386F" w:rsidRDefault="00BF386F" w:rsidP="00BF386F">
            <w:pPr>
              <w:jc w:val="both"/>
              <w:rPr>
                <w:sz w:val="20"/>
              </w:rPr>
            </w:pPr>
            <w:r w:rsidRPr="00BF386F">
              <w:rPr>
                <w:sz w:val="20"/>
              </w:rPr>
              <w:t>Appeal on summary trial application granted.</w:t>
            </w:r>
          </w:p>
          <w:p w:rsidR="00BF386F" w:rsidRPr="00BF386F" w:rsidRDefault="00BF386F" w:rsidP="00BF386F">
            <w:pPr>
              <w:jc w:val="both"/>
              <w:rPr>
                <w:sz w:val="20"/>
              </w:rPr>
            </w:pPr>
          </w:p>
        </w:tc>
      </w:tr>
      <w:tr w:rsidR="00BF386F" w:rsidRPr="00BF386F" w:rsidTr="00E95A6A">
        <w:tc>
          <w:tcPr>
            <w:tcW w:w="2427" w:type="pct"/>
            <w:gridSpan w:val="2"/>
          </w:tcPr>
          <w:p w:rsidR="00BF386F" w:rsidRPr="00BF386F" w:rsidRDefault="00BF386F" w:rsidP="00BF386F">
            <w:pPr>
              <w:jc w:val="both"/>
              <w:rPr>
                <w:sz w:val="20"/>
              </w:rPr>
            </w:pPr>
            <w:r w:rsidRPr="00BF386F">
              <w:rPr>
                <w:sz w:val="20"/>
              </w:rPr>
              <w:t>May 6, 2016</w:t>
            </w:r>
          </w:p>
          <w:p w:rsidR="00BF386F" w:rsidRPr="00BF386F" w:rsidRDefault="00BF386F" w:rsidP="00BF386F">
            <w:pPr>
              <w:jc w:val="both"/>
              <w:rPr>
                <w:sz w:val="20"/>
              </w:rPr>
            </w:pPr>
            <w:r w:rsidRPr="00BF386F">
              <w:rPr>
                <w:sz w:val="20"/>
              </w:rPr>
              <w:t>Supreme Court of Canada</w:t>
            </w:r>
          </w:p>
        </w:tc>
        <w:tc>
          <w:tcPr>
            <w:tcW w:w="243" w:type="pct"/>
          </w:tcPr>
          <w:p w:rsidR="00BF386F" w:rsidRPr="00BF386F" w:rsidRDefault="00BF386F" w:rsidP="00BF386F">
            <w:pPr>
              <w:jc w:val="both"/>
              <w:rPr>
                <w:sz w:val="20"/>
              </w:rPr>
            </w:pPr>
          </w:p>
        </w:tc>
        <w:tc>
          <w:tcPr>
            <w:tcW w:w="2330" w:type="pct"/>
          </w:tcPr>
          <w:p w:rsidR="00BF386F" w:rsidRPr="00BF386F" w:rsidRDefault="00BF386F" w:rsidP="00BF386F">
            <w:pPr>
              <w:jc w:val="both"/>
              <w:rPr>
                <w:sz w:val="20"/>
              </w:rPr>
            </w:pPr>
            <w:r w:rsidRPr="00BF386F">
              <w:rPr>
                <w:sz w:val="20"/>
              </w:rPr>
              <w:t>Motion to expedite application for leave to appeal and application for leave to appeal filed.</w:t>
            </w:r>
          </w:p>
        </w:tc>
      </w:tr>
    </w:tbl>
    <w:p w:rsidR="00BF386F" w:rsidRDefault="00BF386F" w:rsidP="00BF386F">
      <w:pPr>
        <w:jc w:val="both"/>
        <w:rPr>
          <w:sz w:val="20"/>
        </w:rPr>
      </w:pPr>
    </w:p>
    <w:p w:rsidR="00BF386F" w:rsidRPr="00BF386F" w:rsidRDefault="00BF386F" w:rsidP="00BF38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386F" w:rsidRPr="00BF386F" w:rsidTr="00E95A6A">
        <w:tc>
          <w:tcPr>
            <w:tcW w:w="543" w:type="pct"/>
          </w:tcPr>
          <w:p w:rsidR="00BF386F" w:rsidRPr="00BF386F" w:rsidRDefault="00BF386F" w:rsidP="00BF386F">
            <w:pPr>
              <w:jc w:val="both"/>
              <w:rPr>
                <w:sz w:val="20"/>
                <w:lang w:val="fr-CA"/>
              </w:rPr>
            </w:pPr>
            <w:r w:rsidRPr="00BF386F">
              <w:rPr>
                <w:rStyle w:val="SCCFileNumberChar"/>
                <w:sz w:val="20"/>
                <w:szCs w:val="20"/>
                <w:lang w:val="fr-CA"/>
              </w:rPr>
              <w:t>36999</w:t>
            </w:r>
          </w:p>
        </w:tc>
        <w:tc>
          <w:tcPr>
            <w:tcW w:w="4457" w:type="pct"/>
            <w:gridSpan w:val="3"/>
          </w:tcPr>
          <w:p w:rsidR="00BF386F" w:rsidRPr="00BF386F" w:rsidRDefault="00BF386F" w:rsidP="00BF386F">
            <w:pPr>
              <w:pStyle w:val="SCCLsocParty"/>
              <w:jc w:val="both"/>
              <w:rPr>
                <w:b/>
                <w:sz w:val="20"/>
                <w:szCs w:val="20"/>
                <w:lang w:val="en-US"/>
              </w:rPr>
            </w:pPr>
            <w:r w:rsidRPr="00BF386F">
              <w:rPr>
                <w:b/>
                <w:sz w:val="20"/>
                <w:szCs w:val="20"/>
                <w:lang w:val="en-US"/>
              </w:rPr>
              <w:t xml:space="preserve">The Corporation of the City of Nelson c. Mary Geraldine </w:t>
            </w:r>
            <w:proofErr w:type="spellStart"/>
            <w:r w:rsidRPr="00BF386F">
              <w:rPr>
                <w:b/>
                <w:sz w:val="20"/>
                <w:szCs w:val="20"/>
                <w:lang w:val="en-US"/>
              </w:rPr>
              <w:t>Mowatt</w:t>
            </w:r>
            <w:proofErr w:type="spellEnd"/>
            <w:r w:rsidRPr="00BF386F">
              <w:rPr>
                <w:b/>
                <w:sz w:val="20"/>
                <w:szCs w:val="20"/>
                <w:lang w:val="en-US"/>
              </w:rPr>
              <w:t xml:space="preserve">, Earl Wayne </w:t>
            </w:r>
            <w:proofErr w:type="spellStart"/>
            <w:r w:rsidRPr="00BF386F">
              <w:rPr>
                <w:b/>
                <w:sz w:val="20"/>
                <w:szCs w:val="20"/>
                <w:lang w:val="en-US"/>
              </w:rPr>
              <w:t>Mowatt</w:t>
            </w:r>
            <w:proofErr w:type="spellEnd"/>
          </w:p>
          <w:p w:rsidR="00BF386F" w:rsidRPr="00BF386F" w:rsidRDefault="00BF386F" w:rsidP="00BF386F">
            <w:pPr>
              <w:jc w:val="both"/>
              <w:rPr>
                <w:sz w:val="20"/>
                <w:lang w:val="fr-CA"/>
              </w:rPr>
            </w:pPr>
            <w:r w:rsidRPr="00BF386F">
              <w:rPr>
                <w:sz w:val="20"/>
                <w:lang w:val="fr-CA"/>
              </w:rPr>
              <w:t>(C.-B.) (Civile) (Sur autorisation)</w:t>
            </w:r>
          </w:p>
        </w:tc>
      </w:tr>
      <w:tr w:rsidR="00BF386F" w:rsidRPr="00BF386F" w:rsidTr="00E95A6A">
        <w:tc>
          <w:tcPr>
            <w:tcW w:w="5000" w:type="pct"/>
            <w:gridSpan w:val="4"/>
          </w:tcPr>
          <w:p w:rsidR="00BF386F" w:rsidRPr="00BF386F" w:rsidRDefault="00BF386F" w:rsidP="00BF386F">
            <w:pPr>
              <w:jc w:val="both"/>
              <w:rPr>
                <w:sz w:val="20"/>
                <w:lang w:val="fr-CA"/>
              </w:rPr>
            </w:pPr>
            <w:r w:rsidRPr="00BF386F">
              <w:rPr>
                <w:sz w:val="20"/>
                <w:lang w:val="fr-CA"/>
              </w:rPr>
              <w:t xml:space="preserve">Biens – Biens réels – Acquisition d’un titre par possession acquisitive – En droit, la fonction de juge des faits doit-elle être exercée autrement dans le cas de demandes portant sur des faits qui se seraient produits à une époque qui remonte au-delà de la mémoire d’homme? – La doctrine dite de « l’usage incompatible » fait-elle partie du droit relatif à la possession acquisitive au Canada? – L’art. 20 de la </w:t>
            </w:r>
            <w:r w:rsidRPr="00BF386F">
              <w:rPr>
                <w:i/>
                <w:sz w:val="20"/>
                <w:lang w:val="fr-CA"/>
              </w:rPr>
              <w:t>Land Title Act</w:t>
            </w:r>
            <w:r w:rsidRPr="00BF386F">
              <w:rPr>
                <w:sz w:val="20"/>
                <w:lang w:val="fr-CA"/>
              </w:rPr>
              <w:t xml:space="preserve"> empêche-t-il le transfert de titre autrement qu’en application de la loi? – </w:t>
            </w:r>
            <w:r w:rsidRPr="00BF386F">
              <w:rPr>
                <w:i/>
                <w:sz w:val="20"/>
                <w:lang w:val="fr-CA"/>
              </w:rPr>
              <w:t xml:space="preserve">Land </w:t>
            </w:r>
            <w:proofErr w:type="spellStart"/>
            <w:r w:rsidRPr="00BF386F">
              <w:rPr>
                <w:i/>
                <w:sz w:val="20"/>
                <w:lang w:val="fr-CA"/>
              </w:rPr>
              <w:t>Title</w:t>
            </w:r>
            <w:proofErr w:type="spellEnd"/>
            <w:r w:rsidRPr="00BF386F">
              <w:rPr>
                <w:i/>
                <w:sz w:val="20"/>
                <w:lang w:val="fr-CA"/>
              </w:rPr>
              <w:t xml:space="preserve"> </w:t>
            </w:r>
            <w:proofErr w:type="spellStart"/>
            <w:r w:rsidRPr="00BF386F">
              <w:rPr>
                <w:i/>
                <w:sz w:val="20"/>
                <w:lang w:val="fr-CA"/>
              </w:rPr>
              <w:t>Act</w:t>
            </w:r>
            <w:proofErr w:type="spellEnd"/>
            <w:r w:rsidRPr="00BF386F">
              <w:rPr>
                <w:sz w:val="20"/>
                <w:lang w:val="fr-CA"/>
              </w:rPr>
              <w:t xml:space="preserve">, </w:t>
            </w:r>
            <w:hyperlink r:id="rId23" w:history="1">
              <w:r w:rsidRPr="00BF386F">
                <w:rPr>
                  <w:color w:val="151515"/>
                  <w:sz w:val="20"/>
                  <w:lang w:val="fr-CA"/>
                </w:rPr>
                <w:t>R.S.B.C. 1996 ch. 250</w:t>
              </w:r>
            </w:hyperlink>
            <w:r w:rsidRPr="00BF386F">
              <w:rPr>
                <w:color w:val="151515"/>
                <w:sz w:val="20"/>
                <w:lang w:val="fr-CA"/>
              </w:rPr>
              <w:t>, art. 20.</w:t>
            </w:r>
          </w:p>
        </w:tc>
      </w:tr>
      <w:tr w:rsidR="00BF386F" w:rsidRPr="00BF386F" w:rsidTr="00E95A6A">
        <w:tc>
          <w:tcPr>
            <w:tcW w:w="5000" w:type="pct"/>
            <w:gridSpan w:val="4"/>
          </w:tcPr>
          <w:p w:rsidR="00BF386F" w:rsidRPr="00BF386F" w:rsidRDefault="00BF386F" w:rsidP="00BF386F">
            <w:pPr>
              <w:jc w:val="both"/>
              <w:rPr>
                <w:sz w:val="20"/>
                <w:lang w:val="fr-CA"/>
              </w:rPr>
            </w:pPr>
          </w:p>
        </w:tc>
      </w:tr>
      <w:tr w:rsidR="00BF386F" w:rsidRPr="00BF386F" w:rsidTr="00E95A6A">
        <w:tc>
          <w:tcPr>
            <w:tcW w:w="5000" w:type="pct"/>
            <w:gridSpan w:val="4"/>
          </w:tcPr>
          <w:p w:rsidR="00BF386F" w:rsidRPr="00BF386F" w:rsidRDefault="00BF386F" w:rsidP="00BF386F">
            <w:pPr>
              <w:jc w:val="both"/>
              <w:rPr>
                <w:sz w:val="20"/>
                <w:lang w:val="fr-CA"/>
              </w:rPr>
            </w:pPr>
            <w:r w:rsidRPr="00BF386F">
              <w:rPr>
                <w:sz w:val="20"/>
                <w:lang w:val="fr-CA"/>
              </w:rPr>
              <w:t>Madame Mary Geraldine Mowatt et M. Earl Wayne Mowatt, les intimés, habitent au 1112 et au 1114 de la rue Beatty, en la ville de Nelson (Colombie-Britannique). Ils allèguent avoir acheté les deux lots en même temps, en 1992, de l’ancien propriétaire, Mme Marquis. Toutefois, la demanderesse, la ville de Nelson, estime que le lot portant l’adresse de voirie 1114, rue Beatty est une emprise de voirie municipale et prétend qu’il est échu à l’État après la dissolution de la société foncière qui en était propriétaire en application de l’art.</w:t>
            </w:r>
            <w:r w:rsidRPr="00BF386F">
              <w:rPr>
                <w:color w:val="151515"/>
                <w:sz w:val="20"/>
                <w:lang w:val="fr-CA"/>
              </w:rPr>
              <w:t> 3A de l’</w:t>
            </w:r>
            <w:proofErr w:type="spellStart"/>
            <w:r w:rsidRPr="00BF386F">
              <w:rPr>
                <w:i/>
                <w:color w:val="151515"/>
                <w:sz w:val="20"/>
                <w:lang w:val="fr-CA"/>
              </w:rPr>
              <w:t>Escheat</w:t>
            </w:r>
            <w:proofErr w:type="spellEnd"/>
            <w:r w:rsidRPr="00BF386F">
              <w:rPr>
                <w:i/>
                <w:color w:val="151515"/>
                <w:sz w:val="20"/>
                <w:lang w:val="fr-CA"/>
              </w:rPr>
              <w:t xml:space="preserve"> </w:t>
            </w:r>
            <w:proofErr w:type="spellStart"/>
            <w:r w:rsidRPr="00BF386F">
              <w:rPr>
                <w:i/>
                <w:color w:val="151515"/>
                <w:sz w:val="20"/>
                <w:lang w:val="fr-CA"/>
              </w:rPr>
              <w:t>Act</w:t>
            </w:r>
            <w:proofErr w:type="spellEnd"/>
            <w:r w:rsidRPr="00BF386F">
              <w:rPr>
                <w:color w:val="151515"/>
                <w:sz w:val="20"/>
                <w:lang w:val="fr-CA"/>
              </w:rPr>
              <w:t>, R.S.B.C. 1924, ch. 81, modifiée par S.B.C. 1929, ch. 23, art. 2 en 1930-31</w:t>
            </w:r>
            <w:r w:rsidRPr="00BF386F">
              <w:rPr>
                <w:sz w:val="20"/>
                <w:lang w:val="fr-CA"/>
              </w:rPr>
              <w:t xml:space="preserve">. Par le passé, la Ville avait demandé à Mme et à M. Mowatt, ainsi qu’à l’ancien propriétaire, d’enlever leurs édifices du lot, puisqu’il s’agissait d’un bien-fonds municipal. Pour clarifier leur titre à l’égard du bien-fonds, Mme et M. Mowatt ont présenté une requête sollicitant une enquête judiciaire sur le lot en litige en application de la </w:t>
            </w:r>
            <w:r w:rsidRPr="00BF386F">
              <w:rPr>
                <w:i/>
                <w:sz w:val="20"/>
                <w:lang w:val="fr-CA"/>
              </w:rPr>
              <w:t>Land Title Inquiry Act</w:t>
            </w:r>
            <w:r w:rsidRPr="00BF386F">
              <w:rPr>
                <w:sz w:val="20"/>
                <w:lang w:val="fr-CA"/>
              </w:rPr>
              <w:t xml:space="preserve">, R.S.B.C. 1996, ch. 251, un jugement déclarant qu’ils étaient les propriétaires du lot en fief simple en possession et une ordonnance portant qu’ils avaient établi un titre valable, stable et marchand en fief simple.  </w:t>
            </w:r>
          </w:p>
          <w:p w:rsidR="00BF386F" w:rsidRPr="00BF386F" w:rsidRDefault="00BF386F" w:rsidP="00BF386F">
            <w:pPr>
              <w:jc w:val="both"/>
              <w:rPr>
                <w:sz w:val="20"/>
                <w:lang w:val="fr-CA"/>
              </w:rPr>
            </w:pPr>
          </w:p>
        </w:tc>
      </w:tr>
      <w:tr w:rsidR="00BF386F" w:rsidRPr="00BF386F" w:rsidTr="00E95A6A">
        <w:tc>
          <w:tcPr>
            <w:tcW w:w="2427" w:type="pct"/>
            <w:gridSpan w:val="2"/>
          </w:tcPr>
          <w:p w:rsidR="00BF386F" w:rsidRPr="00BF386F" w:rsidRDefault="00BF386F" w:rsidP="00BF386F">
            <w:pPr>
              <w:jc w:val="both"/>
              <w:rPr>
                <w:sz w:val="20"/>
                <w:lang w:val="fr-CA"/>
              </w:rPr>
            </w:pPr>
            <w:r w:rsidRPr="00BF386F">
              <w:rPr>
                <w:sz w:val="20"/>
                <w:lang w:val="fr-CA"/>
              </w:rPr>
              <w:t>4 juin 2014</w:t>
            </w:r>
          </w:p>
          <w:p w:rsidR="00BF386F" w:rsidRPr="00BF386F" w:rsidRDefault="00BF386F" w:rsidP="00BF386F">
            <w:pPr>
              <w:jc w:val="both"/>
              <w:rPr>
                <w:sz w:val="20"/>
                <w:lang w:val="fr-CA"/>
              </w:rPr>
            </w:pPr>
            <w:r w:rsidRPr="00BF386F">
              <w:rPr>
                <w:sz w:val="20"/>
                <w:lang w:val="fr-CA"/>
              </w:rPr>
              <w:t>Cour suprême de la Colombie-Britannique</w:t>
            </w:r>
          </w:p>
          <w:p w:rsidR="00BF386F" w:rsidRPr="00BF386F" w:rsidRDefault="00BF386F" w:rsidP="00BF386F">
            <w:pPr>
              <w:jc w:val="both"/>
              <w:rPr>
                <w:sz w:val="20"/>
                <w:lang w:val="fr-CA"/>
              </w:rPr>
            </w:pPr>
            <w:r w:rsidRPr="00BF386F">
              <w:rPr>
                <w:sz w:val="20"/>
                <w:lang w:val="fr-CA"/>
              </w:rPr>
              <w:t>(Juge Kelleher)</w:t>
            </w:r>
          </w:p>
          <w:p w:rsidR="00BF386F" w:rsidRPr="00BF386F" w:rsidRDefault="00BF386F" w:rsidP="00BF386F">
            <w:pPr>
              <w:jc w:val="both"/>
              <w:rPr>
                <w:sz w:val="20"/>
                <w:lang w:val="fr-CA"/>
              </w:rPr>
            </w:pPr>
            <w:hyperlink r:id="rId24" w:history="1">
              <w:r w:rsidRPr="00BF386F">
                <w:rPr>
                  <w:rStyle w:val="Hyperlink"/>
                  <w:sz w:val="20"/>
                  <w:lang w:val="fr-CA"/>
                </w:rPr>
                <w:t>2014 BCSC 988</w:t>
              </w:r>
            </w:hyperlink>
          </w:p>
          <w:p w:rsidR="00BF386F" w:rsidRPr="00BF386F" w:rsidRDefault="00BF386F" w:rsidP="00BF386F">
            <w:pPr>
              <w:jc w:val="both"/>
              <w:rPr>
                <w:sz w:val="20"/>
                <w:lang w:val="fr-CA"/>
              </w:rPr>
            </w:pPr>
          </w:p>
        </w:tc>
        <w:tc>
          <w:tcPr>
            <w:tcW w:w="243" w:type="pct"/>
          </w:tcPr>
          <w:p w:rsidR="00BF386F" w:rsidRPr="00BF386F" w:rsidRDefault="00BF386F" w:rsidP="00BF386F">
            <w:pPr>
              <w:jc w:val="both"/>
              <w:rPr>
                <w:sz w:val="20"/>
                <w:lang w:val="fr-CA"/>
              </w:rPr>
            </w:pPr>
          </w:p>
        </w:tc>
        <w:tc>
          <w:tcPr>
            <w:tcW w:w="2330" w:type="pct"/>
          </w:tcPr>
          <w:p w:rsidR="00BF386F" w:rsidRPr="00BF386F" w:rsidRDefault="00BF386F" w:rsidP="00BF386F">
            <w:pPr>
              <w:jc w:val="both"/>
              <w:rPr>
                <w:sz w:val="20"/>
                <w:lang w:val="fr-CA"/>
              </w:rPr>
            </w:pPr>
            <w:r w:rsidRPr="00BF386F">
              <w:rPr>
                <w:sz w:val="20"/>
                <w:lang w:val="fr-CA"/>
              </w:rPr>
              <w:t xml:space="preserve">Jugement : les requérants peuvent produire d’autres éléments de preuve. </w:t>
            </w:r>
          </w:p>
        </w:tc>
      </w:tr>
      <w:tr w:rsidR="00BF386F" w:rsidRPr="00BF386F" w:rsidTr="00E95A6A">
        <w:tc>
          <w:tcPr>
            <w:tcW w:w="2427" w:type="pct"/>
            <w:gridSpan w:val="2"/>
          </w:tcPr>
          <w:p w:rsidR="00BF386F" w:rsidRPr="00BF386F" w:rsidRDefault="00BF386F" w:rsidP="00BF386F">
            <w:pPr>
              <w:jc w:val="both"/>
              <w:rPr>
                <w:sz w:val="20"/>
                <w:lang w:val="fr-CA"/>
              </w:rPr>
            </w:pPr>
            <w:r w:rsidRPr="00BF386F">
              <w:rPr>
                <w:sz w:val="20"/>
                <w:lang w:val="fr-CA"/>
              </w:rPr>
              <w:t>27 novembre 2014</w:t>
            </w:r>
          </w:p>
          <w:p w:rsidR="00BF386F" w:rsidRPr="00BF386F" w:rsidRDefault="00BF386F" w:rsidP="00BF386F">
            <w:pPr>
              <w:jc w:val="both"/>
              <w:rPr>
                <w:sz w:val="20"/>
                <w:lang w:val="fr-CA"/>
              </w:rPr>
            </w:pPr>
            <w:r w:rsidRPr="00BF386F">
              <w:rPr>
                <w:sz w:val="20"/>
                <w:lang w:val="fr-CA"/>
              </w:rPr>
              <w:t>Cour suprême de la Colombie-Britannique</w:t>
            </w:r>
          </w:p>
          <w:p w:rsidR="00BF386F" w:rsidRPr="00BF386F" w:rsidRDefault="00BF386F" w:rsidP="00BF386F">
            <w:pPr>
              <w:jc w:val="both"/>
              <w:rPr>
                <w:sz w:val="20"/>
                <w:lang w:val="fr-CA"/>
              </w:rPr>
            </w:pPr>
            <w:r w:rsidRPr="00BF386F">
              <w:rPr>
                <w:sz w:val="20"/>
                <w:lang w:val="fr-CA"/>
              </w:rPr>
              <w:t>(Juge Kelleher)</w:t>
            </w:r>
          </w:p>
          <w:p w:rsidR="00BF386F" w:rsidRPr="00BF386F" w:rsidRDefault="00BF386F" w:rsidP="00BF386F">
            <w:pPr>
              <w:jc w:val="both"/>
              <w:rPr>
                <w:sz w:val="20"/>
                <w:lang w:val="fr-CA"/>
              </w:rPr>
            </w:pPr>
            <w:hyperlink r:id="rId25" w:history="1">
              <w:r w:rsidRPr="00BF386F">
                <w:rPr>
                  <w:rStyle w:val="Hyperlink"/>
                  <w:sz w:val="20"/>
                  <w:lang w:val="fr-CA"/>
                </w:rPr>
                <w:t>2014 BCSC 2219</w:t>
              </w:r>
            </w:hyperlink>
          </w:p>
          <w:p w:rsidR="00BF386F" w:rsidRPr="00BF386F" w:rsidRDefault="00BF386F" w:rsidP="00BF386F">
            <w:pPr>
              <w:jc w:val="both"/>
              <w:rPr>
                <w:sz w:val="20"/>
                <w:lang w:val="fr-CA"/>
              </w:rPr>
            </w:pPr>
          </w:p>
        </w:tc>
        <w:tc>
          <w:tcPr>
            <w:tcW w:w="243" w:type="pct"/>
          </w:tcPr>
          <w:p w:rsidR="00BF386F" w:rsidRPr="00BF386F" w:rsidRDefault="00BF386F" w:rsidP="00BF386F">
            <w:pPr>
              <w:jc w:val="both"/>
              <w:rPr>
                <w:sz w:val="20"/>
                <w:lang w:val="fr-CA"/>
              </w:rPr>
            </w:pPr>
          </w:p>
        </w:tc>
        <w:tc>
          <w:tcPr>
            <w:tcW w:w="2330" w:type="pct"/>
          </w:tcPr>
          <w:p w:rsidR="00BF386F" w:rsidRPr="00BF386F" w:rsidRDefault="00BF386F" w:rsidP="00BF386F">
            <w:pPr>
              <w:jc w:val="both"/>
              <w:rPr>
                <w:sz w:val="20"/>
                <w:lang w:val="fr-CA"/>
              </w:rPr>
            </w:pPr>
            <w:r w:rsidRPr="00BF386F">
              <w:rPr>
                <w:sz w:val="20"/>
                <w:lang w:val="fr-CA"/>
              </w:rPr>
              <w:t xml:space="preserve">Rejet de la requête sollicitant un jugement déclaratoire de titre; </w:t>
            </w:r>
          </w:p>
          <w:p w:rsidR="00BF386F" w:rsidRPr="00BF386F" w:rsidRDefault="00BF386F" w:rsidP="00BF386F">
            <w:pPr>
              <w:jc w:val="both"/>
              <w:rPr>
                <w:sz w:val="20"/>
                <w:lang w:val="fr-CA"/>
              </w:rPr>
            </w:pPr>
            <w:r w:rsidRPr="00BF386F">
              <w:rPr>
                <w:sz w:val="20"/>
                <w:lang w:val="fr-CA"/>
              </w:rPr>
              <w:t>Jugement accueillant la demande de procès sommaire.</w:t>
            </w:r>
          </w:p>
        </w:tc>
      </w:tr>
      <w:tr w:rsidR="00BF386F" w:rsidRPr="00BF386F" w:rsidTr="00E95A6A">
        <w:tc>
          <w:tcPr>
            <w:tcW w:w="2427" w:type="pct"/>
            <w:gridSpan w:val="2"/>
          </w:tcPr>
          <w:p w:rsidR="00BF386F" w:rsidRPr="00BF386F" w:rsidRDefault="00BF386F" w:rsidP="00BF386F">
            <w:pPr>
              <w:jc w:val="both"/>
              <w:rPr>
                <w:sz w:val="20"/>
                <w:lang w:val="fr-CA"/>
              </w:rPr>
            </w:pPr>
            <w:r w:rsidRPr="00BF386F">
              <w:rPr>
                <w:sz w:val="20"/>
                <w:lang w:val="fr-CA"/>
              </w:rPr>
              <w:t>10 mars 2016</w:t>
            </w:r>
          </w:p>
          <w:p w:rsidR="00BF386F" w:rsidRPr="00BF386F" w:rsidRDefault="00BF386F" w:rsidP="00BF386F">
            <w:pPr>
              <w:jc w:val="both"/>
              <w:rPr>
                <w:sz w:val="20"/>
                <w:lang w:val="fr-CA"/>
              </w:rPr>
            </w:pPr>
            <w:r w:rsidRPr="00BF386F">
              <w:rPr>
                <w:sz w:val="20"/>
                <w:lang w:val="fr-CA"/>
              </w:rPr>
              <w:t>Cour d’appel de la Colombie-Britannique</w:t>
            </w:r>
          </w:p>
          <w:p w:rsidR="00BF386F" w:rsidRPr="00BF386F" w:rsidRDefault="00BF386F" w:rsidP="00BF386F">
            <w:pPr>
              <w:jc w:val="both"/>
              <w:rPr>
                <w:sz w:val="20"/>
                <w:lang w:val="fr-CA"/>
              </w:rPr>
            </w:pPr>
            <w:r w:rsidRPr="00BF386F">
              <w:rPr>
                <w:sz w:val="20"/>
                <w:lang w:val="fr-CA"/>
              </w:rPr>
              <w:t>(Vancouver)</w:t>
            </w:r>
          </w:p>
          <w:p w:rsidR="00BF386F" w:rsidRPr="00BF386F" w:rsidRDefault="00BF386F" w:rsidP="00BF386F">
            <w:pPr>
              <w:jc w:val="both"/>
              <w:rPr>
                <w:sz w:val="20"/>
                <w:lang w:val="fr-CA"/>
              </w:rPr>
            </w:pPr>
            <w:r w:rsidRPr="00BF386F">
              <w:rPr>
                <w:sz w:val="20"/>
                <w:lang w:val="fr-CA"/>
              </w:rPr>
              <w:t>(Juges Saunders, Chiasson et Harris)</w:t>
            </w:r>
          </w:p>
          <w:p w:rsidR="00BF386F" w:rsidRPr="00BF386F" w:rsidRDefault="00BF386F" w:rsidP="00BF386F">
            <w:pPr>
              <w:jc w:val="both"/>
              <w:rPr>
                <w:sz w:val="20"/>
                <w:lang w:val="fr-CA"/>
              </w:rPr>
            </w:pPr>
            <w:hyperlink r:id="rId26" w:history="1">
              <w:r w:rsidRPr="00BF386F">
                <w:rPr>
                  <w:rStyle w:val="Hyperlink"/>
                  <w:sz w:val="20"/>
                  <w:lang w:val="fr-CA"/>
                </w:rPr>
                <w:t>2016 BCCA 113</w:t>
              </w:r>
            </w:hyperlink>
          </w:p>
          <w:p w:rsidR="00BF386F" w:rsidRPr="00BF386F" w:rsidRDefault="00BF386F" w:rsidP="00BF386F">
            <w:pPr>
              <w:jc w:val="both"/>
              <w:rPr>
                <w:sz w:val="20"/>
                <w:lang w:val="fr-CA"/>
              </w:rPr>
            </w:pPr>
          </w:p>
        </w:tc>
        <w:tc>
          <w:tcPr>
            <w:tcW w:w="243" w:type="pct"/>
          </w:tcPr>
          <w:p w:rsidR="00BF386F" w:rsidRPr="00BF386F" w:rsidRDefault="00BF386F" w:rsidP="00BF386F">
            <w:pPr>
              <w:jc w:val="both"/>
              <w:rPr>
                <w:sz w:val="20"/>
                <w:lang w:val="fr-CA"/>
              </w:rPr>
            </w:pPr>
          </w:p>
        </w:tc>
        <w:tc>
          <w:tcPr>
            <w:tcW w:w="2330" w:type="pct"/>
          </w:tcPr>
          <w:p w:rsidR="00BF386F" w:rsidRPr="00BF386F" w:rsidRDefault="00BF386F" w:rsidP="00BF386F">
            <w:pPr>
              <w:jc w:val="both"/>
              <w:rPr>
                <w:sz w:val="20"/>
                <w:lang w:val="fr-CA"/>
              </w:rPr>
            </w:pPr>
            <w:r w:rsidRPr="00BF386F">
              <w:rPr>
                <w:sz w:val="20"/>
                <w:lang w:val="fr-CA"/>
              </w:rPr>
              <w:t>Arrêt accueillant l’appel du jugement portant sur la requête;</w:t>
            </w:r>
          </w:p>
          <w:p w:rsidR="00BF386F" w:rsidRPr="00BF386F" w:rsidRDefault="00BF386F" w:rsidP="00BF386F">
            <w:pPr>
              <w:jc w:val="both"/>
              <w:rPr>
                <w:sz w:val="20"/>
                <w:lang w:val="fr-CA"/>
              </w:rPr>
            </w:pPr>
            <w:r w:rsidRPr="00BF386F">
              <w:rPr>
                <w:sz w:val="20"/>
                <w:lang w:val="fr-CA"/>
              </w:rPr>
              <w:t>Arrêt accueillant l’appel du jugement portant sur la demande de procès sommaire.</w:t>
            </w:r>
          </w:p>
          <w:p w:rsidR="00BF386F" w:rsidRPr="00BF386F" w:rsidRDefault="00BF386F" w:rsidP="00BF386F">
            <w:pPr>
              <w:jc w:val="both"/>
              <w:rPr>
                <w:sz w:val="20"/>
                <w:lang w:val="fr-CA"/>
              </w:rPr>
            </w:pPr>
          </w:p>
        </w:tc>
      </w:tr>
      <w:tr w:rsidR="00BF386F" w:rsidRPr="00BF386F" w:rsidTr="00E95A6A">
        <w:tc>
          <w:tcPr>
            <w:tcW w:w="2427" w:type="pct"/>
            <w:gridSpan w:val="2"/>
          </w:tcPr>
          <w:p w:rsidR="00BF386F" w:rsidRPr="00BF386F" w:rsidRDefault="00BF386F" w:rsidP="00BF386F">
            <w:pPr>
              <w:jc w:val="both"/>
              <w:rPr>
                <w:sz w:val="20"/>
                <w:lang w:val="fr-CA"/>
              </w:rPr>
            </w:pPr>
            <w:r w:rsidRPr="00BF386F">
              <w:rPr>
                <w:sz w:val="20"/>
                <w:lang w:val="fr-CA"/>
              </w:rPr>
              <w:t>6 mai 2016</w:t>
            </w:r>
          </w:p>
          <w:p w:rsidR="00BF386F" w:rsidRPr="00BF386F" w:rsidRDefault="00BF386F" w:rsidP="00BF386F">
            <w:pPr>
              <w:jc w:val="both"/>
              <w:rPr>
                <w:sz w:val="20"/>
                <w:lang w:val="fr-CA"/>
              </w:rPr>
            </w:pPr>
            <w:r w:rsidRPr="00BF386F">
              <w:rPr>
                <w:sz w:val="20"/>
                <w:lang w:val="fr-CA"/>
              </w:rPr>
              <w:t>Cour suprême du Canada</w:t>
            </w:r>
          </w:p>
        </w:tc>
        <w:tc>
          <w:tcPr>
            <w:tcW w:w="243" w:type="pct"/>
          </w:tcPr>
          <w:p w:rsidR="00BF386F" w:rsidRPr="00BF386F" w:rsidRDefault="00BF386F" w:rsidP="00BF386F">
            <w:pPr>
              <w:jc w:val="both"/>
              <w:rPr>
                <w:sz w:val="20"/>
                <w:lang w:val="fr-CA"/>
              </w:rPr>
            </w:pPr>
          </w:p>
        </w:tc>
        <w:tc>
          <w:tcPr>
            <w:tcW w:w="2330" w:type="pct"/>
          </w:tcPr>
          <w:p w:rsidR="00BF386F" w:rsidRPr="00BF386F" w:rsidRDefault="00BF386F" w:rsidP="00BF386F">
            <w:pPr>
              <w:jc w:val="both"/>
              <w:rPr>
                <w:sz w:val="20"/>
                <w:lang w:val="fr-CA"/>
              </w:rPr>
            </w:pPr>
            <w:r w:rsidRPr="00BF386F">
              <w:rPr>
                <w:sz w:val="20"/>
                <w:lang w:val="fr-CA"/>
              </w:rPr>
              <w:t>Dépôt de la requête visant à accélérer la demande d’autorisation d’appel et de la demande d’autorisation d’appel.</w:t>
            </w:r>
          </w:p>
        </w:tc>
      </w:tr>
    </w:tbl>
    <w:p w:rsidR="00BF386F" w:rsidRPr="00BF386F" w:rsidRDefault="00BF386F" w:rsidP="00BF386F">
      <w:pPr>
        <w:jc w:val="both"/>
        <w:rPr>
          <w:sz w:val="20"/>
          <w:lang w:val="fr-CA"/>
        </w:rPr>
      </w:pPr>
    </w:p>
    <w:p w:rsidR="00684CAA" w:rsidRPr="004B3A67" w:rsidRDefault="00684CAA" w:rsidP="004B3A67">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3A67" w:rsidRPr="004B3A67" w:rsidTr="00E95A6A">
        <w:tc>
          <w:tcPr>
            <w:tcW w:w="543" w:type="pct"/>
          </w:tcPr>
          <w:p w:rsidR="004B3A67" w:rsidRPr="004B3A67" w:rsidRDefault="004B3A67" w:rsidP="004B3A67">
            <w:pPr>
              <w:jc w:val="both"/>
              <w:rPr>
                <w:sz w:val="20"/>
              </w:rPr>
            </w:pPr>
            <w:r w:rsidRPr="004B3A67">
              <w:rPr>
                <w:rStyle w:val="SCCFileNumberChar"/>
                <w:sz w:val="20"/>
                <w:szCs w:val="20"/>
              </w:rPr>
              <w:t>36984</w:t>
            </w:r>
          </w:p>
        </w:tc>
        <w:tc>
          <w:tcPr>
            <w:tcW w:w="4457" w:type="pct"/>
            <w:gridSpan w:val="3"/>
          </w:tcPr>
          <w:p w:rsidR="004B3A67" w:rsidRPr="004B3A67" w:rsidRDefault="004B3A67" w:rsidP="004B3A67">
            <w:pPr>
              <w:pStyle w:val="SCCLsocParty"/>
              <w:jc w:val="both"/>
              <w:rPr>
                <w:b/>
                <w:sz w:val="20"/>
                <w:szCs w:val="20"/>
              </w:rPr>
            </w:pPr>
            <w:r w:rsidRPr="004B3A67">
              <w:rPr>
                <w:b/>
                <w:sz w:val="20"/>
                <w:szCs w:val="20"/>
              </w:rPr>
              <w:t>Nicola Nero v. Her Majesty the Queen</w:t>
            </w:r>
          </w:p>
          <w:p w:rsidR="004B3A67" w:rsidRPr="004B3A67" w:rsidRDefault="004B3A67" w:rsidP="004B3A67">
            <w:pPr>
              <w:jc w:val="both"/>
              <w:rPr>
                <w:sz w:val="20"/>
              </w:rPr>
            </w:pPr>
            <w:r w:rsidRPr="004B3A67">
              <w:rPr>
                <w:sz w:val="20"/>
              </w:rPr>
              <w:t>(Ont.) (Criminal) (By Leave)</w:t>
            </w:r>
          </w:p>
        </w:tc>
      </w:tr>
      <w:tr w:rsidR="004B3A67" w:rsidRPr="004B3A67" w:rsidTr="00E95A6A">
        <w:tc>
          <w:tcPr>
            <w:tcW w:w="5000" w:type="pct"/>
            <w:gridSpan w:val="4"/>
          </w:tcPr>
          <w:p w:rsidR="004B3A67" w:rsidRDefault="004B3A67" w:rsidP="004B3A67">
            <w:pPr>
              <w:jc w:val="both"/>
              <w:rPr>
                <w:sz w:val="20"/>
              </w:rPr>
            </w:pPr>
            <w:r w:rsidRPr="004B3A67">
              <w:rPr>
                <w:sz w:val="20"/>
              </w:rPr>
              <w:t xml:space="preserve">Criminal law – Evidence – Admissibility – Private communications – Privileged communications – Spousal communications – Contention by one co-accused that intercepted communications with partner were protected by spousal communication privilege – </w:t>
            </w:r>
            <w:r w:rsidRPr="004B3A67">
              <w:rPr>
                <w:sz w:val="20"/>
                <w:lang w:eastAsia="en-CA"/>
              </w:rPr>
              <w:t xml:space="preserve">Should spousal communication privilege be extended to include common-law spouses? </w:t>
            </w:r>
            <w:r w:rsidRPr="004B3A67">
              <w:rPr>
                <w:sz w:val="20"/>
              </w:rPr>
              <w:t xml:space="preserve">– </w:t>
            </w:r>
            <w:r w:rsidRPr="004B3A67">
              <w:rPr>
                <w:sz w:val="20"/>
                <w:lang w:eastAsia="en-CA"/>
              </w:rPr>
              <w:t xml:space="preserve">In the context of intercepted private communications between common-law spouses, and the applicability of s. 189(6) of the </w:t>
            </w:r>
            <w:r w:rsidRPr="004B3A67">
              <w:rPr>
                <w:i/>
                <w:sz w:val="20"/>
                <w:lang w:eastAsia="en-CA"/>
              </w:rPr>
              <w:t>Criminal Code</w:t>
            </w:r>
            <w:r w:rsidRPr="004B3A67">
              <w:rPr>
                <w:sz w:val="20"/>
                <w:lang w:eastAsia="en-CA"/>
              </w:rPr>
              <w:t xml:space="preserve">, are such intercepted communications between common-law spouses privileged? </w:t>
            </w:r>
            <w:r w:rsidRPr="004B3A67">
              <w:rPr>
                <w:sz w:val="20"/>
              </w:rPr>
              <w:t xml:space="preserve">– </w:t>
            </w:r>
            <w:r w:rsidRPr="004B3A67">
              <w:rPr>
                <w:sz w:val="20"/>
                <w:lang w:eastAsia="en-CA"/>
              </w:rPr>
              <w:t xml:space="preserve">Can intercepted communications between common-law spouses be used in furtherance of a criminal investigation against the spouses, and for specificity, in an </w:t>
            </w:r>
            <w:r w:rsidRPr="004B3A67">
              <w:rPr>
                <w:i/>
                <w:sz w:val="20"/>
                <w:lang w:eastAsia="en-CA"/>
              </w:rPr>
              <w:t>ex parte</w:t>
            </w:r>
            <w:r w:rsidRPr="004B3A67">
              <w:rPr>
                <w:sz w:val="20"/>
                <w:lang w:eastAsia="en-CA"/>
              </w:rPr>
              <w:t xml:space="preserve"> application? </w:t>
            </w:r>
            <w:r w:rsidRPr="004B3A67">
              <w:rPr>
                <w:sz w:val="20"/>
              </w:rPr>
              <w:t xml:space="preserve">– </w:t>
            </w:r>
            <w:r w:rsidRPr="004B3A67">
              <w:rPr>
                <w:sz w:val="20"/>
                <w:lang w:eastAsia="en-CA"/>
              </w:rPr>
              <w:t>Is spousal communication privilege, in the context of intercepted private communication between spouses, testimonial only in nature?</w:t>
            </w:r>
            <w:r w:rsidRPr="004B3A67">
              <w:rPr>
                <w:i/>
                <w:iCs/>
                <w:color w:val="000000"/>
                <w:sz w:val="20"/>
                <w:lang w:eastAsia="en-CA"/>
              </w:rPr>
              <w:t xml:space="preserve"> Canada Evidence Act</w:t>
            </w:r>
            <w:r w:rsidRPr="004B3A67">
              <w:rPr>
                <w:color w:val="000000"/>
                <w:sz w:val="20"/>
                <w:lang w:eastAsia="en-CA"/>
              </w:rPr>
              <w:t>, R.S.C., 1985, c. C-5 s. 4(3).</w:t>
            </w:r>
            <w:r w:rsidRPr="004B3A67">
              <w:rPr>
                <w:sz w:val="20"/>
                <w:lang w:eastAsia="en-CA"/>
              </w:rPr>
              <w:t xml:space="preserve"> </w:t>
            </w:r>
            <w:r w:rsidRPr="004B3A67">
              <w:rPr>
                <w:i/>
                <w:sz w:val="20"/>
              </w:rPr>
              <w:t>Canada Evidence Act</w:t>
            </w:r>
            <w:r w:rsidRPr="004B3A67">
              <w:rPr>
                <w:sz w:val="20"/>
              </w:rPr>
              <w:t>, s. 4(3).</w:t>
            </w:r>
          </w:p>
          <w:p w:rsidR="004B3A67" w:rsidRPr="004B3A67" w:rsidRDefault="004B3A67" w:rsidP="004B3A67">
            <w:pPr>
              <w:jc w:val="both"/>
              <w:rPr>
                <w:sz w:val="20"/>
                <w:lang w:eastAsia="en-CA"/>
              </w:rPr>
            </w:pPr>
          </w:p>
        </w:tc>
      </w:tr>
      <w:tr w:rsidR="004B3A67" w:rsidRPr="004B3A67" w:rsidTr="00E95A6A">
        <w:tc>
          <w:tcPr>
            <w:tcW w:w="5000" w:type="pct"/>
            <w:gridSpan w:val="4"/>
          </w:tcPr>
          <w:p w:rsidR="004B3A67" w:rsidRPr="004B3A67" w:rsidRDefault="004B3A67" w:rsidP="004B3A67">
            <w:pPr>
              <w:jc w:val="both"/>
              <w:rPr>
                <w:sz w:val="20"/>
              </w:rPr>
            </w:pPr>
            <w:r w:rsidRPr="004B3A67">
              <w:rPr>
                <w:color w:val="000000"/>
                <w:sz w:val="20"/>
                <w:lang w:eastAsia="en-CA"/>
              </w:rPr>
              <w:t xml:space="preserve">A police investigation into suspected cocaine trafficking by the Applicant Mr. Nero resulted in several arrests. The investigation involved production orders, search warrants, and authorizations to intercept personal communications that yielded a substantial amount of evidence. The Applicants Mr. Nero and Mr. Caputo were tried together and initially elected a jury trial. Defence counsel's attack on the admissibility of the evidence obtained during the investigation was unsuccessful. Shortly before jury selection, the accused filed a motion for recusal on the basis of bias. The motion was not pursued. Instead, the </w:t>
            </w:r>
            <w:proofErr w:type="spellStart"/>
            <w:r w:rsidRPr="004B3A67">
              <w:rPr>
                <w:color w:val="000000"/>
                <w:sz w:val="20"/>
                <w:lang w:eastAsia="en-CA"/>
              </w:rPr>
              <w:t>accuseds</w:t>
            </w:r>
            <w:proofErr w:type="spellEnd"/>
            <w:r w:rsidRPr="004B3A67">
              <w:rPr>
                <w:color w:val="000000"/>
                <w:sz w:val="20"/>
                <w:lang w:eastAsia="en-CA"/>
              </w:rPr>
              <w:t xml:space="preserve"> appeared on the same indictment before another judge. They re-elected a trial by judge alone and pled guilty. The </w:t>
            </w:r>
            <w:proofErr w:type="spellStart"/>
            <w:r w:rsidRPr="004B3A67">
              <w:rPr>
                <w:color w:val="000000"/>
                <w:sz w:val="20"/>
                <w:lang w:eastAsia="en-CA"/>
              </w:rPr>
              <w:t>accuseds</w:t>
            </w:r>
            <w:proofErr w:type="spellEnd"/>
            <w:r w:rsidRPr="004B3A67">
              <w:rPr>
                <w:color w:val="000000"/>
                <w:sz w:val="20"/>
                <w:lang w:eastAsia="en-CA"/>
              </w:rPr>
              <w:t xml:space="preserve"> subsequently appealed on the basis the original judge was biased, erred in law in upholding the validity of the warrants and authorizations obtained during the investigation, and erred in failing to exclude intercepted communications between Mr. Nero and a woman, Ms. </w:t>
            </w:r>
            <w:proofErr w:type="spellStart"/>
            <w:r w:rsidRPr="004B3A67">
              <w:rPr>
                <w:color w:val="000000"/>
                <w:sz w:val="20"/>
                <w:lang w:eastAsia="en-CA"/>
              </w:rPr>
              <w:t>Tawnya</w:t>
            </w:r>
            <w:proofErr w:type="spellEnd"/>
            <w:r w:rsidRPr="004B3A67">
              <w:rPr>
                <w:color w:val="000000"/>
                <w:sz w:val="20"/>
                <w:lang w:eastAsia="en-CA"/>
              </w:rPr>
              <w:t xml:space="preserve"> Fletcher, he claimed was his common-law spouse.</w:t>
            </w:r>
          </w:p>
        </w:tc>
      </w:tr>
      <w:tr w:rsidR="004B3A67" w:rsidRPr="004B3A67" w:rsidTr="00E95A6A">
        <w:tc>
          <w:tcPr>
            <w:tcW w:w="5000" w:type="pct"/>
            <w:gridSpan w:val="4"/>
          </w:tcPr>
          <w:p w:rsidR="004B3A67" w:rsidRPr="004B3A67" w:rsidRDefault="004B3A67" w:rsidP="004B3A67">
            <w:pPr>
              <w:jc w:val="both"/>
              <w:rPr>
                <w:sz w:val="20"/>
              </w:rPr>
            </w:pPr>
          </w:p>
        </w:tc>
      </w:tr>
      <w:tr w:rsidR="004B3A67" w:rsidRPr="004B3A67" w:rsidTr="00E95A6A">
        <w:tc>
          <w:tcPr>
            <w:tcW w:w="2427" w:type="pct"/>
            <w:gridSpan w:val="2"/>
          </w:tcPr>
          <w:p w:rsidR="004B3A67" w:rsidRPr="004B3A67" w:rsidRDefault="004B3A67" w:rsidP="004B3A67">
            <w:pPr>
              <w:jc w:val="both"/>
              <w:rPr>
                <w:sz w:val="20"/>
              </w:rPr>
            </w:pPr>
            <w:r w:rsidRPr="004B3A67">
              <w:rPr>
                <w:sz w:val="20"/>
              </w:rPr>
              <w:t>March 25, 2014</w:t>
            </w:r>
          </w:p>
          <w:p w:rsidR="004B3A67" w:rsidRPr="004B3A67" w:rsidRDefault="004B3A67" w:rsidP="004B3A67">
            <w:pPr>
              <w:jc w:val="both"/>
              <w:rPr>
                <w:sz w:val="20"/>
              </w:rPr>
            </w:pPr>
            <w:r w:rsidRPr="004B3A67">
              <w:rPr>
                <w:sz w:val="20"/>
              </w:rPr>
              <w:t>Ontario Superior Court of Justice</w:t>
            </w:r>
          </w:p>
          <w:p w:rsidR="004B3A67" w:rsidRPr="004B3A67" w:rsidRDefault="004B3A67" w:rsidP="004B3A67">
            <w:pPr>
              <w:jc w:val="both"/>
              <w:rPr>
                <w:sz w:val="20"/>
              </w:rPr>
            </w:pPr>
            <w:r w:rsidRPr="004B3A67">
              <w:rPr>
                <w:sz w:val="20"/>
              </w:rPr>
              <w:t>(Ramsay J.)</w:t>
            </w:r>
          </w:p>
          <w:p w:rsidR="004B3A67" w:rsidRPr="004B3A67" w:rsidRDefault="004B3A67" w:rsidP="004B3A67">
            <w:pPr>
              <w:jc w:val="both"/>
              <w:rPr>
                <w:color w:val="000000" w:themeColor="text1"/>
                <w:sz w:val="20"/>
                <w:lang w:eastAsia="en-CA"/>
              </w:rPr>
            </w:pPr>
            <w:r w:rsidRPr="004B3A67">
              <w:rPr>
                <w:bCs/>
                <w:color w:val="000000" w:themeColor="text1"/>
                <w:sz w:val="20"/>
                <w:lang w:eastAsia="en-CA"/>
              </w:rPr>
              <w:t>2014 ONSC 1896</w:t>
            </w:r>
          </w:p>
          <w:p w:rsidR="004B3A67" w:rsidRPr="004B3A67" w:rsidRDefault="004B3A67" w:rsidP="004B3A67">
            <w:pPr>
              <w:jc w:val="both"/>
              <w:rPr>
                <w:sz w:val="20"/>
              </w:rPr>
            </w:pPr>
          </w:p>
        </w:tc>
        <w:tc>
          <w:tcPr>
            <w:tcW w:w="243" w:type="pct"/>
          </w:tcPr>
          <w:p w:rsidR="004B3A67" w:rsidRPr="004B3A67" w:rsidRDefault="004B3A67" w:rsidP="004B3A67">
            <w:pPr>
              <w:jc w:val="both"/>
              <w:rPr>
                <w:sz w:val="20"/>
              </w:rPr>
            </w:pPr>
          </w:p>
        </w:tc>
        <w:tc>
          <w:tcPr>
            <w:tcW w:w="2330" w:type="pct"/>
          </w:tcPr>
          <w:p w:rsidR="004B3A67" w:rsidRPr="004B3A67" w:rsidRDefault="004B3A67" w:rsidP="004B3A67">
            <w:pPr>
              <w:jc w:val="both"/>
              <w:rPr>
                <w:sz w:val="20"/>
                <w:lang w:eastAsia="en-CA"/>
              </w:rPr>
            </w:pPr>
            <w:r w:rsidRPr="004B3A67">
              <w:rPr>
                <w:color w:val="000000"/>
                <w:sz w:val="20"/>
                <w:lang w:eastAsia="en-CA"/>
              </w:rPr>
              <w:t>Application to exclude intercepted communications on other grounds, including marital privilege, having failed, communications admissible at trial.</w:t>
            </w:r>
          </w:p>
          <w:p w:rsidR="004B3A67" w:rsidRPr="004B3A67" w:rsidRDefault="004B3A67" w:rsidP="004B3A67">
            <w:pPr>
              <w:jc w:val="both"/>
              <w:rPr>
                <w:sz w:val="20"/>
              </w:rPr>
            </w:pPr>
          </w:p>
        </w:tc>
      </w:tr>
      <w:tr w:rsidR="004B3A67" w:rsidRPr="004B3A67" w:rsidTr="00E95A6A">
        <w:tc>
          <w:tcPr>
            <w:tcW w:w="2427" w:type="pct"/>
            <w:gridSpan w:val="2"/>
          </w:tcPr>
          <w:p w:rsidR="004B3A67" w:rsidRPr="004B3A67" w:rsidRDefault="004B3A67" w:rsidP="004B3A67">
            <w:pPr>
              <w:jc w:val="both"/>
              <w:rPr>
                <w:sz w:val="20"/>
              </w:rPr>
            </w:pPr>
            <w:r w:rsidRPr="004B3A67">
              <w:rPr>
                <w:sz w:val="20"/>
              </w:rPr>
              <w:t>September 8, 2014</w:t>
            </w:r>
          </w:p>
          <w:p w:rsidR="004B3A67" w:rsidRPr="004B3A67" w:rsidRDefault="004B3A67" w:rsidP="004B3A67">
            <w:pPr>
              <w:jc w:val="both"/>
              <w:rPr>
                <w:sz w:val="20"/>
              </w:rPr>
            </w:pPr>
            <w:r w:rsidRPr="004B3A67">
              <w:rPr>
                <w:sz w:val="20"/>
              </w:rPr>
              <w:t>Superior Court of Justice</w:t>
            </w:r>
          </w:p>
          <w:p w:rsidR="004B3A67" w:rsidRPr="004B3A67" w:rsidRDefault="004B3A67" w:rsidP="004B3A67">
            <w:pPr>
              <w:jc w:val="both"/>
              <w:rPr>
                <w:sz w:val="20"/>
              </w:rPr>
            </w:pPr>
            <w:r w:rsidRPr="004B3A67">
              <w:rPr>
                <w:sz w:val="20"/>
              </w:rPr>
              <w:t>(McMahon J.)</w:t>
            </w:r>
          </w:p>
        </w:tc>
        <w:tc>
          <w:tcPr>
            <w:tcW w:w="243" w:type="pct"/>
          </w:tcPr>
          <w:p w:rsidR="004B3A67" w:rsidRPr="004B3A67" w:rsidRDefault="004B3A67" w:rsidP="004B3A67">
            <w:pPr>
              <w:jc w:val="both"/>
              <w:rPr>
                <w:sz w:val="20"/>
              </w:rPr>
            </w:pPr>
          </w:p>
        </w:tc>
        <w:tc>
          <w:tcPr>
            <w:tcW w:w="2330" w:type="pct"/>
          </w:tcPr>
          <w:p w:rsidR="004B3A67" w:rsidRPr="004B3A67" w:rsidRDefault="004B3A67" w:rsidP="004B3A67">
            <w:pPr>
              <w:jc w:val="both"/>
              <w:rPr>
                <w:sz w:val="20"/>
              </w:rPr>
            </w:pPr>
            <w:r w:rsidRPr="004B3A67">
              <w:rPr>
                <w:sz w:val="20"/>
              </w:rPr>
              <w:t xml:space="preserve">Convictions of </w:t>
            </w:r>
            <w:r w:rsidRPr="004B3A67">
              <w:rPr>
                <w:color w:val="000000"/>
                <w:sz w:val="20"/>
              </w:rPr>
              <w:t xml:space="preserve">offences against, and conspiracy to commit offences against the </w:t>
            </w:r>
            <w:r w:rsidRPr="004B3A67">
              <w:rPr>
                <w:i/>
                <w:color w:val="000000"/>
                <w:sz w:val="20"/>
              </w:rPr>
              <w:t>Controlled Drugs and Substances Act</w:t>
            </w:r>
            <w:r w:rsidRPr="004B3A67">
              <w:rPr>
                <w:sz w:val="20"/>
              </w:rPr>
              <w:t xml:space="preserve"> entered before judge sitting without jury.</w:t>
            </w:r>
          </w:p>
          <w:p w:rsidR="004B3A67" w:rsidRPr="004B3A67" w:rsidRDefault="004B3A67" w:rsidP="004B3A67">
            <w:pPr>
              <w:jc w:val="both"/>
              <w:rPr>
                <w:sz w:val="20"/>
              </w:rPr>
            </w:pPr>
          </w:p>
        </w:tc>
      </w:tr>
      <w:tr w:rsidR="004B3A67" w:rsidRPr="004B3A67" w:rsidTr="00E95A6A">
        <w:tc>
          <w:tcPr>
            <w:tcW w:w="2427" w:type="pct"/>
            <w:gridSpan w:val="2"/>
          </w:tcPr>
          <w:p w:rsidR="004B3A67" w:rsidRPr="004B3A67" w:rsidRDefault="004B3A67" w:rsidP="004B3A67">
            <w:pPr>
              <w:jc w:val="both"/>
              <w:rPr>
                <w:sz w:val="20"/>
              </w:rPr>
            </w:pPr>
            <w:r w:rsidRPr="004B3A67">
              <w:rPr>
                <w:sz w:val="20"/>
              </w:rPr>
              <w:t>February 29, 2016</w:t>
            </w:r>
          </w:p>
          <w:p w:rsidR="004B3A67" w:rsidRPr="004B3A67" w:rsidRDefault="004B3A67" w:rsidP="004B3A67">
            <w:pPr>
              <w:jc w:val="both"/>
              <w:rPr>
                <w:sz w:val="20"/>
              </w:rPr>
            </w:pPr>
            <w:r w:rsidRPr="004B3A67">
              <w:rPr>
                <w:sz w:val="20"/>
              </w:rPr>
              <w:t>Court of Appeal for Ontario</w:t>
            </w:r>
          </w:p>
          <w:p w:rsidR="004B3A67" w:rsidRPr="004B3A67" w:rsidRDefault="004B3A67" w:rsidP="004B3A67">
            <w:pPr>
              <w:jc w:val="both"/>
              <w:rPr>
                <w:sz w:val="20"/>
              </w:rPr>
            </w:pPr>
            <w:r w:rsidRPr="004B3A67">
              <w:rPr>
                <w:sz w:val="20"/>
              </w:rPr>
              <w:t>(Watt, Brown and Roberts JJ.A.)</w:t>
            </w:r>
          </w:p>
          <w:p w:rsidR="004B3A67" w:rsidRPr="004B3A67" w:rsidRDefault="004B3A67" w:rsidP="004B3A67">
            <w:pPr>
              <w:jc w:val="both"/>
              <w:rPr>
                <w:sz w:val="20"/>
                <w:lang w:eastAsia="en-CA"/>
              </w:rPr>
            </w:pPr>
            <w:hyperlink r:id="rId27" w:history="1">
              <w:r w:rsidRPr="004B3A67">
                <w:rPr>
                  <w:color w:val="004B91"/>
                  <w:sz w:val="20"/>
                  <w:lang w:eastAsia="en-CA"/>
                </w:rPr>
                <w:t>2016 ONCA 160</w:t>
              </w:r>
            </w:hyperlink>
          </w:p>
          <w:p w:rsidR="004B3A67" w:rsidRPr="004B3A67" w:rsidRDefault="004B3A67" w:rsidP="004B3A67">
            <w:pPr>
              <w:jc w:val="both"/>
              <w:rPr>
                <w:sz w:val="20"/>
              </w:rPr>
            </w:pPr>
          </w:p>
        </w:tc>
        <w:tc>
          <w:tcPr>
            <w:tcW w:w="243" w:type="pct"/>
          </w:tcPr>
          <w:p w:rsidR="004B3A67" w:rsidRPr="004B3A67" w:rsidRDefault="004B3A67" w:rsidP="004B3A67">
            <w:pPr>
              <w:jc w:val="both"/>
              <w:rPr>
                <w:sz w:val="20"/>
              </w:rPr>
            </w:pPr>
          </w:p>
        </w:tc>
        <w:tc>
          <w:tcPr>
            <w:tcW w:w="2330" w:type="pct"/>
          </w:tcPr>
          <w:p w:rsidR="004B3A67" w:rsidRPr="004B3A67" w:rsidRDefault="004B3A67" w:rsidP="004B3A67">
            <w:pPr>
              <w:jc w:val="both"/>
              <w:rPr>
                <w:sz w:val="20"/>
              </w:rPr>
            </w:pPr>
            <w:r w:rsidRPr="004B3A67">
              <w:rPr>
                <w:sz w:val="20"/>
              </w:rPr>
              <w:t>Appeals from drug offences convictions dismissed.</w:t>
            </w:r>
          </w:p>
          <w:p w:rsidR="004B3A67" w:rsidRPr="004B3A67" w:rsidRDefault="004B3A67" w:rsidP="004B3A67">
            <w:pPr>
              <w:jc w:val="both"/>
              <w:rPr>
                <w:sz w:val="20"/>
              </w:rPr>
            </w:pPr>
          </w:p>
        </w:tc>
      </w:tr>
      <w:tr w:rsidR="004B3A67" w:rsidRPr="004B3A67" w:rsidTr="00E95A6A">
        <w:tc>
          <w:tcPr>
            <w:tcW w:w="2427" w:type="pct"/>
            <w:gridSpan w:val="2"/>
          </w:tcPr>
          <w:p w:rsidR="004B3A67" w:rsidRPr="004B3A67" w:rsidRDefault="004B3A67" w:rsidP="004B3A67">
            <w:pPr>
              <w:jc w:val="both"/>
              <w:rPr>
                <w:sz w:val="20"/>
              </w:rPr>
            </w:pPr>
            <w:r w:rsidRPr="004B3A67">
              <w:rPr>
                <w:sz w:val="20"/>
              </w:rPr>
              <w:t>April 29, 2016</w:t>
            </w:r>
          </w:p>
          <w:p w:rsidR="004B3A67" w:rsidRPr="004B3A67" w:rsidRDefault="004B3A67" w:rsidP="004B3A67">
            <w:pPr>
              <w:jc w:val="both"/>
              <w:rPr>
                <w:sz w:val="20"/>
              </w:rPr>
            </w:pPr>
            <w:r w:rsidRPr="004B3A67">
              <w:rPr>
                <w:sz w:val="20"/>
              </w:rPr>
              <w:t>Supreme Court of Canada</w:t>
            </w:r>
          </w:p>
        </w:tc>
        <w:tc>
          <w:tcPr>
            <w:tcW w:w="243" w:type="pct"/>
          </w:tcPr>
          <w:p w:rsidR="004B3A67" w:rsidRPr="004B3A67" w:rsidRDefault="004B3A67" w:rsidP="004B3A67">
            <w:pPr>
              <w:jc w:val="both"/>
              <w:rPr>
                <w:sz w:val="20"/>
              </w:rPr>
            </w:pPr>
          </w:p>
        </w:tc>
        <w:tc>
          <w:tcPr>
            <w:tcW w:w="2330" w:type="pct"/>
          </w:tcPr>
          <w:p w:rsidR="004B3A67" w:rsidRPr="004B3A67" w:rsidRDefault="004B3A67" w:rsidP="004B3A67">
            <w:pPr>
              <w:jc w:val="both"/>
              <w:rPr>
                <w:sz w:val="20"/>
              </w:rPr>
            </w:pPr>
            <w:r w:rsidRPr="004B3A67">
              <w:rPr>
                <w:sz w:val="20"/>
              </w:rPr>
              <w:t>Application for leave to appeal filed.</w:t>
            </w:r>
          </w:p>
          <w:p w:rsidR="004B3A67" w:rsidRPr="004B3A67" w:rsidRDefault="004B3A67" w:rsidP="004B3A67">
            <w:pPr>
              <w:jc w:val="both"/>
              <w:rPr>
                <w:sz w:val="20"/>
              </w:rPr>
            </w:pPr>
          </w:p>
        </w:tc>
      </w:tr>
    </w:tbl>
    <w:p w:rsidR="004B3A67" w:rsidRDefault="004B3A67" w:rsidP="004B3A67">
      <w:pPr>
        <w:jc w:val="both"/>
        <w:rPr>
          <w:sz w:val="20"/>
        </w:rPr>
      </w:pPr>
    </w:p>
    <w:p w:rsidR="004B3A67" w:rsidRPr="004B3A67" w:rsidRDefault="004B3A67" w:rsidP="004B3A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3A67" w:rsidRPr="004B3A67" w:rsidTr="00E95A6A">
        <w:tc>
          <w:tcPr>
            <w:tcW w:w="543" w:type="pct"/>
          </w:tcPr>
          <w:p w:rsidR="004B3A67" w:rsidRPr="004B3A67" w:rsidRDefault="004B3A67" w:rsidP="004B3A67">
            <w:pPr>
              <w:jc w:val="both"/>
              <w:rPr>
                <w:sz w:val="20"/>
                <w:lang w:val="fr-CA"/>
              </w:rPr>
            </w:pPr>
            <w:r w:rsidRPr="004B3A67">
              <w:rPr>
                <w:rStyle w:val="SCCFileNumberChar"/>
                <w:sz w:val="20"/>
                <w:szCs w:val="20"/>
                <w:lang w:val="fr-CA"/>
              </w:rPr>
              <w:t>36984</w:t>
            </w:r>
          </w:p>
        </w:tc>
        <w:tc>
          <w:tcPr>
            <w:tcW w:w="4457" w:type="pct"/>
            <w:gridSpan w:val="3"/>
          </w:tcPr>
          <w:p w:rsidR="004B3A67" w:rsidRPr="004B3A67" w:rsidRDefault="004B3A67" w:rsidP="004B3A67">
            <w:pPr>
              <w:pStyle w:val="SCCLsocParty"/>
              <w:jc w:val="both"/>
              <w:rPr>
                <w:b/>
                <w:sz w:val="20"/>
                <w:szCs w:val="20"/>
              </w:rPr>
            </w:pPr>
            <w:r w:rsidRPr="004B3A67">
              <w:rPr>
                <w:b/>
                <w:sz w:val="20"/>
                <w:szCs w:val="20"/>
              </w:rPr>
              <w:t>Nicola Nero c. Sa Majesté la Reine</w:t>
            </w:r>
          </w:p>
          <w:p w:rsidR="004B3A67" w:rsidRPr="004B3A67" w:rsidRDefault="004B3A67" w:rsidP="004B3A67">
            <w:pPr>
              <w:jc w:val="both"/>
              <w:rPr>
                <w:sz w:val="20"/>
                <w:lang w:val="fr-CA"/>
              </w:rPr>
            </w:pPr>
            <w:r w:rsidRPr="004B3A67">
              <w:rPr>
                <w:sz w:val="20"/>
                <w:lang w:val="fr-CA"/>
              </w:rPr>
              <w:t>(Ont.) (Criminelle) (Sur autorisation)</w:t>
            </w:r>
          </w:p>
        </w:tc>
      </w:tr>
      <w:tr w:rsidR="004B3A67" w:rsidRPr="004B3A67" w:rsidTr="00E95A6A">
        <w:tc>
          <w:tcPr>
            <w:tcW w:w="5000" w:type="pct"/>
            <w:gridSpan w:val="4"/>
          </w:tcPr>
          <w:p w:rsidR="004B3A67" w:rsidRPr="004B3A67" w:rsidRDefault="004B3A67" w:rsidP="004B3A67">
            <w:pPr>
              <w:jc w:val="both"/>
              <w:rPr>
                <w:sz w:val="20"/>
                <w:lang w:val="fr-CA" w:eastAsia="en-CA"/>
              </w:rPr>
            </w:pPr>
            <w:r w:rsidRPr="004B3A67">
              <w:rPr>
                <w:sz w:val="20"/>
                <w:lang w:val="fr-CA"/>
              </w:rPr>
              <w:t xml:space="preserve">Droit criminel – Preuve – Admissibilité – Communications privées – Privilège applicable aux communications – Communications entre conjoints – Prétention de l’un des coaccusés selon laquelle les communications avec sa compagne qui ont été interceptées bénéficiaient du privilège des communications entre conjoints – Ce privilège devrait-il voir sa portée accrue de manière qu’il s’applique également aux conjoints de fait? – Lorsque sont interceptées des communications privées entre conjoints de fait et eu égard à l’applicabilité du par. 189(6) du </w:t>
            </w:r>
            <w:r w:rsidRPr="004B3A67">
              <w:rPr>
                <w:i/>
                <w:sz w:val="20"/>
                <w:lang w:val="fr-CA"/>
              </w:rPr>
              <w:t>Code criminel</w:t>
            </w:r>
            <w:r w:rsidRPr="004B3A67">
              <w:rPr>
                <w:sz w:val="20"/>
                <w:lang w:val="fr-CA"/>
              </w:rPr>
              <w:t xml:space="preserve">, le </w:t>
            </w:r>
            <w:r w:rsidRPr="004B3A67">
              <w:rPr>
                <w:sz w:val="20"/>
                <w:lang w:val="fr-CA" w:eastAsia="en-CA"/>
              </w:rPr>
              <w:t xml:space="preserve">privilège des communications entre conjoints s’applique-t-il? </w:t>
            </w:r>
            <w:r w:rsidRPr="004B3A67">
              <w:rPr>
                <w:sz w:val="20"/>
                <w:lang w:val="fr-CA"/>
              </w:rPr>
              <w:t>– Les communications entre conjoints de fait qui sont interceptées peuvent-elles servir pour les besoins d’une enquête criminelle visant ces conjoints et, plus particulièrement, lorsqu’il s’agit de présenter une demande</w:t>
            </w:r>
            <w:r w:rsidRPr="004B3A67">
              <w:rPr>
                <w:sz w:val="20"/>
                <w:lang w:val="fr-CA" w:eastAsia="en-CA"/>
              </w:rPr>
              <w:t xml:space="preserve"> </w:t>
            </w:r>
            <w:r w:rsidRPr="004B3A67">
              <w:rPr>
                <w:i/>
                <w:sz w:val="20"/>
                <w:lang w:val="fr-CA" w:eastAsia="en-CA"/>
              </w:rPr>
              <w:t>ex parte</w:t>
            </w:r>
            <w:r w:rsidRPr="004B3A67">
              <w:rPr>
                <w:sz w:val="20"/>
                <w:lang w:val="fr-CA" w:eastAsia="en-CA"/>
              </w:rPr>
              <w:t xml:space="preserve">? </w:t>
            </w:r>
            <w:r w:rsidRPr="004B3A67">
              <w:rPr>
                <w:sz w:val="20"/>
                <w:lang w:val="fr-CA"/>
              </w:rPr>
              <w:t xml:space="preserve">– Appliqué à l’interception de communications privées entre conjoints, le privilège </w:t>
            </w:r>
            <w:proofErr w:type="spellStart"/>
            <w:r w:rsidRPr="004B3A67">
              <w:rPr>
                <w:sz w:val="20"/>
                <w:lang w:val="fr-CA"/>
              </w:rPr>
              <w:t>vaut-il</w:t>
            </w:r>
            <w:proofErr w:type="spellEnd"/>
            <w:r w:rsidRPr="004B3A67">
              <w:rPr>
                <w:sz w:val="20"/>
                <w:lang w:val="fr-CA"/>
              </w:rPr>
              <w:t xml:space="preserve"> seulement pour le témoignage</w:t>
            </w:r>
            <w:r w:rsidRPr="004B3A67">
              <w:rPr>
                <w:sz w:val="20"/>
                <w:lang w:val="fr-CA" w:eastAsia="en-CA"/>
              </w:rPr>
              <w:t>?</w:t>
            </w:r>
            <w:r w:rsidRPr="004B3A67">
              <w:rPr>
                <w:i/>
                <w:iCs/>
                <w:color w:val="000000"/>
                <w:sz w:val="20"/>
                <w:lang w:val="fr-CA" w:eastAsia="en-CA"/>
              </w:rPr>
              <w:t xml:space="preserve"> Loi sur la preuve au Canada</w:t>
            </w:r>
            <w:r w:rsidRPr="004B3A67">
              <w:rPr>
                <w:color w:val="000000"/>
                <w:sz w:val="20"/>
                <w:lang w:val="fr-CA" w:eastAsia="en-CA"/>
              </w:rPr>
              <w:t>, L.R.C. 1985, c. C-5, art. 4(3).</w:t>
            </w:r>
            <w:r w:rsidRPr="004B3A67">
              <w:rPr>
                <w:sz w:val="20"/>
                <w:lang w:val="fr-CA" w:eastAsia="en-CA"/>
              </w:rPr>
              <w:t xml:space="preserve"> </w:t>
            </w:r>
            <w:r w:rsidRPr="004B3A67">
              <w:rPr>
                <w:i/>
                <w:iCs/>
                <w:color w:val="000000"/>
                <w:sz w:val="20"/>
                <w:lang w:val="fr-CA" w:eastAsia="en-CA"/>
              </w:rPr>
              <w:t>Loi sur la preuve au Canada</w:t>
            </w:r>
            <w:r w:rsidRPr="004B3A67">
              <w:rPr>
                <w:color w:val="000000"/>
                <w:sz w:val="20"/>
                <w:lang w:val="fr-CA" w:eastAsia="en-CA"/>
              </w:rPr>
              <w:t>, art</w:t>
            </w:r>
            <w:r w:rsidRPr="004B3A67">
              <w:rPr>
                <w:sz w:val="20"/>
                <w:lang w:val="fr-CA"/>
              </w:rPr>
              <w:t>. 4(3).</w:t>
            </w:r>
          </w:p>
        </w:tc>
      </w:tr>
      <w:tr w:rsidR="004B3A67" w:rsidRPr="004B3A67" w:rsidTr="00E95A6A">
        <w:tc>
          <w:tcPr>
            <w:tcW w:w="5000" w:type="pct"/>
            <w:gridSpan w:val="4"/>
          </w:tcPr>
          <w:p w:rsidR="004B3A67" w:rsidRPr="004B3A67" w:rsidRDefault="004B3A67" w:rsidP="004B3A67">
            <w:pPr>
              <w:jc w:val="both"/>
              <w:rPr>
                <w:sz w:val="20"/>
                <w:lang w:val="fr-CA" w:eastAsia="en-CA"/>
              </w:rPr>
            </w:pPr>
          </w:p>
          <w:p w:rsidR="004B3A67" w:rsidRPr="004B3A67" w:rsidRDefault="004B3A67" w:rsidP="004B3A67">
            <w:pPr>
              <w:jc w:val="both"/>
              <w:rPr>
                <w:sz w:val="20"/>
                <w:lang w:val="fr-CA"/>
              </w:rPr>
            </w:pPr>
            <w:r w:rsidRPr="004B3A67">
              <w:rPr>
                <w:color w:val="000000"/>
                <w:sz w:val="20"/>
                <w:lang w:val="fr-CA" w:eastAsia="en-CA"/>
              </w:rPr>
              <w:t xml:space="preserve">L’enquête policière entreprise relativement à l’un des demandeurs, M. Nero, que l’on soupçonnait de faire le trafic de la cocaïne, a entraîné l’arrestation de plusieurs personnes. Des ordonnances de communication, des mandats de perquisition et des autorisations d’intercepter des communications privées avaient permis de recueillir une grande quantité d’éléments de preuve. Les demandeurs, MM. Nero et Caputo, ont fait l’objet d’un procès commun et ont d’abord opté pour un procès devant jury. Leur avocat a contesté en vain l’admissibilité de la preuve constituée grâce à l’enquête. Peu avant la sélection des jurés, les accusés ont présenté une requête en  récusation du juge, auquel il reprochait sa partialité. Ils n’ont pas donné suite à la requête et ont plutôt comparu relativement au même acte d’accusation devant un autre juge. Ils ont alors opté pour un procès devant juge seul et ont inscrit un plaidoyer de culpabilité. Ils ont subséquemment interjeté appel au motif que le premier juge s’était montré partial, qu’il avait commis une erreur de droit en confirmant la validité des mandats de perquisition et des autorisations obtenus lors de l’enquête et qu’il avait eu tort de ne pas exclure de la preuve les communications interceptées entre M. Nero et </w:t>
            </w:r>
            <w:proofErr w:type="spellStart"/>
            <w:r w:rsidRPr="004B3A67">
              <w:rPr>
                <w:color w:val="000000"/>
                <w:sz w:val="20"/>
                <w:lang w:val="fr-CA" w:eastAsia="en-CA"/>
              </w:rPr>
              <w:t>Tawnya</w:t>
            </w:r>
            <w:proofErr w:type="spellEnd"/>
            <w:r w:rsidRPr="004B3A67">
              <w:rPr>
                <w:color w:val="000000"/>
                <w:sz w:val="20"/>
                <w:lang w:val="fr-CA" w:eastAsia="en-CA"/>
              </w:rPr>
              <w:t xml:space="preserve"> Fletcher, une femme dont ce dernier prétendait qu’elle était sa conjointe de fait.</w:t>
            </w:r>
          </w:p>
        </w:tc>
      </w:tr>
      <w:tr w:rsidR="004B3A67" w:rsidRPr="004B3A67" w:rsidTr="00E95A6A">
        <w:tc>
          <w:tcPr>
            <w:tcW w:w="5000" w:type="pct"/>
            <w:gridSpan w:val="4"/>
          </w:tcPr>
          <w:p w:rsidR="004B3A67" w:rsidRPr="004B3A67" w:rsidRDefault="004B3A67" w:rsidP="004B3A67">
            <w:pPr>
              <w:jc w:val="both"/>
              <w:rPr>
                <w:sz w:val="20"/>
                <w:lang w:val="fr-CA"/>
              </w:rPr>
            </w:pPr>
          </w:p>
        </w:tc>
      </w:tr>
      <w:tr w:rsidR="004B3A67" w:rsidRPr="004B3A67" w:rsidTr="00E95A6A">
        <w:tc>
          <w:tcPr>
            <w:tcW w:w="2427" w:type="pct"/>
            <w:gridSpan w:val="2"/>
          </w:tcPr>
          <w:p w:rsidR="004B3A67" w:rsidRPr="004B3A67" w:rsidRDefault="004B3A67" w:rsidP="004B3A67">
            <w:pPr>
              <w:jc w:val="both"/>
              <w:rPr>
                <w:sz w:val="20"/>
                <w:lang w:val="fr-CA"/>
              </w:rPr>
            </w:pPr>
            <w:r w:rsidRPr="004B3A67">
              <w:rPr>
                <w:sz w:val="20"/>
                <w:lang w:val="fr-CA"/>
              </w:rPr>
              <w:t>25 mars 2014</w:t>
            </w:r>
          </w:p>
          <w:p w:rsidR="004B3A67" w:rsidRPr="004B3A67" w:rsidRDefault="004B3A67" w:rsidP="004B3A67">
            <w:pPr>
              <w:jc w:val="both"/>
              <w:rPr>
                <w:sz w:val="20"/>
                <w:lang w:val="fr-CA"/>
              </w:rPr>
            </w:pPr>
            <w:r w:rsidRPr="004B3A67">
              <w:rPr>
                <w:sz w:val="20"/>
                <w:lang w:val="fr-CA"/>
              </w:rPr>
              <w:t xml:space="preserve">Cour supérieure de justice de l’Ontario </w:t>
            </w:r>
          </w:p>
          <w:p w:rsidR="004B3A67" w:rsidRPr="004B3A67" w:rsidRDefault="004B3A67" w:rsidP="004B3A67">
            <w:pPr>
              <w:jc w:val="both"/>
              <w:rPr>
                <w:sz w:val="20"/>
                <w:lang w:val="fr-CA"/>
              </w:rPr>
            </w:pPr>
            <w:r w:rsidRPr="004B3A67">
              <w:rPr>
                <w:sz w:val="20"/>
                <w:lang w:val="fr-CA"/>
              </w:rPr>
              <w:t>(Juge Ramsay)</w:t>
            </w:r>
          </w:p>
          <w:p w:rsidR="004B3A67" w:rsidRPr="004B3A67" w:rsidRDefault="004B3A67" w:rsidP="004B3A67">
            <w:pPr>
              <w:jc w:val="both"/>
              <w:rPr>
                <w:color w:val="000000" w:themeColor="text1"/>
                <w:sz w:val="20"/>
                <w:lang w:val="fr-CA" w:eastAsia="en-CA"/>
              </w:rPr>
            </w:pPr>
            <w:r w:rsidRPr="004B3A67">
              <w:rPr>
                <w:bCs/>
                <w:color w:val="000000" w:themeColor="text1"/>
                <w:sz w:val="20"/>
                <w:lang w:val="fr-CA" w:eastAsia="en-CA"/>
              </w:rPr>
              <w:t>2014 ONSC 1896</w:t>
            </w:r>
          </w:p>
          <w:p w:rsidR="004B3A67" w:rsidRPr="004B3A67" w:rsidRDefault="004B3A67" w:rsidP="004B3A67">
            <w:pPr>
              <w:jc w:val="both"/>
              <w:rPr>
                <w:sz w:val="20"/>
              </w:rPr>
            </w:pPr>
          </w:p>
        </w:tc>
        <w:tc>
          <w:tcPr>
            <w:tcW w:w="243" w:type="pct"/>
          </w:tcPr>
          <w:p w:rsidR="004B3A67" w:rsidRPr="004B3A67" w:rsidRDefault="004B3A67" w:rsidP="004B3A67">
            <w:pPr>
              <w:jc w:val="both"/>
              <w:rPr>
                <w:sz w:val="20"/>
              </w:rPr>
            </w:pPr>
          </w:p>
        </w:tc>
        <w:tc>
          <w:tcPr>
            <w:tcW w:w="2330" w:type="pct"/>
          </w:tcPr>
          <w:p w:rsidR="004B3A67" w:rsidRPr="004B3A67" w:rsidRDefault="004B3A67" w:rsidP="004B3A67">
            <w:pPr>
              <w:jc w:val="both"/>
              <w:rPr>
                <w:sz w:val="20"/>
                <w:lang w:val="fr-CA" w:eastAsia="en-CA"/>
              </w:rPr>
            </w:pPr>
            <w:r w:rsidRPr="004B3A67">
              <w:rPr>
                <w:color w:val="000000"/>
                <w:sz w:val="20"/>
                <w:lang w:val="fr-CA" w:eastAsia="en-CA"/>
              </w:rPr>
              <w:t>Communications jugées admissibles après le rejet de la demande d’exclusion des communications  interceptées fondée sur d’autres motifs, dont le p</w:t>
            </w:r>
            <w:r w:rsidRPr="004B3A67">
              <w:rPr>
                <w:sz w:val="20"/>
                <w:lang w:val="fr-CA"/>
              </w:rPr>
              <w:t>rivilège des communications entre conjoints</w:t>
            </w:r>
            <w:r w:rsidRPr="004B3A67">
              <w:rPr>
                <w:color w:val="000000"/>
                <w:sz w:val="20"/>
                <w:lang w:val="fr-CA" w:eastAsia="en-CA"/>
              </w:rPr>
              <w:t>.</w:t>
            </w:r>
          </w:p>
          <w:p w:rsidR="004B3A67" w:rsidRPr="004B3A67" w:rsidRDefault="004B3A67" w:rsidP="004B3A67">
            <w:pPr>
              <w:jc w:val="both"/>
              <w:rPr>
                <w:sz w:val="20"/>
                <w:lang w:val="fr-CA"/>
              </w:rPr>
            </w:pPr>
          </w:p>
        </w:tc>
      </w:tr>
      <w:tr w:rsidR="004B3A67" w:rsidRPr="004B3A67" w:rsidTr="00E95A6A">
        <w:tc>
          <w:tcPr>
            <w:tcW w:w="2427" w:type="pct"/>
            <w:gridSpan w:val="2"/>
          </w:tcPr>
          <w:p w:rsidR="004B3A67" w:rsidRPr="004B3A67" w:rsidRDefault="004B3A67" w:rsidP="004B3A67">
            <w:pPr>
              <w:jc w:val="both"/>
              <w:rPr>
                <w:sz w:val="20"/>
                <w:lang w:val="fr-CA"/>
              </w:rPr>
            </w:pPr>
            <w:r w:rsidRPr="004B3A67">
              <w:rPr>
                <w:sz w:val="20"/>
                <w:lang w:val="fr-CA"/>
              </w:rPr>
              <w:t>8 septembre 2014</w:t>
            </w:r>
          </w:p>
          <w:p w:rsidR="004B3A67" w:rsidRPr="004B3A67" w:rsidRDefault="004B3A67" w:rsidP="004B3A67">
            <w:pPr>
              <w:jc w:val="both"/>
              <w:rPr>
                <w:sz w:val="20"/>
                <w:lang w:val="fr-CA"/>
              </w:rPr>
            </w:pPr>
            <w:r w:rsidRPr="004B3A67">
              <w:rPr>
                <w:sz w:val="20"/>
                <w:lang w:val="fr-CA"/>
              </w:rPr>
              <w:t xml:space="preserve">Cour supérieure de justice </w:t>
            </w:r>
          </w:p>
          <w:p w:rsidR="004B3A67" w:rsidRPr="004B3A67" w:rsidRDefault="004B3A67" w:rsidP="004B3A67">
            <w:pPr>
              <w:jc w:val="both"/>
              <w:rPr>
                <w:sz w:val="20"/>
                <w:lang w:val="fr-CA"/>
              </w:rPr>
            </w:pPr>
            <w:r w:rsidRPr="004B3A67">
              <w:rPr>
                <w:sz w:val="20"/>
                <w:lang w:val="fr-CA"/>
              </w:rPr>
              <w:t>(Juge McMahon)</w:t>
            </w:r>
          </w:p>
        </w:tc>
        <w:tc>
          <w:tcPr>
            <w:tcW w:w="243" w:type="pct"/>
          </w:tcPr>
          <w:p w:rsidR="004B3A67" w:rsidRPr="004B3A67" w:rsidRDefault="004B3A67" w:rsidP="004B3A67">
            <w:pPr>
              <w:jc w:val="both"/>
              <w:rPr>
                <w:sz w:val="20"/>
                <w:lang w:val="fr-CA"/>
              </w:rPr>
            </w:pPr>
          </w:p>
        </w:tc>
        <w:tc>
          <w:tcPr>
            <w:tcW w:w="2330" w:type="pct"/>
          </w:tcPr>
          <w:p w:rsidR="004B3A67" w:rsidRPr="004B3A67" w:rsidRDefault="004B3A67" w:rsidP="004B3A67">
            <w:pPr>
              <w:jc w:val="both"/>
              <w:rPr>
                <w:sz w:val="20"/>
                <w:lang w:val="fr-CA"/>
              </w:rPr>
            </w:pPr>
            <w:r w:rsidRPr="004B3A67">
              <w:rPr>
                <w:sz w:val="20"/>
                <w:lang w:val="fr-CA"/>
              </w:rPr>
              <w:t xml:space="preserve">Inscription par le juge siégeant sans jury de déclarations de culpabilité pour infractions à la </w:t>
            </w:r>
            <w:r w:rsidRPr="004B3A67">
              <w:rPr>
                <w:i/>
                <w:sz w:val="20"/>
                <w:lang w:val="fr-CA"/>
              </w:rPr>
              <w:t>Loi réglementant certaines drogues et autres substances</w:t>
            </w:r>
            <w:r w:rsidRPr="004B3A67">
              <w:rPr>
                <w:sz w:val="20"/>
                <w:lang w:val="fr-CA"/>
              </w:rPr>
              <w:t xml:space="preserve"> et complot en vue de commettre de telles infractions.</w:t>
            </w:r>
          </w:p>
          <w:p w:rsidR="004B3A67" w:rsidRPr="004B3A67" w:rsidRDefault="004B3A67" w:rsidP="004B3A67">
            <w:pPr>
              <w:jc w:val="both"/>
              <w:rPr>
                <w:sz w:val="20"/>
                <w:lang w:val="fr-CA"/>
              </w:rPr>
            </w:pPr>
          </w:p>
        </w:tc>
      </w:tr>
      <w:tr w:rsidR="004B3A67" w:rsidRPr="004B3A67" w:rsidTr="00E95A6A">
        <w:tc>
          <w:tcPr>
            <w:tcW w:w="2427" w:type="pct"/>
            <w:gridSpan w:val="2"/>
          </w:tcPr>
          <w:p w:rsidR="004B3A67" w:rsidRPr="004B3A67" w:rsidRDefault="004B3A67" w:rsidP="004B3A67">
            <w:pPr>
              <w:jc w:val="both"/>
              <w:rPr>
                <w:sz w:val="20"/>
                <w:lang w:val="fr-CA"/>
              </w:rPr>
            </w:pPr>
            <w:r w:rsidRPr="004B3A67">
              <w:rPr>
                <w:sz w:val="20"/>
                <w:lang w:val="fr-CA"/>
              </w:rPr>
              <w:t>29 février 2016</w:t>
            </w:r>
          </w:p>
          <w:p w:rsidR="004B3A67" w:rsidRPr="004B3A67" w:rsidRDefault="004B3A67" w:rsidP="004B3A67">
            <w:pPr>
              <w:jc w:val="both"/>
              <w:rPr>
                <w:sz w:val="20"/>
                <w:lang w:val="fr-CA"/>
              </w:rPr>
            </w:pPr>
            <w:r w:rsidRPr="004B3A67">
              <w:rPr>
                <w:sz w:val="20"/>
                <w:lang w:val="fr-CA"/>
              </w:rPr>
              <w:t>Cour d’appel de l’Ontario</w:t>
            </w:r>
          </w:p>
          <w:p w:rsidR="004B3A67" w:rsidRPr="004B3A67" w:rsidRDefault="004B3A67" w:rsidP="004B3A67">
            <w:pPr>
              <w:jc w:val="both"/>
              <w:rPr>
                <w:sz w:val="20"/>
                <w:lang w:val="fr-CA"/>
              </w:rPr>
            </w:pPr>
            <w:r w:rsidRPr="004B3A67">
              <w:rPr>
                <w:sz w:val="20"/>
                <w:lang w:val="fr-CA"/>
              </w:rPr>
              <w:t>(Juges Watt, Brown et Roberts)</w:t>
            </w:r>
          </w:p>
          <w:p w:rsidR="004B3A67" w:rsidRPr="004B3A67" w:rsidRDefault="004B3A67" w:rsidP="004B3A67">
            <w:pPr>
              <w:jc w:val="both"/>
              <w:rPr>
                <w:sz w:val="20"/>
                <w:lang w:eastAsia="en-CA"/>
              </w:rPr>
            </w:pPr>
            <w:hyperlink r:id="rId28" w:history="1">
              <w:r w:rsidRPr="004B3A67">
                <w:rPr>
                  <w:color w:val="004B91"/>
                  <w:sz w:val="20"/>
                  <w:lang w:eastAsia="en-CA"/>
                </w:rPr>
                <w:t>2016 ONCA 160</w:t>
              </w:r>
            </w:hyperlink>
          </w:p>
          <w:p w:rsidR="004B3A67" w:rsidRPr="004B3A67" w:rsidRDefault="004B3A67" w:rsidP="004B3A67">
            <w:pPr>
              <w:jc w:val="both"/>
              <w:rPr>
                <w:sz w:val="20"/>
              </w:rPr>
            </w:pPr>
          </w:p>
        </w:tc>
        <w:tc>
          <w:tcPr>
            <w:tcW w:w="243" w:type="pct"/>
          </w:tcPr>
          <w:p w:rsidR="004B3A67" w:rsidRPr="004B3A67" w:rsidRDefault="004B3A67" w:rsidP="004B3A67">
            <w:pPr>
              <w:jc w:val="both"/>
              <w:rPr>
                <w:sz w:val="20"/>
              </w:rPr>
            </w:pPr>
          </w:p>
        </w:tc>
        <w:tc>
          <w:tcPr>
            <w:tcW w:w="2330" w:type="pct"/>
          </w:tcPr>
          <w:p w:rsidR="004B3A67" w:rsidRPr="004B3A67" w:rsidRDefault="004B3A67" w:rsidP="004B3A67">
            <w:pPr>
              <w:jc w:val="both"/>
              <w:rPr>
                <w:sz w:val="20"/>
                <w:lang w:val="fr-CA"/>
              </w:rPr>
            </w:pPr>
            <w:r w:rsidRPr="004B3A67">
              <w:rPr>
                <w:sz w:val="20"/>
                <w:lang w:val="fr-CA"/>
              </w:rPr>
              <w:t>Rejet des appels interjetés relativement aux déclarations de culpabilité pour infractions liées à la drogue.</w:t>
            </w:r>
          </w:p>
          <w:p w:rsidR="004B3A67" w:rsidRPr="004B3A67" w:rsidRDefault="004B3A67" w:rsidP="004B3A67">
            <w:pPr>
              <w:jc w:val="both"/>
              <w:rPr>
                <w:sz w:val="20"/>
                <w:lang w:val="fr-CA"/>
              </w:rPr>
            </w:pPr>
          </w:p>
        </w:tc>
      </w:tr>
      <w:tr w:rsidR="004B3A67" w:rsidRPr="004B3A67" w:rsidTr="00E95A6A">
        <w:tc>
          <w:tcPr>
            <w:tcW w:w="2427" w:type="pct"/>
            <w:gridSpan w:val="2"/>
          </w:tcPr>
          <w:p w:rsidR="004B3A67" w:rsidRPr="004B3A67" w:rsidRDefault="004B3A67" w:rsidP="004B3A67">
            <w:pPr>
              <w:jc w:val="both"/>
              <w:rPr>
                <w:sz w:val="20"/>
                <w:lang w:val="fr-CA"/>
              </w:rPr>
            </w:pPr>
            <w:r w:rsidRPr="004B3A67">
              <w:rPr>
                <w:sz w:val="20"/>
                <w:lang w:val="fr-CA"/>
              </w:rPr>
              <w:t>29 avril 2016</w:t>
            </w:r>
          </w:p>
          <w:p w:rsidR="004B3A67" w:rsidRPr="004B3A67" w:rsidRDefault="004B3A67" w:rsidP="004B3A67">
            <w:pPr>
              <w:jc w:val="both"/>
              <w:rPr>
                <w:sz w:val="20"/>
                <w:lang w:val="fr-CA"/>
              </w:rPr>
            </w:pPr>
            <w:r w:rsidRPr="004B3A67">
              <w:rPr>
                <w:sz w:val="20"/>
                <w:lang w:val="fr-CA"/>
              </w:rPr>
              <w:t>Cour suprême du Canada</w:t>
            </w:r>
          </w:p>
        </w:tc>
        <w:tc>
          <w:tcPr>
            <w:tcW w:w="243" w:type="pct"/>
          </w:tcPr>
          <w:p w:rsidR="004B3A67" w:rsidRPr="004B3A67" w:rsidRDefault="004B3A67" w:rsidP="004B3A67">
            <w:pPr>
              <w:jc w:val="both"/>
              <w:rPr>
                <w:sz w:val="20"/>
                <w:lang w:val="fr-CA"/>
              </w:rPr>
            </w:pPr>
          </w:p>
        </w:tc>
        <w:tc>
          <w:tcPr>
            <w:tcW w:w="2330" w:type="pct"/>
          </w:tcPr>
          <w:p w:rsidR="004B3A67" w:rsidRPr="004B3A67" w:rsidRDefault="004B3A67" w:rsidP="004B3A67">
            <w:pPr>
              <w:jc w:val="both"/>
              <w:rPr>
                <w:sz w:val="20"/>
                <w:lang w:val="fr-CA"/>
              </w:rPr>
            </w:pPr>
            <w:r w:rsidRPr="004B3A67">
              <w:rPr>
                <w:sz w:val="20"/>
                <w:lang w:val="fr-CA"/>
              </w:rPr>
              <w:t>Dépôt de la demande d’autorisation.</w:t>
            </w:r>
          </w:p>
          <w:p w:rsidR="004B3A67" w:rsidRPr="004B3A67" w:rsidRDefault="004B3A67" w:rsidP="004B3A67">
            <w:pPr>
              <w:jc w:val="both"/>
              <w:rPr>
                <w:sz w:val="20"/>
                <w:lang w:val="fr-CA"/>
              </w:rPr>
            </w:pPr>
          </w:p>
        </w:tc>
      </w:tr>
    </w:tbl>
    <w:p w:rsidR="004B3A67" w:rsidRPr="00B81006" w:rsidRDefault="004B3A67" w:rsidP="00B81006">
      <w:pPr>
        <w:jc w:val="both"/>
        <w:rPr>
          <w:sz w:val="20"/>
          <w:lang w:val="fr-CA"/>
        </w:rPr>
      </w:pPr>
    </w:p>
    <w:p w:rsidR="00684CAA" w:rsidRPr="00B81006" w:rsidRDefault="00684CAA" w:rsidP="00B8100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1006" w:rsidRPr="00B81006" w:rsidTr="00E95A6A">
        <w:tc>
          <w:tcPr>
            <w:tcW w:w="543" w:type="pct"/>
          </w:tcPr>
          <w:p w:rsidR="00B81006" w:rsidRPr="00B81006" w:rsidRDefault="00B81006" w:rsidP="00B81006">
            <w:pPr>
              <w:jc w:val="both"/>
              <w:rPr>
                <w:sz w:val="20"/>
              </w:rPr>
            </w:pPr>
            <w:r w:rsidRPr="00B81006">
              <w:rPr>
                <w:rStyle w:val="SCCFileNumberChar"/>
                <w:sz w:val="20"/>
                <w:szCs w:val="20"/>
              </w:rPr>
              <w:t>36985</w:t>
            </w:r>
          </w:p>
        </w:tc>
        <w:tc>
          <w:tcPr>
            <w:tcW w:w="4457" w:type="pct"/>
            <w:gridSpan w:val="3"/>
          </w:tcPr>
          <w:p w:rsidR="00B81006" w:rsidRPr="00B81006" w:rsidRDefault="00B81006" w:rsidP="00B81006">
            <w:pPr>
              <w:pStyle w:val="SCCLsocParty"/>
              <w:jc w:val="both"/>
              <w:rPr>
                <w:b/>
                <w:sz w:val="20"/>
                <w:szCs w:val="20"/>
              </w:rPr>
            </w:pPr>
            <w:r w:rsidRPr="00B81006">
              <w:rPr>
                <w:b/>
                <w:sz w:val="20"/>
                <w:szCs w:val="20"/>
              </w:rPr>
              <w:t>Martino Caputo v. Her Majesty the Queen</w:t>
            </w:r>
          </w:p>
          <w:p w:rsidR="00B81006" w:rsidRPr="00B81006" w:rsidRDefault="00B81006" w:rsidP="00B81006">
            <w:pPr>
              <w:jc w:val="both"/>
              <w:rPr>
                <w:sz w:val="20"/>
              </w:rPr>
            </w:pPr>
            <w:r w:rsidRPr="00B81006">
              <w:rPr>
                <w:sz w:val="20"/>
              </w:rPr>
              <w:t>(Ont.) (Criminal) (By Leave)</w:t>
            </w:r>
          </w:p>
        </w:tc>
      </w:tr>
      <w:tr w:rsidR="00B81006" w:rsidRPr="00B81006" w:rsidTr="00E95A6A">
        <w:tc>
          <w:tcPr>
            <w:tcW w:w="5000" w:type="pct"/>
            <w:gridSpan w:val="4"/>
          </w:tcPr>
          <w:p w:rsidR="00B81006" w:rsidRPr="00B81006" w:rsidRDefault="00B81006" w:rsidP="00B81006">
            <w:pPr>
              <w:jc w:val="both"/>
              <w:rPr>
                <w:sz w:val="20"/>
              </w:rPr>
            </w:pPr>
            <w:r w:rsidRPr="00B81006">
              <w:rPr>
                <w:sz w:val="20"/>
              </w:rPr>
              <w:t xml:space="preserve">Criminal law – Evidence – Admissibility – Private communications – Privileged communications – Spousal communications – Contention by one co-accused that intercepted communications with partner were protected by spousal communication privilege – </w:t>
            </w:r>
            <w:r w:rsidRPr="00B81006">
              <w:rPr>
                <w:sz w:val="20"/>
                <w:lang w:eastAsia="en-CA"/>
              </w:rPr>
              <w:t xml:space="preserve">Should spousal communication privilege be extended to include common-law spouses? </w:t>
            </w:r>
            <w:r w:rsidRPr="00B81006">
              <w:rPr>
                <w:sz w:val="20"/>
              </w:rPr>
              <w:t xml:space="preserve">– </w:t>
            </w:r>
            <w:r w:rsidRPr="00B81006">
              <w:rPr>
                <w:sz w:val="20"/>
                <w:lang w:eastAsia="en-CA"/>
              </w:rPr>
              <w:t xml:space="preserve">In the context of intercepted private communications between common-law spouses, and the applicability of s. 189(6) of the </w:t>
            </w:r>
            <w:r w:rsidRPr="00B81006">
              <w:rPr>
                <w:i/>
                <w:sz w:val="20"/>
                <w:lang w:eastAsia="en-CA"/>
              </w:rPr>
              <w:t>Criminal Code</w:t>
            </w:r>
            <w:r w:rsidRPr="00B81006">
              <w:rPr>
                <w:sz w:val="20"/>
                <w:lang w:eastAsia="en-CA"/>
              </w:rPr>
              <w:t xml:space="preserve">, are such intercepted communications between common-law spouses privileged? </w:t>
            </w:r>
            <w:r w:rsidRPr="00B81006">
              <w:rPr>
                <w:sz w:val="20"/>
              </w:rPr>
              <w:t xml:space="preserve">– </w:t>
            </w:r>
            <w:r w:rsidRPr="00B81006">
              <w:rPr>
                <w:sz w:val="20"/>
                <w:lang w:eastAsia="en-CA"/>
              </w:rPr>
              <w:t xml:space="preserve">Can intercepted communications between common-law spouses be used in furtherance of a criminal investigation against the spouses, and for specificity, in an </w:t>
            </w:r>
            <w:r w:rsidRPr="00B81006">
              <w:rPr>
                <w:i/>
                <w:sz w:val="20"/>
                <w:lang w:eastAsia="en-CA"/>
              </w:rPr>
              <w:t>ex parte</w:t>
            </w:r>
            <w:r w:rsidRPr="00B81006">
              <w:rPr>
                <w:sz w:val="20"/>
                <w:lang w:eastAsia="en-CA"/>
              </w:rPr>
              <w:t xml:space="preserve"> application? </w:t>
            </w:r>
            <w:r w:rsidRPr="00B81006">
              <w:rPr>
                <w:sz w:val="20"/>
              </w:rPr>
              <w:t xml:space="preserve">– </w:t>
            </w:r>
            <w:r w:rsidRPr="00B81006">
              <w:rPr>
                <w:sz w:val="20"/>
                <w:lang w:eastAsia="en-CA"/>
              </w:rPr>
              <w:t>Is spousal communication privilege, in the context of intercepted private communication between spouses, testimonial only in nature?</w:t>
            </w:r>
            <w:r w:rsidRPr="00B81006">
              <w:rPr>
                <w:i/>
                <w:iCs/>
                <w:color w:val="000000"/>
                <w:sz w:val="20"/>
                <w:lang w:eastAsia="en-CA"/>
              </w:rPr>
              <w:t xml:space="preserve"> Canada Evidence Act</w:t>
            </w:r>
            <w:r w:rsidRPr="00B81006">
              <w:rPr>
                <w:color w:val="000000"/>
                <w:sz w:val="20"/>
                <w:lang w:eastAsia="en-CA"/>
              </w:rPr>
              <w:t>, R.S.C., 1985, c. C-5 s. 4(3).</w:t>
            </w:r>
            <w:r w:rsidRPr="00B81006">
              <w:rPr>
                <w:sz w:val="20"/>
                <w:lang w:eastAsia="en-CA"/>
              </w:rPr>
              <w:t xml:space="preserve"> </w:t>
            </w:r>
            <w:r w:rsidRPr="00B81006">
              <w:rPr>
                <w:i/>
                <w:sz w:val="20"/>
              </w:rPr>
              <w:t>Canada Evidence Act</w:t>
            </w:r>
            <w:r w:rsidRPr="00B81006">
              <w:rPr>
                <w:sz w:val="20"/>
              </w:rPr>
              <w:t>, s. 4(3).</w:t>
            </w:r>
          </w:p>
          <w:p w:rsidR="00B81006" w:rsidRPr="00B81006" w:rsidRDefault="00B81006" w:rsidP="00B81006">
            <w:pPr>
              <w:jc w:val="both"/>
              <w:rPr>
                <w:sz w:val="20"/>
              </w:rPr>
            </w:pPr>
          </w:p>
        </w:tc>
      </w:tr>
      <w:tr w:rsidR="00B81006" w:rsidRPr="00B81006" w:rsidTr="00E95A6A">
        <w:tc>
          <w:tcPr>
            <w:tcW w:w="5000" w:type="pct"/>
            <w:gridSpan w:val="4"/>
          </w:tcPr>
          <w:p w:rsidR="00B81006" w:rsidRPr="00B81006" w:rsidRDefault="00B81006" w:rsidP="00B81006">
            <w:pPr>
              <w:jc w:val="both"/>
              <w:rPr>
                <w:sz w:val="20"/>
              </w:rPr>
            </w:pPr>
            <w:r w:rsidRPr="00B81006">
              <w:rPr>
                <w:color w:val="000000"/>
                <w:sz w:val="20"/>
                <w:lang w:eastAsia="en-CA"/>
              </w:rPr>
              <w:t xml:space="preserve">A police investigation into suspected cocaine trafficking by the Applicant Mr. Nero resulted in several arrests. The investigation involved production orders, search warrants, and authorizations to intercept personal communications that yielded a substantial amount of evidence. The Applicants Mr. Nero and Mr. Caputo were tried together and initially elected a jury trial. Defence counsel's attack on the admissibility of the evidence obtained during the investigation was unsuccessful. Shortly before jury selection, the accused filed a motion for recusal on the basis of bias. The motion was not pursued. Instead, the </w:t>
            </w:r>
            <w:proofErr w:type="spellStart"/>
            <w:r w:rsidRPr="00B81006">
              <w:rPr>
                <w:color w:val="000000"/>
                <w:sz w:val="20"/>
                <w:lang w:eastAsia="en-CA"/>
              </w:rPr>
              <w:t>accuseds</w:t>
            </w:r>
            <w:proofErr w:type="spellEnd"/>
            <w:r w:rsidRPr="00B81006">
              <w:rPr>
                <w:color w:val="000000"/>
                <w:sz w:val="20"/>
                <w:lang w:eastAsia="en-CA"/>
              </w:rPr>
              <w:t xml:space="preserve"> appeared on the same indictment before another judge. They re-elected a trial by judge alone and pled guilty. The </w:t>
            </w:r>
            <w:proofErr w:type="spellStart"/>
            <w:r w:rsidRPr="00B81006">
              <w:rPr>
                <w:color w:val="000000"/>
                <w:sz w:val="20"/>
                <w:lang w:eastAsia="en-CA"/>
              </w:rPr>
              <w:t>accuseds</w:t>
            </w:r>
            <w:proofErr w:type="spellEnd"/>
            <w:r w:rsidRPr="00B81006">
              <w:rPr>
                <w:color w:val="000000"/>
                <w:sz w:val="20"/>
                <w:lang w:eastAsia="en-CA"/>
              </w:rPr>
              <w:t xml:space="preserve"> subsequently appealed on the basis the original judge was biased, erred in law in upholding the validity of the warrants and authorizations obtained during the investigation, and erred in failing to exclude intercepted communications between Mr. Nero and a woman, Ms. </w:t>
            </w:r>
            <w:proofErr w:type="spellStart"/>
            <w:r w:rsidRPr="00B81006">
              <w:rPr>
                <w:color w:val="000000"/>
                <w:sz w:val="20"/>
                <w:lang w:eastAsia="en-CA"/>
              </w:rPr>
              <w:t>Tawnya</w:t>
            </w:r>
            <w:proofErr w:type="spellEnd"/>
            <w:r w:rsidRPr="00B81006">
              <w:rPr>
                <w:color w:val="000000"/>
                <w:sz w:val="20"/>
                <w:lang w:eastAsia="en-CA"/>
              </w:rPr>
              <w:t xml:space="preserve"> Fletcher, he claimed was his common-law spouse.</w:t>
            </w:r>
          </w:p>
        </w:tc>
      </w:tr>
      <w:tr w:rsidR="00B81006" w:rsidRPr="00B81006" w:rsidTr="00E95A6A">
        <w:tc>
          <w:tcPr>
            <w:tcW w:w="5000" w:type="pct"/>
            <w:gridSpan w:val="4"/>
          </w:tcPr>
          <w:p w:rsidR="00B81006" w:rsidRPr="00B81006" w:rsidRDefault="00B81006" w:rsidP="00B81006">
            <w:pPr>
              <w:jc w:val="both"/>
              <w:rPr>
                <w:sz w:val="20"/>
              </w:rPr>
            </w:pPr>
          </w:p>
        </w:tc>
      </w:tr>
      <w:tr w:rsidR="00B81006" w:rsidRPr="00B81006" w:rsidTr="00E95A6A">
        <w:tc>
          <w:tcPr>
            <w:tcW w:w="2427" w:type="pct"/>
            <w:gridSpan w:val="2"/>
          </w:tcPr>
          <w:p w:rsidR="00B81006" w:rsidRPr="00B81006" w:rsidRDefault="00B81006" w:rsidP="00B81006">
            <w:pPr>
              <w:jc w:val="both"/>
              <w:rPr>
                <w:sz w:val="20"/>
              </w:rPr>
            </w:pPr>
            <w:r w:rsidRPr="00B81006">
              <w:rPr>
                <w:sz w:val="20"/>
              </w:rPr>
              <w:t>March 25, 2014</w:t>
            </w:r>
          </w:p>
          <w:p w:rsidR="00B81006" w:rsidRPr="00B81006" w:rsidRDefault="00B81006" w:rsidP="00B81006">
            <w:pPr>
              <w:jc w:val="both"/>
              <w:rPr>
                <w:sz w:val="20"/>
              </w:rPr>
            </w:pPr>
            <w:r w:rsidRPr="00B81006">
              <w:rPr>
                <w:sz w:val="20"/>
              </w:rPr>
              <w:t>Ontario Superior Court of Justice</w:t>
            </w:r>
          </w:p>
          <w:p w:rsidR="00B81006" w:rsidRPr="00B81006" w:rsidRDefault="00B81006" w:rsidP="00B81006">
            <w:pPr>
              <w:jc w:val="both"/>
              <w:rPr>
                <w:sz w:val="20"/>
              </w:rPr>
            </w:pPr>
            <w:r w:rsidRPr="00B81006">
              <w:rPr>
                <w:sz w:val="20"/>
              </w:rPr>
              <w:t>(Ramsay J.)</w:t>
            </w:r>
          </w:p>
          <w:p w:rsidR="00B81006" w:rsidRPr="00B81006" w:rsidRDefault="00B81006" w:rsidP="00B81006">
            <w:pPr>
              <w:jc w:val="both"/>
              <w:rPr>
                <w:color w:val="000000" w:themeColor="text1"/>
                <w:sz w:val="20"/>
                <w:lang w:eastAsia="en-CA"/>
              </w:rPr>
            </w:pPr>
            <w:r w:rsidRPr="00B81006">
              <w:rPr>
                <w:bCs/>
                <w:color w:val="000000" w:themeColor="text1"/>
                <w:sz w:val="20"/>
                <w:lang w:eastAsia="en-CA"/>
              </w:rPr>
              <w:t>2014 ONSC 1896</w:t>
            </w:r>
          </w:p>
          <w:p w:rsidR="00B81006" w:rsidRPr="00B81006" w:rsidRDefault="00B81006" w:rsidP="00B81006">
            <w:pPr>
              <w:jc w:val="both"/>
              <w:rPr>
                <w:sz w:val="20"/>
              </w:rPr>
            </w:pPr>
          </w:p>
        </w:tc>
        <w:tc>
          <w:tcPr>
            <w:tcW w:w="243" w:type="pct"/>
          </w:tcPr>
          <w:p w:rsidR="00B81006" w:rsidRPr="00B81006" w:rsidRDefault="00B81006" w:rsidP="00B81006">
            <w:pPr>
              <w:jc w:val="both"/>
              <w:rPr>
                <w:sz w:val="20"/>
              </w:rPr>
            </w:pPr>
          </w:p>
        </w:tc>
        <w:tc>
          <w:tcPr>
            <w:tcW w:w="2330" w:type="pct"/>
          </w:tcPr>
          <w:p w:rsidR="00B81006" w:rsidRPr="00B81006" w:rsidRDefault="00B81006" w:rsidP="00B81006">
            <w:pPr>
              <w:jc w:val="both"/>
              <w:rPr>
                <w:sz w:val="20"/>
              </w:rPr>
            </w:pPr>
            <w:r w:rsidRPr="00B81006">
              <w:rPr>
                <w:color w:val="000000"/>
                <w:sz w:val="20"/>
                <w:lang w:eastAsia="en-CA"/>
              </w:rPr>
              <w:t>Application to exclude intercepted communications on other grounds, including marital privilege, having failed, communications admissible at trial.</w:t>
            </w:r>
          </w:p>
          <w:p w:rsidR="00B81006" w:rsidRPr="00B81006" w:rsidRDefault="00B81006" w:rsidP="00B81006">
            <w:pPr>
              <w:jc w:val="both"/>
              <w:rPr>
                <w:sz w:val="20"/>
              </w:rPr>
            </w:pPr>
          </w:p>
        </w:tc>
      </w:tr>
      <w:tr w:rsidR="00B81006" w:rsidRPr="00B81006" w:rsidTr="00E95A6A">
        <w:tc>
          <w:tcPr>
            <w:tcW w:w="2427" w:type="pct"/>
            <w:gridSpan w:val="2"/>
          </w:tcPr>
          <w:p w:rsidR="00B81006" w:rsidRPr="00B81006" w:rsidRDefault="00B81006" w:rsidP="00B81006">
            <w:pPr>
              <w:jc w:val="both"/>
              <w:rPr>
                <w:sz w:val="20"/>
              </w:rPr>
            </w:pPr>
            <w:r w:rsidRPr="00B81006">
              <w:rPr>
                <w:sz w:val="20"/>
              </w:rPr>
              <w:t>February 29, 2016</w:t>
            </w:r>
          </w:p>
          <w:p w:rsidR="00B81006" w:rsidRPr="00B81006" w:rsidRDefault="00B81006" w:rsidP="00B81006">
            <w:pPr>
              <w:jc w:val="both"/>
              <w:rPr>
                <w:sz w:val="20"/>
              </w:rPr>
            </w:pPr>
            <w:r w:rsidRPr="00B81006">
              <w:rPr>
                <w:sz w:val="20"/>
              </w:rPr>
              <w:t>Court of Appeal for Ontario</w:t>
            </w:r>
          </w:p>
          <w:p w:rsidR="00B81006" w:rsidRPr="00B81006" w:rsidRDefault="00B81006" w:rsidP="00B81006">
            <w:pPr>
              <w:jc w:val="both"/>
              <w:rPr>
                <w:sz w:val="20"/>
              </w:rPr>
            </w:pPr>
            <w:r w:rsidRPr="00B81006">
              <w:rPr>
                <w:sz w:val="20"/>
              </w:rPr>
              <w:t>(Watt, Brown and Roberts JJ.A.)</w:t>
            </w:r>
          </w:p>
          <w:p w:rsidR="00B81006" w:rsidRPr="00B81006" w:rsidRDefault="00B81006" w:rsidP="00B81006">
            <w:pPr>
              <w:jc w:val="both"/>
              <w:rPr>
                <w:sz w:val="20"/>
                <w:lang w:eastAsia="en-CA"/>
              </w:rPr>
            </w:pPr>
            <w:hyperlink r:id="rId29" w:history="1">
              <w:r w:rsidRPr="00B81006">
                <w:rPr>
                  <w:color w:val="004B91"/>
                  <w:sz w:val="20"/>
                  <w:lang w:eastAsia="en-CA"/>
                </w:rPr>
                <w:t>2016 ONCA 160</w:t>
              </w:r>
            </w:hyperlink>
          </w:p>
          <w:p w:rsidR="00B81006" w:rsidRPr="00B81006" w:rsidRDefault="00B81006" w:rsidP="00B81006">
            <w:pPr>
              <w:jc w:val="both"/>
              <w:rPr>
                <w:sz w:val="20"/>
              </w:rPr>
            </w:pPr>
          </w:p>
        </w:tc>
        <w:tc>
          <w:tcPr>
            <w:tcW w:w="243" w:type="pct"/>
          </w:tcPr>
          <w:p w:rsidR="00B81006" w:rsidRPr="00B81006" w:rsidRDefault="00B81006" w:rsidP="00B81006">
            <w:pPr>
              <w:jc w:val="both"/>
              <w:rPr>
                <w:sz w:val="20"/>
              </w:rPr>
            </w:pPr>
          </w:p>
        </w:tc>
        <w:tc>
          <w:tcPr>
            <w:tcW w:w="2330" w:type="pct"/>
          </w:tcPr>
          <w:p w:rsidR="00B81006" w:rsidRPr="00B81006" w:rsidRDefault="00B81006" w:rsidP="00B81006">
            <w:pPr>
              <w:jc w:val="both"/>
              <w:rPr>
                <w:sz w:val="20"/>
              </w:rPr>
            </w:pPr>
            <w:r w:rsidRPr="00B81006">
              <w:rPr>
                <w:sz w:val="20"/>
              </w:rPr>
              <w:t xml:space="preserve">Convictions of </w:t>
            </w:r>
            <w:r w:rsidRPr="00B81006">
              <w:rPr>
                <w:color w:val="000000"/>
                <w:sz w:val="20"/>
              </w:rPr>
              <w:t xml:space="preserve">offences against, and conspiracy to commit offences against the </w:t>
            </w:r>
            <w:r w:rsidRPr="00B81006">
              <w:rPr>
                <w:i/>
                <w:color w:val="000000"/>
                <w:sz w:val="20"/>
              </w:rPr>
              <w:t>Controlled Drugs and Substances Act</w:t>
            </w:r>
            <w:r w:rsidRPr="00B81006">
              <w:rPr>
                <w:sz w:val="20"/>
              </w:rPr>
              <w:t xml:space="preserve"> entered before judge sitting without jury.</w:t>
            </w:r>
          </w:p>
          <w:p w:rsidR="00B81006" w:rsidRPr="00B81006" w:rsidRDefault="00B81006" w:rsidP="00B81006">
            <w:pPr>
              <w:jc w:val="both"/>
              <w:rPr>
                <w:sz w:val="20"/>
              </w:rPr>
            </w:pPr>
          </w:p>
        </w:tc>
      </w:tr>
      <w:tr w:rsidR="00B81006" w:rsidRPr="00B81006" w:rsidTr="00E95A6A">
        <w:tc>
          <w:tcPr>
            <w:tcW w:w="2427" w:type="pct"/>
            <w:gridSpan w:val="2"/>
          </w:tcPr>
          <w:p w:rsidR="00B81006" w:rsidRPr="00B81006" w:rsidRDefault="00B81006" w:rsidP="00B81006">
            <w:pPr>
              <w:jc w:val="both"/>
              <w:rPr>
                <w:sz w:val="20"/>
              </w:rPr>
            </w:pPr>
            <w:r w:rsidRPr="00B81006">
              <w:rPr>
                <w:sz w:val="20"/>
              </w:rPr>
              <w:t>April 29, 2016</w:t>
            </w:r>
          </w:p>
          <w:p w:rsidR="00B81006" w:rsidRPr="00B81006" w:rsidRDefault="00B81006" w:rsidP="00B81006">
            <w:pPr>
              <w:jc w:val="both"/>
              <w:rPr>
                <w:sz w:val="20"/>
              </w:rPr>
            </w:pPr>
            <w:r w:rsidRPr="00B81006">
              <w:rPr>
                <w:sz w:val="20"/>
              </w:rPr>
              <w:t>Supreme Court of Canada</w:t>
            </w:r>
          </w:p>
        </w:tc>
        <w:tc>
          <w:tcPr>
            <w:tcW w:w="243" w:type="pct"/>
          </w:tcPr>
          <w:p w:rsidR="00B81006" w:rsidRPr="00B81006" w:rsidRDefault="00B81006" w:rsidP="00B81006">
            <w:pPr>
              <w:jc w:val="both"/>
              <w:rPr>
                <w:sz w:val="20"/>
              </w:rPr>
            </w:pPr>
          </w:p>
        </w:tc>
        <w:tc>
          <w:tcPr>
            <w:tcW w:w="2330" w:type="pct"/>
          </w:tcPr>
          <w:p w:rsidR="00B81006" w:rsidRPr="00B81006" w:rsidRDefault="00B81006" w:rsidP="00B81006">
            <w:pPr>
              <w:jc w:val="both"/>
              <w:rPr>
                <w:sz w:val="20"/>
              </w:rPr>
            </w:pPr>
            <w:r w:rsidRPr="00B81006">
              <w:rPr>
                <w:sz w:val="20"/>
              </w:rPr>
              <w:t>Application for leave to appeal filed.</w:t>
            </w:r>
          </w:p>
          <w:p w:rsidR="00B81006" w:rsidRPr="00B81006" w:rsidRDefault="00B81006" w:rsidP="00B81006">
            <w:pPr>
              <w:jc w:val="both"/>
              <w:rPr>
                <w:sz w:val="20"/>
              </w:rPr>
            </w:pPr>
          </w:p>
        </w:tc>
      </w:tr>
    </w:tbl>
    <w:p w:rsidR="00B81006" w:rsidRDefault="00B81006" w:rsidP="00B81006">
      <w:pPr>
        <w:jc w:val="both"/>
        <w:rPr>
          <w:sz w:val="20"/>
        </w:rPr>
      </w:pPr>
    </w:p>
    <w:p w:rsidR="00B81006" w:rsidRPr="00B81006" w:rsidRDefault="00B81006" w:rsidP="00B8100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1006" w:rsidRPr="00B81006" w:rsidTr="00DB59E0">
        <w:tc>
          <w:tcPr>
            <w:tcW w:w="543" w:type="pct"/>
          </w:tcPr>
          <w:p w:rsidR="00B81006" w:rsidRPr="00B81006" w:rsidRDefault="00B81006" w:rsidP="00B81006">
            <w:pPr>
              <w:jc w:val="both"/>
              <w:rPr>
                <w:sz w:val="20"/>
                <w:lang w:val="fr-CA"/>
              </w:rPr>
            </w:pPr>
            <w:r w:rsidRPr="00B81006">
              <w:rPr>
                <w:rStyle w:val="SCCFileNumberChar"/>
                <w:sz w:val="20"/>
                <w:szCs w:val="20"/>
                <w:lang w:val="fr-CA"/>
              </w:rPr>
              <w:t>36985</w:t>
            </w:r>
          </w:p>
        </w:tc>
        <w:tc>
          <w:tcPr>
            <w:tcW w:w="4457" w:type="pct"/>
            <w:gridSpan w:val="3"/>
          </w:tcPr>
          <w:p w:rsidR="00B81006" w:rsidRPr="00B81006" w:rsidRDefault="00B81006" w:rsidP="00B81006">
            <w:pPr>
              <w:pStyle w:val="SCCLsocParty"/>
              <w:jc w:val="both"/>
              <w:rPr>
                <w:b/>
                <w:sz w:val="20"/>
                <w:szCs w:val="20"/>
              </w:rPr>
            </w:pPr>
            <w:r w:rsidRPr="00B81006">
              <w:rPr>
                <w:b/>
                <w:sz w:val="20"/>
                <w:szCs w:val="20"/>
              </w:rPr>
              <w:t>Martino Caputo c. Sa Majesté la Reine</w:t>
            </w:r>
          </w:p>
          <w:p w:rsidR="00B81006" w:rsidRPr="00B81006" w:rsidRDefault="00B81006" w:rsidP="00B81006">
            <w:pPr>
              <w:jc w:val="both"/>
              <w:rPr>
                <w:sz w:val="20"/>
                <w:lang w:val="fr-CA"/>
              </w:rPr>
            </w:pPr>
            <w:r w:rsidRPr="00B81006">
              <w:rPr>
                <w:sz w:val="20"/>
                <w:lang w:val="fr-CA"/>
              </w:rPr>
              <w:t>(Ont.) (criminelle) (sur autorisation)</w:t>
            </w:r>
          </w:p>
        </w:tc>
      </w:tr>
      <w:tr w:rsidR="00B81006" w:rsidRPr="00B81006" w:rsidTr="00DB59E0">
        <w:tc>
          <w:tcPr>
            <w:tcW w:w="5000" w:type="pct"/>
            <w:gridSpan w:val="4"/>
          </w:tcPr>
          <w:p w:rsidR="00B81006" w:rsidRPr="00B81006" w:rsidRDefault="00B81006" w:rsidP="00B81006">
            <w:pPr>
              <w:jc w:val="both"/>
              <w:rPr>
                <w:sz w:val="20"/>
                <w:lang w:val="fr-CA" w:eastAsia="en-CA"/>
              </w:rPr>
            </w:pPr>
            <w:r w:rsidRPr="00B81006">
              <w:rPr>
                <w:sz w:val="20"/>
                <w:lang w:val="fr-CA"/>
              </w:rPr>
              <w:t xml:space="preserve">Droit criminel – Preuve – Admissibilité – Communications privées – Privilège applicable aux communications – Communications entre conjoints – Prétention de l’un des coaccusés selon laquelle les communications avec sa compagne qui ont été interceptées bénéficiaient du privilège des communications entre conjoints – La portée de ce privilège devrait-elle être accrue de manière à s’appliquer également aux conjoints de fait? – Lorsque sont interceptées des communications privées entre conjoints de fait et eu égard à l’applicabilité du par. 189(6) du </w:t>
            </w:r>
            <w:r w:rsidRPr="00B81006">
              <w:rPr>
                <w:i/>
                <w:sz w:val="20"/>
                <w:lang w:val="fr-CA"/>
              </w:rPr>
              <w:t>Code criminel</w:t>
            </w:r>
            <w:r w:rsidRPr="00B81006">
              <w:rPr>
                <w:sz w:val="20"/>
                <w:lang w:val="fr-CA"/>
              </w:rPr>
              <w:t xml:space="preserve">, le </w:t>
            </w:r>
            <w:r w:rsidRPr="00B81006">
              <w:rPr>
                <w:sz w:val="20"/>
                <w:lang w:val="fr-CA" w:eastAsia="en-CA"/>
              </w:rPr>
              <w:t xml:space="preserve">privilège des communications entre conjoints s’applique-t-il? </w:t>
            </w:r>
            <w:r w:rsidRPr="00B81006">
              <w:rPr>
                <w:sz w:val="20"/>
                <w:lang w:val="fr-CA"/>
              </w:rPr>
              <w:t>– Les communications entre conjoints de fait qui sont interceptées peuvent-elles servir pour les besoins d’une enquête criminelle visant ces conjoints et, plus particulièrement, lorsqu’il s’agit de présenter une demande</w:t>
            </w:r>
            <w:r w:rsidRPr="00B81006">
              <w:rPr>
                <w:sz w:val="20"/>
                <w:lang w:val="fr-CA" w:eastAsia="en-CA"/>
              </w:rPr>
              <w:t xml:space="preserve"> </w:t>
            </w:r>
            <w:r w:rsidRPr="00B81006">
              <w:rPr>
                <w:i/>
                <w:sz w:val="20"/>
                <w:lang w:val="fr-CA" w:eastAsia="en-CA"/>
              </w:rPr>
              <w:t>ex parte</w:t>
            </w:r>
            <w:r w:rsidRPr="00B81006">
              <w:rPr>
                <w:sz w:val="20"/>
                <w:lang w:val="fr-CA" w:eastAsia="en-CA"/>
              </w:rPr>
              <w:t xml:space="preserve">? </w:t>
            </w:r>
            <w:r w:rsidRPr="00B81006">
              <w:rPr>
                <w:sz w:val="20"/>
                <w:lang w:val="fr-CA"/>
              </w:rPr>
              <w:t xml:space="preserve">– Appliqué à l’interception de communications privées entre conjoints, le privilège </w:t>
            </w:r>
            <w:proofErr w:type="spellStart"/>
            <w:r w:rsidRPr="00B81006">
              <w:rPr>
                <w:sz w:val="20"/>
                <w:lang w:val="fr-CA"/>
              </w:rPr>
              <w:t>vaut-il</w:t>
            </w:r>
            <w:proofErr w:type="spellEnd"/>
            <w:r w:rsidRPr="00B81006">
              <w:rPr>
                <w:sz w:val="20"/>
                <w:lang w:val="fr-CA"/>
              </w:rPr>
              <w:t xml:space="preserve"> seulement pour le témoignage</w:t>
            </w:r>
            <w:r w:rsidRPr="00B81006">
              <w:rPr>
                <w:sz w:val="20"/>
                <w:lang w:val="fr-CA" w:eastAsia="en-CA"/>
              </w:rPr>
              <w:t>?</w:t>
            </w:r>
            <w:r w:rsidRPr="00B81006">
              <w:rPr>
                <w:i/>
                <w:iCs/>
                <w:color w:val="000000"/>
                <w:sz w:val="20"/>
                <w:lang w:val="fr-CA" w:eastAsia="en-CA"/>
              </w:rPr>
              <w:t xml:space="preserve"> Loi sur la preuve au Canada</w:t>
            </w:r>
            <w:r w:rsidRPr="00B81006">
              <w:rPr>
                <w:color w:val="000000"/>
                <w:sz w:val="20"/>
                <w:lang w:val="fr-CA" w:eastAsia="en-CA"/>
              </w:rPr>
              <w:t>, L.R.C. 1985, c. C-5, art. 4(3).</w:t>
            </w:r>
            <w:r w:rsidRPr="00B81006">
              <w:rPr>
                <w:sz w:val="20"/>
                <w:lang w:val="fr-CA" w:eastAsia="en-CA"/>
              </w:rPr>
              <w:t xml:space="preserve"> </w:t>
            </w:r>
            <w:r w:rsidRPr="00B81006">
              <w:rPr>
                <w:i/>
                <w:iCs/>
                <w:color w:val="000000"/>
                <w:sz w:val="20"/>
                <w:lang w:val="fr-CA" w:eastAsia="en-CA"/>
              </w:rPr>
              <w:t>Loi sur la preuve au Canada</w:t>
            </w:r>
            <w:r w:rsidRPr="00B81006">
              <w:rPr>
                <w:color w:val="000000"/>
                <w:sz w:val="20"/>
                <w:lang w:val="fr-CA" w:eastAsia="en-CA"/>
              </w:rPr>
              <w:t>, art</w:t>
            </w:r>
            <w:r w:rsidRPr="00B81006">
              <w:rPr>
                <w:sz w:val="20"/>
                <w:lang w:val="fr-CA"/>
              </w:rPr>
              <w:t>. 4(3).</w:t>
            </w:r>
          </w:p>
        </w:tc>
      </w:tr>
      <w:tr w:rsidR="00B81006" w:rsidRPr="00B81006" w:rsidTr="00DB59E0">
        <w:tc>
          <w:tcPr>
            <w:tcW w:w="5000" w:type="pct"/>
            <w:gridSpan w:val="4"/>
          </w:tcPr>
          <w:p w:rsidR="00B81006" w:rsidRPr="00B81006" w:rsidRDefault="00B81006" w:rsidP="00B81006">
            <w:pPr>
              <w:jc w:val="both"/>
              <w:rPr>
                <w:sz w:val="20"/>
                <w:lang w:val="fr-CA" w:eastAsia="en-CA"/>
              </w:rPr>
            </w:pPr>
          </w:p>
          <w:p w:rsidR="00B81006" w:rsidRPr="00B81006" w:rsidRDefault="00B81006" w:rsidP="00B81006">
            <w:pPr>
              <w:jc w:val="both"/>
              <w:rPr>
                <w:sz w:val="20"/>
                <w:lang w:val="fr-CA"/>
              </w:rPr>
            </w:pPr>
            <w:r w:rsidRPr="00B81006">
              <w:rPr>
                <w:color w:val="000000"/>
                <w:sz w:val="20"/>
                <w:lang w:val="fr-CA" w:eastAsia="en-CA"/>
              </w:rPr>
              <w:t xml:space="preserve">L’enquête policière entreprise relativement à l’un des demandeurs, M. Nero, que l’on soupçonnait de faire le trafic de la cocaïne, a entraîné l’arrestation de plusieurs personnes. Des ordonnances de communication avaient été rendues, des mandats de perquisition avaient été obtenus et des autorisations d’intercepter des communications privées avaient permis de recueillir une grande quantité d’éléments de preuve. Les demandeurs, MM. Nero et Caputo, ont fait l’objet d’un procès commun et ont d’abord opté pour un procès devant jury. Leur avocat a contesté en vain l’admissibilité de la preuve constituée grâce à l’enquête. Peu avant la sélection des jurés, les accusés ont présenté une requête en  récusation du juge, auquel il reprochait sa partialité. Ils n’ont pas donné suite à la requête et ont plutôt comparu relativement au même acte d’accusation devant un autre juge. Ils ont alors opté pour un procès devant juge seul et ont inscrit un plaidoyer de culpabilité. Ils ont subséquemment interjeté appel au motif que le premier juge s’était montré partial, qu’il avait commis une erreur de droit en confirmant la validité des mandats de perquisition et des autorisations obtenus lors de l’enquête et qu’il avait eu tort de ne pas exclure de la preuve les communications interceptées entre M. Nero et </w:t>
            </w:r>
            <w:proofErr w:type="spellStart"/>
            <w:r w:rsidRPr="00B81006">
              <w:rPr>
                <w:color w:val="000000"/>
                <w:sz w:val="20"/>
                <w:lang w:val="fr-CA" w:eastAsia="en-CA"/>
              </w:rPr>
              <w:t>Tawnya</w:t>
            </w:r>
            <w:proofErr w:type="spellEnd"/>
            <w:r w:rsidRPr="00B81006">
              <w:rPr>
                <w:color w:val="000000"/>
                <w:sz w:val="20"/>
                <w:lang w:val="fr-CA" w:eastAsia="en-CA"/>
              </w:rPr>
              <w:t xml:space="preserve"> Fletcher, une femme dont ce dernier prétendait qu’elle était sa conjointe de fait.</w:t>
            </w:r>
          </w:p>
        </w:tc>
      </w:tr>
      <w:tr w:rsidR="00B81006" w:rsidRPr="00B81006" w:rsidTr="00DB59E0">
        <w:tc>
          <w:tcPr>
            <w:tcW w:w="5000" w:type="pct"/>
            <w:gridSpan w:val="4"/>
          </w:tcPr>
          <w:p w:rsidR="00B81006" w:rsidRPr="00B81006" w:rsidRDefault="00B81006" w:rsidP="00B81006">
            <w:pPr>
              <w:jc w:val="both"/>
              <w:rPr>
                <w:sz w:val="20"/>
                <w:lang w:val="fr-CA"/>
              </w:rPr>
            </w:pPr>
          </w:p>
        </w:tc>
      </w:tr>
      <w:tr w:rsidR="00B81006" w:rsidRPr="00B81006" w:rsidTr="00DB59E0">
        <w:tc>
          <w:tcPr>
            <w:tcW w:w="2427" w:type="pct"/>
            <w:gridSpan w:val="2"/>
          </w:tcPr>
          <w:p w:rsidR="00B81006" w:rsidRPr="00B81006" w:rsidRDefault="00B81006" w:rsidP="00B81006">
            <w:pPr>
              <w:jc w:val="both"/>
              <w:rPr>
                <w:sz w:val="20"/>
                <w:lang w:val="fr-CA"/>
              </w:rPr>
            </w:pPr>
            <w:r w:rsidRPr="00B81006">
              <w:rPr>
                <w:sz w:val="20"/>
                <w:lang w:val="fr-CA"/>
              </w:rPr>
              <w:t>25 mars 2014</w:t>
            </w:r>
          </w:p>
          <w:p w:rsidR="00B81006" w:rsidRPr="00B81006" w:rsidRDefault="00B81006" w:rsidP="00B81006">
            <w:pPr>
              <w:jc w:val="both"/>
              <w:rPr>
                <w:sz w:val="20"/>
                <w:lang w:val="fr-CA"/>
              </w:rPr>
            </w:pPr>
            <w:r w:rsidRPr="00B81006">
              <w:rPr>
                <w:sz w:val="20"/>
                <w:lang w:val="fr-CA"/>
              </w:rPr>
              <w:t xml:space="preserve">Cour supérieure de justice de l’Ontario </w:t>
            </w:r>
          </w:p>
          <w:p w:rsidR="00B81006" w:rsidRPr="00B81006" w:rsidRDefault="00B81006" w:rsidP="00B81006">
            <w:pPr>
              <w:jc w:val="both"/>
              <w:rPr>
                <w:sz w:val="20"/>
                <w:lang w:val="fr-CA"/>
              </w:rPr>
            </w:pPr>
            <w:r w:rsidRPr="00B81006">
              <w:rPr>
                <w:sz w:val="20"/>
                <w:lang w:val="fr-CA"/>
              </w:rPr>
              <w:t>(Juge Ramsay)</w:t>
            </w:r>
          </w:p>
          <w:p w:rsidR="00B81006" w:rsidRPr="00B81006" w:rsidRDefault="00B81006" w:rsidP="00B81006">
            <w:pPr>
              <w:jc w:val="both"/>
              <w:rPr>
                <w:color w:val="000000" w:themeColor="text1"/>
                <w:sz w:val="20"/>
                <w:lang w:val="fr-CA" w:eastAsia="en-CA"/>
              </w:rPr>
            </w:pPr>
            <w:r w:rsidRPr="00B81006">
              <w:rPr>
                <w:bCs/>
                <w:color w:val="000000" w:themeColor="text1"/>
                <w:sz w:val="20"/>
                <w:lang w:val="fr-CA" w:eastAsia="en-CA"/>
              </w:rPr>
              <w:t>2014 ONSC 1896</w:t>
            </w:r>
          </w:p>
          <w:p w:rsidR="00B81006" w:rsidRPr="00B81006" w:rsidRDefault="00B81006" w:rsidP="00B81006">
            <w:pPr>
              <w:jc w:val="both"/>
              <w:rPr>
                <w:sz w:val="20"/>
              </w:rPr>
            </w:pPr>
          </w:p>
        </w:tc>
        <w:tc>
          <w:tcPr>
            <w:tcW w:w="243" w:type="pct"/>
          </w:tcPr>
          <w:p w:rsidR="00B81006" w:rsidRPr="00B81006" w:rsidRDefault="00B81006" w:rsidP="00B81006">
            <w:pPr>
              <w:jc w:val="both"/>
              <w:rPr>
                <w:sz w:val="20"/>
              </w:rPr>
            </w:pPr>
          </w:p>
        </w:tc>
        <w:tc>
          <w:tcPr>
            <w:tcW w:w="2330" w:type="pct"/>
          </w:tcPr>
          <w:p w:rsidR="00B81006" w:rsidRPr="00B81006" w:rsidRDefault="00B81006" w:rsidP="00B81006">
            <w:pPr>
              <w:jc w:val="both"/>
              <w:rPr>
                <w:sz w:val="20"/>
                <w:lang w:val="fr-CA" w:eastAsia="en-CA"/>
              </w:rPr>
            </w:pPr>
            <w:r w:rsidRPr="00B81006">
              <w:rPr>
                <w:color w:val="000000"/>
                <w:sz w:val="20"/>
                <w:lang w:val="fr-CA" w:eastAsia="en-CA"/>
              </w:rPr>
              <w:t>Communications jugées admissibles après le rejet de la demande d’exclusion des communications  interceptées fondée sur d’autres motifs, dont le p</w:t>
            </w:r>
            <w:r w:rsidRPr="00B81006">
              <w:rPr>
                <w:sz w:val="20"/>
                <w:lang w:val="fr-CA"/>
              </w:rPr>
              <w:t>rivilège des communications entre conjoints</w:t>
            </w:r>
            <w:r w:rsidRPr="00B81006">
              <w:rPr>
                <w:color w:val="000000"/>
                <w:sz w:val="20"/>
                <w:lang w:val="fr-CA" w:eastAsia="en-CA"/>
              </w:rPr>
              <w:t>.</w:t>
            </w:r>
          </w:p>
          <w:p w:rsidR="00B81006" w:rsidRPr="00B81006" w:rsidRDefault="00B81006" w:rsidP="00B81006">
            <w:pPr>
              <w:jc w:val="both"/>
              <w:rPr>
                <w:sz w:val="20"/>
                <w:lang w:val="fr-CA"/>
              </w:rPr>
            </w:pPr>
          </w:p>
        </w:tc>
      </w:tr>
      <w:tr w:rsidR="00B81006" w:rsidRPr="00B81006" w:rsidTr="00DB59E0">
        <w:tc>
          <w:tcPr>
            <w:tcW w:w="2427" w:type="pct"/>
            <w:gridSpan w:val="2"/>
          </w:tcPr>
          <w:p w:rsidR="00B81006" w:rsidRPr="00B81006" w:rsidRDefault="00B81006" w:rsidP="00B81006">
            <w:pPr>
              <w:jc w:val="both"/>
              <w:rPr>
                <w:sz w:val="20"/>
                <w:lang w:val="fr-CA"/>
              </w:rPr>
            </w:pPr>
            <w:r w:rsidRPr="00B81006">
              <w:rPr>
                <w:sz w:val="20"/>
                <w:lang w:val="fr-CA"/>
              </w:rPr>
              <w:t>29 février 2016</w:t>
            </w:r>
          </w:p>
          <w:p w:rsidR="00B81006" w:rsidRPr="00B81006" w:rsidRDefault="00B81006" w:rsidP="00B81006">
            <w:pPr>
              <w:jc w:val="both"/>
              <w:rPr>
                <w:sz w:val="20"/>
                <w:lang w:val="fr-CA"/>
              </w:rPr>
            </w:pPr>
            <w:r w:rsidRPr="00B81006">
              <w:rPr>
                <w:sz w:val="20"/>
                <w:lang w:val="fr-CA"/>
              </w:rPr>
              <w:t>Cour d’appel de l’Ontario</w:t>
            </w:r>
          </w:p>
          <w:p w:rsidR="00B81006" w:rsidRPr="00B81006" w:rsidRDefault="00B81006" w:rsidP="00B81006">
            <w:pPr>
              <w:jc w:val="both"/>
              <w:rPr>
                <w:sz w:val="20"/>
                <w:lang w:val="fr-CA"/>
              </w:rPr>
            </w:pPr>
            <w:r w:rsidRPr="00B81006">
              <w:rPr>
                <w:sz w:val="20"/>
                <w:lang w:val="fr-CA"/>
              </w:rPr>
              <w:t>(Juges Watt, Brown et Roberts)</w:t>
            </w:r>
          </w:p>
          <w:p w:rsidR="00B81006" w:rsidRPr="00B81006" w:rsidRDefault="00B81006" w:rsidP="00B81006">
            <w:pPr>
              <w:jc w:val="both"/>
              <w:rPr>
                <w:sz w:val="20"/>
              </w:rPr>
            </w:pPr>
            <w:hyperlink r:id="rId30" w:history="1">
              <w:r w:rsidRPr="00B81006">
                <w:rPr>
                  <w:color w:val="004B91"/>
                  <w:sz w:val="20"/>
                  <w:lang w:eastAsia="en-CA"/>
                </w:rPr>
                <w:t>2016 ONCA 160</w:t>
              </w:r>
            </w:hyperlink>
          </w:p>
        </w:tc>
        <w:tc>
          <w:tcPr>
            <w:tcW w:w="243" w:type="pct"/>
          </w:tcPr>
          <w:p w:rsidR="00B81006" w:rsidRPr="00B81006" w:rsidRDefault="00B81006" w:rsidP="00B81006">
            <w:pPr>
              <w:jc w:val="both"/>
              <w:rPr>
                <w:sz w:val="20"/>
              </w:rPr>
            </w:pPr>
          </w:p>
        </w:tc>
        <w:tc>
          <w:tcPr>
            <w:tcW w:w="2330" w:type="pct"/>
          </w:tcPr>
          <w:p w:rsidR="00B81006" w:rsidRPr="00B81006" w:rsidRDefault="00B81006" w:rsidP="00B81006">
            <w:pPr>
              <w:jc w:val="both"/>
              <w:rPr>
                <w:sz w:val="20"/>
                <w:lang w:val="fr-CA"/>
              </w:rPr>
            </w:pPr>
            <w:r w:rsidRPr="00B81006">
              <w:rPr>
                <w:sz w:val="20"/>
                <w:lang w:val="fr-CA"/>
              </w:rPr>
              <w:t xml:space="preserve">Inscription par le juge siégeant sans jury de déclarations de culpabilité pour infractions à la </w:t>
            </w:r>
            <w:r w:rsidRPr="00B81006">
              <w:rPr>
                <w:i/>
                <w:sz w:val="20"/>
                <w:lang w:val="fr-CA"/>
              </w:rPr>
              <w:t>Loi réglementant certaines drogues et autres substances</w:t>
            </w:r>
            <w:r w:rsidRPr="00B81006">
              <w:rPr>
                <w:sz w:val="20"/>
                <w:lang w:val="fr-CA"/>
              </w:rPr>
              <w:t xml:space="preserve"> et complot en vue de commettre de telles infractions.</w:t>
            </w:r>
          </w:p>
          <w:p w:rsidR="00B81006" w:rsidRPr="00B81006" w:rsidRDefault="00B81006" w:rsidP="00B81006">
            <w:pPr>
              <w:jc w:val="both"/>
              <w:rPr>
                <w:sz w:val="20"/>
                <w:lang w:val="fr-CA"/>
              </w:rPr>
            </w:pPr>
          </w:p>
        </w:tc>
      </w:tr>
      <w:tr w:rsidR="00B81006" w:rsidRPr="00B81006" w:rsidTr="00DB59E0">
        <w:tc>
          <w:tcPr>
            <w:tcW w:w="2427" w:type="pct"/>
            <w:gridSpan w:val="2"/>
          </w:tcPr>
          <w:p w:rsidR="00B81006" w:rsidRPr="00B81006" w:rsidRDefault="00B81006" w:rsidP="00B81006">
            <w:pPr>
              <w:jc w:val="both"/>
              <w:rPr>
                <w:sz w:val="20"/>
                <w:lang w:val="fr-CA"/>
              </w:rPr>
            </w:pPr>
            <w:r w:rsidRPr="00B81006">
              <w:rPr>
                <w:sz w:val="20"/>
                <w:lang w:val="fr-CA"/>
              </w:rPr>
              <w:t>29 avril 2016</w:t>
            </w:r>
          </w:p>
          <w:p w:rsidR="00B81006" w:rsidRPr="00B81006" w:rsidRDefault="00B81006" w:rsidP="00B81006">
            <w:pPr>
              <w:jc w:val="both"/>
              <w:rPr>
                <w:sz w:val="20"/>
                <w:lang w:val="fr-CA"/>
              </w:rPr>
            </w:pPr>
            <w:r w:rsidRPr="00B81006">
              <w:rPr>
                <w:sz w:val="20"/>
                <w:lang w:val="fr-CA"/>
              </w:rPr>
              <w:t>Cour suprême du Canada</w:t>
            </w:r>
          </w:p>
        </w:tc>
        <w:tc>
          <w:tcPr>
            <w:tcW w:w="243" w:type="pct"/>
          </w:tcPr>
          <w:p w:rsidR="00B81006" w:rsidRPr="00B81006" w:rsidRDefault="00B81006" w:rsidP="00B81006">
            <w:pPr>
              <w:jc w:val="both"/>
              <w:rPr>
                <w:sz w:val="20"/>
                <w:lang w:val="fr-CA"/>
              </w:rPr>
            </w:pPr>
          </w:p>
        </w:tc>
        <w:tc>
          <w:tcPr>
            <w:tcW w:w="2330" w:type="pct"/>
          </w:tcPr>
          <w:p w:rsidR="00B81006" w:rsidRPr="00B81006" w:rsidRDefault="00B81006" w:rsidP="00B81006">
            <w:pPr>
              <w:jc w:val="both"/>
              <w:rPr>
                <w:sz w:val="20"/>
                <w:lang w:val="fr-CA"/>
              </w:rPr>
            </w:pPr>
            <w:r w:rsidRPr="00B81006">
              <w:rPr>
                <w:sz w:val="20"/>
                <w:lang w:val="fr-CA"/>
              </w:rPr>
              <w:t>Dépôt de la demande d’autorisation.</w:t>
            </w:r>
          </w:p>
        </w:tc>
      </w:tr>
    </w:tbl>
    <w:p w:rsidR="00B81006" w:rsidRPr="00B81006" w:rsidRDefault="00B81006" w:rsidP="00B81006">
      <w:pPr>
        <w:jc w:val="both"/>
        <w:rPr>
          <w:sz w:val="20"/>
          <w:lang w:val="fr-CA"/>
        </w:rPr>
      </w:pPr>
    </w:p>
    <w:p w:rsidR="00B81006" w:rsidRPr="00BE53DB" w:rsidRDefault="00B81006" w:rsidP="00BE53D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3DB" w:rsidRPr="00BE53DB" w:rsidTr="00E95A6A">
        <w:tc>
          <w:tcPr>
            <w:tcW w:w="543" w:type="pct"/>
          </w:tcPr>
          <w:p w:rsidR="00BE53DB" w:rsidRPr="00BE53DB" w:rsidRDefault="00BE53DB" w:rsidP="00BE53DB">
            <w:pPr>
              <w:jc w:val="both"/>
              <w:rPr>
                <w:sz w:val="20"/>
              </w:rPr>
            </w:pPr>
            <w:r w:rsidRPr="00BE53DB">
              <w:rPr>
                <w:rStyle w:val="SCCFileNumberChar"/>
                <w:sz w:val="20"/>
                <w:szCs w:val="20"/>
              </w:rPr>
              <w:t>36976</w:t>
            </w:r>
          </w:p>
        </w:tc>
        <w:tc>
          <w:tcPr>
            <w:tcW w:w="4457" w:type="pct"/>
            <w:gridSpan w:val="3"/>
          </w:tcPr>
          <w:p w:rsidR="00BE53DB" w:rsidRPr="00BE53DB" w:rsidRDefault="00BE53DB" w:rsidP="00BE53DB">
            <w:pPr>
              <w:pStyle w:val="SCCLsocParty"/>
              <w:jc w:val="both"/>
              <w:rPr>
                <w:b/>
                <w:sz w:val="20"/>
                <w:szCs w:val="20"/>
              </w:rPr>
            </w:pPr>
            <w:r w:rsidRPr="00BE53DB">
              <w:rPr>
                <w:b/>
                <w:sz w:val="20"/>
                <w:szCs w:val="20"/>
              </w:rPr>
              <w:t>E.U., L.T. v. Children's Aid Society of Toronto, Office of the Children's Lawyer</w:t>
            </w:r>
          </w:p>
          <w:p w:rsidR="00BE53DB" w:rsidRPr="00BE53DB" w:rsidRDefault="00BE53DB" w:rsidP="00BE53DB">
            <w:pPr>
              <w:jc w:val="both"/>
              <w:rPr>
                <w:sz w:val="20"/>
              </w:rPr>
            </w:pPr>
            <w:r w:rsidRPr="00BE53DB">
              <w:rPr>
                <w:sz w:val="20"/>
              </w:rPr>
              <w:t>(Ont.) (Civil) (By Leave)</w:t>
            </w:r>
          </w:p>
        </w:tc>
      </w:tr>
      <w:tr w:rsidR="00BE53DB" w:rsidRPr="00BE53DB" w:rsidTr="00E95A6A">
        <w:tc>
          <w:tcPr>
            <w:tcW w:w="5000" w:type="pct"/>
            <w:gridSpan w:val="4"/>
          </w:tcPr>
          <w:p w:rsidR="00BE53DB" w:rsidRPr="00BE53DB" w:rsidRDefault="00BE53DB" w:rsidP="00BE53DB">
            <w:pPr>
              <w:pStyle w:val="SCCBanSummary"/>
              <w:rPr>
                <w:sz w:val="20"/>
                <w:szCs w:val="20"/>
              </w:rPr>
            </w:pPr>
            <w:r w:rsidRPr="00BE53DB">
              <w:rPr>
                <w:sz w:val="20"/>
                <w:szCs w:val="20"/>
              </w:rPr>
              <w:t>(Publication ban in case) (Publication ban on party) (Court file contains information that is not available for inspection by the public)</w:t>
            </w:r>
          </w:p>
          <w:p w:rsidR="00BE53DB" w:rsidRPr="00BE53DB" w:rsidRDefault="00BE53DB" w:rsidP="00BE53DB">
            <w:pPr>
              <w:jc w:val="both"/>
              <w:rPr>
                <w:sz w:val="20"/>
              </w:rPr>
            </w:pPr>
          </w:p>
          <w:p w:rsidR="00BE53DB" w:rsidRPr="00BE53DB" w:rsidRDefault="00BE53DB" w:rsidP="00BE53DB">
            <w:pPr>
              <w:jc w:val="both"/>
              <w:rPr>
                <w:sz w:val="20"/>
              </w:rPr>
            </w:pPr>
            <w:r w:rsidRPr="00BE53DB">
              <w:rPr>
                <w:i/>
                <w:sz w:val="20"/>
              </w:rPr>
              <w:t>Charter of Rights</w:t>
            </w:r>
            <w:r w:rsidRPr="00BE53DB">
              <w:rPr>
                <w:sz w:val="20"/>
              </w:rPr>
              <w:t xml:space="preserve"> – Fundamental justice – Status of persons – Child protection – Parents’ appeal from Crown wardship order dismissed for delay – Whether s. 7 of </w:t>
            </w:r>
            <w:r w:rsidRPr="00BE53DB">
              <w:rPr>
                <w:i/>
                <w:sz w:val="20"/>
              </w:rPr>
              <w:t>Charter</w:t>
            </w:r>
            <w:r w:rsidRPr="00BE53DB">
              <w:rPr>
                <w:sz w:val="20"/>
              </w:rPr>
              <w:t xml:space="preserve"> imposes affirmative obligation on courts to safeguard interests of minority immigrant parents in child protection proceedings – What is appropriate interpretation and application of Rules 2(2), (3) and (4) of the </w:t>
            </w:r>
            <w:r w:rsidRPr="00BE53DB">
              <w:rPr>
                <w:i/>
                <w:sz w:val="20"/>
              </w:rPr>
              <w:t>Family Law Rules</w:t>
            </w:r>
            <w:r w:rsidRPr="00BE53DB">
              <w:rPr>
                <w:sz w:val="20"/>
              </w:rPr>
              <w:t xml:space="preserve"> O. Reg. 439/07 and ss. 1(1) and (2) of </w:t>
            </w:r>
            <w:r w:rsidRPr="00BE53DB">
              <w:rPr>
                <w:i/>
                <w:sz w:val="20"/>
              </w:rPr>
              <w:t>Child and Family Services Act</w:t>
            </w:r>
            <w:r w:rsidRPr="00BE53DB">
              <w:rPr>
                <w:sz w:val="20"/>
              </w:rPr>
              <w:t>, R.S.O. 1990, c. C.11 where parents are minorities, self-represented and hampered by financial difficulties – Whether Court of Appeal erred by failing to provide reasons for dismissing applicants’ appeal.</w:t>
            </w:r>
          </w:p>
        </w:tc>
      </w:tr>
      <w:tr w:rsidR="00BE53DB" w:rsidRPr="00BE53DB" w:rsidTr="00E95A6A">
        <w:tc>
          <w:tcPr>
            <w:tcW w:w="5000" w:type="pct"/>
            <w:gridSpan w:val="4"/>
          </w:tcPr>
          <w:p w:rsidR="00BE53DB" w:rsidRPr="00BE53DB" w:rsidRDefault="00BE53DB" w:rsidP="00BE53DB">
            <w:pPr>
              <w:jc w:val="both"/>
              <w:rPr>
                <w:sz w:val="20"/>
              </w:rPr>
            </w:pPr>
          </w:p>
        </w:tc>
      </w:tr>
      <w:tr w:rsidR="00BE53DB" w:rsidRPr="00BE53DB" w:rsidTr="00E95A6A">
        <w:tc>
          <w:tcPr>
            <w:tcW w:w="5000" w:type="pct"/>
            <w:gridSpan w:val="4"/>
          </w:tcPr>
          <w:p w:rsidR="00BE53DB" w:rsidRPr="00BE53DB" w:rsidRDefault="00BE53DB" w:rsidP="00BE53DB">
            <w:pPr>
              <w:jc w:val="both"/>
              <w:rPr>
                <w:sz w:val="20"/>
              </w:rPr>
            </w:pPr>
            <w:r w:rsidRPr="00BE53DB">
              <w:rPr>
                <w:sz w:val="20"/>
              </w:rPr>
              <w:t xml:space="preserve">The applicants are the parents of the child who was apprehended by the Children’s Aid Society in July 2012. The child was placed with a family and has lived with these caregivers since that time. They wish to adopt her. After a ten day trial in which the parents were separately represented, the child was found to be in need of protection and was made a Crown ward. The parents were given no right of access. The parents filed a Notice of Appeal. Several status hearings ensued between November, 2014 and August, 2015, most of which were adjourned at the parents’ request. Their appeal remained unperfected. The Children’s Aid Society indicated that it intended to bring a motion to dismiss the appeal for delay. That motion was heard on August 27, 2015 where the parents requested an adjournment. The appeal on the merits was scheduled to be heard three weeks later. The transcripts, factum and appeal record had not been filed. </w:t>
            </w:r>
          </w:p>
          <w:p w:rsidR="00BE53DB" w:rsidRPr="00BE53DB" w:rsidRDefault="00BE53DB" w:rsidP="00BE53DB">
            <w:pPr>
              <w:jc w:val="both"/>
              <w:rPr>
                <w:sz w:val="20"/>
              </w:rPr>
            </w:pPr>
          </w:p>
        </w:tc>
      </w:tr>
      <w:tr w:rsidR="00BE53DB" w:rsidRPr="00BE53DB" w:rsidTr="00E95A6A">
        <w:tc>
          <w:tcPr>
            <w:tcW w:w="2427" w:type="pct"/>
            <w:gridSpan w:val="2"/>
          </w:tcPr>
          <w:p w:rsidR="00BE53DB" w:rsidRPr="00BE53DB" w:rsidRDefault="00BE53DB" w:rsidP="00BE53DB">
            <w:pPr>
              <w:jc w:val="both"/>
              <w:rPr>
                <w:sz w:val="20"/>
              </w:rPr>
            </w:pPr>
            <w:r w:rsidRPr="00BE53DB">
              <w:rPr>
                <w:sz w:val="20"/>
              </w:rPr>
              <w:t>August 27, 2015</w:t>
            </w:r>
          </w:p>
          <w:p w:rsidR="00BE53DB" w:rsidRPr="00BE53DB" w:rsidRDefault="00BE53DB" w:rsidP="00BE53DB">
            <w:pPr>
              <w:jc w:val="both"/>
              <w:rPr>
                <w:sz w:val="20"/>
              </w:rPr>
            </w:pPr>
            <w:r w:rsidRPr="00BE53DB">
              <w:rPr>
                <w:sz w:val="20"/>
              </w:rPr>
              <w:t>Ontario Superior Court of Justice</w:t>
            </w:r>
          </w:p>
          <w:p w:rsidR="00BE53DB" w:rsidRPr="00BE53DB" w:rsidRDefault="00BE53DB" w:rsidP="00BE53DB">
            <w:pPr>
              <w:jc w:val="both"/>
              <w:rPr>
                <w:sz w:val="20"/>
              </w:rPr>
            </w:pPr>
            <w:r w:rsidRPr="00BE53DB">
              <w:rPr>
                <w:sz w:val="20"/>
              </w:rPr>
              <w:t>(Kiteley J.)</w:t>
            </w:r>
          </w:p>
          <w:p w:rsidR="00BE53DB" w:rsidRPr="00BE53DB" w:rsidRDefault="00BE53DB" w:rsidP="00BE53DB">
            <w:pPr>
              <w:jc w:val="both"/>
              <w:rPr>
                <w:sz w:val="20"/>
              </w:rPr>
            </w:pPr>
            <w:r w:rsidRPr="00BE53DB">
              <w:rPr>
                <w:sz w:val="20"/>
              </w:rPr>
              <w:t>Unreported</w:t>
            </w:r>
          </w:p>
          <w:p w:rsidR="00BE53DB" w:rsidRPr="00BE53DB" w:rsidRDefault="00BE53DB" w:rsidP="00BE53DB">
            <w:pPr>
              <w:jc w:val="both"/>
              <w:rPr>
                <w:sz w:val="20"/>
              </w:rPr>
            </w:pPr>
          </w:p>
        </w:tc>
        <w:tc>
          <w:tcPr>
            <w:tcW w:w="243" w:type="pct"/>
          </w:tcPr>
          <w:p w:rsidR="00BE53DB" w:rsidRPr="00BE53DB" w:rsidRDefault="00BE53DB" w:rsidP="00BE53DB">
            <w:pPr>
              <w:jc w:val="both"/>
              <w:rPr>
                <w:sz w:val="20"/>
              </w:rPr>
            </w:pPr>
          </w:p>
        </w:tc>
        <w:tc>
          <w:tcPr>
            <w:tcW w:w="2330" w:type="pct"/>
          </w:tcPr>
          <w:p w:rsidR="00BE53DB" w:rsidRPr="00BE53DB" w:rsidRDefault="00BE53DB" w:rsidP="00BE53DB">
            <w:pPr>
              <w:jc w:val="both"/>
              <w:rPr>
                <w:sz w:val="20"/>
              </w:rPr>
            </w:pPr>
            <w:r w:rsidRPr="00BE53DB">
              <w:rPr>
                <w:sz w:val="20"/>
              </w:rPr>
              <w:t>Applicants’ appeal of Crown wardship order dismissed for delay</w:t>
            </w:r>
          </w:p>
          <w:p w:rsidR="00BE53DB" w:rsidRPr="00BE53DB" w:rsidRDefault="00BE53DB" w:rsidP="00BE53DB">
            <w:pPr>
              <w:jc w:val="both"/>
              <w:rPr>
                <w:sz w:val="20"/>
              </w:rPr>
            </w:pPr>
          </w:p>
          <w:p w:rsidR="00BE53DB" w:rsidRPr="00BE53DB" w:rsidRDefault="00BE53DB" w:rsidP="00BE53DB">
            <w:pPr>
              <w:jc w:val="both"/>
              <w:rPr>
                <w:sz w:val="20"/>
              </w:rPr>
            </w:pPr>
          </w:p>
        </w:tc>
      </w:tr>
      <w:tr w:rsidR="00BE53DB" w:rsidRPr="00BE53DB" w:rsidTr="00E95A6A">
        <w:tc>
          <w:tcPr>
            <w:tcW w:w="2427" w:type="pct"/>
            <w:gridSpan w:val="2"/>
          </w:tcPr>
          <w:p w:rsidR="00BE53DB" w:rsidRPr="00BE53DB" w:rsidRDefault="00BE53DB" w:rsidP="00BE53DB">
            <w:pPr>
              <w:jc w:val="both"/>
              <w:rPr>
                <w:sz w:val="20"/>
              </w:rPr>
            </w:pPr>
            <w:r w:rsidRPr="00BE53DB">
              <w:rPr>
                <w:sz w:val="20"/>
              </w:rPr>
              <w:t>February 24, 2016</w:t>
            </w:r>
          </w:p>
          <w:p w:rsidR="00BE53DB" w:rsidRPr="00BE53DB" w:rsidRDefault="00BE53DB" w:rsidP="00BE53DB">
            <w:pPr>
              <w:jc w:val="both"/>
              <w:rPr>
                <w:sz w:val="20"/>
              </w:rPr>
            </w:pPr>
            <w:r w:rsidRPr="00BE53DB">
              <w:rPr>
                <w:sz w:val="20"/>
              </w:rPr>
              <w:t>Court of Appeal for Ontario</w:t>
            </w:r>
          </w:p>
          <w:p w:rsidR="00BE53DB" w:rsidRPr="00BE53DB" w:rsidRDefault="00BE53DB" w:rsidP="00BE53DB">
            <w:pPr>
              <w:jc w:val="both"/>
              <w:rPr>
                <w:sz w:val="20"/>
              </w:rPr>
            </w:pPr>
            <w:r w:rsidRPr="00BE53DB">
              <w:rPr>
                <w:sz w:val="20"/>
              </w:rPr>
              <w:t>(Hoy A.C.J.O., Lauwers and Hourigan JJ.A.)</w:t>
            </w:r>
          </w:p>
          <w:p w:rsidR="00BE53DB" w:rsidRPr="00BE53DB" w:rsidRDefault="00BE53DB" w:rsidP="00BE53DB">
            <w:pPr>
              <w:jc w:val="both"/>
              <w:rPr>
                <w:sz w:val="20"/>
              </w:rPr>
            </w:pPr>
            <w:hyperlink r:id="rId31" w:history="1">
              <w:r w:rsidRPr="00BE53DB">
                <w:rPr>
                  <w:rStyle w:val="Hyperlink"/>
                  <w:sz w:val="20"/>
                </w:rPr>
                <w:t>2016 ONCA 146</w:t>
              </w:r>
            </w:hyperlink>
          </w:p>
          <w:p w:rsidR="00BE53DB" w:rsidRPr="00BE53DB" w:rsidRDefault="00BE53DB" w:rsidP="00BE53DB">
            <w:pPr>
              <w:jc w:val="both"/>
              <w:rPr>
                <w:sz w:val="20"/>
              </w:rPr>
            </w:pPr>
          </w:p>
        </w:tc>
        <w:tc>
          <w:tcPr>
            <w:tcW w:w="243" w:type="pct"/>
          </w:tcPr>
          <w:p w:rsidR="00BE53DB" w:rsidRPr="00BE53DB" w:rsidRDefault="00BE53DB" w:rsidP="00BE53DB">
            <w:pPr>
              <w:jc w:val="both"/>
              <w:rPr>
                <w:sz w:val="20"/>
              </w:rPr>
            </w:pPr>
          </w:p>
        </w:tc>
        <w:tc>
          <w:tcPr>
            <w:tcW w:w="2330" w:type="pct"/>
          </w:tcPr>
          <w:p w:rsidR="00BE53DB" w:rsidRPr="00BE53DB" w:rsidRDefault="00BE53DB" w:rsidP="00BE53DB">
            <w:pPr>
              <w:jc w:val="both"/>
              <w:rPr>
                <w:sz w:val="20"/>
              </w:rPr>
            </w:pPr>
            <w:r w:rsidRPr="00BE53DB">
              <w:rPr>
                <w:sz w:val="20"/>
              </w:rPr>
              <w:t>Applicants’ appeal dismissed</w:t>
            </w:r>
          </w:p>
          <w:p w:rsidR="00BE53DB" w:rsidRPr="00BE53DB" w:rsidRDefault="00BE53DB" w:rsidP="00BE53DB">
            <w:pPr>
              <w:jc w:val="both"/>
              <w:rPr>
                <w:sz w:val="20"/>
              </w:rPr>
            </w:pPr>
          </w:p>
        </w:tc>
      </w:tr>
      <w:tr w:rsidR="00BE53DB" w:rsidRPr="00BE53DB" w:rsidTr="00E95A6A">
        <w:tc>
          <w:tcPr>
            <w:tcW w:w="2427" w:type="pct"/>
            <w:gridSpan w:val="2"/>
          </w:tcPr>
          <w:p w:rsidR="00BE53DB" w:rsidRPr="00BE53DB" w:rsidRDefault="00BE53DB" w:rsidP="00BE53DB">
            <w:pPr>
              <w:jc w:val="both"/>
              <w:rPr>
                <w:sz w:val="20"/>
              </w:rPr>
            </w:pPr>
            <w:r w:rsidRPr="00BE53DB">
              <w:rPr>
                <w:sz w:val="20"/>
              </w:rPr>
              <w:t>April 22, 2016</w:t>
            </w:r>
          </w:p>
          <w:p w:rsidR="00BE53DB" w:rsidRPr="00BE53DB" w:rsidRDefault="00BE53DB" w:rsidP="00BE53DB">
            <w:pPr>
              <w:jc w:val="both"/>
              <w:rPr>
                <w:sz w:val="20"/>
              </w:rPr>
            </w:pPr>
            <w:r w:rsidRPr="00BE53DB">
              <w:rPr>
                <w:sz w:val="20"/>
              </w:rPr>
              <w:t>Supreme Court of Canada</w:t>
            </w:r>
          </w:p>
        </w:tc>
        <w:tc>
          <w:tcPr>
            <w:tcW w:w="243" w:type="pct"/>
          </w:tcPr>
          <w:p w:rsidR="00BE53DB" w:rsidRPr="00BE53DB" w:rsidRDefault="00BE53DB" w:rsidP="00BE53DB">
            <w:pPr>
              <w:jc w:val="both"/>
              <w:rPr>
                <w:sz w:val="20"/>
              </w:rPr>
            </w:pPr>
          </w:p>
        </w:tc>
        <w:tc>
          <w:tcPr>
            <w:tcW w:w="2330" w:type="pct"/>
          </w:tcPr>
          <w:p w:rsidR="00BE53DB" w:rsidRPr="00BE53DB" w:rsidRDefault="00BE53DB" w:rsidP="00BE53DB">
            <w:pPr>
              <w:jc w:val="both"/>
              <w:rPr>
                <w:sz w:val="20"/>
              </w:rPr>
            </w:pPr>
            <w:r w:rsidRPr="00BE53DB">
              <w:rPr>
                <w:sz w:val="20"/>
              </w:rPr>
              <w:t>Application for leave to appeal filed</w:t>
            </w:r>
          </w:p>
          <w:p w:rsidR="00BE53DB" w:rsidRPr="00BE53DB" w:rsidRDefault="00BE53DB" w:rsidP="00BE53DB">
            <w:pPr>
              <w:jc w:val="both"/>
              <w:rPr>
                <w:sz w:val="20"/>
              </w:rPr>
            </w:pPr>
          </w:p>
        </w:tc>
      </w:tr>
    </w:tbl>
    <w:p w:rsidR="00BE53DB" w:rsidRDefault="00BE53DB" w:rsidP="00BE53DB">
      <w:pPr>
        <w:jc w:val="both"/>
        <w:rPr>
          <w:sz w:val="20"/>
        </w:rPr>
      </w:pPr>
    </w:p>
    <w:p w:rsidR="00BE53DB" w:rsidRPr="00BE53DB" w:rsidRDefault="00BE53DB" w:rsidP="00BE53D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53DB" w:rsidRPr="00BE53DB" w:rsidTr="00E95A6A">
        <w:tc>
          <w:tcPr>
            <w:tcW w:w="543" w:type="pct"/>
          </w:tcPr>
          <w:p w:rsidR="00BE53DB" w:rsidRPr="00BE53DB" w:rsidRDefault="00BE53DB" w:rsidP="00BE53DB">
            <w:pPr>
              <w:jc w:val="both"/>
              <w:rPr>
                <w:sz w:val="20"/>
                <w:lang w:val="fr-CA"/>
              </w:rPr>
            </w:pPr>
            <w:r w:rsidRPr="00BE53DB">
              <w:rPr>
                <w:rStyle w:val="SCCFileNumberChar"/>
                <w:sz w:val="20"/>
                <w:szCs w:val="20"/>
                <w:lang w:val="fr-CA"/>
              </w:rPr>
              <w:t>36976</w:t>
            </w:r>
          </w:p>
        </w:tc>
        <w:tc>
          <w:tcPr>
            <w:tcW w:w="4457" w:type="pct"/>
            <w:gridSpan w:val="3"/>
          </w:tcPr>
          <w:p w:rsidR="00BE53DB" w:rsidRPr="00BE53DB" w:rsidRDefault="00BE53DB" w:rsidP="00BE53DB">
            <w:pPr>
              <w:pStyle w:val="SCCLsocParty"/>
              <w:jc w:val="both"/>
              <w:rPr>
                <w:b/>
                <w:sz w:val="20"/>
                <w:szCs w:val="20"/>
              </w:rPr>
            </w:pPr>
            <w:r w:rsidRPr="00BE53DB">
              <w:rPr>
                <w:b/>
                <w:sz w:val="20"/>
                <w:szCs w:val="20"/>
              </w:rPr>
              <w:t>E.U., L.T. c. Société de l’aide à l’enfance de Toronto, Bureau de l’avocate des enfants</w:t>
            </w:r>
          </w:p>
          <w:p w:rsidR="00BE53DB" w:rsidRPr="00BE53DB" w:rsidRDefault="00BE53DB" w:rsidP="00BE53DB">
            <w:pPr>
              <w:jc w:val="both"/>
              <w:rPr>
                <w:sz w:val="20"/>
                <w:lang w:val="fr-CA"/>
              </w:rPr>
            </w:pPr>
            <w:r w:rsidRPr="00BE53DB">
              <w:rPr>
                <w:sz w:val="20"/>
                <w:lang w:val="fr-CA"/>
              </w:rPr>
              <w:t>(Ont.) (Civile) (Sur autorisation)</w:t>
            </w:r>
          </w:p>
        </w:tc>
      </w:tr>
      <w:tr w:rsidR="00BE53DB" w:rsidRPr="00BE53DB" w:rsidTr="00E95A6A">
        <w:tc>
          <w:tcPr>
            <w:tcW w:w="5000" w:type="pct"/>
            <w:gridSpan w:val="4"/>
          </w:tcPr>
          <w:p w:rsidR="00BE53DB" w:rsidRPr="00BE53DB" w:rsidRDefault="00BE53DB" w:rsidP="00BE53DB">
            <w:pPr>
              <w:pStyle w:val="SCCBanSummary"/>
              <w:rPr>
                <w:sz w:val="20"/>
                <w:szCs w:val="20"/>
                <w:lang w:val="fr-CA"/>
              </w:rPr>
            </w:pPr>
            <w:r w:rsidRPr="00BE53DB">
              <w:rPr>
                <w:sz w:val="20"/>
                <w:szCs w:val="20"/>
                <w:lang w:val="fr-CA"/>
              </w:rPr>
              <w:t>(ORDONNANCE DE NON-Publication DANS LE DOSSIER) (ORDONNANCE DE NON-Publication VISANT UNE PARTIE) (le dossier de la cour renferme des données que le public n’est pas autorisé à consulter)</w:t>
            </w:r>
          </w:p>
          <w:p w:rsidR="00BE53DB" w:rsidRPr="00BE53DB" w:rsidRDefault="00BE53DB" w:rsidP="00BE53DB">
            <w:pPr>
              <w:jc w:val="both"/>
              <w:rPr>
                <w:sz w:val="20"/>
                <w:lang w:val="fr-CA"/>
              </w:rPr>
            </w:pPr>
          </w:p>
          <w:p w:rsidR="00BE53DB" w:rsidRPr="00BE53DB" w:rsidRDefault="00BE53DB" w:rsidP="00BE53DB">
            <w:pPr>
              <w:jc w:val="both"/>
              <w:rPr>
                <w:sz w:val="20"/>
                <w:lang w:val="fr-CA"/>
              </w:rPr>
            </w:pPr>
            <w:r w:rsidRPr="00BE53DB">
              <w:rPr>
                <w:i/>
                <w:sz w:val="20"/>
                <w:lang w:val="fr-CA"/>
              </w:rPr>
              <w:t>Charte des droits</w:t>
            </w:r>
            <w:r w:rsidRPr="00BE53DB">
              <w:rPr>
                <w:sz w:val="20"/>
                <w:lang w:val="fr-CA"/>
              </w:rPr>
              <w:t xml:space="preserve"> – Justice fondamentale – Droits des personnes – Protection des enfants – Rejet pour retard à agir de l’appel interjeté par un père et une mère à l’égard d’une ordonnance de tutelle par la Couronne – L’article 7 de la </w:t>
            </w:r>
            <w:r w:rsidRPr="00BE53DB">
              <w:rPr>
                <w:i/>
                <w:sz w:val="20"/>
                <w:lang w:val="fr-CA"/>
              </w:rPr>
              <w:t>Charte</w:t>
            </w:r>
            <w:r w:rsidRPr="00BE53DB">
              <w:rPr>
                <w:sz w:val="20"/>
                <w:lang w:val="fr-CA"/>
              </w:rPr>
              <w:t xml:space="preserve"> oblige-t-il le tribunal à prendre des mesures pour protéger les droits de parents immigrants appartenant à une minorité dans le cadre d’une instance relative à la protection d’un enfant? – Comment convient-il d’interpréter et d’appliquer les par. 2(2), (3) et (4) des </w:t>
            </w:r>
            <w:r w:rsidRPr="00BE53DB">
              <w:rPr>
                <w:i/>
                <w:sz w:val="20"/>
                <w:lang w:val="fr-CA"/>
              </w:rPr>
              <w:t>Règles en matière de droit de la famille</w:t>
            </w:r>
            <w:r w:rsidRPr="00BE53DB">
              <w:rPr>
                <w:sz w:val="20"/>
                <w:lang w:val="fr-CA"/>
              </w:rPr>
              <w:t xml:space="preserve">, Règl. de l’Ont. 439/07 et les par. 1(1) et (2) de la </w:t>
            </w:r>
            <w:r w:rsidRPr="00BE53DB">
              <w:rPr>
                <w:i/>
                <w:sz w:val="20"/>
                <w:lang w:val="fr-CA"/>
              </w:rPr>
              <w:t>Loi sur les services à l’enfance et à la famille</w:t>
            </w:r>
            <w:r w:rsidRPr="00BE53DB">
              <w:rPr>
                <w:sz w:val="20"/>
                <w:lang w:val="fr-CA"/>
              </w:rPr>
              <w:t>, L.R.O. 1990, c. C.11 lorsque le père et la mère d’un enfant font partie d’une minorité, ne sont pas représentés par un avocat et se butent à des difficultés financières – La Cour d’appel a-t-elle eu tort de ne pas motiver sa décision de rejeter l’appel des demandeurs?</w:t>
            </w:r>
          </w:p>
        </w:tc>
      </w:tr>
      <w:tr w:rsidR="00BE53DB" w:rsidRPr="00BE53DB" w:rsidTr="00E95A6A">
        <w:tc>
          <w:tcPr>
            <w:tcW w:w="5000" w:type="pct"/>
            <w:gridSpan w:val="4"/>
          </w:tcPr>
          <w:p w:rsidR="00BE53DB" w:rsidRPr="00BE53DB" w:rsidRDefault="00BE53DB" w:rsidP="00BE53DB">
            <w:pPr>
              <w:jc w:val="both"/>
              <w:rPr>
                <w:sz w:val="20"/>
                <w:lang w:val="fr-CA"/>
              </w:rPr>
            </w:pPr>
          </w:p>
        </w:tc>
      </w:tr>
      <w:tr w:rsidR="00BE53DB" w:rsidRPr="00BE53DB" w:rsidTr="00E95A6A">
        <w:tc>
          <w:tcPr>
            <w:tcW w:w="5000" w:type="pct"/>
            <w:gridSpan w:val="4"/>
          </w:tcPr>
          <w:p w:rsidR="00BE53DB" w:rsidRPr="00BE53DB" w:rsidRDefault="00BE53DB" w:rsidP="00BE53DB">
            <w:pPr>
              <w:jc w:val="both"/>
              <w:rPr>
                <w:sz w:val="20"/>
                <w:lang w:val="fr-CA"/>
              </w:rPr>
            </w:pPr>
            <w:r w:rsidRPr="00BE53DB">
              <w:rPr>
                <w:sz w:val="20"/>
                <w:lang w:val="fr-CA"/>
              </w:rPr>
              <w:t xml:space="preserve">Les demandeurs sont les parents d’un enfant que la Société de l’aide à l’enfance a appréhendé en juillet 2012. L’enfant a été confié à une famille d’accueil chez laquelle elle vit depuis et qui souhaite l’adopter. À l’issue de dix jours de procès pendant lesquels le père et la mère de l’enfant étaient représentés séparément, le tribunal a conclu que l’enfant avait besoin de protection et a  rendu une ordonnance de tutelle par la Couronne. Le père et la mère n’ont obtenu aucun droit de visite. Ils ont déposé un avis d’appel. Plusieurs audiences sur l’état de l’instance ont eu lieu entre novembre 2014 et août 2015. La plupart ont été ajournées à la demande du père et de la mère. Leur dossier d’appel est demeuré incomplet. La Société de l’aide à l’enfance a fait connaître son intention de demander le rejet de l’appel pour retard à agir. La demande a été entendue le 27 août 2015, et les appelants ont alors demandé un ajournement. L’appel sur le fond devait avoir lieu trois semaines plus tard. Ni les transcriptions, ni le mémoire d’appel, ni le dossier d’appel n’avaient été déposés. </w:t>
            </w:r>
          </w:p>
          <w:p w:rsidR="00BE53DB" w:rsidRPr="00BE53DB" w:rsidRDefault="00BE53DB" w:rsidP="00BE53DB">
            <w:pPr>
              <w:jc w:val="both"/>
              <w:rPr>
                <w:sz w:val="20"/>
                <w:lang w:val="fr-CA"/>
              </w:rPr>
            </w:pPr>
          </w:p>
        </w:tc>
      </w:tr>
      <w:tr w:rsidR="00BE53DB" w:rsidRPr="00BE53DB" w:rsidTr="00E95A6A">
        <w:tc>
          <w:tcPr>
            <w:tcW w:w="2427" w:type="pct"/>
            <w:gridSpan w:val="2"/>
          </w:tcPr>
          <w:p w:rsidR="00BE53DB" w:rsidRPr="00BE53DB" w:rsidRDefault="00BE53DB" w:rsidP="00BE53DB">
            <w:pPr>
              <w:jc w:val="both"/>
              <w:rPr>
                <w:sz w:val="20"/>
                <w:lang w:val="fr-CA"/>
              </w:rPr>
            </w:pPr>
            <w:r w:rsidRPr="00BE53DB">
              <w:rPr>
                <w:sz w:val="20"/>
                <w:lang w:val="fr-CA"/>
              </w:rPr>
              <w:t>27 août 2015</w:t>
            </w:r>
          </w:p>
          <w:p w:rsidR="00BE53DB" w:rsidRPr="00BE53DB" w:rsidRDefault="00BE53DB" w:rsidP="00BE53DB">
            <w:pPr>
              <w:jc w:val="both"/>
              <w:rPr>
                <w:sz w:val="20"/>
                <w:lang w:val="fr-CA"/>
              </w:rPr>
            </w:pPr>
            <w:r w:rsidRPr="00BE53DB">
              <w:rPr>
                <w:sz w:val="20"/>
                <w:lang w:val="fr-CA"/>
              </w:rPr>
              <w:t xml:space="preserve">Cour supérieure de justice de l’Ontario </w:t>
            </w:r>
          </w:p>
          <w:p w:rsidR="00BE53DB" w:rsidRPr="00BE53DB" w:rsidRDefault="00BE53DB" w:rsidP="00BE53DB">
            <w:pPr>
              <w:jc w:val="both"/>
              <w:rPr>
                <w:sz w:val="20"/>
                <w:lang w:val="fr-CA"/>
              </w:rPr>
            </w:pPr>
            <w:r w:rsidRPr="00BE53DB">
              <w:rPr>
                <w:sz w:val="20"/>
                <w:lang w:val="fr-CA"/>
              </w:rPr>
              <w:t xml:space="preserve">(Juge </w:t>
            </w:r>
            <w:proofErr w:type="spellStart"/>
            <w:r w:rsidRPr="00BE53DB">
              <w:rPr>
                <w:sz w:val="20"/>
                <w:lang w:val="fr-CA"/>
              </w:rPr>
              <w:t>Kiteley</w:t>
            </w:r>
            <w:proofErr w:type="spellEnd"/>
            <w:r w:rsidRPr="00BE53DB">
              <w:rPr>
                <w:sz w:val="20"/>
                <w:lang w:val="fr-CA"/>
              </w:rPr>
              <w:t>)</w:t>
            </w:r>
          </w:p>
          <w:p w:rsidR="00BE53DB" w:rsidRPr="00BE53DB" w:rsidRDefault="00BE53DB" w:rsidP="00BE53DB">
            <w:pPr>
              <w:jc w:val="both"/>
              <w:rPr>
                <w:sz w:val="20"/>
                <w:lang w:val="fr-CA"/>
              </w:rPr>
            </w:pPr>
            <w:r w:rsidRPr="00BE53DB">
              <w:rPr>
                <w:sz w:val="20"/>
                <w:lang w:val="fr-CA"/>
              </w:rPr>
              <w:t>Non publié</w:t>
            </w:r>
          </w:p>
          <w:p w:rsidR="00BE53DB" w:rsidRPr="00BE53DB" w:rsidRDefault="00BE53DB" w:rsidP="00BE53DB">
            <w:pPr>
              <w:jc w:val="both"/>
              <w:rPr>
                <w:sz w:val="20"/>
                <w:lang w:val="fr-CA"/>
              </w:rPr>
            </w:pPr>
          </w:p>
        </w:tc>
        <w:tc>
          <w:tcPr>
            <w:tcW w:w="243" w:type="pct"/>
          </w:tcPr>
          <w:p w:rsidR="00BE53DB" w:rsidRPr="00BE53DB" w:rsidRDefault="00BE53DB" w:rsidP="00BE53DB">
            <w:pPr>
              <w:jc w:val="both"/>
              <w:rPr>
                <w:sz w:val="20"/>
                <w:lang w:val="fr-CA"/>
              </w:rPr>
            </w:pPr>
          </w:p>
        </w:tc>
        <w:tc>
          <w:tcPr>
            <w:tcW w:w="2330" w:type="pct"/>
          </w:tcPr>
          <w:p w:rsidR="00BE53DB" w:rsidRPr="00BE53DB" w:rsidRDefault="00BE53DB" w:rsidP="00BE53DB">
            <w:pPr>
              <w:jc w:val="both"/>
              <w:rPr>
                <w:sz w:val="20"/>
                <w:lang w:val="fr-CA"/>
              </w:rPr>
            </w:pPr>
            <w:r w:rsidRPr="00BE53DB">
              <w:rPr>
                <w:sz w:val="20"/>
                <w:lang w:val="fr-CA"/>
              </w:rPr>
              <w:t>Rejet pour retard à agir de l’appel des demandeurs visant l’ordonnance de tutelle par la Couronne</w:t>
            </w:r>
          </w:p>
          <w:p w:rsidR="00BE53DB" w:rsidRPr="00BE53DB" w:rsidRDefault="00BE53DB" w:rsidP="00BE53DB">
            <w:pPr>
              <w:jc w:val="both"/>
              <w:rPr>
                <w:sz w:val="20"/>
                <w:lang w:val="fr-CA"/>
              </w:rPr>
            </w:pPr>
          </w:p>
          <w:p w:rsidR="00BE53DB" w:rsidRPr="00BE53DB" w:rsidRDefault="00BE53DB" w:rsidP="00BE53DB">
            <w:pPr>
              <w:jc w:val="both"/>
              <w:rPr>
                <w:sz w:val="20"/>
                <w:lang w:val="fr-CA"/>
              </w:rPr>
            </w:pPr>
          </w:p>
        </w:tc>
      </w:tr>
      <w:tr w:rsidR="00BE53DB" w:rsidRPr="00BE53DB" w:rsidTr="00E95A6A">
        <w:tc>
          <w:tcPr>
            <w:tcW w:w="2427" w:type="pct"/>
            <w:gridSpan w:val="2"/>
          </w:tcPr>
          <w:p w:rsidR="00BE53DB" w:rsidRPr="00BE53DB" w:rsidRDefault="00BE53DB" w:rsidP="00BE53DB">
            <w:pPr>
              <w:jc w:val="both"/>
              <w:rPr>
                <w:sz w:val="20"/>
                <w:lang w:val="fr-CA"/>
              </w:rPr>
            </w:pPr>
            <w:r w:rsidRPr="00BE53DB">
              <w:rPr>
                <w:sz w:val="20"/>
                <w:lang w:val="fr-CA"/>
              </w:rPr>
              <w:t>24 février 2016</w:t>
            </w:r>
          </w:p>
          <w:p w:rsidR="00BE53DB" w:rsidRPr="00BE53DB" w:rsidRDefault="00BE53DB" w:rsidP="00BE53DB">
            <w:pPr>
              <w:jc w:val="both"/>
              <w:rPr>
                <w:sz w:val="20"/>
                <w:lang w:val="fr-CA"/>
              </w:rPr>
            </w:pPr>
            <w:r w:rsidRPr="00BE53DB">
              <w:rPr>
                <w:sz w:val="20"/>
                <w:lang w:val="fr-CA"/>
              </w:rPr>
              <w:t>Cour d’appel de l’Ontario</w:t>
            </w:r>
          </w:p>
          <w:p w:rsidR="00BE53DB" w:rsidRPr="00BE53DB" w:rsidRDefault="00BE53DB" w:rsidP="00BE53DB">
            <w:pPr>
              <w:jc w:val="both"/>
              <w:rPr>
                <w:sz w:val="20"/>
                <w:lang w:val="fr-CA"/>
              </w:rPr>
            </w:pPr>
            <w:r w:rsidRPr="00BE53DB">
              <w:rPr>
                <w:sz w:val="20"/>
                <w:lang w:val="fr-CA"/>
              </w:rPr>
              <w:t xml:space="preserve">(Juge en chef adjoint </w:t>
            </w:r>
            <w:proofErr w:type="spellStart"/>
            <w:r w:rsidRPr="00BE53DB">
              <w:rPr>
                <w:sz w:val="20"/>
                <w:lang w:val="fr-CA"/>
              </w:rPr>
              <w:t>Hoy</w:t>
            </w:r>
            <w:proofErr w:type="spellEnd"/>
            <w:r w:rsidRPr="00BE53DB">
              <w:rPr>
                <w:sz w:val="20"/>
                <w:lang w:val="fr-CA"/>
              </w:rPr>
              <w:t xml:space="preserve"> et juges </w:t>
            </w:r>
            <w:proofErr w:type="spellStart"/>
            <w:r w:rsidRPr="00BE53DB">
              <w:rPr>
                <w:sz w:val="20"/>
                <w:lang w:val="fr-CA"/>
              </w:rPr>
              <w:t>Lauwers</w:t>
            </w:r>
            <w:proofErr w:type="spellEnd"/>
            <w:r w:rsidRPr="00BE53DB">
              <w:rPr>
                <w:sz w:val="20"/>
                <w:lang w:val="fr-CA"/>
              </w:rPr>
              <w:t xml:space="preserve"> et </w:t>
            </w:r>
            <w:proofErr w:type="spellStart"/>
            <w:r w:rsidRPr="00BE53DB">
              <w:rPr>
                <w:sz w:val="20"/>
                <w:lang w:val="fr-CA"/>
              </w:rPr>
              <w:t>Hourigan</w:t>
            </w:r>
            <w:proofErr w:type="spellEnd"/>
            <w:r w:rsidRPr="00BE53DB">
              <w:rPr>
                <w:sz w:val="20"/>
                <w:lang w:val="fr-CA"/>
              </w:rPr>
              <w:t>)</w:t>
            </w:r>
          </w:p>
          <w:p w:rsidR="00BE53DB" w:rsidRPr="00BE53DB" w:rsidRDefault="00BE53DB" w:rsidP="00BE53DB">
            <w:pPr>
              <w:jc w:val="both"/>
              <w:rPr>
                <w:sz w:val="20"/>
                <w:lang w:val="fr-CA"/>
              </w:rPr>
            </w:pPr>
            <w:hyperlink r:id="rId32" w:history="1">
              <w:r w:rsidRPr="00BE53DB">
                <w:rPr>
                  <w:rStyle w:val="Hyperlink"/>
                  <w:sz w:val="20"/>
                  <w:lang w:val="fr-CA"/>
                </w:rPr>
                <w:t>2016 ONCA 146</w:t>
              </w:r>
            </w:hyperlink>
          </w:p>
          <w:p w:rsidR="00BE53DB" w:rsidRPr="00BE53DB" w:rsidRDefault="00BE53DB" w:rsidP="00BE53DB">
            <w:pPr>
              <w:jc w:val="both"/>
              <w:rPr>
                <w:sz w:val="20"/>
                <w:lang w:val="fr-CA"/>
              </w:rPr>
            </w:pPr>
          </w:p>
        </w:tc>
        <w:tc>
          <w:tcPr>
            <w:tcW w:w="243" w:type="pct"/>
          </w:tcPr>
          <w:p w:rsidR="00BE53DB" w:rsidRPr="00BE53DB" w:rsidRDefault="00BE53DB" w:rsidP="00BE53DB">
            <w:pPr>
              <w:jc w:val="both"/>
              <w:rPr>
                <w:sz w:val="20"/>
                <w:lang w:val="fr-CA"/>
              </w:rPr>
            </w:pPr>
          </w:p>
        </w:tc>
        <w:tc>
          <w:tcPr>
            <w:tcW w:w="2330" w:type="pct"/>
          </w:tcPr>
          <w:p w:rsidR="00BE53DB" w:rsidRPr="00BE53DB" w:rsidRDefault="00BE53DB" w:rsidP="00BE53DB">
            <w:pPr>
              <w:jc w:val="both"/>
              <w:rPr>
                <w:sz w:val="20"/>
                <w:lang w:val="fr-CA"/>
              </w:rPr>
            </w:pPr>
            <w:r w:rsidRPr="00BE53DB">
              <w:rPr>
                <w:sz w:val="20"/>
                <w:lang w:val="fr-CA"/>
              </w:rPr>
              <w:t>Rejet de l’appel des demandeurs</w:t>
            </w:r>
          </w:p>
          <w:p w:rsidR="00BE53DB" w:rsidRPr="00BE53DB" w:rsidRDefault="00BE53DB" w:rsidP="00BE53DB">
            <w:pPr>
              <w:jc w:val="both"/>
              <w:rPr>
                <w:sz w:val="20"/>
                <w:lang w:val="fr-CA"/>
              </w:rPr>
            </w:pPr>
          </w:p>
        </w:tc>
      </w:tr>
      <w:tr w:rsidR="00BE53DB" w:rsidRPr="00BE53DB" w:rsidTr="00E95A6A">
        <w:tc>
          <w:tcPr>
            <w:tcW w:w="2427" w:type="pct"/>
            <w:gridSpan w:val="2"/>
          </w:tcPr>
          <w:p w:rsidR="00BE53DB" w:rsidRPr="00BE53DB" w:rsidRDefault="00BE53DB" w:rsidP="00BE53DB">
            <w:pPr>
              <w:jc w:val="both"/>
              <w:rPr>
                <w:sz w:val="20"/>
                <w:lang w:val="fr-CA"/>
              </w:rPr>
            </w:pPr>
            <w:r w:rsidRPr="00BE53DB">
              <w:rPr>
                <w:sz w:val="20"/>
                <w:lang w:val="fr-CA"/>
              </w:rPr>
              <w:t>22 avril 2016</w:t>
            </w:r>
          </w:p>
          <w:p w:rsidR="00BE53DB" w:rsidRPr="00BE53DB" w:rsidRDefault="00BE53DB" w:rsidP="00BE53DB">
            <w:pPr>
              <w:jc w:val="both"/>
              <w:rPr>
                <w:sz w:val="20"/>
                <w:lang w:val="fr-CA"/>
              </w:rPr>
            </w:pPr>
            <w:r w:rsidRPr="00BE53DB">
              <w:rPr>
                <w:sz w:val="20"/>
                <w:lang w:val="fr-CA"/>
              </w:rPr>
              <w:t>Cour suprême du Canada</w:t>
            </w:r>
          </w:p>
        </w:tc>
        <w:tc>
          <w:tcPr>
            <w:tcW w:w="243" w:type="pct"/>
          </w:tcPr>
          <w:p w:rsidR="00BE53DB" w:rsidRPr="00BE53DB" w:rsidRDefault="00BE53DB" w:rsidP="00BE53DB">
            <w:pPr>
              <w:jc w:val="both"/>
              <w:rPr>
                <w:sz w:val="20"/>
                <w:lang w:val="fr-CA"/>
              </w:rPr>
            </w:pPr>
          </w:p>
        </w:tc>
        <w:tc>
          <w:tcPr>
            <w:tcW w:w="2330" w:type="pct"/>
          </w:tcPr>
          <w:p w:rsidR="00BE53DB" w:rsidRPr="00BE53DB" w:rsidRDefault="00BE53DB" w:rsidP="00BE53DB">
            <w:pPr>
              <w:jc w:val="both"/>
              <w:rPr>
                <w:sz w:val="20"/>
                <w:lang w:val="fr-CA"/>
              </w:rPr>
            </w:pPr>
            <w:r w:rsidRPr="00BE53DB">
              <w:rPr>
                <w:sz w:val="20"/>
                <w:lang w:val="fr-CA"/>
              </w:rPr>
              <w:t>Dépôt de la demande d’autorisation d’appel</w:t>
            </w:r>
          </w:p>
          <w:p w:rsidR="00BE53DB" w:rsidRPr="00BE53DB" w:rsidRDefault="00BE53DB" w:rsidP="00BE53DB">
            <w:pPr>
              <w:jc w:val="both"/>
              <w:rPr>
                <w:sz w:val="20"/>
                <w:lang w:val="fr-CA"/>
              </w:rPr>
            </w:pPr>
          </w:p>
        </w:tc>
      </w:tr>
    </w:tbl>
    <w:p w:rsidR="00BE53DB" w:rsidRPr="00BE53DB" w:rsidRDefault="00BE53DB" w:rsidP="00BE53DB">
      <w:pPr>
        <w:jc w:val="both"/>
        <w:rPr>
          <w:sz w:val="20"/>
          <w:lang w:val="fr-CA"/>
        </w:rPr>
      </w:pPr>
    </w:p>
    <w:p w:rsidR="00684CAA" w:rsidRDefault="00684CAA" w:rsidP="009A5F3F">
      <w:pPr>
        <w:widowControl w:val="0"/>
        <w:autoSpaceDE w:val="0"/>
        <w:autoSpaceDN w:val="0"/>
        <w:adjustRightInd w:val="0"/>
        <w:ind w:left="360" w:hanging="360"/>
        <w:rPr>
          <w:rFonts w:eastAsiaTheme="minorEastAsia"/>
          <w:sz w:val="20"/>
          <w:lang w:val="en-CA" w:eastAsia="en-CA"/>
        </w:rPr>
      </w:pPr>
    </w:p>
    <w:p w:rsidR="00684CAA" w:rsidRDefault="00684CAA" w:rsidP="009A5F3F">
      <w:pPr>
        <w:widowControl w:val="0"/>
        <w:autoSpaceDE w:val="0"/>
        <w:autoSpaceDN w:val="0"/>
        <w:adjustRightInd w:val="0"/>
        <w:ind w:left="360" w:hanging="360"/>
        <w:rPr>
          <w:rFonts w:eastAsiaTheme="minorEastAsia"/>
          <w:sz w:val="20"/>
          <w:lang w:val="en-CA" w:eastAsia="en-CA"/>
        </w:rPr>
      </w:pPr>
    </w:p>
    <w:p w:rsidR="00D3344A" w:rsidRPr="0099255B" w:rsidRDefault="00D3344A" w:rsidP="00D3344A">
      <w:pPr>
        <w:widowControl w:val="0"/>
        <w:outlineLvl w:val="0"/>
      </w:pPr>
      <w:r w:rsidRPr="0099255B">
        <w:t xml:space="preserve">Supreme Court of Canada / </w:t>
      </w:r>
      <w:proofErr w:type="spellStart"/>
      <w:r w:rsidRPr="0099255B">
        <w:t>Cour</w:t>
      </w:r>
      <w:proofErr w:type="spellEnd"/>
      <w:r w:rsidRPr="0099255B">
        <w:t xml:space="preserve"> </w:t>
      </w:r>
      <w:proofErr w:type="spellStart"/>
      <w:r w:rsidRPr="0099255B">
        <w:t>suprême</w:t>
      </w:r>
      <w:proofErr w:type="spellEnd"/>
      <w:r w:rsidRPr="0099255B">
        <w:t xml:space="preserve"> du </w:t>
      </w:r>
      <w:proofErr w:type="gramStart"/>
      <w:r w:rsidRPr="0099255B">
        <w:t>Canad</w:t>
      </w:r>
      <w:r w:rsidR="00EE289F" w:rsidRPr="0099255B">
        <w:t>a</w:t>
      </w:r>
      <w:r w:rsidRPr="0099255B">
        <w:t xml:space="preserve"> :</w:t>
      </w:r>
      <w:proofErr w:type="gramEnd"/>
      <w:r w:rsidRPr="0099255B">
        <w:t xml:space="preserve"> </w:t>
      </w:r>
    </w:p>
    <w:p w:rsidR="00D3344A" w:rsidRPr="0099255B" w:rsidRDefault="00F3482B" w:rsidP="00D3344A">
      <w:pPr>
        <w:widowControl w:val="0"/>
        <w:outlineLvl w:val="0"/>
        <w:rPr>
          <w:u w:val="single"/>
        </w:rPr>
      </w:pPr>
      <w:hyperlink r:id="rId33" w:history="1">
        <w:r w:rsidR="00D3344A" w:rsidRPr="0099255B">
          <w:rPr>
            <w:rStyle w:val="Hyperlink"/>
          </w:rPr>
          <w:t>comments-commentaires@scc-csc.ca</w:t>
        </w:r>
      </w:hyperlink>
    </w:p>
    <w:p w:rsidR="00D3344A" w:rsidRPr="0099255B" w:rsidRDefault="0065588C" w:rsidP="00D3344A">
      <w:pPr>
        <w:widowControl w:val="0"/>
        <w:outlineLvl w:val="0"/>
      </w:pPr>
      <w:r w:rsidRPr="0099255B">
        <w:t>613-</w:t>
      </w:r>
      <w:r w:rsidR="00D3344A" w:rsidRPr="0099255B">
        <w:t>995-4330</w:t>
      </w:r>
    </w:p>
    <w:p w:rsidR="00497B5E" w:rsidRPr="0099255B" w:rsidRDefault="00497B5E" w:rsidP="00497B5E">
      <w:pPr>
        <w:widowControl w:val="0"/>
        <w:rPr>
          <w:sz w:val="20"/>
        </w:rPr>
      </w:pPr>
    </w:p>
    <w:p w:rsidR="00F6251B" w:rsidRPr="0099255B" w:rsidRDefault="003F43E6" w:rsidP="00F6251B">
      <w:pPr>
        <w:pStyle w:val="Footer"/>
        <w:jc w:val="center"/>
      </w:pPr>
      <w:r w:rsidRPr="0099255B">
        <w:t>- 30 -</w:t>
      </w:r>
    </w:p>
    <w:p w:rsidR="00F6251B" w:rsidRPr="0099255B" w:rsidRDefault="00F6251B" w:rsidP="00F6251B">
      <w:pPr>
        <w:pStyle w:val="Footer"/>
        <w:jc w:val="center"/>
      </w:pPr>
    </w:p>
    <w:p w:rsidR="00F6251B" w:rsidRPr="0099255B" w:rsidRDefault="00F6251B" w:rsidP="00F6251B">
      <w:pPr>
        <w:pStyle w:val="Footer"/>
        <w:jc w:val="center"/>
      </w:pPr>
    </w:p>
    <w:sectPr w:rsidR="00F6251B" w:rsidRPr="0099255B" w:rsidSect="0052482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6B834807"/>
    <w:multiLevelType w:val="hybridMultilevel"/>
    <w:tmpl w:val="9AFA1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2"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35"/>
  </w:num>
  <w:num w:numId="14">
    <w:abstractNumId w:val="3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3"/>
  </w:num>
  <w:num w:numId="19">
    <w:abstractNumId w:val="31"/>
  </w:num>
  <w:num w:numId="20">
    <w:abstractNumId w:val="25"/>
  </w:num>
  <w:num w:numId="21">
    <w:abstractNumId w:val="34"/>
  </w:num>
  <w:num w:numId="22">
    <w:abstractNumId w:val="0"/>
  </w:num>
  <w:num w:numId="23">
    <w:abstractNumId w:val="43"/>
  </w:num>
  <w:num w:numId="24">
    <w:abstractNumId w:val="18"/>
  </w:num>
  <w:num w:numId="25">
    <w:abstractNumId w:val="1"/>
  </w:num>
  <w:num w:numId="26">
    <w:abstractNumId w:val="22"/>
  </w:num>
  <w:num w:numId="27">
    <w:abstractNumId w:val="45"/>
  </w:num>
  <w:num w:numId="28">
    <w:abstractNumId w:val="30"/>
  </w:num>
  <w:num w:numId="29">
    <w:abstractNumId w:val="41"/>
  </w:num>
  <w:num w:numId="30">
    <w:abstractNumId w:val="33"/>
  </w:num>
  <w:num w:numId="31">
    <w:abstractNumId w:val="23"/>
  </w:num>
  <w:num w:numId="32">
    <w:abstractNumId w:val="8"/>
  </w:num>
  <w:num w:numId="33">
    <w:abstractNumId w:val="2"/>
  </w:num>
  <w:num w:numId="34">
    <w:abstractNumId w:val="42"/>
  </w:num>
  <w:num w:numId="35">
    <w:abstractNumId w:val="39"/>
  </w:num>
  <w:num w:numId="36">
    <w:abstractNumId w:val="10"/>
  </w:num>
  <w:num w:numId="37">
    <w:abstractNumId w:val="5"/>
  </w:num>
  <w:num w:numId="38">
    <w:abstractNumId w:val="12"/>
  </w:num>
  <w:num w:numId="39">
    <w:abstractNumId w:val="29"/>
  </w:num>
  <w:num w:numId="40">
    <w:abstractNumId w:val="26"/>
  </w:num>
  <w:num w:numId="41">
    <w:abstractNumId w:val="20"/>
  </w:num>
  <w:num w:numId="42">
    <w:abstractNumId w:val="1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8"/>
  </w:num>
  <w:num w:numId="4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10B"/>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3A67"/>
    <w:rsid w:val="004B4BDC"/>
    <w:rsid w:val="004B4D42"/>
    <w:rsid w:val="004B4E10"/>
    <w:rsid w:val="004B612C"/>
    <w:rsid w:val="004B7E3E"/>
    <w:rsid w:val="004C0544"/>
    <w:rsid w:val="004C07ED"/>
    <w:rsid w:val="004C228F"/>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19C6"/>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4CAA"/>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F07"/>
    <w:rsid w:val="008115B8"/>
    <w:rsid w:val="008115CF"/>
    <w:rsid w:val="00812315"/>
    <w:rsid w:val="00813018"/>
    <w:rsid w:val="00814DCA"/>
    <w:rsid w:val="0081539C"/>
    <w:rsid w:val="00815D1B"/>
    <w:rsid w:val="00816C1F"/>
    <w:rsid w:val="00820876"/>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1006"/>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3DB"/>
    <w:rsid w:val="00BE540B"/>
    <w:rsid w:val="00BE6364"/>
    <w:rsid w:val="00BE6576"/>
    <w:rsid w:val="00BF048F"/>
    <w:rsid w:val="00BF1FCA"/>
    <w:rsid w:val="00BF386F"/>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6829"/>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47A7"/>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78"/>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482B"/>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45"/>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70" TargetMode="External"/><Relationship Id="rId13" Type="http://schemas.openxmlformats.org/officeDocument/2006/relationships/hyperlink" Target="http://canlii.ca/t/g8z5v" TargetMode="External"/><Relationship Id="rId18" Type="http://schemas.openxmlformats.org/officeDocument/2006/relationships/hyperlink" Target="http://canlii.ca/t/gn22f" TargetMode="External"/><Relationship Id="rId26" Type="http://schemas.openxmlformats.org/officeDocument/2006/relationships/hyperlink" Target="http://www.canlii.org/en/bc/bcca/doc/2016/2016bcca113/2016bcca113.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anlii.org/en/bc/bcsc/doc/2014/2014bcsc2219/2014bcsc2219.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eng.aspx?cas=36976" TargetMode="External"/><Relationship Id="rId17" Type="http://schemas.openxmlformats.org/officeDocument/2006/relationships/hyperlink" Target="http://canlii.ca/t/gg1wz" TargetMode="External"/><Relationship Id="rId25" Type="http://schemas.openxmlformats.org/officeDocument/2006/relationships/hyperlink" Target="http://www.canlii.org/en/bc/bcsc/doc/2014/2014bcsc2219/2014bcsc2219.pdf"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lii.ca/t/g8z5v" TargetMode="External"/><Relationship Id="rId20" Type="http://schemas.openxmlformats.org/officeDocument/2006/relationships/hyperlink" Target="http://www.canlii.org/en/bc/bcsc/doc/2014/2014bcsc988/2014bcsc988.pdf" TargetMode="External"/><Relationship Id="rId29" Type="http://schemas.openxmlformats.org/officeDocument/2006/relationships/hyperlink" Target="http://c-doc.domain.scc-csc.gc.ca/L25/01/05/%3chttp:/canlii.ca/t/gnhj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985" TargetMode="External"/><Relationship Id="rId24" Type="http://schemas.openxmlformats.org/officeDocument/2006/relationships/hyperlink" Target="http://www.canlii.org/en/bc/bcsc/doc/2014/2014bcsc988/2014bcsc988.pdf" TargetMode="External"/><Relationship Id="rId32" Type="http://schemas.openxmlformats.org/officeDocument/2006/relationships/hyperlink" Target="http://c-doc.domain.scc-csc.gc.ca/L25/01/05/%3chttp:/canlii.ca/t/gnh0h%3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gn22f" TargetMode="External"/><Relationship Id="rId23" Type="http://schemas.openxmlformats.org/officeDocument/2006/relationships/hyperlink" Target="http://www.bclaws.ca/civix/content/complete/statreg/76470131/96250/?xsl=/templates/browse.xsl" TargetMode="External"/><Relationship Id="rId28" Type="http://schemas.openxmlformats.org/officeDocument/2006/relationships/hyperlink" Target="http://c-doc.domain.scc-csc.gc.ca/L25/01/05/%3chttp:/canlii.ca/t/gnhj7" TargetMode="External"/><Relationship Id="rId36" Type="http://schemas.openxmlformats.org/officeDocument/2006/relationships/footer" Target="footer1.xml"/><Relationship Id="rId10" Type="http://schemas.openxmlformats.org/officeDocument/2006/relationships/hyperlink" Target="http://www.scc-csc.ca/case-dossier/info/sum-som-eng.aspx?cas=36984" TargetMode="External"/><Relationship Id="rId19" Type="http://schemas.openxmlformats.org/officeDocument/2006/relationships/hyperlink" Target="http://www.bclaws.ca/civix/content/complete/statreg/76470131/96250/?xsl=/templates/browse.xsl" TargetMode="External"/><Relationship Id="rId31" Type="http://schemas.openxmlformats.org/officeDocument/2006/relationships/hyperlink" Target="http://c-doc.domain.scc-csc.gc.ca/L25/01/05/%3chttp:/canlii.ca/t/gnh0h%3e," TargetMode="External"/><Relationship Id="rId4" Type="http://schemas.openxmlformats.org/officeDocument/2006/relationships/settings" Target="settings.xml"/><Relationship Id="rId9" Type="http://schemas.openxmlformats.org/officeDocument/2006/relationships/hyperlink" Target="http://www.scc-csc.ca/case-dossier/info/sum-som-eng.aspx?cas=36999" TargetMode="External"/><Relationship Id="rId14" Type="http://schemas.openxmlformats.org/officeDocument/2006/relationships/hyperlink" Target="http://canlii.ca/t/gg1wz" TargetMode="External"/><Relationship Id="rId22" Type="http://schemas.openxmlformats.org/officeDocument/2006/relationships/hyperlink" Target="http://www.canlii.org/en/bc/bcca/doc/2016/2016bcca113/2016bcca113.pdf" TargetMode="External"/><Relationship Id="rId27" Type="http://schemas.openxmlformats.org/officeDocument/2006/relationships/hyperlink" Target="http://c-doc.domain.scc-csc.gc.ca/L25/01/05/%3chttp:/canlii.ca/t/gnhj7" TargetMode="External"/><Relationship Id="rId30" Type="http://schemas.openxmlformats.org/officeDocument/2006/relationships/hyperlink" Target="http://c-doc.domain.scc-csc.gc.ca/L25/01/05/%3chttp:/canlii.ca/t/gnhj7"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7D1DE-BCF9-4582-9B67-AF003B40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2016-07-08T19:19:00Z</dcterms:created>
  <dcterms:modified xsi:type="dcterms:W3CDTF">2016-07-11T13:42:00Z</dcterms:modified>
</cp:coreProperties>
</file>