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80DEB" w:rsidRDefault="003F43E6" w:rsidP="00122CE1">
      <w:pPr>
        <w:pStyle w:val="Header"/>
        <w:tabs>
          <w:tab w:val="left" w:pos="1620"/>
          <w:tab w:val="left" w:pos="1710"/>
        </w:tabs>
        <w:jc w:val="center"/>
        <w:rPr>
          <w:b/>
          <w:sz w:val="32"/>
        </w:rPr>
      </w:pPr>
      <w:r w:rsidRPr="00480DEB">
        <w:rPr>
          <w:b/>
          <w:sz w:val="32"/>
        </w:rPr>
        <w:t>Supreme Court of Canada / Cour suprême du Canada</w:t>
      </w:r>
    </w:p>
    <w:p w:rsidR="003F43E6" w:rsidRPr="00480DEB" w:rsidRDefault="003F43E6" w:rsidP="006F2579">
      <w:pPr>
        <w:widowControl w:val="0"/>
        <w:rPr>
          <w:i/>
        </w:rPr>
      </w:pPr>
    </w:p>
    <w:p w:rsidR="006F2579" w:rsidRPr="00480DEB" w:rsidRDefault="006F2579" w:rsidP="006F2579">
      <w:pPr>
        <w:widowControl w:val="0"/>
        <w:rPr>
          <w:i/>
        </w:rPr>
      </w:pPr>
      <w:r w:rsidRPr="00480DEB">
        <w:rPr>
          <w:i/>
        </w:rPr>
        <w:t>(le français suit)</w:t>
      </w:r>
    </w:p>
    <w:p w:rsidR="006F2579" w:rsidRPr="00480DEB" w:rsidRDefault="006F2579" w:rsidP="006F2579">
      <w:pPr>
        <w:widowControl w:val="0"/>
      </w:pPr>
    </w:p>
    <w:p w:rsidR="006F2579" w:rsidRPr="00480DEB" w:rsidRDefault="00B07908" w:rsidP="006F2579">
      <w:pPr>
        <w:widowControl w:val="0"/>
        <w:jc w:val="center"/>
        <w:rPr>
          <w:b/>
        </w:rPr>
      </w:pPr>
      <w:r w:rsidRPr="00480DEB">
        <w:fldChar w:fldCharType="begin"/>
      </w:r>
      <w:r w:rsidR="006F2579" w:rsidRPr="00480DEB">
        <w:instrText xml:space="preserve"> SEQ CHAPTER \h \r 1</w:instrText>
      </w:r>
      <w:r w:rsidRPr="00480DEB">
        <w:fldChar w:fldCharType="end"/>
      </w:r>
      <w:r w:rsidR="006F2579" w:rsidRPr="00480DEB">
        <w:rPr>
          <w:b/>
        </w:rPr>
        <w:t>JUDGMENT</w:t>
      </w:r>
      <w:r w:rsidR="00B17AAC" w:rsidRPr="00480DEB">
        <w:rPr>
          <w:b/>
        </w:rPr>
        <w:t>S</w:t>
      </w:r>
      <w:r w:rsidR="006F2579" w:rsidRPr="00480DEB">
        <w:rPr>
          <w:b/>
        </w:rPr>
        <w:t xml:space="preserve"> TO B</w:t>
      </w:r>
      <w:r w:rsidR="00001846" w:rsidRPr="00480DEB">
        <w:rPr>
          <w:b/>
        </w:rPr>
        <w:t>E RENDERED IN LEAVE APPLICATION</w:t>
      </w:r>
      <w:r w:rsidR="00AE4C09" w:rsidRPr="00480DEB">
        <w:rPr>
          <w:b/>
        </w:rPr>
        <w:t>S</w:t>
      </w:r>
    </w:p>
    <w:p w:rsidR="006F2579" w:rsidRPr="00480DEB" w:rsidRDefault="006F2579" w:rsidP="006F2579">
      <w:pPr>
        <w:widowControl w:val="0"/>
        <w:rPr>
          <w:b/>
        </w:rPr>
      </w:pPr>
    </w:p>
    <w:p w:rsidR="006F2579" w:rsidRPr="00480DEB" w:rsidRDefault="00FD37D0" w:rsidP="006F2579">
      <w:pPr>
        <w:widowControl w:val="0"/>
        <w:rPr>
          <w:b/>
        </w:rPr>
      </w:pPr>
      <w:r w:rsidRPr="00480DEB">
        <w:rPr>
          <w:b/>
        </w:rPr>
        <w:t xml:space="preserve">August </w:t>
      </w:r>
      <w:r w:rsidR="00854103" w:rsidRPr="00480DEB">
        <w:rPr>
          <w:b/>
        </w:rPr>
        <w:t>15</w:t>
      </w:r>
      <w:r w:rsidR="00AB5538" w:rsidRPr="00480DEB">
        <w:rPr>
          <w:b/>
        </w:rPr>
        <w:t>,</w:t>
      </w:r>
      <w:r w:rsidR="006F2579" w:rsidRPr="00480DEB">
        <w:rPr>
          <w:b/>
        </w:rPr>
        <w:t xml:space="preserve"> </w:t>
      </w:r>
      <w:r w:rsidR="0054689F" w:rsidRPr="00480DEB">
        <w:rPr>
          <w:b/>
        </w:rPr>
        <w:t>201</w:t>
      </w:r>
      <w:r w:rsidR="00674329" w:rsidRPr="00480DEB">
        <w:rPr>
          <w:b/>
        </w:rPr>
        <w:t>6</w:t>
      </w:r>
    </w:p>
    <w:p w:rsidR="006F2579" w:rsidRPr="00480DEB" w:rsidRDefault="006F2579" w:rsidP="006F2579">
      <w:pPr>
        <w:widowControl w:val="0"/>
        <w:rPr>
          <w:b/>
        </w:rPr>
      </w:pPr>
      <w:r w:rsidRPr="00480DEB">
        <w:rPr>
          <w:b/>
        </w:rPr>
        <w:t>For immediate release</w:t>
      </w:r>
    </w:p>
    <w:p w:rsidR="006F2579" w:rsidRPr="00480DEB" w:rsidRDefault="006F2579" w:rsidP="006F2579">
      <w:pPr>
        <w:widowControl w:val="0"/>
      </w:pPr>
    </w:p>
    <w:p w:rsidR="006F2579" w:rsidRPr="00480DEB" w:rsidRDefault="006F2579" w:rsidP="006F2579">
      <w:pPr>
        <w:widowControl w:val="0"/>
      </w:pPr>
      <w:r w:rsidRPr="00480DEB">
        <w:rPr>
          <w:b/>
        </w:rPr>
        <w:t>OTTAWA</w:t>
      </w:r>
      <w:r w:rsidRPr="00480DEB">
        <w:t xml:space="preserve"> – The Supreme Court of Canada announced today that judgment in the following application</w:t>
      </w:r>
      <w:r w:rsidR="008600ED" w:rsidRPr="00480DEB">
        <w:t>s</w:t>
      </w:r>
      <w:r w:rsidRPr="00480DEB">
        <w:t xml:space="preserve"> for leave to appeal will be delivered at 9:45 a.m. E</w:t>
      </w:r>
      <w:r w:rsidR="003817A9" w:rsidRPr="00480DEB">
        <w:t>D</w:t>
      </w:r>
      <w:r w:rsidRPr="00480DEB">
        <w:t xml:space="preserve">T on Thursday, </w:t>
      </w:r>
      <w:r w:rsidR="00FD37D0" w:rsidRPr="00480DEB">
        <w:t>August 1</w:t>
      </w:r>
      <w:r w:rsidR="00854103" w:rsidRPr="00480DEB">
        <w:t>8</w:t>
      </w:r>
      <w:r w:rsidR="007E112F" w:rsidRPr="00480DEB">
        <w:t>,</w:t>
      </w:r>
      <w:r w:rsidR="002F38D7" w:rsidRPr="00480DEB">
        <w:t xml:space="preserve"> </w:t>
      </w:r>
      <w:r w:rsidR="006648D1" w:rsidRPr="00480DEB">
        <w:t>201</w:t>
      </w:r>
      <w:r w:rsidR="00674329" w:rsidRPr="00480DEB">
        <w:t>6</w:t>
      </w:r>
      <w:r w:rsidRPr="00480DEB">
        <w:t>.  This list is subject to change.</w:t>
      </w:r>
    </w:p>
    <w:p w:rsidR="00FF5AA4" w:rsidRPr="00480DEB" w:rsidRDefault="00FF5AA4" w:rsidP="006F2579">
      <w:pPr>
        <w:widowControl w:val="0"/>
      </w:pPr>
    </w:p>
    <w:p w:rsidR="00B43418" w:rsidRPr="00480DEB" w:rsidRDefault="00B43418" w:rsidP="006F2579">
      <w:pPr>
        <w:widowControl w:val="0"/>
      </w:pPr>
    </w:p>
    <w:p w:rsidR="006F2579" w:rsidRPr="00480DEB" w:rsidRDefault="006F2579" w:rsidP="006F2579">
      <w:pPr>
        <w:widowControl w:val="0"/>
        <w:jc w:val="center"/>
        <w:rPr>
          <w:lang w:val="fr-CA"/>
        </w:rPr>
      </w:pPr>
      <w:r w:rsidRPr="00480DEB">
        <w:rPr>
          <w:b/>
          <w:lang w:val="fr-CA"/>
        </w:rPr>
        <w:t>PROCHAIN</w:t>
      </w:r>
      <w:r w:rsidR="00B17AAC" w:rsidRPr="00480DEB">
        <w:rPr>
          <w:b/>
          <w:lang w:val="fr-CA"/>
        </w:rPr>
        <w:t>S</w:t>
      </w:r>
      <w:r w:rsidRPr="00480DEB">
        <w:rPr>
          <w:b/>
          <w:lang w:val="fr-CA"/>
        </w:rPr>
        <w:t xml:space="preserve"> JUGEMENT</w:t>
      </w:r>
      <w:r w:rsidR="00B17AAC" w:rsidRPr="00480DEB">
        <w:rPr>
          <w:b/>
          <w:lang w:val="fr-CA"/>
        </w:rPr>
        <w:t>S</w:t>
      </w:r>
      <w:r w:rsidR="00001846" w:rsidRPr="00480DEB">
        <w:rPr>
          <w:b/>
          <w:lang w:val="fr-CA"/>
        </w:rPr>
        <w:t xml:space="preserve"> SUR DEMANDE</w:t>
      </w:r>
      <w:r w:rsidR="00B17AAC" w:rsidRPr="00480DEB">
        <w:rPr>
          <w:b/>
          <w:lang w:val="fr-CA"/>
        </w:rPr>
        <w:t>S</w:t>
      </w:r>
      <w:r w:rsidRPr="00480DEB">
        <w:rPr>
          <w:b/>
          <w:lang w:val="fr-CA"/>
        </w:rPr>
        <w:t xml:space="preserve"> D’AUTORISATION</w:t>
      </w:r>
    </w:p>
    <w:p w:rsidR="006F2579" w:rsidRPr="00480DEB" w:rsidRDefault="006F2579" w:rsidP="006F2579">
      <w:pPr>
        <w:widowControl w:val="0"/>
        <w:rPr>
          <w:lang w:val="fr-CA"/>
        </w:rPr>
      </w:pPr>
    </w:p>
    <w:p w:rsidR="006F2579" w:rsidRPr="00480DEB" w:rsidRDefault="006F2579" w:rsidP="006F2579">
      <w:pPr>
        <w:widowControl w:val="0"/>
        <w:rPr>
          <w:b/>
          <w:lang w:val="fr-CA"/>
        </w:rPr>
      </w:pPr>
      <w:r w:rsidRPr="00480DEB">
        <w:rPr>
          <w:b/>
          <w:lang w:val="fr-CA"/>
        </w:rPr>
        <w:t>Le</w:t>
      </w:r>
      <w:r w:rsidR="00957A76" w:rsidRPr="00480DEB">
        <w:rPr>
          <w:b/>
          <w:lang w:val="fr-CA"/>
        </w:rPr>
        <w:t xml:space="preserve"> </w:t>
      </w:r>
      <w:r w:rsidR="00854103" w:rsidRPr="00480DEB">
        <w:rPr>
          <w:b/>
          <w:lang w:val="fr-CA"/>
        </w:rPr>
        <w:t>15</w:t>
      </w:r>
      <w:r w:rsidR="00FD37D0" w:rsidRPr="00480DEB">
        <w:rPr>
          <w:b/>
          <w:lang w:val="fr-CA"/>
        </w:rPr>
        <w:t xml:space="preserve"> août</w:t>
      </w:r>
      <w:r w:rsidR="00674329" w:rsidRPr="00480DEB">
        <w:rPr>
          <w:b/>
          <w:lang w:val="fr-CA"/>
        </w:rPr>
        <w:t xml:space="preserve"> 2016</w:t>
      </w:r>
    </w:p>
    <w:p w:rsidR="006F2579" w:rsidRPr="00480DEB" w:rsidRDefault="006F2579" w:rsidP="006F2579">
      <w:pPr>
        <w:widowControl w:val="0"/>
        <w:rPr>
          <w:b/>
          <w:lang w:val="fr-CA"/>
        </w:rPr>
      </w:pPr>
      <w:r w:rsidRPr="00480DEB">
        <w:rPr>
          <w:b/>
          <w:lang w:val="fr-CA"/>
        </w:rPr>
        <w:t>Pour diffusion immédiate</w:t>
      </w:r>
    </w:p>
    <w:p w:rsidR="006F2579" w:rsidRPr="00480DEB" w:rsidRDefault="006F2579" w:rsidP="006F2579">
      <w:pPr>
        <w:widowControl w:val="0"/>
        <w:rPr>
          <w:b/>
          <w:lang w:val="fr-CA"/>
        </w:rPr>
      </w:pPr>
    </w:p>
    <w:p w:rsidR="006F2579" w:rsidRPr="00480DEB" w:rsidRDefault="006F2579" w:rsidP="006F2579">
      <w:pPr>
        <w:widowControl w:val="0"/>
        <w:rPr>
          <w:lang w:val="fr-CA"/>
        </w:rPr>
      </w:pPr>
      <w:r w:rsidRPr="00480DEB">
        <w:rPr>
          <w:b/>
          <w:lang w:val="fr-CA"/>
        </w:rPr>
        <w:t>OTTAWA</w:t>
      </w:r>
      <w:r w:rsidRPr="00480DEB">
        <w:rPr>
          <w:lang w:val="fr-CA"/>
        </w:rPr>
        <w:t xml:space="preserve"> – La Cour suprême du Canada annonce que jugement ser</w:t>
      </w:r>
      <w:r w:rsidR="004259F9" w:rsidRPr="00480DEB">
        <w:rPr>
          <w:lang w:val="fr-CA"/>
        </w:rPr>
        <w:t>a</w:t>
      </w:r>
      <w:r w:rsidRPr="00480DEB">
        <w:rPr>
          <w:lang w:val="fr-CA"/>
        </w:rPr>
        <w:t xml:space="preserve"> rendu dans l</w:t>
      </w:r>
      <w:r w:rsidR="008600ED" w:rsidRPr="00480DEB">
        <w:rPr>
          <w:lang w:val="fr-CA"/>
        </w:rPr>
        <w:t>es</w:t>
      </w:r>
      <w:r w:rsidRPr="00480DEB">
        <w:rPr>
          <w:lang w:val="fr-CA"/>
        </w:rPr>
        <w:t xml:space="preserve"> demande</w:t>
      </w:r>
      <w:r w:rsidR="008600ED" w:rsidRPr="00480DEB">
        <w:rPr>
          <w:lang w:val="fr-CA"/>
        </w:rPr>
        <w:t>s</w:t>
      </w:r>
      <w:r w:rsidRPr="00480DEB">
        <w:rPr>
          <w:lang w:val="fr-CA"/>
        </w:rPr>
        <w:t xml:space="preserve"> d</w:t>
      </w:r>
      <w:r w:rsidR="00001846" w:rsidRPr="00480DEB">
        <w:rPr>
          <w:lang w:val="fr-CA"/>
        </w:rPr>
        <w:t>’autorisation d’appel suivante</w:t>
      </w:r>
      <w:r w:rsidR="008600ED" w:rsidRPr="00480DEB">
        <w:rPr>
          <w:lang w:val="fr-CA"/>
        </w:rPr>
        <w:t>s</w:t>
      </w:r>
      <w:r w:rsidRPr="00480DEB">
        <w:rPr>
          <w:lang w:val="fr-CA"/>
        </w:rPr>
        <w:t xml:space="preserve"> le jeudi </w:t>
      </w:r>
      <w:r w:rsidR="00FD37D0" w:rsidRPr="00480DEB">
        <w:rPr>
          <w:lang w:val="fr-CA"/>
        </w:rPr>
        <w:t>1</w:t>
      </w:r>
      <w:r w:rsidR="00854103" w:rsidRPr="00480DEB">
        <w:rPr>
          <w:lang w:val="fr-CA"/>
        </w:rPr>
        <w:t>8</w:t>
      </w:r>
      <w:r w:rsidR="00FD37D0" w:rsidRPr="00480DEB">
        <w:rPr>
          <w:lang w:val="fr-CA"/>
        </w:rPr>
        <w:t xml:space="preserve"> août</w:t>
      </w:r>
      <w:r w:rsidR="00674329" w:rsidRPr="00480DEB">
        <w:rPr>
          <w:lang w:val="fr-CA"/>
        </w:rPr>
        <w:t xml:space="preserve"> </w:t>
      </w:r>
      <w:r w:rsidR="006648D1" w:rsidRPr="00480DEB">
        <w:rPr>
          <w:lang w:val="fr-CA"/>
        </w:rPr>
        <w:t>201</w:t>
      </w:r>
      <w:r w:rsidR="00674329" w:rsidRPr="00480DEB">
        <w:rPr>
          <w:lang w:val="fr-CA"/>
        </w:rPr>
        <w:t>6</w:t>
      </w:r>
      <w:r w:rsidRPr="00480DEB">
        <w:rPr>
          <w:lang w:val="fr-CA"/>
        </w:rPr>
        <w:t xml:space="preserve">, à 9 h 45 </w:t>
      </w:r>
      <w:r w:rsidR="000627A2" w:rsidRPr="00480DEB">
        <w:rPr>
          <w:lang w:val="fr-CA"/>
        </w:rPr>
        <w:t>H</w:t>
      </w:r>
      <w:r w:rsidR="003817A9" w:rsidRPr="00480DEB">
        <w:rPr>
          <w:lang w:val="fr-CA"/>
        </w:rPr>
        <w:t>A</w:t>
      </w:r>
      <w:r w:rsidRPr="00480DEB">
        <w:rPr>
          <w:lang w:val="fr-CA"/>
        </w:rPr>
        <w:t>E.  Cette liste est sujette à modifications.</w:t>
      </w:r>
    </w:p>
    <w:p w:rsidR="0080556B" w:rsidRPr="00480DEB" w:rsidRDefault="0080556B" w:rsidP="009B14F4">
      <w:pPr>
        <w:widowControl w:val="0"/>
        <w:jc w:val="both"/>
        <w:rPr>
          <w:sz w:val="20"/>
          <w:lang w:val="fr-CA"/>
        </w:rPr>
      </w:pPr>
    </w:p>
    <w:p w:rsidR="001838E0" w:rsidRPr="00480DEB" w:rsidRDefault="003D353C" w:rsidP="009B14F4">
      <w:pPr>
        <w:widowControl w:val="0"/>
        <w:jc w:val="both"/>
        <w:rPr>
          <w:sz w:val="20"/>
          <w:lang w:val="fr-CA"/>
        </w:rPr>
      </w:pPr>
      <w:r w:rsidRPr="00480DEB">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480DEB" w:rsidRDefault="0042396F" w:rsidP="0042396F">
      <w:pPr>
        <w:rPr>
          <w:rFonts w:eastAsiaTheme="minorEastAsia"/>
          <w:sz w:val="20"/>
          <w:lang w:val="fr-CA" w:eastAsia="en-CA"/>
        </w:rPr>
      </w:pPr>
    </w:p>
    <w:p w:rsidR="0042396F" w:rsidRPr="00480DEB" w:rsidRDefault="0042396F" w:rsidP="0042396F">
      <w:pPr>
        <w:pStyle w:val="ListParagraph"/>
        <w:numPr>
          <w:ilvl w:val="0"/>
          <w:numId w:val="49"/>
        </w:numPr>
        <w:ind w:left="360"/>
        <w:rPr>
          <w:sz w:val="20"/>
          <w:lang w:val="en-CA"/>
        </w:rPr>
      </w:pPr>
      <w:r w:rsidRPr="00480DEB">
        <w:rPr>
          <w:i/>
          <w:sz w:val="20"/>
          <w:lang w:val="en-CA"/>
        </w:rPr>
        <w:t>Her Majesty the Queen v. Marlin Vandermeulen</w:t>
      </w:r>
      <w:r w:rsidRPr="00480DEB">
        <w:rPr>
          <w:sz w:val="20"/>
          <w:lang w:val="en-CA"/>
        </w:rPr>
        <w:t xml:space="preserve"> (Man.) (Criminal) (By Leave)</w:t>
      </w:r>
      <w:r w:rsidR="00F86002" w:rsidRPr="00480DEB">
        <w:rPr>
          <w:sz w:val="20"/>
          <w:lang w:val="en-CA"/>
        </w:rPr>
        <w:t xml:space="preserve"> </w:t>
      </w:r>
      <w:r w:rsidR="00F86002" w:rsidRPr="00480DEB">
        <w:rPr>
          <w:sz w:val="20"/>
        </w:rPr>
        <w:t>(</w:t>
      </w:r>
      <w:hyperlink r:id="rId8" w:history="1">
        <w:r w:rsidR="00F86002" w:rsidRPr="00480DEB">
          <w:rPr>
            <w:rStyle w:val="Hyperlink"/>
            <w:sz w:val="20"/>
          </w:rPr>
          <w:t>36</w:t>
        </w:r>
        <w:r w:rsidR="00F86002" w:rsidRPr="00480DEB">
          <w:rPr>
            <w:rStyle w:val="Hyperlink"/>
            <w:sz w:val="20"/>
          </w:rPr>
          <w:t>726</w:t>
        </w:r>
      </w:hyperlink>
      <w:r w:rsidR="00F86002" w:rsidRPr="00480DEB">
        <w:rPr>
          <w:sz w:val="20"/>
        </w:rPr>
        <w:t>)</w:t>
      </w:r>
    </w:p>
    <w:p w:rsidR="0042396F" w:rsidRPr="00480DEB" w:rsidRDefault="0042396F" w:rsidP="0042396F">
      <w:pPr>
        <w:ind w:left="360" w:hanging="360"/>
        <w:rPr>
          <w:sz w:val="20"/>
          <w:lang w:val="en-CA"/>
        </w:rPr>
      </w:pPr>
    </w:p>
    <w:p w:rsidR="0042396F" w:rsidRPr="00480DEB" w:rsidRDefault="0042396F" w:rsidP="0042396F">
      <w:pPr>
        <w:pStyle w:val="NoSpacing"/>
        <w:numPr>
          <w:ilvl w:val="0"/>
          <w:numId w:val="49"/>
        </w:numPr>
        <w:ind w:left="360"/>
        <w:jc w:val="both"/>
        <w:rPr>
          <w:sz w:val="20"/>
          <w:szCs w:val="20"/>
          <w:lang w:val="en-CA"/>
        </w:rPr>
      </w:pPr>
      <w:r w:rsidRPr="00480DEB">
        <w:rPr>
          <w:i/>
          <w:sz w:val="20"/>
          <w:szCs w:val="20"/>
          <w:lang w:val="en-CA"/>
        </w:rPr>
        <w:t>Robert Kenneth Power v. Her Majesty the Queen</w:t>
      </w:r>
      <w:r w:rsidRPr="00480DEB">
        <w:rPr>
          <w:sz w:val="20"/>
          <w:szCs w:val="20"/>
          <w:lang w:val="en-CA"/>
        </w:rPr>
        <w:t xml:space="preserve"> (Sask.) (Criminal) (By Leave)</w:t>
      </w:r>
      <w:r w:rsidR="00672956" w:rsidRPr="00480DEB">
        <w:rPr>
          <w:sz w:val="20"/>
          <w:szCs w:val="20"/>
          <w:lang w:val="en-CA"/>
        </w:rPr>
        <w:t xml:space="preserve"> </w:t>
      </w:r>
      <w:r w:rsidR="00672956" w:rsidRPr="00480DEB">
        <w:rPr>
          <w:sz w:val="20"/>
        </w:rPr>
        <w:t>(</w:t>
      </w:r>
      <w:hyperlink r:id="rId9" w:history="1">
        <w:r w:rsidR="00672956" w:rsidRPr="00480DEB">
          <w:rPr>
            <w:rStyle w:val="Hyperlink"/>
            <w:sz w:val="20"/>
          </w:rPr>
          <w:t>369</w:t>
        </w:r>
        <w:r w:rsidR="00672956" w:rsidRPr="00480DEB">
          <w:rPr>
            <w:rStyle w:val="Hyperlink"/>
            <w:sz w:val="20"/>
          </w:rPr>
          <w:t>94</w:t>
        </w:r>
      </w:hyperlink>
      <w:r w:rsidR="00672956" w:rsidRPr="00480DEB">
        <w:rPr>
          <w:sz w:val="20"/>
        </w:rPr>
        <w:t>)</w:t>
      </w:r>
    </w:p>
    <w:p w:rsidR="0042396F" w:rsidRPr="00480DEB" w:rsidRDefault="0042396F" w:rsidP="0042396F">
      <w:pPr>
        <w:pStyle w:val="NoSpacing"/>
        <w:ind w:left="360" w:hanging="360"/>
        <w:jc w:val="both"/>
        <w:rPr>
          <w:sz w:val="20"/>
          <w:szCs w:val="20"/>
          <w:lang w:val="en-CA"/>
        </w:rPr>
      </w:pPr>
    </w:p>
    <w:p w:rsidR="0042396F" w:rsidRPr="00480DEB" w:rsidRDefault="0042396F" w:rsidP="0042396F">
      <w:pPr>
        <w:pStyle w:val="NoSpacing"/>
        <w:numPr>
          <w:ilvl w:val="0"/>
          <w:numId w:val="49"/>
        </w:numPr>
        <w:ind w:left="360"/>
        <w:jc w:val="both"/>
        <w:rPr>
          <w:sz w:val="20"/>
          <w:szCs w:val="20"/>
          <w:lang w:val="en-CA"/>
        </w:rPr>
      </w:pPr>
      <w:r w:rsidRPr="00480DEB">
        <w:rPr>
          <w:i/>
          <w:sz w:val="20"/>
          <w:szCs w:val="20"/>
          <w:lang w:val="en-CA"/>
        </w:rPr>
        <w:t xml:space="preserve">S.B.E. v. Her Majesty the </w:t>
      </w:r>
      <w:r w:rsidR="00B5549D" w:rsidRPr="00480DEB">
        <w:rPr>
          <w:i/>
          <w:sz w:val="20"/>
          <w:szCs w:val="20"/>
          <w:lang w:val="en-CA"/>
        </w:rPr>
        <w:t>Q</w:t>
      </w:r>
      <w:r w:rsidRPr="00480DEB">
        <w:rPr>
          <w:i/>
          <w:sz w:val="20"/>
          <w:szCs w:val="20"/>
          <w:lang w:val="en-CA"/>
        </w:rPr>
        <w:t xml:space="preserve">ueen </w:t>
      </w:r>
      <w:r w:rsidRPr="00480DEB">
        <w:rPr>
          <w:sz w:val="20"/>
          <w:szCs w:val="20"/>
          <w:lang w:val="en-CA"/>
        </w:rPr>
        <w:t>(Alta.) (Criminal) (By Leave)</w:t>
      </w:r>
      <w:r w:rsidR="0082159A" w:rsidRPr="00480DEB">
        <w:rPr>
          <w:sz w:val="20"/>
          <w:szCs w:val="20"/>
          <w:lang w:val="en-CA"/>
        </w:rPr>
        <w:t xml:space="preserve"> </w:t>
      </w:r>
      <w:r w:rsidR="0082159A" w:rsidRPr="00480DEB">
        <w:rPr>
          <w:sz w:val="20"/>
        </w:rPr>
        <w:t>(</w:t>
      </w:r>
      <w:hyperlink r:id="rId10" w:history="1">
        <w:r w:rsidR="0082159A" w:rsidRPr="00480DEB">
          <w:rPr>
            <w:rStyle w:val="Hyperlink"/>
            <w:sz w:val="20"/>
          </w:rPr>
          <w:t>369</w:t>
        </w:r>
        <w:r w:rsidR="0082159A" w:rsidRPr="00480DEB">
          <w:rPr>
            <w:rStyle w:val="Hyperlink"/>
            <w:sz w:val="20"/>
          </w:rPr>
          <w:t>7</w:t>
        </w:r>
        <w:r w:rsidR="0082159A" w:rsidRPr="00480DEB">
          <w:rPr>
            <w:rStyle w:val="Hyperlink"/>
            <w:sz w:val="20"/>
          </w:rPr>
          <w:t>8</w:t>
        </w:r>
      </w:hyperlink>
      <w:r w:rsidR="0082159A" w:rsidRPr="00480DEB">
        <w:rPr>
          <w:sz w:val="20"/>
        </w:rPr>
        <w:t>)</w:t>
      </w:r>
    </w:p>
    <w:p w:rsidR="0042396F" w:rsidRPr="00480DEB" w:rsidRDefault="0042396F" w:rsidP="0042396F">
      <w:pPr>
        <w:pStyle w:val="NoSpacing"/>
        <w:ind w:left="360" w:hanging="360"/>
        <w:jc w:val="both"/>
        <w:rPr>
          <w:sz w:val="20"/>
          <w:szCs w:val="20"/>
          <w:lang w:val="en-CA"/>
        </w:rPr>
      </w:pPr>
    </w:p>
    <w:p w:rsidR="0042396F" w:rsidRPr="00480DEB" w:rsidRDefault="0042396F" w:rsidP="0042396F">
      <w:pPr>
        <w:pStyle w:val="NoSpacing"/>
        <w:numPr>
          <w:ilvl w:val="0"/>
          <w:numId w:val="49"/>
        </w:numPr>
        <w:ind w:left="360"/>
        <w:jc w:val="both"/>
        <w:rPr>
          <w:sz w:val="20"/>
          <w:szCs w:val="20"/>
          <w:lang w:val="en-CA"/>
        </w:rPr>
      </w:pPr>
      <w:r w:rsidRPr="00480DEB">
        <w:rPr>
          <w:i/>
          <w:sz w:val="20"/>
          <w:szCs w:val="20"/>
          <w:lang w:val="en-CA"/>
        </w:rPr>
        <w:t xml:space="preserve">Keehong Song et al. v. B.C. Human Rights Tribunal </w:t>
      </w:r>
      <w:r w:rsidRPr="00480DEB">
        <w:rPr>
          <w:sz w:val="20"/>
          <w:szCs w:val="20"/>
          <w:lang w:val="en-CA"/>
        </w:rPr>
        <w:t>(B.C.) (Civil) (By Leave)</w:t>
      </w:r>
      <w:r w:rsidR="007E5FB5" w:rsidRPr="00480DEB">
        <w:rPr>
          <w:sz w:val="20"/>
          <w:szCs w:val="20"/>
          <w:lang w:val="en-CA"/>
        </w:rPr>
        <w:t xml:space="preserve"> </w:t>
      </w:r>
      <w:r w:rsidR="007E5FB5" w:rsidRPr="00480DEB">
        <w:rPr>
          <w:sz w:val="20"/>
        </w:rPr>
        <w:t>(</w:t>
      </w:r>
      <w:hyperlink r:id="rId11" w:history="1">
        <w:r w:rsidR="007E5FB5" w:rsidRPr="00480DEB">
          <w:rPr>
            <w:rStyle w:val="Hyperlink"/>
            <w:sz w:val="20"/>
          </w:rPr>
          <w:t>3</w:t>
        </w:r>
        <w:r w:rsidR="007E5FB5" w:rsidRPr="00480DEB">
          <w:rPr>
            <w:rStyle w:val="Hyperlink"/>
            <w:sz w:val="20"/>
          </w:rPr>
          <w:t>7006</w:t>
        </w:r>
      </w:hyperlink>
      <w:r w:rsidR="007E5FB5" w:rsidRPr="00480DEB">
        <w:rPr>
          <w:sz w:val="20"/>
        </w:rPr>
        <w:t>)</w:t>
      </w:r>
    </w:p>
    <w:p w:rsidR="0042396F" w:rsidRPr="00480DEB" w:rsidRDefault="0042396F" w:rsidP="0042396F">
      <w:pPr>
        <w:pStyle w:val="NoSpacing"/>
        <w:ind w:left="360" w:hanging="360"/>
        <w:jc w:val="both"/>
        <w:rPr>
          <w:i/>
          <w:sz w:val="20"/>
          <w:szCs w:val="20"/>
          <w:lang w:val="en-CA"/>
        </w:rPr>
      </w:pPr>
    </w:p>
    <w:p w:rsidR="0042396F" w:rsidRPr="00480DEB" w:rsidRDefault="0042396F" w:rsidP="0042396F">
      <w:pPr>
        <w:pStyle w:val="NoSpacing"/>
        <w:numPr>
          <w:ilvl w:val="0"/>
          <w:numId w:val="49"/>
        </w:numPr>
        <w:ind w:left="360"/>
        <w:jc w:val="both"/>
        <w:rPr>
          <w:sz w:val="20"/>
          <w:szCs w:val="20"/>
          <w:lang w:val="en-CA"/>
        </w:rPr>
      </w:pPr>
      <w:r w:rsidRPr="00480DEB">
        <w:rPr>
          <w:i/>
          <w:sz w:val="20"/>
          <w:szCs w:val="20"/>
          <w:lang w:val="en-CA"/>
        </w:rPr>
        <w:t xml:space="preserve">Teva Canada Limited v. TD Canada Trust et al. </w:t>
      </w:r>
      <w:r w:rsidRPr="00480DEB">
        <w:rPr>
          <w:sz w:val="20"/>
          <w:szCs w:val="20"/>
          <w:lang w:val="en-CA"/>
        </w:rPr>
        <w:t>(Ont.) (Civil) (By Leave)</w:t>
      </w:r>
      <w:r w:rsidR="007E5FB5" w:rsidRPr="00480DEB">
        <w:rPr>
          <w:sz w:val="20"/>
          <w:szCs w:val="20"/>
          <w:lang w:val="en-CA"/>
        </w:rPr>
        <w:t xml:space="preserve"> </w:t>
      </w:r>
      <w:r w:rsidR="007E5FB5" w:rsidRPr="00480DEB">
        <w:rPr>
          <w:sz w:val="20"/>
        </w:rPr>
        <w:t>(</w:t>
      </w:r>
      <w:hyperlink r:id="rId12" w:history="1">
        <w:r w:rsidR="007E5FB5" w:rsidRPr="00480DEB">
          <w:rPr>
            <w:rStyle w:val="Hyperlink"/>
            <w:sz w:val="20"/>
          </w:rPr>
          <w:t>369</w:t>
        </w:r>
        <w:r w:rsidR="007E5FB5" w:rsidRPr="00480DEB">
          <w:rPr>
            <w:rStyle w:val="Hyperlink"/>
            <w:sz w:val="20"/>
          </w:rPr>
          <w:t>1</w:t>
        </w:r>
        <w:r w:rsidR="007E5FB5" w:rsidRPr="00480DEB">
          <w:rPr>
            <w:rStyle w:val="Hyperlink"/>
            <w:sz w:val="20"/>
          </w:rPr>
          <w:t>8</w:t>
        </w:r>
      </w:hyperlink>
      <w:r w:rsidR="007E5FB5" w:rsidRPr="00480DEB">
        <w:rPr>
          <w:sz w:val="20"/>
        </w:rPr>
        <w:t>)</w:t>
      </w:r>
    </w:p>
    <w:p w:rsidR="0042396F" w:rsidRPr="00480DEB" w:rsidRDefault="0042396F" w:rsidP="0042396F">
      <w:pPr>
        <w:pStyle w:val="NoSpacing"/>
        <w:ind w:left="360" w:hanging="360"/>
        <w:jc w:val="both"/>
        <w:rPr>
          <w:i/>
          <w:sz w:val="20"/>
          <w:szCs w:val="20"/>
          <w:lang w:val="en-CA"/>
        </w:rPr>
      </w:pPr>
    </w:p>
    <w:p w:rsidR="0042396F" w:rsidRPr="00480DEB" w:rsidRDefault="0042396F" w:rsidP="0042396F">
      <w:pPr>
        <w:pStyle w:val="NoSpacing"/>
        <w:numPr>
          <w:ilvl w:val="0"/>
          <w:numId w:val="49"/>
        </w:numPr>
        <w:ind w:left="360"/>
        <w:jc w:val="both"/>
        <w:rPr>
          <w:sz w:val="20"/>
          <w:szCs w:val="20"/>
          <w:lang w:val="en-CA"/>
        </w:rPr>
      </w:pPr>
      <w:r w:rsidRPr="00480DEB">
        <w:rPr>
          <w:i/>
          <w:sz w:val="20"/>
          <w:szCs w:val="20"/>
          <w:lang w:val="en-CA"/>
        </w:rPr>
        <w:t xml:space="preserve">Sarah Cheung v. Canadian Transportation Agency et al. </w:t>
      </w:r>
      <w:r w:rsidRPr="00480DEB">
        <w:rPr>
          <w:sz w:val="20"/>
          <w:szCs w:val="20"/>
          <w:lang w:val="en-CA"/>
        </w:rPr>
        <w:t>(F</w:t>
      </w:r>
      <w:r w:rsidR="00B5549D" w:rsidRPr="00480DEB">
        <w:rPr>
          <w:sz w:val="20"/>
          <w:szCs w:val="20"/>
          <w:lang w:val="en-CA"/>
        </w:rPr>
        <w:t>.</w:t>
      </w:r>
      <w:r w:rsidRPr="00480DEB">
        <w:rPr>
          <w:sz w:val="20"/>
          <w:szCs w:val="20"/>
          <w:lang w:val="en-CA"/>
        </w:rPr>
        <w:t>C</w:t>
      </w:r>
      <w:r w:rsidR="00B5549D" w:rsidRPr="00480DEB">
        <w:rPr>
          <w:sz w:val="20"/>
          <w:szCs w:val="20"/>
          <w:lang w:val="en-CA"/>
        </w:rPr>
        <w:t>.</w:t>
      </w:r>
      <w:r w:rsidRPr="00480DEB">
        <w:rPr>
          <w:sz w:val="20"/>
          <w:szCs w:val="20"/>
          <w:lang w:val="en-CA"/>
        </w:rPr>
        <w:t>) (Civil) (By Leave)</w:t>
      </w:r>
      <w:r w:rsidR="0098795A" w:rsidRPr="00480DEB">
        <w:rPr>
          <w:sz w:val="20"/>
          <w:szCs w:val="20"/>
          <w:lang w:val="en-CA"/>
        </w:rPr>
        <w:t xml:space="preserve"> </w:t>
      </w:r>
      <w:r w:rsidR="0098795A" w:rsidRPr="00480DEB">
        <w:rPr>
          <w:sz w:val="20"/>
        </w:rPr>
        <w:t>(</w:t>
      </w:r>
      <w:hyperlink r:id="rId13" w:history="1">
        <w:r w:rsidR="0098795A" w:rsidRPr="00480DEB">
          <w:rPr>
            <w:rStyle w:val="Hyperlink"/>
            <w:sz w:val="20"/>
          </w:rPr>
          <w:t>368</w:t>
        </w:r>
        <w:r w:rsidR="0098795A" w:rsidRPr="00480DEB">
          <w:rPr>
            <w:rStyle w:val="Hyperlink"/>
            <w:sz w:val="20"/>
          </w:rPr>
          <w:t>68</w:t>
        </w:r>
      </w:hyperlink>
      <w:r w:rsidR="0098795A" w:rsidRPr="00480DEB">
        <w:rPr>
          <w:sz w:val="20"/>
        </w:rPr>
        <w:t>)</w:t>
      </w:r>
    </w:p>
    <w:p w:rsidR="00854103" w:rsidRPr="00480DEB" w:rsidRDefault="00854103" w:rsidP="0042396F">
      <w:pPr>
        <w:widowControl w:val="0"/>
        <w:autoSpaceDE w:val="0"/>
        <w:autoSpaceDN w:val="0"/>
        <w:adjustRightInd w:val="0"/>
        <w:ind w:left="360" w:hanging="360"/>
        <w:rPr>
          <w:rFonts w:eastAsiaTheme="minorEastAsia"/>
          <w:sz w:val="20"/>
          <w:lang w:val="en-CA" w:eastAsia="en-CA"/>
        </w:rPr>
      </w:pPr>
    </w:p>
    <w:p w:rsidR="00854103" w:rsidRPr="00480DEB" w:rsidRDefault="00854103" w:rsidP="00A9267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2670" w:rsidRPr="00480DEB" w:rsidTr="00E95A6A">
        <w:tc>
          <w:tcPr>
            <w:tcW w:w="543" w:type="pct"/>
          </w:tcPr>
          <w:p w:rsidR="00A92670" w:rsidRPr="00480DEB" w:rsidRDefault="00A92670" w:rsidP="00A92670">
            <w:pPr>
              <w:jc w:val="both"/>
              <w:rPr>
                <w:sz w:val="20"/>
              </w:rPr>
            </w:pPr>
            <w:r w:rsidRPr="00480DEB">
              <w:rPr>
                <w:rStyle w:val="SCCFileNumberChar"/>
                <w:sz w:val="20"/>
                <w:szCs w:val="20"/>
              </w:rPr>
              <w:t>36726</w:t>
            </w:r>
          </w:p>
        </w:tc>
        <w:tc>
          <w:tcPr>
            <w:tcW w:w="4457" w:type="pct"/>
            <w:gridSpan w:val="3"/>
          </w:tcPr>
          <w:p w:rsidR="00A92670" w:rsidRPr="00480DEB" w:rsidRDefault="00A92670" w:rsidP="00A92670">
            <w:pPr>
              <w:pStyle w:val="SCCLsocParty"/>
              <w:jc w:val="both"/>
              <w:rPr>
                <w:b/>
                <w:sz w:val="20"/>
                <w:szCs w:val="20"/>
              </w:rPr>
            </w:pPr>
            <w:r w:rsidRPr="00480DEB">
              <w:rPr>
                <w:b/>
                <w:sz w:val="20"/>
                <w:szCs w:val="20"/>
              </w:rPr>
              <w:t xml:space="preserve">Her Majesty the Queen v. Marlin </w:t>
            </w:r>
            <w:proofErr w:type="spellStart"/>
            <w:r w:rsidRPr="00480DEB">
              <w:rPr>
                <w:b/>
                <w:sz w:val="20"/>
                <w:szCs w:val="20"/>
              </w:rPr>
              <w:t>Vandermeulen</w:t>
            </w:r>
            <w:proofErr w:type="spellEnd"/>
          </w:p>
          <w:p w:rsidR="00A92670" w:rsidRPr="00480DEB" w:rsidRDefault="00A92670" w:rsidP="00A92670">
            <w:pPr>
              <w:jc w:val="both"/>
              <w:rPr>
                <w:sz w:val="20"/>
              </w:rPr>
            </w:pPr>
            <w:r w:rsidRPr="00480DEB">
              <w:rPr>
                <w:sz w:val="20"/>
              </w:rPr>
              <w:t>(Man.) (Criminal) (By Leave)</w:t>
            </w:r>
          </w:p>
        </w:tc>
      </w:tr>
      <w:tr w:rsidR="00A92670" w:rsidRPr="00480DEB" w:rsidTr="00E95A6A">
        <w:tc>
          <w:tcPr>
            <w:tcW w:w="5000" w:type="pct"/>
            <w:gridSpan w:val="4"/>
          </w:tcPr>
          <w:p w:rsidR="00A92670" w:rsidRPr="00480DEB" w:rsidRDefault="00A92670" w:rsidP="00A92670">
            <w:pPr>
              <w:pStyle w:val="SCCBanSummary"/>
              <w:rPr>
                <w:sz w:val="20"/>
                <w:szCs w:val="20"/>
              </w:rPr>
            </w:pPr>
            <w:r w:rsidRPr="00480DEB">
              <w:rPr>
                <w:sz w:val="20"/>
                <w:szCs w:val="20"/>
              </w:rPr>
              <w:t xml:space="preserve">(Publication ban in case) </w:t>
            </w:r>
          </w:p>
          <w:p w:rsidR="00A92670" w:rsidRPr="00480DEB" w:rsidRDefault="00A92670" w:rsidP="00A92670">
            <w:pPr>
              <w:jc w:val="both"/>
              <w:rPr>
                <w:i/>
                <w:sz w:val="20"/>
              </w:rPr>
            </w:pPr>
          </w:p>
          <w:p w:rsidR="00A92670" w:rsidRPr="00480DEB" w:rsidRDefault="00A92670" w:rsidP="00A92670">
            <w:pPr>
              <w:jc w:val="both"/>
              <w:rPr>
                <w:sz w:val="20"/>
              </w:rPr>
            </w:pPr>
            <w:r w:rsidRPr="00480DEB">
              <w:rPr>
                <w:i/>
                <w:sz w:val="20"/>
              </w:rPr>
              <w:t>Charter of Rights and Freedoms</w:t>
            </w:r>
            <w:r w:rsidRPr="00480DEB">
              <w:rPr>
                <w:sz w:val="20"/>
              </w:rPr>
              <w:t xml:space="preserve"> – Right to trial within reasonable time – Whether Court of Appeal erred in imposing a stay of proceedings as the remedy for a breach of s. 11(b) of the </w:t>
            </w:r>
            <w:r w:rsidRPr="00480DEB">
              <w:rPr>
                <w:i/>
                <w:sz w:val="20"/>
              </w:rPr>
              <w:t>Charter</w:t>
            </w:r>
          </w:p>
        </w:tc>
      </w:tr>
      <w:tr w:rsidR="00A92670" w:rsidRPr="00480DEB" w:rsidTr="00E95A6A">
        <w:tc>
          <w:tcPr>
            <w:tcW w:w="5000" w:type="pct"/>
            <w:gridSpan w:val="4"/>
          </w:tcPr>
          <w:p w:rsidR="00A92670" w:rsidRPr="00480DEB" w:rsidRDefault="00A92670" w:rsidP="00A92670">
            <w:pPr>
              <w:jc w:val="both"/>
              <w:rPr>
                <w:sz w:val="20"/>
              </w:rPr>
            </w:pPr>
          </w:p>
        </w:tc>
      </w:tr>
      <w:tr w:rsidR="00A92670" w:rsidRPr="00480DEB" w:rsidTr="00E95A6A">
        <w:tc>
          <w:tcPr>
            <w:tcW w:w="5000" w:type="pct"/>
            <w:gridSpan w:val="4"/>
          </w:tcPr>
          <w:p w:rsidR="00A92670" w:rsidRPr="00480DEB" w:rsidRDefault="00A92670" w:rsidP="00A92670">
            <w:pPr>
              <w:jc w:val="both"/>
              <w:rPr>
                <w:sz w:val="20"/>
              </w:rPr>
            </w:pPr>
            <w:r w:rsidRPr="00480DEB">
              <w:rPr>
                <w:sz w:val="20"/>
              </w:rPr>
              <w:t>Mr. </w:t>
            </w:r>
            <w:proofErr w:type="spellStart"/>
            <w:r w:rsidRPr="00480DEB">
              <w:rPr>
                <w:sz w:val="20"/>
              </w:rPr>
              <w:t>Vandermeulen</w:t>
            </w:r>
            <w:proofErr w:type="spellEnd"/>
            <w:r w:rsidRPr="00480DEB">
              <w:rPr>
                <w:sz w:val="20"/>
              </w:rPr>
              <w:t xml:space="preserve"> was charged with several offences. The last charge was laid on February 27, 2010. A preliminary inquiry began on November 22, 2011. On January 14, 2013, Mr. </w:t>
            </w:r>
            <w:proofErr w:type="spellStart"/>
            <w:r w:rsidRPr="00480DEB">
              <w:rPr>
                <w:sz w:val="20"/>
              </w:rPr>
              <w:t>Vandermeulen</w:t>
            </w:r>
            <w:proofErr w:type="spellEnd"/>
            <w:r w:rsidRPr="00480DEB">
              <w:rPr>
                <w:sz w:val="20"/>
              </w:rPr>
              <w:t xml:space="preserve"> brought a motion to stay proceedings for unreasonable delay in breach of s. 11(b) of the </w:t>
            </w:r>
            <w:r w:rsidRPr="00480DEB">
              <w:rPr>
                <w:i/>
                <w:sz w:val="20"/>
              </w:rPr>
              <w:t>Charter of Rights and Freedoms</w:t>
            </w:r>
            <w:r w:rsidRPr="00480DEB">
              <w:rPr>
                <w:sz w:val="20"/>
              </w:rPr>
              <w:t xml:space="preserve">. </w:t>
            </w:r>
            <w:r w:rsidRPr="00480DEB">
              <w:rPr>
                <w:iCs/>
                <w:sz w:val="20"/>
              </w:rPr>
              <w:t xml:space="preserve">The trial judge </w:t>
            </w:r>
            <w:r w:rsidRPr="00480DEB">
              <w:rPr>
                <w:sz w:val="20"/>
              </w:rPr>
              <w:t>dismissed the motion. Mr. </w:t>
            </w:r>
            <w:proofErr w:type="spellStart"/>
            <w:r w:rsidRPr="00480DEB">
              <w:rPr>
                <w:sz w:val="20"/>
              </w:rPr>
              <w:t>Vandermeulen’s</w:t>
            </w:r>
            <w:proofErr w:type="spellEnd"/>
            <w:r w:rsidRPr="00480DEB">
              <w:rPr>
                <w:sz w:val="20"/>
              </w:rPr>
              <w:t xml:space="preserve"> trial began on February 26, 2013 and ended on March 4, 2013. The trial judge </w:t>
            </w:r>
            <w:r w:rsidRPr="00480DEB">
              <w:rPr>
                <w:iCs/>
                <w:sz w:val="20"/>
              </w:rPr>
              <w:t xml:space="preserve">convicted </w:t>
            </w:r>
            <w:r w:rsidRPr="00480DEB">
              <w:rPr>
                <w:iCs/>
                <w:sz w:val="20"/>
              </w:rPr>
              <w:lastRenderedPageBreak/>
              <w:t>Mr. </w:t>
            </w:r>
            <w:proofErr w:type="spellStart"/>
            <w:r w:rsidRPr="00480DEB">
              <w:rPr>
                <w:iCs/>
                <w:sz w:val="20"/>
              </w:rPr>
              <w:t>Vandermeulen</w:t>
            </w:r>
            <w:proofErr w:type="spellEnd"/>
            <w:r w:rsidRPr="00480DEB">
              <w:rPr>
                <w:iCs/>
                <w:sz w:val="20"/>
              </w:rPr>
              <w:t xml:space="preserve"> </w:t>
            </w:r>
            <w:r w:rsidRPr="00480DEB">
              <w:rPr>
                <w:sz w:val="20"/>
              </w:rPr>
              <w:t xml:space="preserve">of four counts of assault, assault causing bodily harm, sexual assault causing bodily harm and uttering threats. He appealed his convictions. The Court of Appeal held that the trial judge erred in her </w:t>
            </w:r>
            <w:r w:rsidRPr="00480DEB">
              <w:rPr>
                <w:i/>
                <w:sz w:val="20"/>
              </w:rPr>
              <w:t>Charter</w:t>
            </w:r>
            <w:r w:rsidRPr="00480DEB">
              <w:rPr>
                <w:sz w:val="20"/>
              </w:rPr>
              <w:t xml:space="preserve"> analysis. It held that post-charge delay breached s. 11(b) of the </w:t>
            </w:r>
            <w:r w:rsidRPr="00480DEB">
              <w:rPr>
                <w:i/>
                <w:iCs/>
                <w:sz w:val="20"/>
              </w:rPr>
              <w:t>Charter</w:t>
            </w:r>
            <w:r w:rsidRPr="00480DEB">
              <w:rPr>
                <w:sz w:val="20"/>
              </w:rPr>
              <w:t xml:space="preserve"> and the minimal remedy </w:t>
            </w:r>
            <w:r w:rsidRPr="00480DEB">
              <w:rPr>
                <w:iCs/>
                <w:sz w:val="20"/>
              </w:rPr>
              <w:t>was</w:t>
            </w:r>
            <w:r w:rsidRPr="00480DEB">
              <w:rPr>
                <w:i/>
                <w:iCs/>
                <w:sz w:val="20"/>
              </w:rPr>
              <w:t xml:space="preserve"> </w:t>
            </w:r>
            <w:r w:rsidRPr="00480DEB">
              <w:rPr>
                <w:sz w:val="20"/>
              </w:rPr>
              <w:t>to stay proceedings.</w:t>
            </w:r>
          </w:p>
          <w:p w:rsidR="00A92670" w:rsidRPr="00480DEB" w:rsidRDefault="00A92670" w:rsidP="00A92670">
            <w:pPr>
              <w:jc w:val="both"/>
              <w:rPr>
                <w:sz w:val="20"/>
              </w:rPr>
            </w:pPr>
          </w:p>
        </w:tc>
      </w:tr>
      <w:tr w:rsidR="00A92670" w:rsidRPr="00480DEB" w:rsidTr="00E95A6A">
        <w:tc>
          <w:tcPr>
            <w:tcW w:w="2427" w:type="pct"/>
            <w:gridSpan w:val="2"/>
          </w:tcPr>
          <w:p w:rsidR="00A92670" w:rsidRPr="00480DEB" w:rsidRDefault="00A92670" w:rsidP="00A92670">
            <w:pPr>
              <w:jc w:val="both"/>
              <w:rPr>
                <w:sz w:val="20"/>
              </w:rPr>
            </w:pPr>
            <w:r w:rsidRPr="00480DEB">
              <w:rPr>
                <w:sz w:val="20"/>
              </w:rPr>
              <w:lastRenderedPageBreak/>
              <w:t>February 25, 2013</w:t>
            </w:r>
          </w:p>
          <w:p w:rsidR="00A92670" w:rsidRPr="00480DEB" w:rsidRDefault="00A92670" w:rsidP="00A92670">
            <w:pPr>
              <w:jc w:val="both"/>
              <w:rPr>
                <w:sz w:val="20"/>
              </w:rPr>
            </w:pPr>
            <w:r w:rsidRPr="00480DEB">
              <w:rPr>
                <w:sz w:val="20"/>
              </w:rPr>
              <w:t>Court of Queen’s Bench of Manitoba</w:t>
            </w:r>
          </w:p>
          <w:p w:rsidR="00A92670" w:rsidRPr="00480DEB" w:rsidRDefault="00A92670" w:rsidP="00A92670">
            <w:pPr>
              <w:jc w:val="both"/>
              <w:rPr>
                <w:sz w:val="20"/>
              </w:rPr>
            </w:pPr>
            <w:r w:rsidRPr="00480DEB">
              <w:rPr>
                <w:sz w:val="20"/>
              </w:rPr>
              <w:t>(</w:t>
            </w:r>
            <w:proofErr w:type="spellStart"/>
            <w:r w:rsidRPr="00480DEB">
              <w:rPr>
                <w:sz w:val="20"/>
              </w:rPr>
              <w:t>Suche</w:t>
            </w:r>
            <w:proofErr w:type="spellEnd"/>
            <w:r w:rsidRPr="00480DEB">
              <w:rPr>
                <w:sz w:val="20"/>
              </w:rPr>
              <w:t xml:space="preserve"> J.)</w:t>
            </w:r>
          </w:p>
          <w:p w:rsidR="00A92670" w:rsidRPr="00480DEB" w:rsidRDefault="00A92670" w:rsidP="00A92670">
            <w:pPr>
              <w:jc w:val="both"/>
              <w:rPr>
                <w:sz w:val="20"/>
              </w:rPr>
            </w:pPr>
          </w:p>
        </w:tc>
        <w:tc>
          <w:tcPr>
            <w:tcW w:w="243" w:type="pct"/>
          </w:tcPr>
          <w:p w:rsidR="00A92670" w:rsidRPr="00480DEB" w:rsidRDefault="00A92670" w:rsidP="00A92670">
            <w:pPr>
              <w:jc w:val="both"/>
              <w:rPr>
                <w:sz w:val="20"/>
              </w:rPr>
            </w:pPr>
          </w:p>
        </w:tc>
        <w:tc>
          <w:tcPr>
            <w:tcW w:w="2330" w:type="pct"/>
          </w:tcPr>
          <w:p w:rsidR="00A92670" w:rsidRPr="00480DEB" w:rsidRDefault="00A92670" w:rsidP="00A92670">
            <w:pPr>
              <w:jc w:val="both"/>
              <w:rPr>
                <w:sz w:val="20"/>
              </w:rPr>
            </w:pPr>
            <w:r w:rsidRPr="00480DEB">
              <w:rPr>
                <w:sz w:val="20"/>
              </w:rPr>
              <w:t>Application for stay of proceedings dismissed</w:t>
            </w:r>
          </w:p>
        </w:tc>
      </w:tr>
      <w:tr w:rsidR="00A92670" w:rsidRPr="00480DEB" w:rsidTr="00E95A6A">
        <w:tc>
          <w:tcPr>
            <w:tcW w:w="2427" w:type="pct"/>
            <w:gridSpan w:val="2"/>
          </w:tcPr>
          <w:p w:rsidR="00A92670" w:rsidRPr="00480DEB" w:rsidRDefault="00A92670" w:rsidP="00A92670">
            <w:pPr>
              <w:jc w:val="both"/>
              <w:rPr>
                <w:sz w:val="20"/>
              </w:rPr>
            </w:pPr>
            <w:r w:rsidRPr="00480DEB">
              <w:rPr>
                <w:sz w:val="20"/>
              </w:rPr>
              <w:t>May 22, 2013</w:t>
            </w:r>
          </w:p>
          <w:p w:rsidR="00A92670" w:rsidRPr="00480DEB" w:rsidRDefault="00A92670" w:rsidP="00A92670">
            <w:pPr>
              <w:jc w:val="both"/>
              <w:rPr>
                <w:sz w:val="20"/>
              </w:rPr>
            </w:pPr>
            <w:r w:rsidRPr="00480DEB">
              <w:rPr>
                <w:sz w:val="20"/>
              </w:rPr>
              <w:t>Court of Queen’s Bench of Manitoba</w:t>
            </w:r>
          </w:p>
          <w:p w:rsidR="00A92670" w:rsidRPr="00480DEB" w:rsidRDefault="00A92670" w:rsidP="00A92670">
            <w:pPr>
              <w:jc w:val="both"/>
              <w:rPr>
                <w:sz w:val="20"/>
              </w:rPr>
            </w:pPr>
            <w:r w:rsidRPr="00480DEB">
              <w:rPr>
                <w:sz w:val="20"/>
              </w:rPr>
              <w:t>(</w:t>
            </w:r>
            <w:proofErr w:type="spellStart"/>
            <w:r w:rsidRPr="00480DEB">
              <w:rPr>
                <w:sz w:val="20"/>
              </w:rPr>
              <w:t>Suche</w:t>
            </w:r>
            <w:proofErr w:type="spellEnd"/>
            <w:r w:rsidRPr="00480DEB">
              <w:rPr>
                <w:sz w:val="20"/>
              </w:rPr>
              <w:t xml:space="preserve"> J.)</w:t>
            </w:r>
          </w:p>
          <w:p w:rsidR="00A92670" w:rsidRPr="00480DEB" w:rsidRDefault="00A92670" w:rsidP="00A92670">
            <w:pPr>
              <w:jc w:val="both"/>
              <w:rPr>
                <w:sz w:val="20"/>
              </w:rPr>
            </w:pPr>
            <w:r w:rsidRPr="00480DEB">
              <w:rPr>
                <w:sz w:val="20"/>
              </w:rPr>
              <w:t xml:space="preserve">Neutral citation: </w:t>
            </w:r>
          </w:p>
          <w:p w:rsidR="00A92670" w:rsidRPr="00480DEB" w:rsidRDefault="00A92670" w:rsidP="00A92670">
            <w:pPr>
              <w:jc w:val="both"/>
              <w:rPr>
                <w:rStyle w:val="Hyperlink"/>
                <w:sz w:val="20"/>
              </w:rPr>
            </w:pPr>
            <w:hyperlink r:id="rId14" w:history="1">
              <w:r w:rsidRPr="00480DEB">
                <w:rPr>
                  <w:rStyle w:val="Hyperlink"/>
                  <w:sz w:val="20"/>
                </w:rPr>
                <w:t>2013 MBQB 118</w:t>
              </w:r>
            </w:hyperlink>
          </w:p>
          <w:p w:rsidR="00A92670" w:rsidRPr="00480DEB" w:rsidRDefault="00A92670" w:rsidP="00A92670">
            <w:pPr>
              <w:jc w:val="both"/>
              <w:rPr>
                <w:sz w:val="20"/>
              </w:rPr>
            </w:pPr>
          </w:p>
        </w:tc>
        <w:tc>
          <w:tcPr>
            <w:tcW w:w="243" w:type="pct"/>
          </w:tcPr>
          <w:p w:rsidR="00A92670" w:rsidRPr="00480DEB" w:rsidRDefault="00A92670" w:rsidP="00A92670">
            <w:pPr>
              <w:jc w:val="both"/>
              <w:rPr>
                <w:sz w:val="20"/>
              </w:rPr>
            </w:pPr>
          </w:p>
        </w:tc>
        <w:tc>
          <w:tcPr>
            <w:tcW w:w="2330" w:type="pct"/>
          </w:tcPr>
          <w:p w:rsidR="00A92670" w:rsidRPr="00480DEB" w:rsidRDefault="00A92670" w:rsidP="00A92670">
            <w:pPr>
              <w:jc w:val="both"/>
              <w:rPr>
                <w:sz w:val="20"/>
              </w:rPr>
            </w:pPr>
            <w:r w:rsidRPr="00480DEB">
              <w:rPr>
                <w:sz w:val="20"/>
              </w:rPr>
              <w:t>Convictions on four counts of assault, assault causing bodily harm, sexual assault causing bodily harm and uttering threats, Acquittal on one count of theft under $5,000</w:t>
            </w:r>
          </w:p>
          <w:p w:rsidR="00A92670" w:rsidRPr="00480DEB" w:rsidRDefault="00A92670" w:rsidP="00A92670">
            <w:pPr>
              <w:jc w:val="both"/>
              <w:rPr>
                <w:sz w:val="20"/>
              </w:rPr>
            </w:pPr>
          </w:p>
        </w:tc>
      </w:tr>
      <w:tr w:rsidR="00A92670" w:rsidRPr="00480DEB" w:rsidTr="00E95A6A">
        <w:tc>
          <w:tcPr>
            <w:tcW w:w="2427" w:type="pct"/>
            <w:gridSpan w:val="2"/>
          </w:tcPr>
          <w:p w:rsidR="00A92670" w:rsidRPr="00480DEB" w:rsidRDefault="00A92670" w:rsidP="00A92670">
            <w:pPr>
              <w:jc w:val="both"/>
              <w:rPr>
                <w:sz w:val="20"/>
              </w:rPr>
            </w:pPr>
            <w:r w:rsidRPr="00480DEB">
              <w:rPr>
                <w:sz w:val="20"/>
              </w:rPr>
              <w:t>June 10, 2014</w:t>
            </w:r>
          </w:p>
          <w:p w:rsidR="00A92670" w:rsidRPr="00480DEB" w:rsidRDefault="00A92670" w:rsidP="00A92670">
            <w:pPr>
              <w:jc w:val="both"/>
              <w:rPr>
                <w:sz w:val="20"/>
              </w:rPr>
            </w:pPr>
            <w:r w:rsidRPr="00480DEB">
              <w:rPr>
                <w:sz w:val="20"/>
              </w:rPr>
              <w:t>Court of Queen’s Bench of Manitoba</w:t>
            </w:r>
          </w:p>
          <w:p w:rsidR="00A92670" w:rsidRPr="00480DEB" w:rsidRDefault="00A92670" w:rsidP="00A92670">
            <w:pPr>
              <w:jc w:val="both"/>
              <w:rPr>
                <w:sz w:val="20"/>
              </w:rPr>
            </w:pPr>
            <w:r w:rsidRPr="00480DEB">
              <w:rPr>
                <w:sz w:val="20"/>
              </w:rPr>
              <w:t>(</w:t>
            </w:r>
            <w:proofErr w:type="spellStart"/>
            <w:r w:rsidRPr="00480DEB">
              <w:rPr>
                <w:sz w:val="20"/>
              </w:rPr>
              <w:t>Suche</w:t>
            </w:r>
            <w:proofErr w:type="spellEnd"/>
            <w:r w:rsidRPr="00480DEB">
              <w:rPr>
                <w:sz w:val="20"/>
              </w:rPr>
              <w:t xml:space="preserve"> J.)</w:t>
            </w:r>
          </w:p>
          <w:p w:rsidR="00A92670" w:rsidRPr="00480DEB" w:rsidRDefault="00A92670" w:rsidP="00A92670">
            <w:pPr>
              <w:jc w:val="both"/>
              <w:rPr>
                <w:sz w:val="20"/>
              </w:rPr>
            </w:pPr>
            <w:hyperlink r:id="rId15" w:history="1">
              <w:r w:rsidRPr="00480DEB">
                <w:rPr>
                  <w:rStyle w:val="Hyperlink"/>
                  <w:sz w:val="20"/>
                </w:rPr>
                <w:t>2014 MBQB 116</w:t>
              </w:r>
            </w:hyperlink>
          </w:p>
          <w:p w:rsidR="00A92670" w:rsidRPr="00480DEB" w:rsidRDefault="00A92670" w:rsidP="00A92670">
            <w:pPr>
              <w:jc w:val="both"/>
              <w:rPr>
                <w:sz w:val="20"/>
              </w:rPr>
            </w:pPr>
          </w:p>
        </w:tc>
        <w:tc>
          <w:tcPr>
            <w:tcW w:w="243" w:type="pct"/>
          </w:tcPr>
          <w:p w:rsidR="00A92670" w:rsidRPr="00480DEB" w:rsidRDefault="00A92670" w:rsidP="00A92670">
            <w:pPr>
              <w:jc w:val="both"/>
              <w:rPr>
                <w:sz w:val="20"/>
              </w:rPr>
            </w:pPr>
          </w:p>
        </w:tc>
        <w:tc>
          <w:tcPr>
            <w:tcW w:w="2330" w:type="pct"/>
          </w:tcPr>
          <w:p w:rsidR="00A92670" w:rsidRPr="00480DEB" w:rsidRDefault="00A92670" w:rsidP="00A92670">
            <w:pPr>
              <w:jc w:val="both"/>
              <w:rPr>
                <w:sz w:val="20"/>
              </w:rPr>
            </w:pPr>
            <w:r w:rsidRPr="00480DEB">
              <w:rPr>
                <w:sz w:val="20"/>
              </w:rPr>
              <w:t xml:space="preserve">Sentence to 3.5 years, 10-year firearm and weapons prohibition, mandatory DNA order and 20-year sex offender registration </w:t>
            </w:r>
          </w:p>
          <w:p w:rsidR="00A92670" w:rsidRPr="00480DEB" w:rsidRDefault="00A92670" w:rsidP="00A92670">
            <w:pPr>
              <w:jc w:val="both"/>
              <w:rPr>
                <w:sz w:val="20"/>
              </w:rPr>
            </w:pPr>
          </w:p>
        </w:tc>
      </w:tr>
      <w:tr w:rsidR="00A92670" w:rsidRPr="00480DEB" w:rsidTr="00E95A6A">
        <w:tc>
          <w:tcPr>
            <w:tcW w:w="2427" w:type="pct"/>
            <w:gridSpan w:val="2"/>
          </w:tcPr>
          <w:p w:rsidR="00A92670" w:rsidRPr="00480DEB" w:rsidRDefault="00A92670" w:rsidP="00A92670">
            <w:pPr>
              <w:jc w:val="both"/>
              <w:rPr>
                <w:sz w:val="20"/>
              </w:rPr>
            </w:pPr>
            <w:r w:rsidRPr="00480DEB">
              <w:rPr>
                <w:sz w:val="20"/>
              </w:rPr>
              <w:t>November 17, 2015</w:t>
            </w:r>
          </w:p>
          <w:p w:rsidR="00A92670" w:rsidRPr="00480DEB" w:rsidRDefault="00A92670" w:rsidP="00A92670">
            <w:pPr>
              <w:jc w:val="both"/>
              <w:rPr>
                <w:sz w:val="20"/>
              </w:rPr>
            </w:pPr>
            <w:r w:rsidRPr="00480DEB">
              <w:rPr>
                <w:sz w:val="20"/>
              </w:rPr>
              <w:t>Court of Appeal of Manitoba</w:t>
            </w:r>
          </w:p>
          <w:p w:rsidR="00A92670" w:rsidRPr="00480DEB" w:rsidRDefault="00A92670" w:rsidP="00A92670">
            <w:pPr>
              <w:jc w:val="both"/>
              <w:rPr>
                <w:sz w:val="20"/>
              </w:rPr>
            </w:pPr>
            <w:r w:rsidRPr="00480DEB">
              <w:rPr>
                <w:sz w:val="20"/>
              </w:rPr>
              <w:t>(Monnin, Beard, Cameron JJ.A.)</w:t>
            </w:r>
          </w:p>
          <w:p w:rsidR="00A92670" w:rsidRPr="00480DEB" w:rsidRDefault="00A92670" w:rsidP="00A92670">
            <w:pPr>
              <w:jc w:val="both"/>
              <w:rPr>
                <w:sz w:val="20"/>
              </w:rPr>
            </w:pPr>
            <w:r w:rsidRPr="00480DEB">
              <w:rPr>
                <w:sz w:val="20"/>
              </w:rPr>
              <w:t xml:space="preserve">AR14-30-08192; </w:t>
            </w:r>
            <w:hyperlink r:id="rId16" w:history="1">
              <w:r w:rsidRPr="00480DEB">
                <w:rPr>
                  <w:rStyle w:val="Hyperlink"/>
                  <w:sz w:val="20"/>
                </w:rPr>
                <w:t>2015 MBCA 84</w:t>
              </w:r>
            </w:hyperlink>
          </w:p>
          <w:p w:rsidR="00A92670" w:rsidRPr="00480DEB" w:rsidRDefault="00A92670" w:rsidP="00A92670">
            <w:pPr>
              <w:jc w:val="both"/>
              <w:rPr>
                <w:sz w:val="20"/>
              </w:rPr>
            </w:pPr>
          </w:p>
        </w:tc>
        <w:tc>
          <w:tcPr>
            <w:tcW w:w="243" w:type="pct"/>
          </w:tcPr>
          <w:p w:rsidR="00A92670" w:rsidRPr="00480DEB" w:rsidRDefault="00A92670" w:rsidP="00A92670">
            <w:pPr>
              <w:jc w:val="both"/>
              <w:rPr>
                <w:sz w:val="20"/>
              </w:rPr>
            </w:pPr>
          </w:p>
        </w:tc>
        <w:tc>
          <w:tcPr>
            <w:tcW w:w="2330" w:type="pct"/>
          </w:tcPr>
          <w:p w:rsidR="00A92670" w:rsidRPr="00480DEB" w:rsidRDefault="00A92670" w:rsidP="00A92670">
            <w:pPr>
              <w:jc w:val="both"/>
              <w:rPr>
                <w:sz w:val="20"/>
              </w:rPr>
            </w:pPr>
            <w:r w:rsidRPr="00480DEB">
              <w:rPr>
                <w:sz w:val="20"/>
              </w:rPr>
              <w:t>Appeal allowed and stay of proceedings granted</w:t>
            </w:r>
          </w:p>
          <w:p w:rsidR="00A92670" w:rsidRPr="00480DEB" w:rsidRDefault="00A92670" w:rsidP="00A92670">
            <w:pPr>
              <w:jc w:val="both"/>
              <w:rPr>
                <w:sz w:val="20"/>
              </w:rPr>
            </w:pPr>
          </w:p>
        </w:tc>
      </w:tr>
      <w:tr w:rsidR="00A92670" w:rsidRPr="00480DEB" w:rsidTr="00E95A6A">
        <w:tc>
          <w:tcPr>
            <w:tcW w:w="2427" w:type="pct"/>
            <w:gridSpan w:val="2"/>
          </w:tcPr>
          <w:p w:rsidR="00A92670" w:rsidRPr="00480DEB" w:rsidRDefault="00A92670" w:rsidP="00A92670">
            <w:pPr>
              <w:jc w:val="both"/>
              <w:rPr>
                <w:sz w:val="20"/>
              </w:rPr>
            </w:pPr>
            <w:r w:rsidRPr="00480DEB">
              <w:rPr>
                <w:sz w:val="20"/>
              </w:rPr>
              <w:t>November 16, 2015</w:t>
            </w:r>
          </w:p>
          <w:p w:rsidR="00A92670" w:rsidRPr="00480DEB" w:rsidRDefault="00A92670" w:rsidP="00A92670">
            <w:pPr>
              <w:jc w:val="both"/>
              <w:rPr>
                <w:sz w:val="20"/>
              </w:rPr>
            </w:pPr>
            <w:r w:rsidRPr="00480DEB">
              <w:rPr>
                <w:sz w:val="20"/>
              </w:rPr>
              <w:t>Supreme Court of Canada</w:t>
            </w:r>
          </w:p>
        </w:tc>
        <w:tc>
          <w:tcPr>
            <w:tcW w:w="243" w:type="pct"/>
          </w:tcPr>
          <w:p w:rsidR="00A92670" w:rsidRPr="00480DEB" w:rsidRDefault="00A92670" w:rsidP="00A92670">
            <w:pPr>
              <w:jc w:val="both"/>
              <w:rPr>
                <w:sz w:val="20"/>
              </w:rPr>
            </w:pPr>
          </w:p>
        </w:tc>
        <w:tc>
          <w:tcPr>
            <w:tcW w:w="2330" w:type="pct"/>
          </w:tcPr>
          <w:p w:rsidR="00A92670" w:rsidRPr="00480DEB" w:rsidRDefault="00A92670" w:rsidP="00A92670">
            <w:pPr>
              <w:jc w:val="both"/>
              <w:rPr>
                <w:sz w:val="20"/>
              </w:rPr>
            </w:pPr>
            <w:r w:rsidRPr="00480DEB">
              <w:rPr>
                <w:sz w:val="20"/>
              </w:rPr>
              <w:t>Application for leave to appeal filed</w:t>
            </w:r>
          </w:p>
        </w:tc>
      </w:tr>
    </w:tbl>
    <w:p w:rsidR="00A92670" w:rsidRPr="00480DEB" w:rsidRDefault="00A92670" w:rsidP="00A92670">
      <w:pPr>
        <w:jc w:val="both"/>
        <w:rPr>
          <w:sz w:val="20"/>
        </w:rPr>
      </w:pPr>
    </w:p>
    <w:p w:rsidR="00A92670" w:rsidRPr="00480DEB" w:rsidRDefault="00A92670" w:rsidP="00A9267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92670" w:rsidRPr="00480DEB" w:rsidTr="00E95A6A">
        <w:tc>
          <w:tcPr>
            <w:tcW w:w="543" w:type="pct"/>
          </w:tcPr>
          <w:p w:rsidR="00A92670" w:rsidRPr="00480DEB" w:rsidRDefault="00A92670" w:rsidP="00A92670">
            <w:pPr>
              <w:jc w:val="both"/>
              <w:rPr>
                <w:sz w:val="20"/>
                <w:lang w:val="fr-CA"/>
              </w:rPr>
            </w:pPr>
            <w:r w:rsidRPr="00480DEB">
              <w:rPr>
                <w:rStyle w:val="SCCFileNumberChar"/>
                <w:sz w:val="20"/>
                <w:szCs w:val="20"/>
                <w:lang w:val="fr-CA"/>
              </w:rPr>
              <w:t>36726</w:t>
            </w:r>
          </w:p>
        </w:tc>
        <w:tc>
          <w:tcPr>
            <w:tcW w:w="4457" w:type="pct"/>
            <w:gridSpan w:val="3"/>
          </w:tcPr>
          <w:p w:rsidR="00A92670" w:rsidRPr="00480DEB" w:rsidRDefault="00A92670" w:rsidP="00A92670">
            <w:pPr>
              <w:pStyle w:val="SCCLsocParty"/>
              <w:jc w:val="both"/>
              <w:rPr>
                <w:b/>
                <w:sz w:val="20"/>
                <w:szCs w:val="20"/>
              </w:rPr>
            </w:pPr>
            <w:r w:rsidRPr="00480DEB">
              <w:rPr>
                <w:b/>
                <w:sz w:val="20"/>
                <w:szCs w:val="20"/>
              </w:rPr>
              <w:t>Sa Majesté la Reine c. Marlin Vandermeulen</w:t>
            </w:r>
          </w:p>
          <w:p w:rsidR="00A92670" w:rsidRPr="00480DEB" w:rsidRDefault="00A92670" w:rsidP="00A92670">
            <w:pPr>
              <w:jc w:val="both"/>
              <w:rPr>
                <w:sz w:val="20"/>
                <w:lang w:val="fr-CA"/>
              </w:rPr>
            </w:pPr>
            <w:r w:rsidRPr="00480DEB">
              <w:rPr>
                <w:sz w:val="20"/>
                <w:lang w:val="fr-CA"/>
              </w:rPr>
              <w:t>(Man.) (Criminelle) (Sur autorisation)</w:t>
            </w:r>
          </w:p>
        </w:tc>
      </w:tr>
      <w:tr w:rsidR="00A92670" w:rsidRPr="00480DEB" w:rsidTr="00E95A6A">
        <w:tc>
          <w:tcPr>
            <w:tcW w:w="5000" w:type="pct"/>
            <w:gridSpan w:val="4"/>
          </w:tcPr>
          <w:p w:rsidR="00A92670" w:rsidRPr="00480DEB" w:rsidRDefault="00A92670" w:rsidP="00A92670">
            <w:pPr>
              <w:pStyle w:val="SCCBanSummary"/>
              <w:rPr>
                <w:sz w:val="20"/>
                <w:szCs w:val="20"/>
                <w:lang w:val="fr-CA"/>
              </w:rPr>
            </w:pPr>
            <w:r w:rsidRPr="00480DEB">
              <w:rPr>
                <w:sz w:val="20"/>
                <w:szCs w:val="20"/>
                <w:lang w:val="fr-CA"/>
              </w:rPr>
              <w:t xml:space="preserve">(Ordonnance de non-publication dans le dossier) </w:t>
            </w:r>
          </w:p>
          <w:p w:rsidR="00A92670" w:rsidRPr="00480DEB" w:rsidRDefault="00A92670" w:rsidP="00A92670">
            <w:pPr>
              <w:jc w:val="both"/>
              <w:rPr>
                <w:i/>
                <w:sz w:val="20"/>
                <w:lang w:val="fr-CA"/>
              </w:rPr>
            </w:pPr>
          </w:p>
          <w:p w:rsidR="00A92670" w:rsidRPr="00480DEB" w:rsidRDefault="00A92670" w:rsidP="00A92670">
            <w:pPr>
              <w:jc w:val="both"/>
              <w:rPr>
                <w:sz w:val="20"/>
                <w:lang w:val="fr-CA"/>
              </w:rPr>
            </w:pPr>
            <w:r w:rsidRPr="00480DEB">
              <w:rPr>
                <w:i/>
                <w:sz w:val="20"/>
                <w:lang w:val="fr-CA"/>
              </w:rPr>
              <w:t xml:space="preserve">Charte des droits et libertés </w:t>
            </w:r>
            <w:r w:rsidRPr="00480DEB">
              <w:rPr>
                <w:sz w:val="20"/>
                <w:lang w:val="fr-CA"/>
              </w:rPr>
              <w:t xml:space="preserve">– Procès dans un délai raisonnable – La Cour d’appel a-t-elle eu tort d’imposer un arrêt des procédures en tant que réparation pour une violation de l’al. 11b) de la </w:t>
            </w:r>
            <w:r w:rsidRPr="00480DEB">
              <w:rPr>
                <w:i/>
                <w:sz w:val="20"/>
                <w:lang w:val="fr-CA"/>
              </w:rPr>
              <w:t>Charte</w:t>
            </w:r>
            <w:r w:rsidRPr="00480DEB">
              <w:rPr>
                <w:sz w:val="20"/>
                <w:lang w:val="fr-CA"/>
              </w:rPr>
              <w:t>?</w:t>
            </w:r>
          </w:p>
        </w:tc>
      </w:tr>
      <w:tr w:rsidR="00A92670" w:rsidRPr="00480DEB" w:rsidTr="00E95A6A">
        <w:tc>
          <w:tcPr>
            <w:tcW w:w="5000" w:type="pct"/>
            <w:gridSpan w:val="4"/>
          </w:tcPr>
          <w:p w:rsidR="00A92670" w:rsidRPr="00480DEB" w:rsidRDefault="00A92670" w:rsidP="00A92670">
            <w:pPr>
              <w:jc w:val="both"/>
              <w:rPr>
                <w:sz w:val="20"/>
                <w:lang w:val="fr-CA"/>
              </w:rPr>
            </w:pPr>
          </w:p>
        </w:tc>
      </w:tr>
      <w:tr w:rsidR="00A92670" w:rsidRPr="00480DEB" w:rsidTr="00E95A6A">
        <w:tc>
          <w:tcPr>
            <w:tcW w:w="5000" w:type="pct"/>
            <w:gridSpan w:val="4"/>
          </w:tcPr>
          <w:p w:rsidR="00A92670" w:rsidRPr="00480DEB" w:rsidRDefault="00A92670" w:rsidP="00A92670">
            <w:pPr>
              <w:jc w:val="both"/>
              <w:rPr>
                <w:sz w:val="20"/>
                <w:lang w:val="fr-CA"/>
              </w:rPr>
            </w:pPr>
            <w:r w:rsidRPr="00480DEB">
              <w:rPr>
                <w:sz w:val="20"/>
                <w:lang w:val="fr-CA"/>
              </w:rPr>
              <w:t>Monsieur Vandermeulen a été accusé de plusieurs infractions. La dernière accusation a été déposée le 27 février 2010. Une enquête préliminaire a commencé le 22 novembre 2011. Le 14 janvier 2013, M. </w:t>
            </w:r>
            <w:proofErr w:type="spellStart"/>
            <w:r w:rsidRPr="00480DEB">
              <w:rPr>
                <w:sz w:val="20"/>
                <w:lang w:val="fr-CA"/>
              </w:rPr>
              <w:t>Vandermeulen</w:t>
            </w:r>
            <w:proofErr w:type="spellEnd"/>
            <w:r w:rsidRPr="00480DEB">
              <w:rPr>
                <w:sz w:val="20"/>
                <w:lang w:val="fr-CA"/>
              </w:rPr>
              <w:t xml:space="preserve"> a présenté une motion en arrêt des procédures pour délai déraisonnable contraire à l’al. 11b) de la </w:t>
            </w:r>
            <w:r w:rsidRPr="00480DEB">
              <w:rPr>
                <w:i/>
                <w:sz w:val="20"/>
                <w:lang w:val="fr-CA"/>
              </w:rPr>
              <w:t>Charte des droits et libertés</w:t>
            </w:r>
            <w:r w:rsidRPr="00480DEB">
              <w:rPr>
                <w:sz w:val="20"/>
                <w:lang w:val="fr-CA"/>
              </w:rPr>
              <w:t>. La juge du procès a rejeté la motion. Le procès de M. </w:t>
            </w:r>
            <w:proofErr w:type="spellStart"/>
            <w:r w:rsidRPr="00480DEB">
              <w:rPr>
                <w:sz w:val="20"/>
                <w:lang w:val="fr-CA"/>
              </w:rPr>
              <w:t>Vandermeulen</w:t>
            </w:r>
            <w:proofErr w:type="spellEnd"/>
            <w:r w:rsidRPr="00480DEB">
              <w:rPr>
                <w:sz w:val="20"/>
                <w:lang w:val="fr-CA"/>
              </w:rPr>
              <w:t xml:space="preserve"> a débuté le 26 février 2013 et a pris fin le 4 mars 2013. La juge du procès a déclaré M. </w:t>
            </w:r>
            <w:proofErr w:type="spellStart"/>
            <w:r w:rsidRPr="00480DEB">
              <w:rPr>
                <w:sz w:val="20"/>
                <w:lang w:val="fr-CA"/>
              </w:rPr>
              <w:t>Vandermeulen</w:t>
            </w:r>
            <w:proofErr w:type="spellEnd"/>
            <w:r w:rsidRPr="00480DEB">
              <w:rPr>
                <w:sz w:val="20"/>
                <w:lang w:val="fr-CA"/>
              </w:rPr>
              <w:t xml:space="preserve"> coupable de quatre chefs d’accusation, à savoir voies de fait, voies de fait causant des lésions corporelles, agression sexuelle causant des lésions corporelles et menaces. Monsieur Vandermeulen a interjeté appel des déclarations de culpabilité. La Cour d’appel a statué que la juge du procès avait commis une erreur dans son analyse fondée sur la </w:t>
            </w:r>
            <w:r w:rsidRPr="00480DEB">
              <w:rPr>
                <w:i/>
                <w:sz w:val="20"/>
                <w:lang w:val="fr-CA"/>
              </w:rPr>
              <w:t>Charte</w:t>
            </w:r>
            <w:r w:rsidRPr="00480DEB">
              <w:rPr>
                <w:sz w:val="20"/>
                <w:lang w:val="fr-CA"/>
              </w:rPr>
              <w:t xml:space="preserve">. La Cour d’appel a statué que le délai écoulé après le dépôt des accusations violait l’al. 11(b) de la </w:t>
            </w:r>
            <w:r w:rsidRPr="00480DEB">
              <w:rPr>
                <w:i/>
                <w:iCs/>
                <w:sz w:val="20"/>
                <w:lang w:val="fr-CA"/>
              </w:rPr>
              <w:t>Charte</w:t>
            </w:r>
            <w:r w:rsidRPr="00480DEB">
              <w:rPr>
                <w:sz w:val="20"/>
                <w:lang w:val="fr-CA"/>
              </w:rPr>
              <w:t xml:space="preserve"> et que la réparation minimale consistait à prononcer l’arrêt des procédures.</w:t>
            </w:r>
          </w:p>
          <w:p w:rsidR="00A92670" w:rsidRPr="00480DEB" w:rsidRDefault="00A92670" w:rsidP="00A92670">
            <w:pPr>
              <w:jc w:val="both"/>
              <w:rPr>
                <w:sz w:val="20"/>
                <w:lang w:val="fr-CA"/>
              </w:rPr>
            </w:pPr>
          </w:p>
        </w:tc>
      </w:tr>
      <w:tr w:rsidR="00A92670" w:rsidRPr="00480DEB" w:rsidTr="00E95A6A">
        <w:tc>
          <w:tcPr>
            <w:tcW w:w="2427" w:type="pct"/>
            <w:gridSpan w:val="2"/>
          </w:tcPr>
          <w:p w:rsidR="00A92670" w:rsidRPr="00480DEB" w:rsidRDefault="00A92670" w:rsidP="00A92670">
            <w:pPr>
              <w:jc w:val="both"/>
              <w:rPr>
                <w:sz w:val="20"/>
                <w:lang w:val="fr-CA"/>
              </w:rPr>
            </w:pPr>
            <w:r w:rsidRPr="00480DEB">
              <w:rPr>
                <w:sz w:val="20"/>
                <w:lang w:val="fr-CA"/>
              </w:rPr>
              <w:t>25 février 2013</w:t>
            </w:r>
          </w:p>
          <w:p w:rsidR="00A92670" w:rsidRPr="00480DEB" w:rsidRDefault="00A92670" w:rsidP="00A92670">
            <w:pPr>
              <w:jc w:val="both"/>
              <w:rPr>
                <w:sz w:val="20"/>
                <w:lang w:val="fr-CA"/>
              </w:rPr>
            </w:pPr>
            <w:r w:rsidRPr="00480DEB">
              <w:rPr>
                <w:sz w:val="20"/>
                <w:lang w:val="fr-CA"/>
              </w:rPr>
              <w:t>Cour du Banc de la Reine du Manitoba</w:t>
            </w:r>
          </w:p>
          <w:p w:rsidR="00A92670" w:rsidRPr="00480DEB" w:rsidRDefault="00A92670" w:rsidP="00A92670">
            <w:pPr>
              <w:jc w:val="both"/>
              <w:rPr>
                <w:sz w:val="20"/>
                <w:lang w:val="fr-CA"/>
              </w:rPr>
            </w:pPr>
            <w:r w:rsidRPr="00480DEB">
              <w:rPr>
                <w:sz w:val="20"/>
                <w:lang w:val="fr-CA"/>
              </w:rPr>
              <w:t>(Juge Suche)</w:t>
            </w:r>
          </w:p>
          <w:p w:rsidR="00A92670" w:rsidRPr="00480DEB" w:rsidRDefault="00A92670" w:rsidP="00A92670">
            <w:pPr>
              <w:jc w:val="both"/>
              <w:rPr>
                <w:sz w:val="20"/>
                <w:lang w:val="fr-CA"/>
              </w:rPr>
            </w:pPr>
          </w:p>
        </w:tc>
        <w:tc>
          <w:tcPr>
            <w:tcW w:w="243" w:type="pct"/>
          </w:tcPr>
          <w:p w:rsidR="00A92670" w:rsidRPr="00480DEB" w:rsidRDefault="00A92670" w:rsidP="00A92670">
            <w:pPr>
              <w:jc w:val="both"/>
              <w:rPr>
                <w:sz w:val="20"/>
                <w:lang w:val="fr-CA"/>
              </w:rPr>
            </w:pPr>
          </w:p>
        </w:tc>
        <w:tc>
          <w:tcPr>
            <w:tcW w:w="2330" w:type="pct"/>
          </w:tcPr>
          <w:p w:rsidR="00A92670" w:rsidRPr="00480DEB" w:rsidRDefault="00A92670" w:rsidP="00A92670">
            <w:pPr>
              <w:jc w:val="both"/>
              <w:rPr>
                <w:sz w:val="20"/>
                <w:lang w:val="fr-CA"/>
              </w:rPr>
            </w:pPr>
            <w:r w:rsidRPr="00480DEB">
              <w:rPr>
                <w:sz w:val="20"/>
                <w:lang w:val="fr-CA"/>
              </w:rPr>
              <w:t>Rejet de la demande d’arrêt des procédures</w:t>
            </w:r>
          </w:p>
        </w:tc>
      </w:tr>
      <w:tr w:rsidR="00A92670" w:rsidRPr="00480DEB" w:rsidTr="00E95A6A">
        <w:tc>
          <w:tcPr>
            <w:tcW w:w="2427" w:type="pct"/>
            <w:gridSpan w:val="2"/>
          </w:tcPr>
          <w:p w:rsidR="00A92670" w:rsidRPr="00480DEB" w:rsidRDefault="00A92670" w:rsidP="00A92670">
            <w:pPr>
              <w:jc w:val="both"/>
              <w:rPr>
                <w:sz w:val="20"/>
                <w:lang w:val="fr-CA"/>
              </w:rPr>
            </w:pPr>
            <w:r w:rsidRPr="00480DEB">
              <w:rPr>
                <w:sz w:val="20"/>
                <w:lang w:val="fr-CA"/>
              </w:rPr>
              <w:lastRenderedPageBreak/>
              <w:t>May 22, 2013</w:t>
            </w:r>
          </w:p>
          <w:p w:rsidR="00A92670" w:rsidRPr="00480DEB" w:rsidRDefault="00A92670" w:rsidP="00A92670">
            <w:pPr>
              <w:jc w:val="both"/>
              <w:rPr>
                <w:sz w:val="20"/>
                <w:lang w:val="fr-CA"/>
              </w:rPr>
            </w:pPr>
            <w:r w:rsidRPr="00480DEB">
              <w:rPr>
                <w:sz w:val="20"/>
                <w:lang w:val="fr-CA"/>
              </w:rPr>
              <w:t>Cour du Banc de la Reine du Manitoba</w:t>
            </w:r>
          </w:p>
          <w:p w:rsidR="00A92670" w:rsidRPr="00480DEB" w:rsidRDefault="00A92670" w:rsidP="00A92670">
            <w:pPr>
              <w:jc w:val="both"/>
              <w:rPr>
                <w:sz w:val="20"/>
                <w:lang w:val="fr-CA"/>
              </w:rPr>
            </w:pPr>
            <w:r w:rsidRPr="00480DEB">
              <w:rPr>
                <w:sz w:val="20"/>
                <w:lang w:val="fr-CA"/>
              </w:rPr>
              <w:t>(Juge Suche)</w:t>
            </w:r>
          </w:p>
          <w:p w:rsidR="00A92670" w:rsidRPr="00480DEB" w:rsidRDefault="00A92670" w:rsidP="00A92670">
            <w:pPr>
              <w:jc w:val="both"/>
              <w:rPr>
                <w:sz w:val="20"/>
                <w:lang w:val="fr-CA"/>
              </w:rPr>
            </w:pPr>
            <w:r w:rsidRPr="00480DEB">
              <w:rPr>
                <w:sz w:val="20"/>
                <w:lang w:val="fr-CA"/>
              </w:rPr>
              <w:t xml:space="preserve">Référence neutre : </w:t>
            </w:r>
          </w:p>
          <w:p w:rsidR="00A92670" w:rsidRPr="00480DEB" w:rsidRDefault="00A92670" w:rsidP="00A92670">
            <w:pPr>
              <w:jc w:val="both"/>
              <w:rPr>
                <w:rStyle w:val="Hyperlink"/>
                <w:sz w:val="20"/>
                <w:lang w:val="fr-CA"/>
              </w:rPr>
            </w:pPr>
            <w:hyperlink r:id="rId17" w:history="1">
              <w:r w:rsidRPr="00480DEB">
                <w:rPr>
                  <w:rStyle w:val="Hyperlink"/>
                  <w:sz w:val="20"/>
                  <w:lang w:val="fr-CA"/>
                </w:rPr>
                <w:t>2013 MBQB 118</w:t>
              </w:r>
            </w:hyperlink>
          </w:p>
          <w:p w:rsidR="00A92670" w:rsidRPr="00480DEB" w:rsidRDefault="00A92670" w:rsidP="00A92670">
            <w:pPr>
              <w:jc w:val="both"/>
              <w:rPr>
                <w:sz w:val="20"/>
                <w:lang w:val="fr-CA"/>
              </w:rPr>
            </w:pPr>
          </w:p>
        </w:tc>
        <w:tc>
          <w:tcPr>
            <w:tcW w:w="243" w:type="pct"/>
          </w:tcPr>
          <w:p w:rsidR="00A92670" w:rsidRPr="00480DEB" w:rsidRDefault="00A92670" w:rsidP="00A92670">
            <w:pPr>
              <w:jc w:val="both"/>
              <w:rPr>
                <w:sz w:val="20"/>
                <w:lang w:val="fr-CA"/>
              </w:rPr>
            </w:pPr>
          </w:p>
        </w:tc>
        <w:tc>
          <w:tcPr>
            <w:tcW w:w="2330" w:type="pct"/>
          </w:tcPr>
          <w:p w:rsidR="00A92670" w:rsidRPr="00480DEB" w:rsidRDefault="00A92670" w:rsidP="00A92670">
            <w:pPr>
              <w:jc w:val="both"/>
              <w:rPr>
                <w:sz w:val="20"/>
                <w:lang w:val="fr-CA"/>
              </w:rPr>
            </w:pPr>
            <w:r w:rsidRPr="00480DEB">
              <w:rPr>
                <w:sz w:val="20"/>
                <w:lang w:val="fr-CA"/>
              </w:rPr>
              <w:t>Déclaration de culpabilité de quatre chefs d’accusation, à savoir voies de fait, voies de fait causant des lésions corporelles, agression sexuelle causant des lésions corporelles et menaces; acquittement sous un chef de vol de moins de 5000 $</w:t>
            </w:r>
          </w:p>
          <w:p w:rsidR="00A92670" w:rsidRPr="00480DEB" w:rsidRDefault="00A92670" w:rsidP="00A92670">
            <w:pPr>
              <w:jc w:val="both"/>
              <w:rPr>
                <w:sz w:val="20"/>
                <w:lang w:val="fr-CA"/>
              </w:rPr>
            </w:pPr>
          </w:p>
        </w:tc>
      </w:tr>
      <w:tr w:rsidR="00A92670" w:rsidRPr="00480DEB" w:rsidTr="00E95A6A">
        <w:tc>
          <w:tcPr>
            <w:tcW w:w="2427" w:type="pct"/>
            <w:gridSpan w:val="2"/>
          </w:tcPr>
          <w:p w:rsidR="00A92670" w:rsidRPr="00480DEB" w:rsidRDefault="00A92670" w:rsidP="00A92670">
            <w:pPr>
              <w:jc w:val="both"/>
              <w:rPr>
                <w:sz w:val="20"/>
                <w:lang w:val="fr-CA"/>
              </w:rPr>
            </w:pPr>
            <w:r w:rsidRPr="00480DEB">
              <w:rPr>
                <w:sz w:val="20"/>
                <w:lang w:val="fr-CA"/>
              </w:rPr>
              <w:t>10 juin 2014</w:t>
            </w:r>
          </w:p>
          <w:p w:rsidR="00A92670" w:rsidRPr="00480DEB" w:rsidRDefault="00A92670" w:rsidP="00A92670">
            <w:pPr>
              <w:jc w:val="both"/>
              <w:rPr>
                <w:sz w:val="20"/>
                <w:lang w:val="fr-CA"/>
              </w:rPr>
            </w:pPr>
            <w:r w:rsidRPr="00480DEB">
              <w:rPr>
                <w:sz w:val="20"/>
                <w:lang w:val="fr-CA"/>
              </w:rPr>
              <w:t>Cour du Banc de la Reine du Manitoba</w:t>
            </w:r>
          </w:p>
          <w:p w:rsidR="00A92670" w:rsidRPr="00480DEB" w:rsidRDefault="00A92670" w:rsidP="00A92670">
            <w:pPr>
              <w:jc w:val="both"/>
              <w:rPr>
                <w:sz w:val="20"/>
                <w:lang w:val="fr-CA"/>
              </w:rPr>
            </w:pPr>
            <w:r w:rsidRPr="00480DEB">
              <w:rPr>
                <w:sz w:val="20"/>
                <w:lang w:val="fr-CA"/>
              </w:rPr>
              <w:t>(Juge Suche)</w:t>
            </w:r>
          </w:p>
          <w:p w:rsidR="00A92670" w:rsidRPr="00480DEB" w:rsidRDefault="00A92670" w:rsidP="00A92670">
            <w:pPr>
              <w:jc w:val="both"/>
              <w:rPr>
                <w:sz w:val="20"/>
                <w:lang w:val="fr-CA"/>
              </w:rPr>
            </w:pPr>
            <w:hyperlink r:id="rId18" w:history="1">
              <w:r w:rsidRPr="00480DEB">
                <w:rPr>
                  <w:rStyle w:val="Hyperlink"/>
                  <w:sz w:val="20"/>
                  <w:lang w:val="fr-CA"/>
                </w:rPr>
                <w:t>2014 MBQB 116</w:t>
              </w:r>
            </w:hyperlink>
          </w:p>
          <w:p w:rsidR="00A92670" w:rsidRPr="00480DEB" w:rsidRDefault="00A92670" w:rsidP="00A92670">
            <w:pPr>
              <w:jc w:val="both"/>
              <w:rPr>
                <w:sz w:val="20"/>
                <w:lang w:val="fr-CA"/>
              </w:rPr>
            </w:pPr>
          </w:p>
        </w:tc>
        <w:tc>
          <w:tcPr>
            <w:tcW w:w="243" w:type="pct"/>
          </w:tcPr>
          <w:p w:rsidR="00A92670" w:rsidRPr="00480DEB" w:rsidRDefault="00A92670" w:rsidP="00A92670">
            <w:pPr>
              <w:jc w:val="both"/>
              <w:rPr>
                <w:sz w:val="20"/>
                <w:lang w:val="fr-CA"/>
              </w:rPr>
            </w:pPr>
          </w:p>
        </w:tc>
        <w:tc>
          <w:tcPr>
            <w:tcW w:w="2330" w:type="pct"/>
          </w:tcPr>
          <w:p w:rsidR="00A92670" w:rsidRPr="00480DEB" w:rsidRDefault="00A92670" w:rsidP="00A92670">
            <w:pPr>
              <w:jc w:val="both"/>
              <w:rPr>
                <w:sz w:val="20"/>
                <w:lang w:val="fr-CA"/>
              </w:rPr>
            </w:pPr>
            <w:r w:rsidRPr="00480DEB">
              <w:rPr>
                <w:sz w:val="20"/>
                <w:lang w:val="fr-CA"/>
              </w:rPr>
              <w:t xml:space="preserve">Peine d’emprisonnement de 3,5 années, interdiction d’avoir des armes à feu ou d’autres armes en sa possession d’une durée de 10 ans, ordonnance de se soumettre à un prélèvement génétique et inscription au registre des délinquants sexuels pendant 20 ans </w:t>
            </w:r>
          </w:p>
          <w:p w:rsidR="00A92670" w:rsidRPr="00480DEB" w:rsidRDefault="00A92670" w:rsidP="00A92670">
            <w:pPr>
              <w:jc w:val="both"/>
              <w:rPr>
                <w:sz w:val="20"/>
                <w:lang w:val="fr-CA"/>
              </w:rPr>
            </w:pPr>
          </w:p>
        </w:tc>
      </w:tr>
      <w:tr w:rsidR="00A92670" w:rsidRPr="00480DEB" w:rsidTr="00E95A6A">
        <w:tc>
          <w:tcPr>
            <w:tcW w:w="2427" w:type="pct"/>
            <w:gridSpan w:val="2"/>
          </w:tcPr>
          <w:p w:rsidR="00A92670" w:rsidRPr="00480DEB" w:rsidRDefault="00A92670" w:rsidP="00A92670">
            <w:pPr>
              <w:jc w:val="both"/>
              <w:rPr>
                <w:sz w:val="20"/>
                <w:lang w:val="fr-CA"/>
              </w:rPr>
            </w:pPr>
            <w:r w:rsidRPr="00480DEB">
              <w:rPr>
                <w:sz w:val="20"/>
                <w:lang w:val="fr-CA"/>
              </w:rPr>
              <w:t>17 novembre 2015</w:t>
            </w:r>
          </w:p>
          <w:p w:rsidR="00A92670" w:rsidRPr="00480DEB" w:rsidRDefault="00A92670" w:rsidP="00A92670">
            <w:pPr>
              <w:jc w:val="both"/>
              <w:rPr>
                <w:sz w:val="20"/>
                <w:lang w:val="fr-CA"/>
              </w:rPr>
            </w:pPr>
            <w:r w:rsidRPr="00480DEB">
              <w:rPr>
                <w:sz w:val="20"/>
                <w:lang w:val="fr-CA"/>
              </w:rPr>
              <w:t xml:space="preserve">Cour d’appel du Manitoba </w:t>
            </w:r>
          </w:p>
          <w:p w:rsidR="00A92670" w:rsidRPr="00480DEB" w:rsidRDefault="00A92670" w:rsidP="00A92670">
            <w:pPr>
              <w:jc w:val="both"/>
              <w:rPr>
                <w:sz w:val="20"/>
                <w:lang w:val="fr-CA"/>
              </w:rPr>
            </w:pPr>
            <w:r w:rsidRPr="00480DEB">
              <w:rPr>
                <w:sz w:val="20"/>
                <w:lang w:val="fr-CA"/>
              </w:rPr>
              <w:t>(Juges Monnin, Beard et Cameron)</w:t>
            </w:r>
          </w:p>
          <w:p w:rsidR="00A92670" w:rsidRPr="00480DEB" w:rsidRDefault="00A92670" w:rsidP="00A92670">
            <w:pPr>
              <w:jc w:val="both"/>
              <w:rPr>
                <w:sz w:val="20"/>
                <w:lang w:val="fr-CA"/>
              </w:rPr>
            </w:pPr>
            <w:r w:rsidRPr="00480DEB">
              <w:rPr>
                <w:sz w:val="20"/>
                <w:lang w:val="fr-CA"/>
              </w:rPr>
              <w:t xml:space="preserve">AR14-30-08192; </w:t>
            </w:r>
            <w:hyperlink r:id="rId19" w:history="1">
              <w:r w:rsidRPr="00480DEB">
                <w:rPr>
                  <w:rStyle w:val="Hyperlink"/>
                  <w:sz w:val="20"/>
                  <w:lang w:val="fr-CA"/>
                </w:rPr>
                <w:t>2015 MBCA 84</w:t>
              </w:r>
            </w:hyperlink>
          </w:p>
          <w:p w:rsidR="00A92670" w:rsidRPr="00480DEB" w:rsidRDefault="00A92670" w:rsidP="00A92670">
            <w:pPr>
              <w:jc w:val="both"/>
              <w:rPr>
                <w:sz w:val="20"/>
                <w:lang w:val="fr-CA"/>
              </w:rPr>
            </w:pPr>
          </w:p>
        </w:tc>
        <w:tc>
          <w:tcPr>
            <w:tcW w:w="243" w:type="pct"/>
          </w:tcPr>
          <w:p w:rsidR="00A92670" w:rsidRPr="00480DEB" w:rsidRDefault="00A92670" w:rsidP="00A92670">
            <w:pPr>
              <w:jc w:val="both"/>
              <w:rPr>
                <w:sz w:val="20"/>
                <w:lang w:val="fr-CA"/>
              </w:rPr>
            </w:pPr>
          </w:p>
        </w:tc>
        <w:tc>
          <w:tcPr>
            <w:tcW w:w="2330" w:type="pct"/>
          </w:tcPr>
          <w:p w:rsidR="00A92670" w:rsidRPr="00480DEB" w:rsidRDefault="00A92670" w:rsidP="00A92670">
            <w:pPr>
              <w:jc w:val="both"/>
              <w:rPr>
                <w:sz w:val="20"/>
                <w:lang w:val="fr-CA"/>
              </w:rPr>
            </w:pPr>
            <w:r w:rsidRPr="00480DEB">
              <w:rPr>
                <w:sz w:val="20"/>
                <w:lang w:val="fr-CA"/>
              </w:rPr>
              <w:t>Arrêt accueillant l’appel et prononçant l’arrêt des procédures</w:t>
            </w:r>
          </w:p>
          <w:p w:rsidR="00A92670" w:rsidRPr="00480DEB" w:rsidRDefault="00A92670" w:rsidP="00A92670">
            <w:pPr>
              <w:jc w:val="both"/>
              <w:rPr>
                <w:sz w:val="20"/>
                <w:lang w:val="fr-CA"/>
              </w:rPr>
            </w:pPr>
          </w:p>
        </w:tc>
      </w:tr>
      <w:tr w:rsidR="00A92670" w:rsidRPr="00480DEB" w:rsidTr="00E95A6A">
        <w:tc>
          <w:tcPr>
            <w:tcW w:w="2427" w:type="pct"/>
            <w:gridSpan w:val="2"/>
          </w:tcPr>
          <w:p w:rsidR="00A92670" w:rsidRPr="00480DEB" w:rsidRDefault="00A92670" w:rsidP="00A92670">
            <w:pPr>
              <w:jc w:val="both"/>
              <w:rPr>
                <w:sz w:val="20"/>
                <w:lang w:val="fr-CA"/>
              </w:rPr>
            </w:pPr>
            <w:r w:rsidRPr="00480DEB">
              <w:rPr>
                <w:sz w:val="20"/>
                <w:lang w:val="fr-CA"/>
              </w:rPr>
              <w:t>16 novembre 2015</w:t>
            </w:r>
          </w:p>
          <w:p w:rsidR="00A92670" w:rsidRPr="00480DEB" w:rsidRDefault="00A92670" w:rsidP="00A92670">
            <w:pPr>
              <w:jc w:val="both"/>
              <w:rPr>
                <w:sz w:val="20"/>
                <w:lang w:val="fr-CA"/>
              </w:rPr>
            </w:pPr>
            <w:r w:rsidRPr="00480DEB">
              <w:rPr>
                <w:sz w:val="20"/>
                <w:lang w:val="fr-CA"/>
              </w:rPr>
              <w:t>Cour suprême du Canada</w:t>
            </w:r>
          </w:p>
        </w:tc>
        <w:tc>
          <w:tcPr>
            <w:tcW w:w="243" w:type="pct"/>
          </w:tcPr>
          <w:p w:rsidR="00A92670" w:rsidRPr="00480DEB" w:rsidRDefault="00A92670" w:rsidP="00A92670">
            <w:pPr>
              <w:jc w:val="both"/>
              <w:rPr>
                <w:sz w:val="20"/>
                <w:lang w:val="fr-CA"/>
              </w:rPr>
            </w:pPr>
          </w:p>
        </w:tc>
        <w:tc>
          <w:tcPr>
            <w:tcW w:w="2330" w:type="pct"/>
          </w:tcPr>
          <w:p w:rsidR="00A92670" w:rsidRPr="00480DEB" w:rsidRDefault="00A92670" w:rsidP="00A92670">
            <w:pPr>
              <w:jc w:val="both"/>
              <w:rPr>
                <w:sz w:val="20"/>
                <w:lang w:val="fr-CA"/>
              </w:rPr>
            </w:pPr>
            <w:r w:rsidRPr="00480DEB">
              <w:rPr>
                <w:sz w:val="20"/>
                <w:lang w:val="fr-CA"/>
              </w:rPr>
              <w:t>Dépôt de la demande d’autorisation d’appel</w:t>
            </w:r>
          </w:p>
        </w:tc>
      </w:tr>
    </w:tbl>
    <w:p w:rsidR="00A92670" w:rsidRPr="00480DEB" w:rsidRDefault="00A92670" w:rsidP="00A92670">
      <w:pPr>
        <w:jc w:val="both"/>
        <w:rPr>
          <w:sz w:val="20"/>
          <w:lang w:val="fr-CA"/>
        </w:rPr>
      </w:pPr>
    </w:p>
    <w:p w:rsidR="0064395E" w:rsidRPr="00480DEB" w:rsidRDefault="0064395E" w:rsidP="00E075A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75AB" w:rsidRPr="00480DEB" w:rsidTr="00E95A6A">
        <w:tc>
          <w:tcPr>
            <w:tcW w:w="543" w:type="pct"/>
          </w:tcPr>
          <w:p w:rsidR="00E075AB" w:rsidRPr="00480DEB" w:rsidRDefault="00E075AB" w:rsidP="00E075AB">
            <w:pPr>
              <w:jc w:val="both"/>
              <w:rPr>
                <w:sz w:val="20"/>
              </w:rPr>
            </w:pPr>
            <w:r w:rsidRPr="00480DEB">
              <w:rPr>
                <w:rStyle w:val="SCCFileNumberChar"/>
                <w:sz w:val="20"/>
                <w:szCs w:val="20"/>
              </w:rPr>
              <w:t>36994</w:t>
            </w:r>
          </w:p>
        </w:tc>
        <w:tc>
          <w:tcPr>
            <w:tcW w:w="4457" w:type="pct"/>
            <w:gridSpan w:val="3"/>
          </w:tcPr>
          <w:p w:rsidR="00E075AB" w:rsidRPr="00480DEB" w:rsidRDefault="00E075AB" w:rsidP="00E075AB">
            <w:pPr>
              <w:pStyle w:val="SCCLsocParty"/>
              <w:jc w:val="both"/>
              <w:rPr>
                <w:b/>
                <w:sz w:val="20"/>
                <w:szCs w:val="20"/>
              </w:rPr>
            </w:pPr>
            <w:r w:rsidRPr="00480DEB">
              <w:rPr>
                <w:b/>
                <w:sz w:val="20"/>
                <w:szCs w:val="20"/>
              </w:rPr>
              <w:t>Robert Kenneth Power v. Her Majesty the Queen</w:t>
            </w:r>
          </w:p>
          <w:p w:rsidR="00E075AB" w:rsidRPr="00480DEB" w:rsidRDefault="00E075AB" w:rsidP="00E075AB">
            <w:pPr>
              <w:jc w:val="both"/>
              <w:rPr>
                <w:sz w:val="20"/>
              </w:rPr>
            </w:pPr>
            <w:r w:rsidRPr="00480DEB">
              <w:rPr>
                <w:sz w:val="20"/>
              </w:rPr>
              <w:t>(Sask.) (Criminal) (By Leave)</w:t>
            </w:r>
          </w:p>
        </w:tc>
      </w:tr>
      <w:tr w:rsidR="00E075AB" w:rsidRPr="00480DEB" w:rsidTr="00E95A6A">
        <w:tc>
          <w:tcPr>
            <w:tcW w:w="5000" w:type="pct"/>
            <w:gridSpan w:val="4"/>
          </w:tcPr>
          <w:p w:rsidR="00E075AB" w:rsidRPr="00480DEB" w:rsidRDefault="00E075AB" w:rsidP="00E075AB">
            <w:pPr>
              <w:jc w:val="both"/>
              <w:rPr>
                <w:sz w:val="20"/>
              </w:rPr>
            </w:pPr>
            <w:r w:rsidRPr="00480DEB">
              <w:rPr>
                <w:sz w:val="20"/>
              </w:rPr>
              <w:t xml:space="preserve">Criminal law – </w:t>
            </w:r>
            <w:proofErr w:type="spellStart"/>
            <w:r w:rsidRPr="00480DEB">
              <w:rPr>
                <w:sz w:val="20"/>
              </w:rPr>
              <w:t>Defences</w:t>
            </w:r>
            <w:proofErr w:type="spellEnd"/>
            <w:r w:rsidRPr="00480DEB">
              <w:rPr>
                <w:sz w:val="20"/>
              </w:rPr>
              <w:t xml:space="preserve"> – Self-defence – Use of force – Is the fact that a police officer acts in accordance with their training relevant to the issue of the objective assessment of the reasonableness of their use of force – What degree of deference should be afforded to a trial judge in his assessment of a videotape of the incident in question when a summary appeal judge is in as good a position to review and assess the videotape as the trial judge – Did the majority of the Court of Appeal err in principle when it said the question was if “it was necessary” for the police officer to use the push-kick, or is the issue whether the officer used as much force as was necessary as set out in section 25(1) of the </w:t>
            </w:r>
            <w:r w:rsidRPr="00480DEB">
              <w:rPr>
                <w:i/>
                <w:iCs/>
                <w:sz w:val="20"/>
              </w:rPr>
              <w:t>Criminal Code</w:t>
            </w:r>
            <w:r w:rsidRPr="00480DEB">
              <w:rPr>
                <w:iCs/>
                <w:sz w:val="20"/>
              </w:rPr>
              <w:t>.</w:t>
            </w:r>
          </w:p>
        </w:tc>
      </w:tr>
      <w:tr w:rsidR="00E075AB" w:rsidRPr="00480DEB" w:rsidTr="00E95A6A">
        <w:tc>
          <w:tcPr>
            <w:tcW w:w="5000" w:type="pct"/>
            <w:gridSpan w:val="4"/>
          </w:tcPr>
          <w:p w:rsidR="00E075AB" w:rsidRPr="00480DEB" w:rsidRDefault="00E075AB" w:rsidP="00E075AB">
            <w:pPr>
              <w:jc w:val="both"/>
              <w:rPr>
                <w:sz w:val="20"/>
              </w:rPr>
            </w:pPr>
          </w:p>
        </w:tc>
      </w:tr>
      <w:tr w:rsidR="00E075AB" w:rsidRPr="00480DEB" w:rsidTr="00E95A6A">
        <w:tc>
          <w:tcPr>
            <w:tcW w:w="5000" w:type="pct"/>
            <w:gridSpan w:val="4"/>
          </w:tcPr>
          <w:p w:rsidR="00E075AB" w:rsidRPr="00480DEB" w:rsidRDefault="00E075AB" w:rsidP="00E075AB">
            <w:pPr>
              <w:jc w:val="both"/>
              <w:rPr>
                <w:sz w:val="20"/>
              </w:rPr>
            </w:pPr>
            <w:r w:rsidRPr="00480DEB">
              <w:rPr>
                <w:sz w:val="20"/>
              </w:rPr>
              <w:t>The applicant, Constable Power, is a police officer who push-kicked the complainant in the abdomen in the process of arresting him. The force of the kick bounced the complainant backwards and he hit his head on the cement. Constable Power testified that he kicked Mr. </w:t>
            </w:r>
            <w:proofErr w:type="spellStart"/>
            <w:r w:rsidRPr="00480DEB">
              <w:rPr>
                <w:sz w:val="20"/>
              </w:rPr>
              <w:t>Stonechild</w:t>
            </w:r>
            <w:proofErr w:type="spellEnd"/>
            <w:r w:rsidRPr="00480DEB">
              <w:rPr>
                <w:sz w:val="20"/>
              </w:rPr>
              <w:t xml:space="preserve"> to defend himself and he believed Mr. </w:t>
            </w:r>
            <w:proofErr w:type="spellStart"/>
            <w:r w:rsidRPr="00480DEB">
              <w:rPr>
                <w:sz w:val="20"/>
              </w:rPr>
              <w:t>Stonechild</w:t>
            </w:r>
            <w:proofErr w:type="spellEnd"/>
            <w:r w:rsidRPr="00480DEB">
              <w:rPr>
                <w:sz w:val="20"/>
              </w:rPr>
              <w:t xml:space="preserve"> was going to hit him. The applicant was convicted of assault causing bodily harm contrary to s. 267(b) of the </w:t>
            </w:r>
            <w:r w:rsidRPr="00480DEB">
              <w:rPr>
                <w:i/>
                <w:sz w:val="20"/>
              </w:rPr>
              <w:t>Criminal Code</w:t>
            </w:r>
            <w:r w:rsidRPr="00480DEB">
              <w:rPr>
                <w:sz w:val="20"/>
              </w:rPr>
              <w:t xml:space="preserve"> by the trial judge. The appeal was allowed by the summary conviction appeal judge and an acquittal was entered. The majority of the Court of Appeal granted leave to appeal and restored the conviction. Caldwell J.A., dissenting, would have held that the defence of self-defence was made out on the proper application of the law to the facts as found by the trial judge. He would have ordered an acquittal on the charge of assault causing bodily harm.</w:t>
            </w:r>
          </w:p>
          <w:p w:rsidR="00E075AB" w:rsidRPr="00480DEB" w:rsidRDefault="00E075AB" w:rsidP="00E075AB">
            <w:pPr>
              <w:jc w:val="both"/>
              <w:rPr>
                <w:sz w:val="20"/>
              </w:rPr>
            </w:pPr>
          </w:p>
        </w:tc>
      </w:tr>
      <w:tr w:rsidR="00E075AB" w:rsidRPr="00480DEB" w:rsidTr="00E95A6A">
        <w:tc>
          <w:tcPr>
            <w:tcW w:w="2427" w:type="pct"/>
            <w:gridSpan w:val="2"/>
          </w:tcPr>
          <w:p w:rsidR="00E075AB" w:rsidRPr="00480DEB" w:rsidRDefault="00E075AB" w:rsidP="00E075AB">
            <w:pPr>
              <w:jc w:val="both"/>
              <w:rPr>
                <w:sz w:val="20"/>
              </w:rPr>
            </w:pPr>
            <w:r w:rsidRPr="00480DEB">
              <w:rPr>
                <w:sz w:val="20"/>
              </w:rPr>
              <w:t>January 24, 2014</w:t>
            </w:r>
          </w:p>
          <w:p w:rsidR="00E075AB" w:rsidRPr="00480DEB" w:rsidRDefault="00E075AB" w:rsidP="00E075AB">
            <w:pPr>
              <w:jc w:val="both"/>
              <w:rPr>
                <w:sz w:val="20"/>
              </w:rPr>
            </w:pPr>
            <w:r w:rsidRPr="00480DEB">
              <w:rPr>
                <w:sz w:val="20"/>
              </w:rPr>
              <w:t>Provincial Court of Saskatchewan</w:t>
            </w:r>
          </w:p>
          <w:p w:rsidR="00E075AB" w:rsidRPr="00480DEB" w:rsidRDefault="00E075AB" w:rsidP="00E075AB">
            <w:pPr>
              <w:jc w:val="both"/>
              <w:rPr>
                <w:sz w:val="20"/>
              </w:rPr>
            </w:pPr>
            <w:r w:rsidRPr="00480DEB">
              <w:rPr>
                <w:sz w:val="20"/>
              </w:rPr>
              <w:t>(</w:t>
            </w:r>
            <w:proofErr w:type="spellStart"/>
            <w:r w:rsidRPr="00480DEB">
              <w:rPr>
                <w:sz w:val="20"/>
              </w:rPr>
              <w:t>Kovatch</w:t>
            </w:r>
            <w:proofErr w:type="spellEnd"/>
            <w:r w:rsidRPr="00480DEB">
              <w:rPr>
                <w:sz w:val="20"/>
              </w:rPr>
              <w:t xml:space="preserve"> J.)</w:t>
            </w:r>
          </w:p>
          <w:p w:rsidR="00E075AB" w:rsidRPr="00480DEB" w:rsidRDefault="00E075AB" w:rsidP="00E075AB">
            <w:pPr>
              <w:jc w:val="both"/>
              <w:rPr>
                <w:sz w:val="20"/>
              </w:rPr>
            </w:pPr>
            <w:r w:rsidRPr="00480DEB">
              <w:rPr>
                <w:sz w:val="20"/>
              </w:rPr>
              <w:t>2014 SKPC 017</w:t>
            </w:r>
          </w:p>
          <w:p w:rsidR="00E075AB" w:rsidRPr="00480DEB" w:rsidRDefault="00E075AB" w:rsidP="00E075AB">
            <w:pPr>
              <w:jc w:val="both"/>
              <w:rPr>
                <w:rStyle w:val="documentstaticurl"/>
                <w:rFonts w:eastAsiaTheme="majorEastAsia"/>
                <w:sz w:val="20"/>
              </w:rPr>
            </w:pPr>
            <w:hyperlink r:id="rId20" w:history="1">
              <w:r w:rsidRPr="00480DEB">
                <w:rPr>
                  <w:rStyle w:val="Hyperlink"/>
                  <w:sz w:val="20"/>
                </w:rPr>
                <w:t>http://canlii.ca/t/g2tw9</w:t>
              </w:r>
            </w:hyperlink>
          </w:p>
          <w:p w:rsidR="00E075AB" w:rsidRPr="00480DEB" w:rsidRDefault="00E075AB" w:rsidP="00E075AB">
            <w:pPr>
              <w:jc w:val="both"/>
              <w:rPr>
                <w:sz w:val="20"/>
              </w:rPr>
            </w:pPr>
          </w:p>
        </w:tc>
        <w:tc>
          <w:tcPr>
            <w:tcW w:w="243" w:type="pct"/>
          </w:tcPr>
          <w:p w:rsidR="00E075AB" w:rsidRPr="00480DEB" w:rsidRDefault="00E075AB" w:rsidP="00E075AB">
            <w:pPr>
              <w:jc w:val="both"/>
              <w:rPr>
                <w:sz w:val="20"/>
              </w:rPr>
            </w:pPr>
          </w:p>
        </w:tc>
        <w:tc>
          <w:tcPr>
            <w:tcW w:w="2330" w:type="pct"/>
          </w:tcPr>
          <w:p w:rsidR="00E075AB" w:rsidRPr="00480DEB" w:rsidRDefault="00E075AB" w:rsidP="00E075AB">
            <w:pPr>
              <w:jc w:val="both"/>
              <w:rPr>
                <w:sz w:val="20"/>
              </w:rPr>
            </w:pPr>
            <w:r w:rsidRPr="00480DEB">
              <w:rPr>
                <w:sz w:val="20"/>
              </w:rPr>
              <w:t>Conviction: assault causing bodily harm</w:t>
            </w:r>
          </w:p>
          <w:p w:rsidR="00E075AB" w:rsidRPr="00480DEB" w:rsidRDefault="00E075AB" w:rsidP="00E075AB">
            <w:pPr>
              <w:jc w:val="both"/>
              <w:rPr>
                <w:sz w:val="20"/>
              </w:rPr>
            </w:pPr>
          </w:p>
          <w:p w:rsidR="00E075AB" w:rsidRPr="00480DEB" w:rsidRDefault="00E075AB" w:rsidP="00E075AB">
            <w:pPr>
              <w:jc w:val="both"/>
              <w:rPr>
                <w:sz w:val="20"/>
              </w:rPr>
            </w:pPr>
          </w:p>
        </w:tc>
      </w:tr>
      <w:tr w:rsidR="00E075AB" w:rsidRPr="00480DEB" w:rsidTr="00E95A6A">
        <w:tc>
          <w:tcPr>
            <w:tcW w:w="2427" w:type="pct"/>
            <w:gridSpan w:val="2"/>
          </w:tcPr>
          <w:p w:rsidR="00E075AB" w:rsidRPr="00480DEB" w:rsidRDefault="00E075AB" w:rsidP="00E075AB">
            <w:pPr>
              <w:jc w:val="both"/>
              <w:rPr>
                <w:sz w:val="20"/>
              </w:rPr>
            </w:pPr>
            <w:r w:rsidRPr="00480DEB">
              <w:rPr>
                <w:sz w:val="20"/>
              </w:rPr>
              <w:t>October 31, 2014</w:t>
            </w:r>
          </w:p>
          <w:p w:rsidR="00E075AB" w:rsidRPr="00480DEB" w:rsidRDefault="00E075AB" w:rsidP="00E075AB">
            <w:pPr>
              <w:jc w:val="both"/>
              <w:rPr>
                <w:sz w:val="20"/>
              </w:rPr>
            </w:pPr>
            <w:r w:rsidRPr="00480DEB">
              <w:rPr>
                <w:sz w:val="20"/>
              </w:rPr>
              <w:t>Court of Queen’s Bench of Saskatchewan</w:t>
            </w:r>
          </w:p>
          <w:p w:rsidR="00E075AB" w:rsidRPr="00480DEB" w:rsidRDefault="00E075AB" w:rsidP="00E075AB">
            <w:pPr>
              <w:jc w:val="both"/>
              <w:rPr>
                <w:sz w:val="20"/>
              </w:rPr>
            </w:pPr>
            <w:r w:rsidRPr="00480DEB">
              <w:rPr>
                <w:sz w:val="20"/>
              </w:rPr>
              <w:t>(Elson J.)</w:t>
            </w:r>
          </w:p>
          <w:p w:rsidR="00E075AB" w:rsidRPr="00480DEB" w:rsidRDefault="00E075AB" w:rsidP="00E075AB">
            <w:pPr>
              <w:jc w:val="both"/>
              <w:rPr>
                <w:rStyle w:val="Heading2Char"/>
                <w:sz w:val="20"/>
                <w:szCs w:val="20"/>
              </w:rPr>
            </w:pPr>
            <w:r w:rsidRPr="00480DEB">
              <w:rPr>
                <w:sz w:val="20"/>
              </w:rPr>
              <w:t>2014 SKQB 356</w:t>
            </w:r>
            <w:r w:rsidRPr="00480DEB">
              <w:rPr>
                <w:rStyle w:val="Heading2Char"/>
                <w:sz w:val="20"/>
                <w:szCs w:val="20"/>
              </w:rPr>
              <w:t xml:space="preserve"> </w:t>
            </w:r>
          </w:p>
          <w:p w:rsidR="00E075AB" w:rsidRPr="00480DEB" w:rsidRDefault="00E075AB" w:rsidP="00E075AB">
            <w:pPr>
              <w:jc w:val="both"/>
              <w:rPr>
                <w:rStyle w:val="documentstaticurl"/>
                <w:rFonts w:eastAsiaTheme="majorEastAsia"/>
                <w:sz w:val="20"/>
              </w:rPr>
            </w:pPr>
            <w:hyperlink r:id="rId21" w:history="1">
              <w:r w:rsidRPr="00480DEB">
                <w:rPr>
                  <w:rStyle w:val="Hyperlink"/>
                  <w:sz w:val="20"/>
                </w:rPr>
                <w:t>http://canlii.ca/t/gf7rx</w:t>
              </w:r>
            </w:hyperlink>
          </w:p>
          <w:p w:rsidR="00E075AB" w:rsidRPr="00480DEB" w:rsidRDefault="00E075AB" w:rsidP="00E075AB">
            <w:pPr>
              <w:jc w:val="both"/>
              <w:rPr>
                <w:sz w:val="20"/>
              </w:rPr>
            </w:pPr>
          </w:p>
        </w:tc>
        <w:tc>
          <w:tcPr>
            <w:tcW w:w="243" w:type="pct"/>
          </w:tcPr>
          <w:p w:rsidR="00E075AB" w:rsidRPr="00480DEB" w:rsidRDefault="00E075AB" w:rsidP="00E075AB">
            <w:pPr>
              <w:jc w:val="both"/>
              <w:rPr>
                <w:sz w:val="20"/>
              </w:rPr>
            </w:pPr>
          </w:p>
        </w:tc>
        <w:tc>
          <w:tcPr>
            <w:tcW w:w="2330" w:type="pct"/>
          </w:tcPr>
          <w:p w:rsidR="00E075AB" w:rsidRPr="00480DEB" w:rsidRDefault="00E075AB" w:rsidP="00E075AB">
            <w:pPr>
              <w:jc w:val="both"/>
              <w:rPr>
                <w:sz w:val="20"/>
              </w:rPr>
            </w:pPr>
            <w:r w:rsidRPr="00480DEB">
              <w:rPr>
                <w:sz w:val="20"/>
              </w:rPr>
              <w:t>Appeal allowed</w:t>
            </w:r>
          </w:p>
          <w:p w:rsidR="00E075AB" w:rsidRPr="00480DEB" w:rsidRDefault="00E075AB" w:rsidP="00E075AB">
            <w:pPr>
              <w:jc w:val="both"/>
              <w:rPr>
                <w:sz w:val="20"/>
              </w:rPr>
            </w:pPr>
          </w:p>
          <w:p w:rsidR="00E075AB" w:rsidRPr="00480DEB" w:rsidRDefault="00E075AB" w:rsidP="00E075AB">
            <w:pPr>
              <w:jc w:val="both"/>
              <w:rPr>
                <w:sz w:val="20"/>
              </w:rPr>
            </w:pPr>
          </w:p>
        </w:tc>
      </w:tr>
      <w:tr w:rsidR="00E075AB" w:rsidRPr="00480DEB" w:rsidTr="00E95A6A">
        <w:tc>
          <w:tcPr>
            <w:tcW w:w="2427" w:type="pct"/>
            <w:gridSpan w:val="2"/>
          </w:tcPr>
          <w:p w:rsidR="00E075AB" w:rsidRPr="00480DEB" w:rsidRDefault="00E075AB" w:rsidP="00E075AB">
            <w:pPr>
              <w:jc w:val="both"/>
              <w:rPr>
                <w:sz w:val="20"/>
              </w:rPr>
            </w:pPr>
            <w:r w:rsidRPr="00480DEB">
              <w:rPr>
                <w:sz w:val="20"/>
              </w:rPr>
              <w:lastRenderedPageBreak/>
              <w:t>March 7, 2016</w:t>
            </w:r>
          </w:p>
          <w:p w:rsidR="00E075AB" w:rsidRPr="00480DEB" w:rsidRDefault="00E075AB" w:rsidP="00E075AB">
            <w:pPr>
              <w:jc w:val="both"/>
              <w:rPr>
                <w:sz w:val="20"/>
              </w:rPr>
            </w:pPr>
            <w:r w:rsidRPr="00480DEB">
              <w:rPr>
                <w:sz w:val="20"/>
              </w:rPr>
              <w:t>Court of Appeal for Saskatchewan</w:t>
            </w:r>
          </w:p>
          <w:p w:rsidR="00E075AB" w:rsidRPr="00480DEB" w:rsidRDefault="00E075AB" w:rsidP="00E075AB">
            <w:pPr>
              <w:jc w:val="both"/>
              <w:rPr>
                <w:sz w:val="20"/>
              </w:rPr>
            </w:pPr>
            <w:r w:rsidRPr="00480DEB">
              <w:rPr>
                <w:sz w:val="20"/>
              </w:rPr>
              <w:t>(</w:t>
            </w:r>
            <w:proofErr w:type="spellStart"/>
            <w:r w:rsidRPr="00480DEB">
              <w:rPr>
                <w:sz w:val="20"/>
              </w:rPr>
              <w:t>Ottenbreit</w:t>
            </w:r>
            <w:proofErr w:type="spellEnd"/>
            <w:r w:rsidRPr="00480DEB">
              <w:rPr>
                <w:sz w:val="20"/>
              </w:rPr>
              <w:t xml:space="preserve"> and Ryan-</w:t>
            </w:r>
            <w:proofErr w:type="spellStart"/>
            <w:r w:rsidRPr="00480DEB">
              <w:rPr>
                <w:sz w:val="20"/>
              </w:rPr>
              <w:t>Frosile</w:t>
            </w:r>
            <w:proofErr w:type="spellEnd"/>
            <w:r w:rsidRPr="00480DEB">
              <w:rPr>
                <w:sz w:val="20"/>
              </w:rPr>
              <w:t xml:space="preserve"> JJ.A., and Caldwell J.A. (dissenting))</w:t>
            </w:r>
          </w:p>
          <w:p w:rsidR="00E075AB" w:rsidRPr="00480DEB" w:rsidRDefault="00E075AB" w:rsidP="00E075AB">
            <w:pPr>
              <w:jc w:val="both"/>
              <w:rPr>
                <w:sz w:val="20"/>
              </w:rPr>
            </w:pPr>
            <w:r w:rsidRPr="00480DEB">
              <w:rPr>
                <w:sz w:val="20"/>
              </w:rPr>
              <w:t>2016 SKCA 29; CACR2532</w:t>
            </w:r>
          </w:p>
          <w:p w:rsidR="00E075AB" w:rsidRPr="00480DEB" w:rsidRDefault="00E075AB" w:rsidP="00E075AB">
            <w:pPr>
              <w:jc w:val="both"/>
              <w:rPr>
                <w:rStyle w:val="documentstaticurl"/>
                <w:rFonts w:eastAsiaTheme="majorEastAsia"/>
                <w:sz w:val="20"/>
              </w:rPr>
            </w:pPr>
            <w:hyperlink r:id="rId22" w:history="1">
              <w:r w:rsidRPr="00480DEB">
                <w:rPr>
                  <w:rStyle w:val="Hyperlink"/>
                  <w:rFonts w:eastAsiaTheme="majorEastAsia"/>
                  <w:sz w:val="20"/>
                </w:rPr>
                <w:t>http://canlii.ca/t/gnmwp</w:t>
              </w:r>
            </w:hyperlink>
          </w:p>
          <w:p w:rsidR="00E075AB" w:rsidRPr="00480DEB" w:rsidRDefault="00E075AB" w:rsidP="00E075AB">
            <w:pPr>
              <w:jc w:val="both"/>
              <w:rPr>
                <w:sz w:val="20"/>
              </w:rPr>
            </w:pPr>
          </w:p>
        </w:tc>
        <w:tc>
          <w:tcPr>
            <w:tcW w:w="243" w:type="pct"/>
          </w:tcPr>
          <w:p w:rsidR="00E075AB" w:rsidRPr="00480DEB" w:rsidRDefault="00E075AB" w:rsidP="00E075AB">
            <w:pPr>
              <w:jc w:val="both"/>
              <w:rPr>
                <w:sz w:val="20"/>
              </w:rPr>
            </w:pPr>
          </w:p>
        </w:tc>
        <w:tc>
          <w:tcPr>
            <w:tcW w:w="2330" w:type="pct"/>
          </w:tcPr>
          <w:p w:rsidR="00E075AB" w:rsidRPr="00480DEB" w:rsidRDefault="00E075AB" w:rsidP="00E075AB">
            <w:pPr>
              <w:jc w:val="both"/>
              <w:rPr>
                <w:sz w:val="20"/>
              </w:rPr>
            </w:pPr>
            <w:r w:rsidRPr="00480DEB">
              <w:rPr>
                <w:sz w:val="20"/>
              </w:rPr>
              <w:t>Leave to appeal granted; appeal allowed; conviction restored</w:t>
            </w:r>
          </w:p>
          <w:p w:rsidR="00E075AB" w:rsidRPr="00480DEB" w:rsidRDefault="00E075AB" w:rsidP="00E075AB">
            <w:pPr>
              <w:jc w:val="both"/>
              <w:rPr>
                <w:sz w:val="20"/>
              </w:rPr>
            </w:pPr>
          </w:p>
          <w:p w:rsidR="00E075AB" w:rsidRPr="00480DEB" w:rsidRDefault="00E075AB" w:rsidP="00E075AB">
            <w:pPr>
              <w:jc w:val="both"/>
              <w:rPr>
                <w:sz w:val="20"/>
              </w:rPr>
            </w:pPr>
          </w:p>
        </w:tc>
      </w:tr>
      <w:tr w:rsidR="00E075AB" w:rsidRPr="00480DEB" w:rsidTr="00E95A6A">
        <w:tc>
          <w:tcPr>
            <w:tcW w:w="2427" w:type="pct"/>
            <w:gridSpan w:val="2"/>
          </w:tcPr>
          <w:p w:rsidR="00E075AB" w:rsidRPr="00480DEB" w:rsidRDefault="00E075AB" w:rsidP="00E075AB">
            <w:pPr>
              <w:jc w:val="both"/>
              <w:rPr>
                <w:sz w:val="20"/>
              </w:rPr>
            </w:pPr>
            <w:r w:rsidRPr="00480DEB">
              <w:rPr>
                <w:sz w:val="20"/>
              </w:rPr>
              <w:t>May 5, 2016</w:t>
            </w:r>
          </w:p>
          <w:p w:rsidR="00E075AB" w:rsidRPr="00480DEB" w:rsidRDefault="00E075AB" w:rsidP="00E075AB">
            <w:pPr>
              <w:jc w:val="both"/>
              <w:rPr>
                <w:sz w:val="20"/>
              </w:rPr>
            </w:pPr>
            <w:r w:rsidRPr="00480DEB">
              <w:rPr>
                <w:sz w:val="20"/>
              </w:rPr>
              <w:t>Supreme Court of Canada</w:t>
            </w:r>
          </w:p>
        </w:tc>
        <w:tc>
          <w:tcPr>
            <w:tcW w:w="243" w:type="pct"/>
          </w:tcPr>
          <w:p w:rsidR="00E075AB" w:rsidRPr="00480DEB" w:rsidRDefault="00E075AB" w:rsidP="00E075AB">
            <w:pPr>
              <w:jc w:val="both"/>
              <w:rPr>
                <w:sz w:val="20"/>
              </w:rPr>
            </w:pPr>
          </w:p>
        </w:tc>
        <w:tc>
          <w:tcPr>
            <w:tcW w:w="2330" w:type="pct"/>
          </w:tcPr>
          <w:p w:rsidR="00E075AB" w:rsidRPr="00480DEB" w:rsidRDefault="00E075AB" w:rsidP="00E075AB">
            <w:pPr>
              <w:jc w:val="both"/>
              <w:rPr>
                <w:sz w:val="20"/>
              </w:rPr>
            </w:pPr>
            <w:r w:rsidRPr="00480DEB">
              <w:rPr>
                <w:sz w:val="20"/>
              </w:rPr>
              <w:t>Application for leave to appeal filed</w:t>
            </w:r>
          </w:p>
          <w:p w:rsidR="00E075AB" w:rsidRPr="00480DEB" w:rsidRDefault="00E075AB" w:rsidP="00E075AB">
            <w:pPr>
              <w:jc w:val="both"/>
              <w:rPr>
                <w:sz w:val="20"/>
              </w:rPr>
            </w:pPr>
          </w:p>
        </w:tc>
      </w:tr>
    </w:tbl>
    <w:p w:rsidR="00E075AB" w:rsidRPr="00480DEB" w:rsidRDefault="00E075AB" w:rsidP="00E075AB">
      <w:pPr>
        <w:jc w:val="both"/>
        <w:rPr>
          <w:sz w:val="20"/>
        </w:rPr>
      </w:pPr>
    </w:p>
    <w:p w:rsidR="00E075AB" w:rsidRPr="00480DEB" w:rsidRDefault="00E075AB" w:rsidP="00E075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75AB" w:rsidRPr="00480DEB" w:rsidTr="00E95A6A">
        <w:tc>
          <w:tcPr>
            <w:tcW w:w="543" w:type="pct"/>
          </w:tcPr>
          <w:p w:rsidR="00E075AB" w:rsidRPr="00480DEB" w:rsidRDefault="00E075AB" w:rsidP="00E075AB">
            <w:pPr>
              <w:jc w:val="both"/>
              <w:rPr>
                <w:sz w:val="20"/>
                <w:lang w:val="fr-CA"/>
              </w:rPr>
            </w:pPr>
            <w:r w:rsidRPr="00480DEB">
              <w:rPr>
                <w:rStyle w:val="SCCFileNumberChar"/>
                <w:sz w:val="20"/>
                <w:szCs w:val="20"/>
                <w:lang w:val="fr-CA"/>
              </w:rPr>
              <w:t>36994</w:t>
            </w:r>
          </w:p>
        </w:tc>
        <w:tc>
          <w:tcPr>
            <w:tcW w:w="4457" w:type="pct"/>
            <w:gridSpan w:val="3"/>
          </w:tcPr>
          <w:p w:rsidR="00E075AB" w:rsidRPr="00480DEB" w:rsidRDefault="00E075AB" w:rsidP="00E075AB">
            <w:pPr>
              <w:pStyle w:val="SCCLsocParty"/>
              <w:jc w:val="both"/>
              <w:rPr>
                <w:b/>
                <w:sz w:val="20"/>
                <w:szCs w:val="20"/>
              </w:rPr>
            </w:pPr>
            <w:r w:rsidRPr="00480DEB">
              <w:rPr>
                <w:b/>
                <w:sz w:val="20"/>
                <w:szCs w:val="20"/>
              </w:rPr>
              <w:t>Robert Kenneth Power c. Sa Majesté la Reine</w:t>
            </w:r>
          </w:p>
          <w:p w:rsidR="00E075AB" w:rsidRPr="00480DEB" w:rsidRDefault="00E075AB" w:rsidP="00E075AB">
            <w:pPr>
              <w:jc w:val="both"/>
              <w:rPr>
                <w:sz w:val="20"/>
                <w:lang w:val="fr-CA"/>
              </w:rPr>
            </w:pPr>
            <w:r w:rsidRPr="00480DEB">
              <w:rPr>
                <w:sz w:val="20"/>
                <w:lang w:val="fr-CA"/>
              </w:rPr>
              <w:t>(Sask.) (Criminelle) (Sur autorisation)</w:t>
            </w:r>
          </w:p>
        </w:tc>
      </w:tr>
      <w:tr w:rsidR="00E075AB" w:rsidRPr="00480DEB" w:rsidTr="00E95A6A">
        <w:tc>
          <w:tcPr>
            <w:tcW w:w="5000" w:type="pct"/>
            <w:gridSpan w:val="4"/>
          </w:tcPr>
          <w:p w:rsidR="00E075AB" w:rsidRPr="00480DEB" w:rsidRDefault="00E075AB" w:rsidP="00E075AB">
            <w:pPr>
              <w:jc w:val="both"/>
              <w:rPr>
                <w:sz w:val="20"/>
                <w:lang w:val="fr-CA"/>
              </w:rPr>
            </w:pPr>
            <w:r w:rsidRPr="00480DEB">
              <w:rPr>
                <w:sz w:val="20"/>
                <w:lang w:val="fr-CA"/>
              </w:rPr>
              <w:t>Droit criminel – Moyens de défense – Légitime défense – Emploi de la force – Le fait qu’un policier ait agi conformément à sa formation est-il pertinent en ce qui concerne la question de l’appréciation objective du caractère raisonnable de son emploi de la force? – Quel degré de déférence doit être accordé au juge du procès dans son appréciation d’un enregistrement sur bande vidéo de l’incident en question alors qu’un juge d’appel des poursuites sommaires était en mesure d’examiner et d’apprécier la bande vidéo autant que pouvait le faire le juge du procès? – Les juges majoritaires de la Cour d’appel ont-ils commis une erreur de principe en statuant que la question était de savoir [</w:t>
            </w:r>
            <w:r w:rsidRPr="00480DEB">
              <w:rPr>
                <w:smallCaps/>
                <w:sz w:val="20"/>
                <w:lang w:val="fr-CA"/>
              </w:rPr>
              <w:t>traduction</w:t>
            </w:r>
            <w:r w:rsidRPr="00480DEB">
              <w:rPr>
                <w:sz w:val="20"/>
                <w:lang w:val="fr-CA"/>
              </w:rPr>
              <w:t xml:space="preserve">] « s’il était nécessaire » aux policiers d’asséner un coup de pied direct plutôt que de se demander si le policier avait employé la force nécessaire comme il est prévu au paragraphe 25(1) du </w:t>
            </w:r>
            <w:r w:rsidRPr="00480DEB">
              <w:rPr>
                <w:i/>
                <w:iCs/>
                <w:sz w:val="20"/>
                <w:lang w:val="fr-CA"/>
              </w:rPr>
              <w:t>Code criminel</w:t>
            </w:r>
            <w:r w:rsidRPr="00480DEB">
              <w:rPr>
                <w:iCs/>
                <w:sz w:val="20"/>
                <w:lang w:val="fr-CA"/>
              </w:rPr>
              <w:t>?</w:t>
            </w:r>
          </w:p>
        </w:tc>
      </w:tr>
      <w:tr w:rsidR="00E075AB" w:rsidRPr="00480DEB" w:rsidTr="00E95A6A">
        <w:tc>
          <w:tcPr>
            <w:tcW w:w="5000" w:type="pct"/>
            <w:gridSpan w:val="4"/>
          </w:tcPr>
          <w:p w:rsidR="00E075AB" w:rsidRPr="00480DEB" w:rsidRDefault="00E075AB" w:rsidP="00E075AB">
            <w:pPr>
              <w:jc w:val="both"/>
              <w:rPr>
                <w:sz w:val="20"/>
                <w:lang w:val="fr-CA"/>
              </w:rPr>
            </w:pPr>
          </w:p>
        </w:tc>
      </w:tr>
      <w:tr w:rsidR="00E075AB" w:rsidRPr="00480DEB" w:rsidTr="00E95A6A">
        <w:tc>
          <w:tcPr>
            <w:tcW w:w="5000" w:type="pct"/>
            <w:gridSpan w:val="4"/>
          </w:tcPr>
          <w:p w:rsidR="00E075AB" w:rsidRPr="00480DEB" w:rsidRDefault="00E075AB" w:rsidP="00E075AB">
            <w:pPr>
              <w:jc w:val="both"/>
              <w:rPr>
                <w:sz w:val="20"/>
                <w:lang w:val="fr-CA"/>
              </w:rPr>
            </w:pPr>
            <w:r w:rsidRPr="00480DEB">
              <w:rPr>
                <w:sz w:val="20"/>
                <w:lang w:val="fr-CA"/>
              </w:rPr>
              <w:t>Le demandeur, le policier Power, a asséné un coup de pied direct à l’abdomen du plaignant pendant qu’il procédait à l’arrestation de ce dernier. La force du coup de pied a renversé le plaignant qui s’est frappé la tête contre le ciment. Dans son témoignage, le policier Power a affirmé qu’il avait donné un coup de pied à M. Stonechild pour se défendre et qu’il croyait que M. </w:t>
            </w:r>
            <w:proofErr w:type="spellStart"/>
            <w:r w:rsidRPr="00480DEB">
              <w:rPr>
                <w:sz w:val="20"/>
                <w:lang w:val="fr-CA"/>
              </w:rPr>
              <w:t>Stonechild</w:t>
            </w:r>
            <w:proofErr w:type="spellEnd"/>
            <w:r w:rsidRPr="00480DEB">
              <w:rPr>
                <w:sz w:val="20"/>
                <w:lang w:val="fr-CA"/>
              </w:rPr>
              <w:t xml:space="preserve"> allait le frapper. Le juge du procès a déclaré le demandeur coupable de voies de fait causant des lésions corporelles, une infraction prévue à l’al. 267b) du</w:t>
            </w:r>
            <w:r w:rsidRPr="00480DEB">
              <w:rPr>
                <w:i/>
                <w:sz w:val="20"/>
                <w:lang w:val="fr-CA"/>
              </w:rPr>
              <w:t xml:space="preserve"> Code criminel</w:t>
            </w:r>
            <w:r w:rsidRPr="00480DEB">
              <w:rPr>
                <w:sz w:val="20"/>
                <w:lang w:val="fr-CA"/>
              </w:rPr>
              <w:t>. Le juge d’appel des poursuites sommaires a accueilli l’appel et prononcé un verdict d’acquittement. Les juges majoritaires de la Cour d’appel ont accordé l’autorisation d’appel et rétabli la déclaration de culpabilité. Le juge Caldwell, dissident, était d’avis que la légitime défense avait été établie conformément à une application bien fondée du droit aux faits constatés par le juge du procès. Il était d’avis de prononcer un verdict d’acquittement relativement à l’accusation de voies de fait causant des lésions corporelles.</w:t>
            </w:r>
          </w:p>
          <w:p w:rsidR="00E075AB" w:rsidRPr="00480DEB" w:rsidRDefault="00E075AB" w:rsidP="00E075AB">
            <w:pPr>
              <w:jc w:val="both"/>
              <w:rPr>
                <w:sz w:val="20"/>
                <w:lang w:val="fr-CA"/>
              </w:rPr>
            </w:pPr>
          </w:p>
        </w:tc>
      </w:tr>
      <w:tr w:rsidR="00E075AB" w:rsidRPr="00480DEB" w:rsidTr="00E95A6A">
        <w:tc>
          <w:tcPr>
            <w:tcW w:w="2427" w:type="pct"/>
            <w:gridSpan w:val="2"/>
          </w:tcPr>
          <w:p w:rsidR="00E075AB" w:rsidRPr="00480DEB" w:rsidRDefault="00E075AB" w:rsidP="00E075AB">
            <w:pPr>
              <w:jc w:val="both"/>
              <w:rPr>
                <w:sz w:val="20"/>
                <w:lang w:val="fr-CA"/>
              </w:rPr>
            </w:pPr>
            <w:r w:rsidRPr="00480DEB">
              <w:rPr>
                <w:sz w:val="20"/>
                <w:lang w:val="fr-CA"/>
              </w:rPr>
              <w:t>24 janvier 2014</w:t>
            </w:r>
          </w:p>
          <w:p w:rsidR="00E075AB" w:rsidRPr="00480DEB" w:rsidRDefault="00E075AB" w:rsidP="00E075AB">
            <w:pPr>
              <w:jc w:val="both"/>
              <w:rPr>
                <w:sz w:val="20"/>
                <w:lang w:val="fr-CA"/>
              </w:rPr>
            </w:pPr>
            <w:r w:rsidRPr="00480DEB">
              <w:rPr>
                <w:sz w:val="20"/>
                <w:lang w:val="fr-CA"/>
              </w:rPr>
              <w:t xml:space="preserve">Cour provinciale de la Saskatchewan </w:t>
            </w:r>
          </w:p>
          <w:p w:rsidR="00E075AB" w:rsidRPr="00480DEB" w:rsidRDefault="00E075AB" w:rsidP="00E075AB">
            <w:pPr>
              <w:jc w:val="both"/>
              <w:rPr>
                <w:sz w:val="20"/>
              </w:rPr>
            </w:pPr>
            <w:r w:rsidRPr="00480DEB">
              <w:rPr>
                <w:sz w:val="20"/>
              </w:rPr>
              <w:t xml:space="preserve">(Juge </w:t>
            </w:r>
            <w:proofErr w:type="spellStart"/>
            <w:r w:rsidRPr="00480DEB">
              <w:rPr>
                <w:sz w:val="20"/>
              </w:rPr>
              <w:t>Kovatch</w:t>
            </w:r>
            <w:proofErr w:type="spellEnd"/>
            <w:r w:rsidRPr="00480DEB">
              <w:rPr>
                <w:sz w:val="20"/>
              </w:rPr>
              <w:t>)</w:t>
            </w:r>
          </w:p>
          <w:p w:rsidR="00E075AB" w:rsidRPr="00480DEB" w:rsidRDefault="00E075AB" w:rsidP="00E075AB">
            <w:pPr>
              <w:jc w:val="both"/>
              <w:rPr>
                <w:sz w:val="20"/>
              </w:rPr>
            </w:pPr>
            <w:r w:rsidRPr="00480DEB">
              <w:rPr>
                <w:sz w:val="20"/>
              </w:rPr>
              <w:t>2014 SKPC 017</w:t>
            </w:r>
          </w:p>
          <w:p w:rsidR="00E075AB" w:rsidRPr="00480DEB" w:rsidRDefault="00E075AB" w:rsidP="00E075AB">
            <w:pPr>
              <w:jc w:val="both"/>
              <w:rPr>
                <w:rStyle w:val="documentstaticurl"/>
                <w:rFonts w:eastAsiaTheme="majorEastAsia"/>
                <w:sz w:val="20"/>
              </w:rPr>
            </w:pPr>
            <w:hyperlink r:id="rId23" w:history="1">
              <w:r w:rsidRPr="00480DEB">
                <w:rPr>
                  <w:rStyle w:val="Hyperlink"/>
                  <w:sz w:val="20"/>
                </w:rPr>
                <w:t>http://canlii.ca/t/g2tw9</w:t>
              </w:r>
            </w:hyperlink>
          </w:p>
          <w:p w:rsidR="00E075AB" w:rsidRPr="00480DEB" w:rsidRDefault="00E075AB" w:rsidP="00E075AB">
            <w:pPr>
              <w:jc w:val="both"/>
              <w:rPr>
                <w:sz w:val="20"/>
              </w:rPr>
            </w:pPr>
          </w:p>
        </w:tc>
        <w:tc>
          <w:tcPr>
            <w:tcW w:w="243" w:type="pct"/>
          </w:tcPr>
          <w:p w:rsidR="00E075AB" w:rsidRPr="00480DEB" w:rsidRDefault="00E075AB" w:rsidP="00E075AB">
            <w:pPr>
              <w:jc w:val="both"/>
              <w:rPr>
                <w:sz w:val="20"/>
              </w:rPr>
            </w:pPr>
          </w:p>
        </w:tc>
        <w:tc>
          <w:tcPr>
            <w:tcW w:w="2330" w:type="pct"/>
          </w:tcPr>
          <w:p w:rsidR="00E075AB" w:rsidRPr="00480DEB" w:rsidRDefault="00E075AB" w:rsidP="00E075AB">
            <w:pPr>
              <w:jc w:val="both"/>
              <w:rPr>
                <w:sz w:val="20"/>
                <w:lang w:val="fr-CA"/>
              </w:rPr>
            </w:pPr>
            <w:r w:rsidRPr="00480DEB">
              <w:rPr>
                <w:sz w:val="20"/>
                <w:lang w:val="fr-CA"/>
              </w:rPr>
              <w:t>Déclaration de culpabilité : voies de fait causant des lésions corporelles</w:t>
            </w:r>
          </w:p>
          <w:p w:rsidR="00E075AB" w:rsidRPr="00480DEB" w:rsidRDefault="00E075AB" w:rsidP="00E075AB">
            <w:pPr>
              <w:jc w:val="both"/>
              <w:rPr>
                <w:sz w:val="20"/>
                <w:lang w:val="fr-CA"/>
              </w:rPr>
            </w:pPr>
          </w:p>
        </w:tc>
      </w:tr>
      <w:tr w:rsidR="00E075AB" w:rsidRPr="00480DEB" w:rsidTr="00E95A6A">
        <w:tc>
          <w:tcPr>
            <w:tcW w:w="2427" w:type="pct"/>
            <w:gridSpan w:val="2"/>
          </w:tcPr>
          <w:p w:rsidR="00E075AB" w:rsidRPr="00480DEB" w:rsidRDefault="00E075AB" w:rsidP="00E075AB">
            <w:pPr>
              <w:jc w:val="both"/>
              <w:rPr>
                <w:sz w:val="20"/>
                <w:lang w:val="fr-CA"/>
              </w:rPr>
            </w:pPr>
            <w:r w:rsidRPr="00480DEB">
              <w:rPr>
                <w:sz w:val="20"/>
                <w:lang w:val="fr-CA"/>
              </w:rPr>
              <w:t>31 octobre 2014</w:t>
            </w:r>
          </w:p>
          <w:p w:rsidR="00E075AB" w:rsidRPr="00480DEB" w:rsidRDefault="00E075AB" w:rsidP="00E075AB">
            <w:pPr>
              <w:jc w:val="both"/>
              <w:rPr>
                <w:sz w:val="20"/>
                <w:lang w:val="fr-CA"/>
              </w:rPr>
            </w:pPr>
            <w:r w:rsidRPr="00480DEB">
              <w:rPr>
                <w:sz w:val="20"/>
                <w:lang w:val="fr-CA"/>
              </w:rPr>
              <w:t xml:space="preserve">Cour du Banc de la Reine de la Saskatchewan </w:t>
            </w:r>
          </w:p>
          <w:p w:rsidR="00E075AB" w:rsidRPr="00480DEB" w:rsidRDefault="00E075AB" w:rsidP="00E075AB">
            <w:pPr>
              <w:jc w:val="both"/>
              <w:rPr>
                <w:sz w:val="20"/>
                <w:lang w:val="fr-CA"/>
              </w:rPr>
            </w:pPr>
            <w:r w:rsidRPr="00480DEB">
              <w:rPr>
                <w:sz w:val="20"/>
                <w:lang w:val="fr-CA"/>
              </w:rPr>
              <w:t>(Juge Elson)</w:t>
            </w:r>
          </w:p>
          <w:p w:rsidR="00E075AB" w:rsidRPr="00480DEB" w:rsidRDefault="00E075AB" w:rsidP="00E075AB">
            <w:pPr>
              <w:jc w:val="both"/>
              <w:rPr>
                <w:rStyle w:val="Heading2Char"/>
                <w:sz w:val="20"/>
                <w:szCs w:val="20"/>
                <w:lang w:val="fr-CA"/>
              </w:rPr>
            </w:pPr>
            <w:r w:rsidRPr="00480DEB">
              <w:rPr>
                <w:sz w:val="20"/>
                <w:lang w:val="fr-CA"/>
              </w:rPr>
              <w:t>2014 SKQB 356</w:t>
            </w:r>
            <w:r w:rsidRPr="00480DEB">
              <w:rPr>
                <w:rStyle w:val="Heading2Char"/>
                <w:sz w:val="20"/>
                <w:szCs w:val="20"/>
                <w:lang w:val="fr-CA"/>
              </w:rPr>
              <w:t xml:space="preserve"> </w:t>
            </w:r>
          </w:p>
          <w:p w:rsidR="00E075AB" w:rsidRPr="00480DEB" w:rsidRDefault="00E075AB" w:rsidP="00E075AB">
            <w:pPr>
              <w:jc w:val="both"/>
              <w:rPr>
                <w:rStyle w:val="documentstaticurl"/>
                <w:rFonts w:eastAsiaTheme="majorEastAsia"/>
                <w:sz w:val="20"/>
                <w:lang w:val="fr-CA"/>
              </w:rPr>
            </w:pPr>
            <w:hyperlink r:id="rId24" w:history="1">
              <w:r w:rsidRPr="00480DEB">
                <w:rPr>
                  <w:rStyle w:val="Hyperlink"/>
                  <w:sz w:val="20"/>
                  <w:lang w:val="fr-CA"/>
                </w:rPr>
                <w:t>http://canlii.ca/t/gf7rx</w:t>
              </w:r>
            </w:hyperlink>
          </w:p>
          <w:p w:rsidR="00E075AB" w:rsidRPr="00480DEB" w:rsidRDefault="00E075AB" w:rsidP="00E075AB">
            <w:pPr>
              <w:jc w:val="both"/>
              <w:rPr>
                <w:sz w:val="20"/>
                <w:lang w:val="fr-CA"/>
              </w:rPr>
            </w:pPr>
          </w:p>
        </w:tc>
        <w:tc>
          <w:tcPr>
            <w:tcW w:w="243" w:type="pct"/>
          </w:tcPr>
          <w:p w:rsidR="00E075AB" w:rsidRPr="00480DEB" w:rsidRDefault="00E075AB" w:rsidP="00E075AB">
            <w:pPr>
              <w:jc w:val="both"/>
              <w:rPr>
                <w:sz w:val="20"/>
                <w:lang w:val="fr-CA"/>
              </w:rPr>
            </w:pPr>
          </w:p>
        </w:tc>
        <w:tc>
          <w:tcPr>
            <w:tcW w:w="2330" w:type="pct"/>
          </w:tcPr>
          <w:p w:rsidR="00E075AB" w:rsidRPr="00480DEB" w:rsidRDefault="00E075AB" w:rsidP="00E075AB">
            <w:pPr>
              <w:jc w:val="both"/>
              <w:rPr>
                <w:sz w:val="20"/>
                <w:lang w:val="fr-CA"/>
              </w:rPr>
            </w:pPr>
            <w:r w:rsidRPr="00480DEB">
              <w:rPr>
                <w:sz w:val="20"/>
                <w:lang w:val="fr-CA"/>
              </w:rPr>
              <w:t>Jugement accueillant l’appel</w:t>
            </w:r>
          </w:p>
          <w:p w:rsidR="00E075AB" w:rsidRPr="00480DEB" w:rsidRDefault="00E075AB" w:rsidP="00E075AB">
            <w:pPr>
              <w:jc w:val="both"/>
              <w:rPr>
                <w:sz w:val="20"/>
                <w:lang w:val="fr-CA"/>
              </w:rPr>
            </w:pPr>
          </w:p>
        </w:tc>
      </w:tr>
      <w:tr w:rsidR="00E075AB" w:rsidRPr="00480DEB" w:rsidTr="00E95A6A">
        <w:tc>
          <w:tcPr>
            <w:tcW w:w="2427" w:type="pct"/>
            <w:gridSpan w:val="2"/>
          </w:tcPr>
          <w:p w:rsidR="00E075AB" w:rsidRPr="00480DEB" w:rsidRDefault="00E075AB" w:rsidP="00E075AB">
            <w:pPr>
              <w:jc w:val="both"/>
              <w:rPr>
                <w:sz w:val="20"/>
                <w:lang w:val="fr-CA"/>
              </w:rPr>
            </w:pPr>
            <w:r w:rsidRPr="00480DEB">
              <w:rPr>
                <w:sz w:val="20"/>
                <w:lang w:val="fr-CA"/>
              </w:rPr>
              <w:t>7 mars 2016</w:t>
            </w:r>
          </w:p>
          <w:p w:rsidR="00E075AB" w:rsidRPr="00480DEB" w:rsidRDefault="00E075AB" w:rsidP="00E075AB">
            <w:pPr>
              <w:jc w:val="both"/>
              <w:rPr>
                <w:sz w:val="20"/>
                <w:lang w:val="fr-CA"/>
              </w:rPr>
            </w:pPr>
            <w:r w:rsidRPr="00480DEB">
              <w:rPr>
                <w:sz w:val="20"/>
                <w:lang w:val="fr-CA"/>
              </w:rPr>
              <w:t>Cour d’appel de la Saskatchewan</w:t>
            </w:r>
          </w:p>
          <w:p w:rsidR="00E075AB" w:rsidRPr="00480DEB" w:rsidRDefault="00E075AB" w:rsidP="00E075AB">
            <w:pPr>
              <w:jc w:val="both"/>
              <w:rPr>
                <w:sz w:val="20"/>
                <w:lang w:val="fr-CA"/>
              </w:rPr>
            </w:pPr>
            <w:r w:rsidRPr="00480DEB">
              <w:rPr>
                <w:sz w:val="20"/>
                <w:lang w:val="fr-CA"/>
              </w:rPr>
              <w:t>(Juges Ottenbreit, Ryan-Frosile et Caldwell (dissident))</w:t>
            </w:r>
          </w:p>
          <w:p w:rsidR="00E075AB" w:rsidRPr="00480DEB" w:rsidRDefault="00E075AB" w:rsidP="00E075AB">
            <w:pPr>
              <w:jc w:val="both"/>
              <w:rPr>
                <w:sz w:val="20"/>
                <w:lang w:val="fr-CA"/>
              </w:rPr>
            </w:pPr>
            <w:r w:rsidRPr="00480DEB">
              <w:rPr>
                <w:sz w:val="20"/>
                <w:lang w:val="fr-CA"/>
              </w:rPr>
              <w:t>2016 SKCA 29; CACR2532</w:t>
            </w:r>
          </w:p>
          <w:p w:rsidR="00E075AB" w:rsidRPr="00480DEB" w:rsidRDefault="00E075AB" w:rsidP="00E075AB">
            <w:pPr>
              <w:jc w:val="both"/>
              <w:rPr>
                <w:rStyle w:val="documentstaticurl"/>
                <w:rFonts w:eastAsiaTheme="majorEastAsia"/>
                <w:sz w:val="20"/>
                <w:lang w:val="fr-CA"/>
              </w:rPr>
            </w:pPr>
            <w:hyperlink r:id="rId25" w:history="1">
              <w:r w:rsidRPr="00480DEB">
                <w:rPr>
                  <w:rStyle w:val="Hyperlink"/>
                  <w:rFonts w:eastAsiaTheme="majorEastAsia"/>
                  <w:sz w:val="20"/>
                  <w:lang w:val="fr-CA"/>
                </w:rPr>
                <w:t>http://canlii.ca/t/gnmwp</w:t>
              </w:r>
            </w:hyperlink>
          </w:p>
          <w:p w:rsidR="00E075AB" w:rsidRPr="00480DEB" w:rsidRDefault="00E075AB" w:rsidP="00E075AB">
            <w:pPr>
              <w:jc w:val="both"/>
              <w:rPr>
                <w:sz w:val="20"/>
                <w:lang w:val="fr-CA"/>
              </w:rPr>
            </w:pPr>
          </w:p>
        </w:tc>
        <w:tc>
          <w:tcPr>
            <w:tcW w:w="243" w:type="pct"/>
          </w:tcPr>
          <w:p w:rsidR="00E075AB" w:rsidRPr="00480DEB" w:rsidRDefault="00E075AB" w:rsidP="00E075AB">
            <w:pPr>
              <w:jc w:val="both"/>
              <w:rPr>
                <w:sz w:val="20"/>
                <w:lang w:val="fr-CA"/>
              </w:rPr>
            </w:pPr>
          </w:p>
        </w:tc>
        <w:tc>
          <w:tcPr>
            <w:tcW w:w="2330" w:type="pct"/>
          </w:tcPr>
          <w:p w:rsidR="00E075AB" w:rsidRPr="00480DEB" w:rsidRDefault="00E075AB" w:rsidP="00E075AB">
            <w:pPr>
              <w:jc w:val="both"/>
              <w:rPr>
                <w:sz w:val="20"/>
                <w:lang w:val="fr-CA"/>
              </w:rPr>
            </w:pPr>
            <w:r w:rsidRPr="00480DEB">
              <w:rPr>
                <w:sz w:val="20"/>
                <w:lang w:val="fr-CA"/>
              </w:rPr>
              <w:t>Arrêt accordant l’autorisation d’appel, accueillant l’appel et rétablissant la déclaration de culpabilité</w:t>
            </w:r>
          </w:p>
          <w:p w:rsidR="00E075AB" w:rsidRPr="00480DEB" w:rsidRDefault="00E075AB" w:rsidP="00E075AB">
            <w:pPr>
              <w:jc w:val="both"/>
              <w:rPr>
                <w:sz w:val="20"/>
                <w:lang w:val="fr-CA"/>
              </w:rPr>
            </w:pPr>
          </w:p>
        </w:tc>
      </w:tr>
      <w:tr w:rsidR="00E075AB" w:rsidRPr="00480DEB" w:rsidTr="00E95A6A">
        <w:tc>
          <w:tcPr>
            <w:tcW w:w="2427" w:type="pct"/>
            <w:gridSpan w:val="2"/>
          </w:tcPr>
          <w:p w:rsidR="00E075AB" w:rsidRPr="00480DEB" w:rsidRDefault="00E075AB" w:rsidP="00E075AB">
            <w:pPr>
              <w:jc w:val="both"/>
              <w:rPr>
                <w:sz w:val="20"/>
                <w:lang w:val="fr-CA"/>
              </w:rPr>
            </w:pPr>
            <w:r w:rsidRPr="00480DEB">
              <w:rPr>
                <w:sz w:val="20"/>
                <w:lang w:val="fr-CA"/>
              </w:rPr>
              <w:t>5 mai 2016</w:t>
            </w:r>
          </w:p>
          <w:p w:rsidR="00E075AB" w:rsidRPr="00480DEB" w:rsidRDefault="00E075AB" w:rsidP="00E075AB">
            <w:pPr>
              <w:jc w:val="both"/>
              <w:rPr>
                <w:sz w:val="20"/>
                <w:lang w:val="fr-CA"/>
              </w:rPr>
            </w:pPr>
            <w:r w:rsidRPr="00480DEB">
              <w:rPr>
                <w:sz w:val="20"/>
                <w:lang w:val="fr-CA"/>
              </w:rPr>
              <w:lastRenderedPageBreak/>
              <w:t>Cour suprême du Canada</w:t>
            </w:r>
          </w:p>
        </w:tc>
        <w:tc>
          <w:tcPr>
            <w:tcW w:w="243" w:type="pct"/>
          </w:tcPr>
          <w:p w:rsidR="00E075AB" w:rsidRPr="00480DEB" w:rsidRDefault="00E075AB" w:rsidP="00E075AB">
            <w:pPr>
              <w:jc w:val="both"/>
              <w:rPr>
                <w:sz w:val="20"/>
                <w:lang w:val="fr-CA"/>
              </w:rPr>
            </w:pPr>
          </w:p>
        </w:tc>
        <w:tc>
          <w:tcPr>
            <w:tcW w:w="2330" w:type="pct"/>
          </w:tcPr>
          <w:p w:rsidR="00E075AB" w:rsidRPr="00480DEB" w:rsidRDefault="00E075AB" w:rsidP="00E075AB">
            <w:pPr>
              <w:jc w:val="both"/>
              <w:rPr>
                <w:sz w:val="20"/>
                <w:lang w:val="fr-CA"/>
              </w:rPr>
            </w:pPr>
            <w:r w:rsidRPr="00480DEB">
              <w:rPr>
                <w:sz w:val="20"/>
                <w:lang w:val="fr-CA"/>
              </w:rPr>
              <w:t>Dépôt de la demande d’autorisation d’appel</w:t>
            </w:r>
          </w:p>
          <w:p w:rsidR="00E075AB" w:rsidRPr="00480DEB" w:rsidRDefault="00E075AB" w:rsidP="00E075AB">
            <w:pPr>
              <w:jc w:val="both"/>
              <w:rPr>
                <w:sz w:val="20"/>
                <w:lang w:val="fr-CA"/>
              </w:rPr>
            </w:pPr>
          </w:p>
        </w:tc>
      </w:tr>
    </w:tbl>
    <w:p w:rsidR="00E075AB" w:rsidRPr="00480DEB" w:rsidRDefault="00E075AB" w:rsidP="00764601">
      <w:pPr>
        <w:jc w:val="both"/>
        <w:rPr>
          <w:sz w:val="20"/>
          <w:lang w:val="fr-CA"/>
        </w:rPr>
      </w:pPr>
    </w:p>
    <w:p w:rsidR="0064395E" w:rsidRPr="00480DEB" w:rsidRDefault="0064395E" w:rsidP="00764601">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4601" w:rsidRPr="00480DEB" w:rsidTr="00E95A6A">
        <w:tc>
          <w:tcPr>
            <w:tcW w:w="543" w:type="pct"/>
          </w:tcPr>
          <w:p w:rsidR="00764601" w:rsidRPr="00480DEB" w:rsidRDefault="00764601" w:rsidP="00764601">
            <w:pPr>
              <w:jc w:val="both"/>
              <w:rPr>
                <w:sz w:val="20"/>
              </w:rPr>
            </w:pPr>
            <w:r w:rsidRPr="00480DEB">
              <w:rPr>
                <w:rStyle w:val="SCCFileNumberChar"/>
                <w:sz w:val="20"/>
                <w:szCs w:val="20"/>
              </w:rPr>
              <w:t>36978</w:t>
            </w:r>
          </w:p>
        </w:tc>
        <w:tc>
          <w:tcPr>
            <w:tcW w:w="4457" w:type="pct"/>
            <w:gridSpan w:val="3"/>
          </w:tcPr>
          <w:p w:rsidR="00764601" w:rsidRPr="00480DEB" w:rsidRDefault="00764601" w:rsidP="00764601">
            <w:pPr>
              <w:pStyle w:val="SCCLsocParty"/>
              <w:jc w:val="both"/>
              <w:rPr>
                <w:b/>
                <w:sz w:val="20"/>
                <w:szCs w:val="20"/>
              </w:rPr>
            </w:pPr>
            <w:r w:rsidRPr="00480DEB">
              <w:rPr>
                <w:b/>
                <w:sz w:val="20"/>
                <w:szCs w:val="20"/>
              </w:rPr>
              <w:t>S.B.E. v. Her Majesty the Queen</w:t>
            </w:r>
          </w:p>
          <w:p w:rsidR="00764601" w:rsidRPr="00480DEB" w:rsidRDefault="00764601" w:rsidP="00764601">
            <w:pPr>
              <w:jc w:val="both"/>
              <w:rPr>
                <w:sz w:val="20"/>
              </w:rPr>
            </w:pPr>
            <w:r w:rsidRPr="00480DEB">
              <w:rPr>
                <w:sz w:val="20"/>
              </w:rPr>
              <w:t>(Alta.) (Criminal) (By Leave)</w:t>
            </w:r>
          </w:p>
        </w:tc>
      </w:tr>
      <w:tr w:rsidR="00764601" w:rsidRPr="00480DEB" w:rsidTr="00E95A6A">
        <w:tc>
          <w:tcPr>
            <w:tcW w:w="5000" w:type="pct"/>
            <w:gridSpan w:val="4"/>
          </w:tcPr>
          <w:p w:rsidR="00764601" w:rsidRPr="00480DEB" w:rsidRDefault="00764601" w:rsidP="00764601">
            <w:pPr>
              <w:pStyle w:val="SCCBanSummary"/>
              <w:rPr>
                <w:sz w:val="20"/>
                <w:szCs w:val="20"/>
              </w:rPr>
            </w:pPr>
            <w:r w:rsidRPr="00480DEB">
              <w:rPr>
                <w:sz w:val="20"/>
                <w:szCs w:val="20"/>
              </w:rPr>
              <w:t>(Publication ban in case)</w:t>
            </w:r>
          </w:p>
          <w:p w:rsidR="00764601" w:rsidRPr="00480DEB" w:rsidRDefault="00764601" w:rsidP="00764601">
            <w:pPr>
              <w:jc w:val="both"/>
              <w:rPr>
                <w:sz w:val="20"/>
              </w:rPr>
            </w:pPr>
          </w:p>
        </w:tc>
      </w:tr>
      <w:tr w:rsidR="00764601" w:rsidRPr="00480DEB" w:rsidTr="00E95A6A">
        <w:tc>
          <w:tcPr>
            <w:tcW w:w="5000" w:type="pct"/>
            <w:gridSpan w:val="4"/>
          </w:tcPr>
          <w:p w:rsidR="00764601" w:rsidRPr="00480DEB" w:rsidRDefault="00764601" w:rsidP="00764601">
            <w:pPr>
              <w:jc w:val="both"/>
              <w:rPr>
                <w:sz w:val="20"/>
              </w:rPr>
            </w:pPr>
            <w:r w:rsidRPr="00480DEB">
              <w:rPr>
                <w:sz w:val="20"/>
              </w:rPr>
              <w:t>Criminal law – Charter – Did lower courts err in convicting applicant and in imposing a lengthy sentence?</w:t>
            </w:r>
          </w:p>
        </w:tc>
      </w:tr>
      <w:tr w:rsidR="00764601" w:rsidRPr="00480DEB" w:rsidTr="00E95A6A">
        <w:tc>
          <w:tcPr>
            <w:tcW w:w="5000" w:type="pct"/>
            <w:gridSpan w:val="4"/>
          </w:tcPr>
          <w:p w:rsidR="00764601" w:rsidRPr="00480DEB" w:rsidRDefault="00764601" w:rsidP="00764601">
            <w:pPr>
              <w:jc w:val="both"/>
              <w:rPr>
                <w:sz w:val="20"/>
              </w:rPr>
            </w:pPr>
          </w:p>
        </w:tc>
      </w:tr>
      <w:tr w:rsidR="00764601" w:rsidRPr="00480DEB" w:rsidTr="00E95A6A">
        <w:tc>
          <w:tcPr>
            <w:tcW w:w="5000" w:type="pct"/>
            <w:gridSpan w:val="4"/>
          </w:tcPr>
          <w:p w:rsidR="00764601" w:rsidRPr="00480DEB" w:rsidRDefault="00764601" w:rsidP="00764601">
            <w:pPr>
              <w:jc w:val="both"/>
              <w:rPr>
                <w:sz w:val="20"/>
              </w:rPr>
            </w:pPr>
            <w:r w:rsidRPr="00480DEB">
              <w:rPr>
                <w:sz w:val="20"/>
              </w:rPr>
              <w:t>The applicant was convicted following a trial by judge sitting alone of one count of sexual assault and two counts of sexual interference. The indictment covered the time period between July 2003 and July 2004 when complainant, with whom the applicant was in a position of trust, was less than 9 years old. Count 1 (sexual assault) alleged multiple acts of partial penile/vaginal penetration. Count 2 (sexual interference) alleged multiple acts of vaginal fondling. Count 3 (sexual interference) alleged that on multiple occasions the applicant had the complainant masturbate him to ejaculation. The sentencing judge declined to sentence him as a dangerous offender, but declared him a long term offender. The applicant was sentenced to 16 ½ years in prison. With a five and half year credit for the 31 months he had spent in protective custody, he was sentenced to eleven years, and was required to serve at least half his sentence before applying for parole.</w:t>
            </w:r>
          </w:p>
          <w:p w:rsidR="00764601" w:rsidRPr="00480DEB" w:rsidRDefault="00764601" w:rsidP="00764601">
            <w:pPr>
              <w:jc w:val="both"/>
              <w:rPr>
                <w:sz w:val="20"/>
              </w:rPr>
            </w:pPr>
          </w:p>
        </w:tc>
      </w:tr>
      <w:tr w:rsidR="00764601" w:rsidRPr="00480DEB" w:rsidTr="00E95A6A">
        <w:tc>
          <w:tcPr>
            <w:tcW w:w="2427" w:type="pct"/>
            <w:gridSpan w:val="2"/>
          </w:tcPr>
          <w:p w:rsidR="00764601" w:rsidRPr="00480DEB" w:rsidRDefault="00764601" w:rsidP="00764601">
            <w:pPr>
              <w:jc w:val="both"/>
              <w:rPr>
                <w:sz w:val="20"/>
              </w:rPr>
            </w:pPr>
            <w:r w:rsidRPr="00480DEB">
              <w:rPr>
                <w:sz w:val="20"/>
              </w:rPr>
              <w:t>November 7, 2005</w:t>
            </w:r>
          </w:p>
          <w:p w:rsidR="00764601" w:rsidRPr="00480DEB" w:rsidRDefault="00764601" w:rsidP="00764601">
            <w:pPr>
              <w:jc w:val="both"/>
              <w:rPr>
                <w:sz w:val="20"/>
              </w:rPr>
            </w:pPr>
            <w:r w:rsidRPr="00480DEB">
              <w:rPr>
                <w:sz w:val="20"/>
              </w:rPr>
              <w:t>Court of Queen’s Bench of Alberta</w:t>
            </w:r>
          </w:p>
          <w:p w:rsidR="00764601" w:rsidRPr="00480DEB" w:rsidRDefault="00764601" w:rsidP="00764601">
            <w:pPr>
              <w:jc w:val="both"/>
              <w:rPr>
                <w:sz w:val="20"/>
              </w:rPr>
            </w:pPr>
            <w:r w:rsidRPr="00480DEB">
              <w:rPr>
                <w:sz w:val="20"/>
              </w:rPr>
              <w:t>(</w:t>
            </w:r>
            <w:proofErr w:type="spellStart"/>
            <w:r w:rsidRPr="00480DEB">
              <w:rPr>
                <w:sz w:val="20"/>
              </w:rPr>
              <w:t>Sanderman</w:t>
            </w:r>
            <w:proofErr w:type="spellEnd"/>
            <w:r w:rsidRPr="00480DEB">
              <w:rPr>
                <w:sz w:val="20"/>
              </w:rPr>
              <w:t xml:space="preserve"> J.)</w:t>
            </w:r>
          </w:p>
          <w:p w:rsidR="00764601" w:rsidRPr="00480DEB" w:rsidRDefault="00764601" w:rsidP="00764601">
            <w:pPr>
              <w:jc w:val="both"/>
              <w:rPr>
                <w:sz w:val="20"/>
              </w:rPr>
            </w:pPr>
          </w:p>
        </w:tc>
        <w:tc>
          <w:tcPr>
            <w:tcW w:w="243" w:type="pct"/>
          </w:tcPr>
          <w:p w:rsidR="00764601" w:rsidRPr="00480DEB" w:rsidRDefault="00764601" w:rsidP="00764601">
            <w:pPr>
              <w:jc w:val="both"/>
              <w:rPr>
                <w:sz w:val="20"/>
              </w:rPr>
            </w:pPr>
          </w:p>
        </w:tc>
        <w:tc>
          <w:tcPr>
            <w:tcW w:w="2330" w:type="pct"/>
          </w:tcPr>
          <w:p w:rsidR="00764601" w:rsidRPr="00480DEB" w:rsidRDefault="00764601" w:rsidP="00764601">
            <w:pPr>
              <w:jc w:val="both"/>
              <w:rPr>
                <w:sz w:val="20"/>
              </w:rPr>
            </w:pPr>
            <w:r w:rsidRPr="00480DEB">
              <w:rPr>
                <w:sz w:val="20"/>
              </w:rPr>
              <w:t>Convictions: one count of sexual assault and two counts of sexual interference</w:t>
            </w:r>
          </w:p>
          <w:p w:rsidR="00764601" w:rsidRPr="00480DEB" w:rsidRDefault="00764601" w:rsidP="00764601">
            <w:pPr>
              <w:jc w:val="both"/>
              <w:rPr>
                <w:sz w:val="20"/>
              </w:rPr>
            </w:pPr>
          </w:p>
        </w:tc>
      </w:tr>
      <w:tr w:rsidR="00764601" w:rsidRPr="00480DEB" w:rsidTr="00E95A6A">
        <w:tc>
          <w:tcPr>
            <w:tcW w:w="2427" w:type="pct"/>
            <w:gridSpan w:val="2"/>
          </w:tcPr>
          <w:p w:rsidR="00764601" w:rsidRPr="00480DEB" w:rsidRDefault="00764601" w:rsidP="00764601">
            <w:pPr>
              <w:jc w:val="both"/>
              <w:rPr>
                <w:sz w:val="20"/>
              </w:rPr>
            </w:pPr>
            <w:r w:rsidRPr="00480DEB">
              <w:rPr>
                <w:sz w:val="20"/>
              </w:rPr>
              <w:t>February 22, 2007</w:t>
            </w:r>
          </w:p>
          <w:p w:rsidR="00764601" w:rsidRPr="00480DEB" w:rsidRDefault="00764601" w:rsidP="00764601">
            <w:pPr>
              <w:jc w:val="both"/>
              <w:rPr>
                <w:sz w:val="20"/>
              </w:rPr>
            </w:pPr>
            <w:r w:rsidRPr="00480DEB">
              <w:rPr>
                <w:sz w:val="20"/>
              </w:rPr>
              <w:t>Court of Queen’s Bench of Alberta</w:t>
            </w:r>
          </w:p>
          <w:p w:rsidR="00764601" w:rsidRPr="00480DEB" w:rsidRDefault="00764601" w:rsidP="00764601">
            <w:pPr>
              <w:jc w:val="both"/>
              <w:rPr>
                <w:sz w:val="20"/>
              </w:rPr>
            </w:pPr>
            <w:r w:rsidRPr="00480DEB">
              <w:rPr>
                <w:sz w:val="20"/>
              </w:rPr>
              <w:t>(</w:t>
            </w:r>
            <w:proofErr w:type="spellStart"/>
            <w:r w:rsidRPr="00480DEB">
              <w:rPr>
                <w:sz w:val="20"/>
              </w:rPr>
              <w:t>Sanderman</w:t>
            </w:r>
            <w:proofErr w:type="spellEnd"/>
            <w:r w:rsidRPr="00480DEB">
              <w:rPr>
                <w:sz w:val="20"/>
              </w:rPr>
              <w:t xml:space="preserve"> J.)</w:t>
            </w:r>
          </w:p>
          <w:p w:rsidR="00764601" w:rsidRPr="00480DEB" w:rsidRDefault="00764601" w:rsidP="00764601">
            <w:pPr>
              <w:jc w:val="both"/>
              <w:rPr>
                <w:sz w:val="20"/>
              </w:rPr>
            </w:pPr>
          </w:p>
        </w:tc>
        <w:tc>
          <w:tcPr>
            <w:tcW w:w="243" w:type="pct"/>
          </w:tcPr>
          <w:p w:rsidR="00764601" w:rsidRPr="00480DEB" w:rsidRDefault="00764601" w:rsidP="00764601">
            <w:pPr>
              <w:jc w:val="both"/>
              <w:rPr>
                <w:sz w:val="20"/>
              </w:rPr>
            </w:pPr>
          </w:p>
        </w:tc>
        <w:tc>
          <w:tcPr>
            <w:tcW w:w="2330" w:type="pct"/>
          </w:tcPr>
          <w:p w:rsidR="00764601" w:rsidRPr="00480DEB" w:rsidRDefault="00764601" w:rsidP="00764601">
            <w:pPr>
              <w:jc w:val="both"/>
              <w:rPr>
                <w:sz w:val="20"/>
              </w:rPr>
            </w:pPr>
            <w:r w:rsidRPr="00480DEB">
              <w:rPr>
                <w:sz w:val="20"/>
              </w:rPr>
              <w:t>Sentence imposed</w:t>
            </w:r>
          </w:p>
          <w:p w:rsidR="00764601" w:rsidRPr="00480DEB" w:rsidRDefault="00764601" w:rsidP="00764601">
            <w:pPr>
              <w:jc w:val="both"/>
              <w:rPr>
                <w:sz w:val="20"/>
              </w:rPr>
            </w:pPr>
          </w:p>
        </w:tc>
      </w:tr>
      <w:tr w:rsidR="00764601" w:rsidRPr="00480DEB" w:rsidTr="00E95A6A">
        <w:tc>
          <w:tcPr>
            <w:tcW w:w="2427" w:type="pct"/>
            <w:gridSpan w:val="2"/>
          </w:tcPr>
          <w:p w:rsidR="00764601" w:rsidRPr="00480DEB" w:rsidRDefault="00764601" w:rsidP="00764601">
            <w:pPr>
              <w:jc w:val="both"/>
              <w:rPr>
                <w:sz w:val="20"/>
              </w:rPr>
            </w:pPr>
            <w:r w:rsidRPr="00480DEB">
              <w:rPr>
                <w:sz w:val="20"/>
              </w:rPr>
              <w:t>April 1, 2010</w:t>
            </w:r>
          </w:p>
          <w:p w:rsidR="00764601" w:rsidRPr="00480DEB" w:rsidRDefault="00764601" w:rsidP="00764601">
            <w:pPr>
              <w:jc w:val="both"/>
              <w:rPr>
                <w:sz w:val="20"/>
              </w:rPr>
            </w:pPr>
            <w:r w:rsidRPr="00480DEB">
              <w:rPr>
                <w:sz w:val="20"/>
              </w:rPr>
              <w:t>Court of Appeal of Alberta (Edmonton)</w:t>
            </w:r>
          </w:p>
          <w:p w:rsidR="00764601" w:rsidRPr="00480DEB" w:rsidRDefault="00764601" w:rsidP="00764601">
            <w:pPr>
              <w:jc w:val="both"/>
              <w:rPr>
                <w:sz w:val="20"/>
              </w:rPr>
            </w:pPr>
            <w:r w:rsidRPr="00480DEB">
              <w:rPr>
                <w:sz w:val="20"/>
              </w:rPr>
              <w:t xml:space="preserve">(Côté, Picard and </w:t>
            </w:r>
            <w:proofErr w:type="spellStart"/>
            <w:r w:rsidRPr="00480DEB">
              <w:rPr>
                <w:sz w:val="20"/>
              </w:rPr>
              <w:t>Bielby</w:t>
            </w:r>
            <w:proofErr w:type="spellEnd"/>
            <w:r w:rsidRPr="00480DEB">
              <w:rPr>
                <w:sz w:val="20"/>
              </w:rPr>
              <w:t xml:space="preserve"> JJ.A.)</w:t>
            </w:r>
          </w:p>
          <w:p w:rsidR="00764601" w:rsidRPr="00480DEB" w:rsidRDefault="00764601" w:rsidP="00764601">
            <w:pPr>
              <w:jc w:val="both"/>
              <w:rPr>
                <w:sz w:val="20"/>
              </w:rPr>
            </w:pPr>
            <w:r w:rsidRPr="00480DEB">
              <w:rPr>
                <w:sz w:val="20"/>
              </w:rPr>
              <w:t xml:space="preserve">Neutral citation: </w:t>
            </w:r>
            <w:hyperlink r:id="rId26" w:history="1">
              <w:r w:rsidRPr="00480DEB">
                <w:rPr>
                  <w:rStyle w:val="Hyperlink"/>
                  <w:sz w:val="20"/>
                </w:rPr>
                <w:t>2010 ABCA 107</w:t>
              </w:r>
            </w:hyperlink>
          </w:p>
          <w:p w:rsidR="00764601" w:rsidRPr="00480DEB" w:rsidRDefault="00764601" w:rsidP="00764601">
            <w:pPr>
              <w:jc w:val="both"/>
              <w:rPr>
                <w:sz w:val="20"/>
              </w:rPr>
            </w:pPr>
          </w:p>
        </w:tc>
        <w:tc>
          <w:tcPr>
            <w:tcW w:w="243" w:type="pct"/>
          </w:tcPr>
          <w:p w:rsidR="00764601" w:rsidRPr="00480DEB" w:rsidRDefault="00764601" w:rsidP="00764601">
            <w:pPr>
              <w:jc w:val="both"/>
              <w:rPr>
                <w:sz w:val="20"/>
              </w:rPr>
            </w:pPr>
          </w:p>
        </w:tc>
        <w:tc>
          <w:tcPr>
            <w:tcW w:w="2330" w:type="pct"/>
          </w:tcPr>
          <w:p w:rsidR="00764601" w:rsidRPr="00480DEB" w:rsidRDefault="00764601" w:rsidP="00764601">
            <w:pPr>
              <w:jc w:val="both"/>
              <w:rPr>
                <w:sz w:val="20"/>
              </w:rPr>
            </w:pPr>
            <w:r w:rsidRPr="00480DEB">
              <w:rPr>
                <w:sz w:val="20"/>
              </w:rPr>
              <w:t>Appeal from conviction dismissed</w:t>
            </w:r>
          </w:p>
          <w:p w:rsidR="00764601" w:rsidRPr="00480DEB" w:rsidRDefault="00764601" w:rsidP="00764601">
            <w:pPr>
              <w:jc w:val="both"/>
              <w:rPr>
                <w:sz w:val="20"/>
              </w:rPr>
            </w:pPr>
          </w:p>
        </w:tc>
      </w:tr>
      <w:tr w:rsidR="00764601" w:rsidRPr="00480DEB" w:rsidTr="00E95A6A">
        <w:tc>
          <w:tcPr>
            <w:tcW w:w="2427" w:type="pct"/>
            <w:gridSpan w:val="2"/>
          </w:tcPr>
          <w:p w:rsidR="00764601" w:rsidRPr="00480DEB" w:rsidRDefault="00764601" w:rsidP="00764601">
            <w:pPr>
              <w:jc w:val="both"/>
              <w:rPr>
                <w:sz w:val="20"/>
              </w:rPr>
            </w:pPr>
            <w:r w:rsidRPr="00480DEB">
              <w:rPr>
                <w:sz w:val="20"/>
              </w:rPr>
              <w:t>October 13, 2010</w:t>
            </w:r>
          </w:p>
          <w:p w:rsidR="00764601" w:rsidRPr="00480DEB" w:rsidRDefault="00764601" w:rsidP="00764601">
            <w:pPr>
              <w:jc w:val="both"/>
              <w:rPr>
                <w:sz w:val="20"/>
              </w:rPr>
            </w:pPr>
            <w:r w:rsidRPr="00480DEB">
              <w:rPr>
                <w:sz w:val="20"/>
              </w:rPr>
              <w:t>Court of Appeal of Alberta (Edmonton)</w:t>
            </w:r>
          </w:p>
          <w:p w:rsidR="00764601" w:rsidRPr="00480DEB" w:rsidRDefault="00764601" w:rsidP="00764601">
            <w:pPr>
              <w:jc w:val="both"/>
              <w:rPr>
                <w:sz w:val="20"/>
              </w:rPr>
            </w:pPr>
            <w:r w:rsidRPr="00480DEB">
              <w:rPr>
                <w:sz w:val="20"/>
              </w:rPr>
              <w:t>(Berger, Martin and McDonald JJ.A.)</w:t>
            </w:r>
          </w:p>
          <w:p w:rsidR="00764601" w:rsidRPr="00480DEB" w:rsidRDefault="00764601" w:rsidP="00764601">
            <w:pPr>
              <w:jc w:val="both"/>
              <w:rPr>
                <w:sz w:val="20"/>
              </w:rPr>
            </w:pPr>
            <w:r w:rsidRPr="00480DEB">
              <w:rPr>
                <w:sz w:val="20"/>
              </w:rPr>
              <w:t xml:space="preserve">Neutral citation: </w:t>
            </w:r>
            <w:hyperlink r:id="rId27" w:history="1">
              <w:r w:rsidRPr="00480DEB">
                <w:rPr>
                  <w:rStyle w:val="Hyperlink"/>
                  <w:sz w:val="20"/>
                </w:rPr>
                <w:t>2010 ABCA 298</w:t>
              </w:r>
            </w:hyperlink>
          </w:p>
          <w:p w:rsidR="00764601" w:rsidRPr="00480DEB" w:rsidRDefault="00764601" w:rsidP="00764601">
            <w:pPr>
              <w:jc w:val="both"/>
              <w:rPr>
                <w:sz w:val="20"/>
              </w:rPr>
            </w:pPr>
          </w:p>
        </w:tc>
        <w:tc>
          <w:tcPr>
            <w:tcW w:w="243" w:type="pct"/>
          </w:tcPr>
          <w:p w:rsidR="00764601" w:rsidRPr="00480DEB" w:rsidRDefault="00764601" w:rsidP="00764601">
            <w:pPr>
              <w:jc w:val="both"/>
              <w:rPr>
                <w:sz w:val="20"/>
              </w:rPr>
            </w:pPr>
          </w:p>
        </w:tc>
        <w:tc>
          <w:tcPr>
            <w:tcW w:w="2330" w:type="pct"/>
          </w:tcPr>
          <w:p w:rsidR="00764601" w:rsidRPr="00480DEB" w:rsidRDefault="00764601" w:rsidP="00764601">
            <w:pPr>
              <w:jc w:val="both"/>
              <w:rPr>
                <w:sz w:val="20"/>
              </w:rPr>
            </w:pPr>
            <w:r w:rsidRPr="00480DEB">
              <w:rPr>
                <w:sz w:val="20"/>
              </w:rPr>
              <w:t xml:space="preserve">Leave to appeal sentence granted; </w:t>
            </w:r>
          </w:p>
          <w:p w:rsidR="00764601" w:rsidRPr="00480DEB" w:rsidRDefault="00764601" w:rsidP="00764601">
            <w:pPr>
              <w:jc w:val="both"/>
              <w:rPr>
                <w:sz w:val="20"/>
              </w:rPr>
            </w:pPr>
            <w:r w:rsidRPr="00480DEB">
              <w:rPr>
                <w:sz w:val="20"/>
              </w:rPr>
              <w:t>Appeal from sentence dismissed</w:t>
            </w:r>
          </w:p>
          <w:p w:rsidR="00764601" w:rsidRPr="00480DEB" w:rsidRDefault="00764601" w:rsidP="00764601">
            <w:pPr>
              <w:jc w:val="both"/>
              <w:rPr>
                <w:sz w:val="20"/>
              </w:rPr>
            </w:pPr>
          </w:p>
        </w:tc>
      </w:tr>
      <w:tr w:rsidR="00764601" w:rsidRPr="00480DEB" w:rsidTr="00E95A6A">
        <w:tc>
          <w:tcPr>
            <w:tcW w:w="2427" w:type="pct"/>
            <w:gridSpan w:val="2"/>
          </w:tcPr>
          <w:p w:rsidR="00764601" w:rsidRPr="00480DEB" w:rsidRDefault="00764601" w:rsidP="00764601">
            <w:pPr>
              <w:jc w:val="both"/>
              <w:rPr>
                <w:sz w:val="20"/>
              </w:rPr>
            </w:pPr>
            <w:r w:rsidRPr="00480DEB">
              <w:rPr>
                <w:sz w:val="20"/>
              </w:rPr>
              <w:t>February 22, 2016</w:t>
            </w:r>
          </w:p>
          <w:p w:rsidR="00764601" w:rsidRPr="00480DEB" w:rsidRDefault="00764601" w:rsidP="00764601">
            <w:pPr>
              <w:jc w:val="both"/>
              <w:rPr>
                <w:sz w:val="20"/>
              </w:rPr>
            </w:pPr>
            <w:r w:rsidRPr="00480DEB">
              <w:rPr>
                <w:sz w:val="20"/>
              </w:rPr>
              <w:t>Supreme Court of Canada</w:t>
            </w:r>
          </w:p>
        </w:tc>
        <w:tc>
          <w:tcPr>
            <w:tcW w:w="243" w:type="pct"/>
          </w:tcPr>
          <w:p w:rsidR="00764601" w:rsidRPr="00480DEB" w:rsidRDefault="00764601" w:rsidP="00764601">
            <w:pPr>
              <w:jc w:val="both"/>
              <w:rPr>
                <w:sz w:val="20"/>
              </w:rPr>
            </w:pPr>
          </w:p>
        </w:tc>
        <w:tc>
          <w:tcPr>
            <w:tcW w:w="2330" w:type="pct"/>
          </w:tcPr>
          <w:p w:rsidR="00764601" w:rsidRPr="00480DEB" w:rsidRDefault="00764601" w:rsidP="00764601">
            <w:pPr>
              <w:jc w:val="both"/>
              <w:rPr>
                <w:sz w:val="20"/>
              </w:rPr>
            </w:pPr>
            <w:r w:rsidRPr="00480DEB">
              <w:rPr>
                <w:sz w:val="20"/>
              </w:rPr>
              <w:t>Application for leave to appeal and motion to extend time filed</w:t>
            </w:r>
          </w:p>
        </w:tc>
      </w:tr>
    </w:tbl>
    <w:p w:rsidR="00764601" w:rsidRPr="00480DEB" w:rsidRDefault="00764601" w:rsidP="00764601">
      <w:pPr>
        <w:jc w:val="both"/>
        <w:rPr>
          <w:sz w:val="20"/>
        </w:rPr>
      </w:pPr>
    </w:p>
    <w:p w:rsidR="00764601" w:rsidRPr="00480DEB" w:rsidRDefault="00764601" w:rsidP="0076460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4601" w:rsidRPr="00480DEB" w:rsidTr="00E95A6A">
        <w:tc>
          <w:tcPr>
            <w:tcW w:w="543" w:type="pct"/>
          </w:tcPr>
          <w:p w:rsidR="00764601" w:rsidRPr="00480DEB" w:rsidRDefault="00764601" w:rsidP="00764601">
            <w:pPr>
              <w:jc w:val="both"/>
              <w:rPr>
                <w:sz w:val="20"/>
                <w:lang w:val="fr-CA"/>
              </w:rPr>
            </w:pPr>
            <w:r w:rsidRPr="00480DEB">
              <w:rPr>
                <w:rStyle w:val="SCCFileNumberChar"/>
                <w:sz w:val="20"/>
                <w:szCs w:val="20"/>
                <w:lang w:val="fr-CA"/>
              </w:rPr>
              <w:t>36978</w:t>
            </w:r>
          </w:p>
        </w:tc>
        <w:tc>
          <w:tcPr>
            <w:tcW w:w="4457" w:type="pct"/>
            <w:gridSpan w:val="3"/>
          </w:tcPr>
          <w:p w:rsidR="00764601" w:rsidRPr="00480DEB" w:rsidRDefault="00764601" w:rsidP="00764601">
            <w:pPr>
              <w:pStyle w:val="SCCLsocParty"/>
              <w:jc w:val="both"/>
              <w:rPr>
                <w:b/>
                <w:sz w:val="20"/>
                <w:szCs w:val="20"/>
              </w:rPr>
            </w:pPr>
            <w:r w:rsidRPr="00480DEB">
              <w:rPr>
                <w:b/>
                <w:sz w:val="20"/>
                <w:szCs w:val="20"/>
              </w:rPr>
              <w:t>S.B.E. c. Sa Majesté la Reine</w:t>
            </w:r>
          </w:p>
          <w:p w:rsidR="00764601" w:rsidRPr="00480DEB" w:rsidRDefault="00764601" w:rsidP="00764601">
            <w:pPr>
              <w:jc w:val="both"/>
              <w:rPr>
                <w:sz w:val="20"/>
                <w:lang w:val="fr-CA"/>
              </w:rPr>
            </w:pPr>
            <w:r w:rsidRPr="00480DEB">
              <w:rPr>
                <w:sz w:val="20"/>
                <w:lang w:val="fr-CA"/>
              </w:rPr>
              <w:t>(Alb.) (Criminelle) (Sur autorisation)</w:t>
            </w:r>
          </w:p>
        </w:tc>
      </w:tr>
      <w:tr w:rsidR="00764601" w:rsidRPr="00480DEB" w:rsidTr="00E95A6A">
        <w:tc>
          <w:tcPr>
            <w:tcW w:w="5000" w:type="pct"/>
            <w:gridSpan w:val="4"/>
          </w:tcPr>
          <w:p w:rsidR="00764601" w:rsidRPr="00480DEB" w:rsidRDefault="00764601" w:rsidP="00764601">
            <w:pPr>
              <w:pStyle w:val="SCCBanSummary"/>
              <w:rPr>
                <w:sz w:val="20"/>
                <w:szCs w:val="20"/>
                <w:lang w:val="fr-CA"/>
              </w:rPr>
            </w:pPr>
            <w:r w:rsidRPr="00480DEB">
              <w:rPr>
                <w:sz w:val="20"/>
                <w:szCs w:val="20"/>
                <w:lang w:val="fr-CA"/>
              </w:rPr>
              <w:t>(Ordonnance de non-publication dans le dossier)</w:t>
            </w:r>
          </w:p>
          <w:p w:rsidR="00764601" w:rsidRPr="00480DEB" w:rsidRDefault="00764601" w:rsidP="00764601">
            <w:pPr>
              <w:jc w:val="both"/>
              <w:rPr>
                <w:sz w:val="20"/>
                <w:lang w:val="fr-CA"/>
              </w:rPr>
            </w:pPr>
          </w:p>
        </w:tc>
      </w:tr>
      <w:tr w:rsidR="00764601" w:rsidRPr="00480DEB" w:rsidTr="00E95A6A">
        <w:tc>
          <w:tcPr>
            <w:tcW w:w="5000" w:type="pct"/>
            <w:gridSpan w:val="4"/>
          </w:tcPr>
          <w:p w:rsidR="00764601" w:rsidRPr="00480DEB" w:rsidRDefault="00764601" w:rsidP="00764601">
            <w:pPr>
              <w:jc w:val="both"/>
              <w:rPr>
                <w:sz w:val="20"/>
                <w:lang w:val="fr-CA"/>
              </w:rPr>
            </w:pPr>
            <w:r w:rsidRPr="00480DEB">
              <w:rPr>
                <w:sz w:val="20"/>
                <w:lang w:val="fr-CA"/>
              </w:rPr>
              <w:t xml:space="preserve">Droit criminel – </w:t>
            </w:r>
            <w:r w:rsidRPr="00480DEB">
              <w:rPr>
                <w:i/>
                <w:sz w:val="20"/>
                <w:lang w:val="fr-CA"/>
              </w:rPr>
              <w:t>Charte</w:t>
            </w:r>
            <w:r w:rsidRPr="00480DEB">
              <w:rPr>
                <w:sz w:val="20"/>
                <w:lang w:val="fr-CA"/>
              </w:rPr>
              <w:t xml:space="preserve"> – Les juridictions inférieures ont-elles eu tort de déclarer coupable le demandeur et d’infliger une longue peine d’emprisonnement?</w:t>
            </w:r>
          </w:p>
        </w:tc>
      </w:tr>
      <w:tr w:rsidR="00764601" w:rsidRPr="00480DEB" w:rsidTr="00E95A6A">
        <w:tc>
          <w:tcPr>
            <w:tcW w:w="5000" w:type="pct"/>
            <w:gridSpan w:val="4"/>
          </w:tcPr>
          <w:p w:rsidR="00764601" w:rsidRPr="00480DEB" w:rsidRDefault="00764601" w:rsidP="00764601">
            <w:pPr>
              <w:jc w:val="both"/>
              <w:rPr>
                <w:sz w:val="20"/>
                <w:lang w:val="fr-CA"/>
              </w:rPr>
            </w:pPr>
          </w:p>
        </w:tc>
      </w:tr>
      <w:tr w:rsidR="00764601" w:rsidRPr="00480DEB" w:rsidTr="00E95A6A">
        <w:tc>
          <w:tcPr>
            <w:tcW w:w="5000" w:type="pct"/>
            <w:gridSpan w:val="4"/>
          </w:tcPr>
          <w:p w:rsidR="00764601" w:rsidRPr="00480DEB" w:rsidRDefault="00764601" w:rsidP="00764601">
            <w:pPr>
              <w:jc w:val="both"/>
              <w:rPr>
                <w:sz w:val="20"/>
                <w:lang w:val="fr-CA"/>
              </w:rPr>
            </w:pPr>
            <w:r w:rsidRPr="00480DEB">
              <w:rPr>
                <w:sz w:val="20"/>
                <w:lang w:val="fr-CA"/>
              </w:rPr>
              <w:lastRenderedPageBreak/>
              <w:t xml:space="preserve">Au terme d’un procès devant un juge siégeant seul, le demandeur a été déclaré coupable à l’égard d’un chef d’agression sexuelle et de deux chefs de contacts sexuels. L’acte d’accusation couvrait la période de juillet 2003 à 2004 alors que la plaignante, avec qui le demandeur entretenait une relation de confiance, était âgée de moins de neuf ans. Le premier chef (agression sexuelle) alléguait plusieurs actes de pénétration partielle du pénis dans le vagin. Le deuxième chef (contacts sexuels) alléguait plusieurs actes d’attouchements du vagin. Le troisième chef (contacts sexuels) alléguait qu’à de nombreuses occasions, le demandeur obligeait la plaignante à le masturber jusqu’à l’éjaculation. Le juge qui a imposé la peine n’a pas déclaré le demandeur délinquant dangereux, mais plutôt délinquant à contrôler. Le demandeur a été condamné à une peine d’emprisonnement de seize ans et </w:t>
            </w:r>
            <w:proofErr w:type="gramStart"/>
            <w:r w:rsidRPr="00480DEB">
              <w:rPr>
                <w:sz w:val="20"/>
                <w:lang w:val="fr-CA"/>
              </w:rPr>
              <w:t>demi</w:t>
            </w:r>
            <w:proofErr w:type="gramEnd"/>
            <w:r w:rsidRPr="00480DEB">
              <w:rPr>
                <w:sz w:val="20"/>
                <w:lang w:val="fr-CA"/>
              </w:rPr>
              <w:t>. En tenant compte d’un crédit de cinq ans et demi pour les trente et un mois qu’il a passés sous garde, le demandeur a été condamné à une peine de onze ans,  sans possibilité de libération conditionnelle avant d’avoir purgé la moitié de sa peine.</w:t>
            </w:r>
          </w:p>
          <w:p w:rsidR="00764601" w:rsidRPr="00480DEB" w:rsidRDefault="00764601" w:rsidP="00764601">
            <w:pPr>
              <w:jc w:val="both"/>
              <w:rPr>
                <w:sz w:val="20"/>
                <w:lang w:val="fr-CA"/>
              </w:rPr>
            </w:pPr>
          </w:p>
        </w:tc>
      </w:tr>
      <w:tr w:rsidR="00764601" w:rsidRPr="00480DEB" w:rsidTr="00E95A6A">
        <w:tc>
          <w:tcPr>
            <w:tcW w:w="2427" w:type="pct"/>
            <w:gridSpan w:val="2"/>
          </w:tcPr>
          <w:p w:rsidR="00764601" w:rsidRPr="00480DEB" w:rsidRDefault="00764601" w:rsidP="00764601">
            <w:pPr>
              <w:jc w:val="both"/>
              <w:rPr>
                <w:sz w:val="20"/>
                <w:lang w:val="fr-CA"/>
              </w:rPr>
            </w:pPr>
            <w:r w:rsidRPr="00480DEB">
              <w:rPr>
                <w:sz w:val="20"/>
                <w:lang w:val="fr-CA"/>
              </w:rPr>
              <w:t>7 novembre 2005</w:t>
            </w:r>
          </w:p>
          <w:p w:rsidR="00764601" w:rsidRPr="00480DEB" w:rsidRDefault="00764601" w:rsidP="00764601">
            <w:pPr>
              <w:jc w:val="both"/>
              <w:rPr>
                <w:sz w:val="20"/>
                <w:lang w:val="fr-CA"/>
              </w:rPr>
            </w:pPr>
            <w:r w:rsidRPr="00480DEB">
              <w:rPr>
                <w:sz w:val="20"/>
                <w:lang w:val="fr-CA"/>
              </w:rPr>
              <w:t xml:space="preserve">Cour du Banc de la Reine de l’Alberta </w:t>
            </w:r>
          </w:p>
          <w:p w:rsidR="00764601" w:rsidRPr="00480DEB" w:rsidRDefault="00764601" w:rsidP="00764601">
            <w:pPr>
              <w:jc w:val="both"/>
              <w:rPr>
                <w:sz w:val="20"/>
                <w:lang w:val="fr-CA"/>
              </w:rPr>
            </w:pPr>
            <w:r w:rsidRPr="00480DEB">
              <w:rPr>
                <w:sz w:val="20"/>
                <w:lang w:val="fr-CA"/>
              </w:rPr>
              <w:t>(Juge Sanderman)</w:t>
            </w:r>
          </w:p>
          <w:p w:rsidR="00764601" w:rsidRPr="00480DEB" w:rsidRDefault="00764601" w:rsidP="00764601">
            <w:pPr>
              <w:jc w:val="both"/>
              <w:rPr>
                <w:sz w:val="20"/>
                <w:lang w:val="fr-CA"/>
              </w:rPr>
            </w:pPr>
          </w:p>
        </w:tc>
        <w:tc>
          <w:tcPr>
            <w:tcW w:w="243" w:type="pct"/>
          </w:tcPr>
          <w:p w:rsidR="00764601" w:rsidRPr="00480DEB" w:rsidRDefault="00764601" w:rsidP="00764601">
            <w:pPr>
              <w:jc w:val="both"/>
              <w:rPr>
                <w:sz w:val="20"/>
                <w:lang w:val="fr-CA"/>
              </w:rPr>
            </w:pPr>
          </w:p>
        </w:tc>
        <w:tc>
          <w:tcPr>
            <w:tcW w:w="2330" w:type="pct"/>
          </w:tcPr>
          <w:p w:rsidR="00764601" w:rsidRPr="00480DEB" w:rsidRDefault="00764601" w:rsidP="00764601">
            <w:pPr>
              <w:jc w:val="both"/>
              <w:rPr>
                <w:sz w:val="20"/>
                <w:lang w:val="fr-CA"/>
              </w:rPr>
            </w:pPr>
            <w:r w:rsidRPr="00480DEB">
              <w:rPr>
                <w:sz w:val="20"/>
                <w:lang w:val="fr-CA"/>
              </w:rPr>
              <w:t>Déclaration de culpabilité : un chef d’agression sexuelle et deux chefs de contacts sexuels</w:t>
            </w:r>
          </w:p>
          <w:p w:rsidR="00764601" w:rsidRPr="00480DEB" w:rsidRDefault="00764601" w:rsidP="00764601">
            <w:pPr>
              <w:jc w:val="both"/>
              <w:rPr>
                <w:sz w:val="20"/>
                <w:lang w:val="fr-CA"/>
              </w:rPr>
            </w:pPr>
          </w:p>
        </w:tc>
      </w:tr>
      <w:tr w:rsidR="00764601" w:rsidRPr="00480DEB" w:rsidTr="00E95A6A">
        <w:tc>
          <w:tcPr>
            <w:tcW w:w="2427" w:type="pct"/>
            <w:gridSpan w:val="2"/>
          </w:tcPr>
          <w:p w:rsidR="00764601" w:rsidRPr="00480DEB" w:rsidRDefault="00764601" w:rsidP="00764601">
            <w:pPr>
              <w:jc w:val="both"/>
              <w:rPr>
                <w:sz w:val="20"/>
                <w:lang w:val="fr-CA"/>
              </w:rPr>
            </w:pPr>
            <w:r w:rsidRPr="00480DEB">
              <w:rPr>
                <w:sz w:val="20"/>
                <w:lang w:val="fr-CA"/>
              </w:rPr>
              <w:t>22 février 2007</w:t>
            </w:r>
          </w:p>
          <w:p w:rsidR="00764601" w:rsidRPr="00480DEB" w:rsidRDefault="00764601" w:rsidP="00764601">
            <w:pPr>
              <w:jc w:val="both"/>
              <w:rPr>
                <w:sz w:val="20"/>
                <w:lang w:val="fr-CA"/>
              </w:rPr>
            </w:pPr>
            <w:r w:rsidRPr="00480DEB">
              <w:rPr>
                <w:sz w:val="20"/>
                <w:lang w:val="fr-CA"/>
              </w:rPr>
              <w:t xml:space="preserve">Cour du Banc de la Reine de l’Alberta </w:t>
            </w:r>
          </w:p>
          <w:p w:rsidR="00764601" w:rsidRPr="00480DEB" w:rsidRDefault="00764601" w:rsidP="00764601">
            <w:pPr>
              <w:jc w:val="both"/>
              <w:rPr>
                <w:sz w:val="20"/>
                <w:lang w:val="fr-CA"/>
              </w:rPr>
            </w:pPr>
            <w:r w:rsidRPr="00480DEB">
              <w:rPr>
                <w:sz w:val="20"/>
                <w:lang w:val="fr-CA"/>
              </w:rPr>
              <w:t>(Juge Sanderman)</w:t>
            </w:r>
          </w:p>
          <w:p w:rsidR="00764601" w:rsidRPr="00480DEB" w:rsidRDefault="00764601" w:rsidP="00764601">
            <w:pPr>
              <w:jc w:val="both"/>
              <w:rPr>
                <w:sz w:val="20"/>
                <w:lang w:val="fr-CA"/>
              </w:rPr>
            </w:pPr>
          </w:p>
        </w:tc>
        <w:tc>
          <w:tcPr>
            <w:tcW w:w="243" w:type="pct"/>
          </w:tcPr>
          <w:p w:rsidR="00764601" w:rsidRPr="00480DEB" w:rsidRDefault="00764601" w:rsidP="00764601">
            <w:pPr>
              <w:jc w:val="both"/>
              <w:rPr>
                <w:sz w:val="20"/>
                <w:lang w:val="fr-CA"/>
              </w:rPr>
            </w:pPr>
          </w:p>
        </w:tc>
        <w:tc>
          <w:tcPr>
            <w:tcW w:w="2330" w:type="pct"/>
          </w:tcPr>
          <w:p w:rsidR="00764601" w:rsidRPr="00480DEB" w:rsidRDefault="00764601" w:rsidP="00764601">
            <w:pPr>
              <w:jc w:val="both"/>
              <w:rPr>
                <w:sz w:val="20"/>
                <w:lang w:val="fr-CA"/>
              </w:rPr>
            </w:pPr>
            <w:r w:rsidRPr="00480DEB">
              <w:rPr>
                <w:sz w:val="20"/>
                <w:lang w:val="fr-CA"/>
              </w:rPr>
              <w:t>Sentence</w:t>
            </w:r>
          </w:p>
          <w:p w:rsidR="00764601" w:rsidRPr="00480DEB" w:rsidRDefault="00764601" w:rsidP="00764601">
            <w:pPr>
              <w:jc w:val="both"/>
              <w:rPr>
                <w:sz w:val="20"/>
                <w:lang w:val="fr-CA"/>
              </w:rPr>
            </w:pPr>
          </w:p>
        </w:tc>
      </w:tr>
      <w:tr w:rsidR="00764601" w:rsidRPr="00480DEB" w:rsidTr="00E95A6A">
        <w:tc>
          <w:tcPr>
            <w:tcW w:w="2427" w:type="pct"/>
            <w:gridSpan w:val="2"/>
          </w:tcPr>
          <w:p w:rsidR="00764601" w:rsidRPr="00480DEB" w:rsidRDefault="00764601" w:rsidP="00764601">
            <w:pPr>
              <w:jc w:val="both"/>
              <w:rPr>
                <w:sz w:val="20"/>
                <w:lang w:val="fr-CA"/>
              </w:rPr>
            </w:pPr>
            <w:r w:rsidRPr="00480DEB">
              <w:rPr>
                <w:sz w:val="20"/>
                <w:lang w:val="fr-CA"/>
              </w:rPr>
              <w:t>1</w:t>
            </w:r>
            <w:r w:rsidRPr="00480DEB">
              <w:rPr>
                <w:sz w:val="20"/>
                <w:vertAlign w:val="superscript"/>
                <w:lang w:val="fr-CA"/>
              </w:rPr>
              <w:t>er</w:t>
            </w:r>
            <w:r w:rsidRPr="00480DEB">
              <w:rPr>
                <w:sz w:val="20"/>
                <w:lang w:val="fr-CA"/>
              </w:rPr>
              <w:t xml:space="preserve"> avril 2010</w:t>
            </w:r>
          </w:p>
          <w:p w:rsidR="00764601" w:rsidRPr="00480DEB" w:rsidRDefault="00764601" w:rsidP="00764601">
            <w:pPr>
              <w:jc w:val="both"/>
              <w:rPr>
                <w:sz w:val="20"/>
                <w:lang w:val="fr-CA"/>
              </w:rPr>
            </w:pPr>
            <w:r w:rsidRPr="00480DEB">
              <w:rPr>
                <w:sz w:val="20"/>
                <w:lang w:val="fr-CA"/>
              </w:rPr>
              <w:t>Cour d’appel de l’Alberta (Edmonton)</w:t>
            </w:r>
          </w:p>
          <w:p w:rsidR="00764601" w:rsidRPr="00480DEB" w:rsidRDefault="00764601" w:rsidP="00764601">
            <w:pPr>
              <w:jc w:val="both"/>
              <w:rPr>
                <w:sz w:val="20"/>
                <w:lang w:val="fr-CA"/>
              </w:rPr>
            </w:pPr>
            <w:r w:rsidRPr="00480DEB">
              <w:rPr>
                <w:sz w:val="20"/>
                <w:lang w:val="fr-CA"/>
              </w:rPr>
              <w:t>(Juges Côté, Picard et Bielby)</w:t>
            </w:r>
          </w:p>
          <w:p w:rsidR="00764601" w:rsidRPr="00480DEB" w:rsidRDefault="00764601" w:rsidP="00764601">
            <w:pPr>
              <w:jc w:val="both"/>
              <w:rPr>
                <w:sz w:val="20"/>
                <w:lang w:val="fr-CA"/>
              </w:rPr>
            </w:pPr>
            <w:r w:rsidRPr="00480DEB">
              <w:rPr>
                <w:sz w:val="20"/>
                <w:lang w:val="fr-CA"/>
              </w:rPr>
              <w:t xml:space="preserve">Référence neutre : </w:t>
            </w:r>
            <w:hyperlink r:id="rId28" w:history="1">
              <w:r w:rsidRPr="00480DEB">
                <w:rPr>
                  <w:rStyle w:val="Hyperlink"/>
                  <w:sz w:val="20"/>
                  <w:lang w:val="fr-CA"/>
                </w:rPr>
                <w:t>2010 ABCA 107</w:t>
              </w:r>
            </w:hyperlink>
          </w:p>
          <w:p w:rsidR="00764601" w:rsidRPr="00480DEB" w:rsidRDefault="00764601" w:rsidP="00764601">
            <w:pPr>
              <w:jc w:val="both"/>
              <w:rPr>
                <w:sz w:val="20"/>
                <w:lang w:val="fr-CA"/>
              </w:rPr>
            </w:pPr>
          </w:p>
        </w:tc>
        <w:tc>
          <w:tcPr>
            <w:tcW w:w="243" w:type="pct"/>
          </w:tcPr>
          <w:p w:rsidR="00764601" w:rsidRPr="00480DEB" w:rsidRDefault="00764601" w:rsidP="00764601">
            <w:pPr>
              <w:jc w:val="both"/>
              <w:rPr>
                <w:sz w:val="20"/>
                <w:lang w:val="fr-CA"/>
              </w:rPr>
            </w:pPr>
          </w:p>
        </w:tc>
        <w:tc>
          <w:tcPr>
            <w:tcW w:w="2330" w:type="pct"/>
          </w:tcPr>
          <w:p w:rsidR="00764601" w:rsidRPr="00480DEB" w:rsidRDefault="00764601" w:rsidP="00764601">
            <w:pPr>
              <w:jc w:val="both"/>
              <w:rPr>
                <w:sz w:val="20"/>
                <w:lang w:val="fr-CA"/>
              </w:rPr>
            </w:pPr>
            <w:r w:rsidRPr="00480DEB">
              <w:rPr>
                <w:sz w:val="20"/>
                <w:lang w:val="fr-CA"/>
              </w:rPr>
              <w:t>Rejet de l’appel de la déclaration de culpabilité</w:t>
            </w:r>
          </w:p>
          <w:p w:rsidR="00764601" w:rsidRPr="00480DEB" w:rsidRDefault="00764601" w:rsidP="00764601">
            <w:pPr>
              <w:jc w:val="both"/>
              <w:rPr>
                <w:sz w:val="20"/>
                <w:lang w:val="fr-CA"/>
              </w:rPr>
            </w:pPr>
          </w:p>
        </w:tc>
      </w:tr>
      <w:tr w:rsidR="00764601" w:rsidRPr="00480DEB" w:rsidTr="00E95A6A">
        <w:tc>
          <w:tcPr>
            <w:tcW w:w="2427" w:type="pct"/>
            <w:gridSpan w:val="2"/>
          </w:tcPr>
          <w:p w:rsidR="00764601" w:rsidRPr="00480DEB" w:rsidRDefault="00764601" w:rsidP="00764601">
            <w:pPr>
              <w:jc w:val="both"/>
              <w:rPr>
                <w:sz w:val="20"/>
                <w:lang w:val="fr-CA"/>
              </w:rPr>
            </w:pPr>
            <w:r w:rsidRPr="00480DEB">
              <w:rPr>
                <w:sz w:val="20"/>
                <w:lang w:val="fr-CA"/>
              </w:rPr>
              <w:t>13 octobre 2010</w:t>
            </w:r>
          </w:p>
          <w:p w:rsidR="00764601" w:rsidRPr="00480DEB" w:rsidRDefault="00764601" w:rsidP="00764601">
            <w:pPr>
              <w:jc w:val="both"/>
              <w:rPr>
                <w:sz w:val="20"/>
                <w:lang w:val="fr-CA"/>
              </w:rPr>
            </w:pPr>
            <w:r w:rsidRPr="00480DEB">
              <w:rPr>
                <w:sz w:val="20"/>
                <w:lang w:val="fr-CA"/>
              </w:rPr>
              <w:t>Cour d’appel de l’Alberta (Edmonton)</w:t>
            </w:r>
          </w:p>
          <w:p w:rsidR="00764601" w:rsidRPr="00480DEB" w:rsidRDefault="00764601" w:rsidP="00764601">
            <w:pPr>
              <w:jc w:val="both"/>
              <w:rPr>
                <w:sz w:val="20"/>
                <w:lang w:val="fr-CA"/>
              </w:rPr>
            </w:pPr>
            <w:r w:rsidRPr="00480DEB">
              <w:rPr>
                <w:sz w:val="20"/>
                <w:lang w:val="fr-CA"/>
              </w:rPr>
              <w:t>(Juges Berger, Martin et McDonald)</w:t>
            </w:r>
          </w:p>
          <w:p w:rsidR="00764601" w:rsidRPr="00480DEB" w:rsidRDefault="00764601" w:rsidP="00764601">
            <w:pPr>
              <w:jc w:val="both"/>
              <w:rPr>
                <w:sz w:val="20"/>
                <w:lang w:val="fr-CA"/>
              </w:rPr>
            </w:pPr>
            <w:r w:rsidRPr="00480DEB">
              <w:rPr>
                <w:sz w:val="20"/>
                <w:lang w:val="fr-CA"/>
              </w:rPr>
              <w:t xml:space="preserve">Référence neutre : </w:t>
            </w:r>
            <w:hyperlink r:id="rId29" w:history="1">
              <w:r w:rsidRPr="00480DEB">
                <w:rPr>
                  <w:rStyle w:val="Hyperlink"/>
                  <w:sz w:val="20"/>
                  <w:lang w:val="fr-CA"/>
                </w:rPr>
                <w:t>2010 ABCA 298</w:t>
              </w:r>
            </w:hyperlink>
          </w:p>
          <w:p w:rsidR="00764601" w:rsidRPr="00480DEB" w:rsidRDefault="00764601" w:rsidP="00764601">
            <w:pPr>
              <w:jc w:val="both"/>
              <w:rPr>
                <w:sz w:val="20"/>
                <w:lang w:val="fr-CA"/>
              </w:rPr>
            </w:pPr>
          </w:p>
        </w:tc>
        <w:tc>
          <w:tcPr>
            <w:tcW w:w="243" w:type="pct"/>
          </w:tcPr>
          <w:p w:rsidR="00764601" w:rsidRPr="00480DEB" w:rsidRDefault="00764601" w:rsidP="00764601">
            <w:pPr>
              <w:jc w:val="both"/>
              <w:rPr>
                <w:sz w:val="20"/>
                <w:lang w:val="fr-CA"/>
              </w:rPr>
            </w:pPr>
          </w:p>
        </w:tc>
        <w:tc>
          <w:tcPr>
            <w:tcW w:w="2330" w:type="pct"/>
          </w:tcPr>
          <w:p w:rsidR="00764601" w:rsidRPr="00480DEB" w:rsidRDefault="00764601" w:rsidP="00764601">
            <w:pPr>
              <w:jc w:val="both"/>
              <w:rPr>
                <w:sz w:val="20"/>
                <w:lang w:val="fr-CA"/>
              </w:rPr>
            </w:pPr>
            <w:r w:rsidRPr="00480DEB">
              <w:rPr>
                <w:sz w:val="20"/>
                <w:lang w:val="fr-CA"/>
              </w:rPr>
              <w:t xml:space="preserve">Arrêt accueillant la demande d’autorisation d’appel de la peine; </w:t>
            </w:r>
          </w:p>
          <w:p w:rsidR="00764601" w:rsidRPr="00480DEB" w:rsidRDefault="00764601" w:rsidP="00764601">
            <w:pPr>
              <w:jc w:val="both"/>
              <w:rPr>
                <w:sz w:val="20"/>
                <w:lang w:val="fr-CA"/>
              </w:rPr>
            </w:pPr>
            <w:r w:rsidRPr="00480DEB">
              <w:rPr>
                <w:sz w:val="20"/>
                <w:lang w:val="fr-CA"/>
              </w:rPr>
              <w:t>Rejet de l’appel de la peine</w:t>
            </w:r>
          </w:p>
          <w:p w:rsidR="00764601" w:rsidRPr="00480DEB" w:rsidRDefault="00764601" w:rsidP="00764601">
            <w:pPr>
              <w:jc w:val="both"/>
              <w:rPr>
                <w:sz w:val="20"/>
                <w:lang w:val="fr-CA"/>
              </w:rPr>
            </w:pPr>
          </w:p>
        </w:tc>
        <w:bookmarkStart w:id="0" w:name="_GoBack"/>
        <w:bookmarkEnd w:id="0"/>
      </w:tr>
      <w:tr w:rsidR="00764601" w:rsidRPr="00480DEB" w:rsidTr="00E95A6A">
        <w:tc>
          <w:tcPr>
            <w:tcW w:w="2427" w:type="pct"/>
            <w:gridSpan w:val="2"/>
          </w:tcPr>
          <w:p w:rsidR="00764601" w:rsidRPr="00480DEB" w:rsidRDefault="00764601" w:rsidP="00764601">
            <w:pPr>
              <w:jc w:val="both"/>
              <w:rPr>
                <w:sz w:val="20"/>
                <w:lang w:val="fr-CA"/>
              </w:rPr>
            </w:pPr>
            <w:r w:rsidRPr="00480DEB">
              <w:rPr>
                <w:sz w:val="20"/>
                <w:lang w:val="fr-CA"/>
              </w:rPr>
              <w:t>22 février 2016</w:t>
            </w:r>
          </w:p>
          <w:p w:rsidR="00764601" w:rsidRPr="00480DEB" w:rsidRDefault="00764601" w:rsidP="00764601">
            <w:pPr>
              <w:jc w:val="both"/>
              <w:rPr>
                <w:sz w:val="20"/>
                <w:lang w:val="fr-CA"/>
              </w:rPr>
            </w:pPr>
            <w:r w:rsidRPr="00480DEB">
              <w:rPr>
                <w:sz w:val="20"/>
                <w:lang w:val="fr-CA"/>
              </w:rPr>
              <w:t>Cour suprême du Canada</w:t>
            </w:r>
          </w:p>
        </w:tc>
        <w:tc>
          <w:tcPr>
            <w:tcW w:w="243" w:type="pct"/>
          </w:tcPr>
          <w:p w:rsidR="00764601" w:rsidRPr="00480DEB" w:rsidRDefault="00764601" w:rsidP="00764601">
            <w:pPr>
              <w:jc w:val="both"/>
              <w:rPr>
                <w:sz w:val="20"/>
                <w:lang w:val="fr-CA"/>
              </w:rPr>
            </w:pPr>
          </w:p>
        </w:tc>
        <w:tc>
          <w:tcPr>
            <w:tcW w:w="2330" w:type="pct"/>
          </w:tcPr>
          <w:p w:rsidR="00764601" w:rsidRPr="00480DEB" w:rsidRDefault="00764601" w:rsidP="00764601">
            <w:pPr>
              <w:jc w:val="both"/>
              <w:rPr>
                <w:sz w:val="20"/>
                <w:lang w:val="fr-CA"/>
              </w:rPr>
            </w:pPr>
            <w:r w:rsidRPr="00480DEB">
              <w:rPr>
                <w:sz w:val="20"/>
                <w:lang w:val="fr-CA"/>
              </w:rPr>
              <w:t>Dépôt de la demande d’autorisation d’appel et de la requête en prorogation de délai</w:t>
            </w:r>
          </w:p>
        </w:tc>
      </w:tr>
    </w:tbl>
    <w:p w:rsidR="00764601" w:rsidRPr="00480DEB" w:rsidRDefault="00764601" w:rsidP="007B336B">
      <w:pPr>
        <w:jc w:val="both"/>
        <w:rPr>
          <w:sz w:val="20"/>
          <w:lang w:val="fr-CA"/>
        </w:rPr>
      </w:pPr>
    </w:p>
    <w:p w:rsidR="0064395E" w:rsidRPr="00480DEB" w:rsidRDefault="0064395E" w:rsidP="007B336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336B" w:rsidRPr="00480DEB" w:rsidTr="00E95A6A">
        <w:tc>
          <w:tcPr>
            <w:tcW w:w="543" w:type="pct"/>
          </w:tcPr>
          <w:p w:rsidR="007B336B" w:rsidRPr="00480DEB" w:rsidRDefault="007B336B" w:rsidP="007B336B">
            <w:pPr>
              <w:jc w:val="both"/>
              <w:rPr>
                <w:sz w:val="20"/>
              </w:rPr>
            </w:pPr>
            <w:r w:rsidRPr="00480DEB">
              <w:rPr>
                <w:rStyle w:val="SCCFileNumberChar"/>
                <w:sz w:val="20"/>
                <w:szCs w:val="20"/>
              </w:rPr>
              <w:t>37006</w:t>
            </w:r>
          </w:p>
        </w:tc>
        <w:tc>
          <w:tcPr>
            <w:tcW w:w="4457" w:type="pct"/>
            <w:gridSpan w:val="3"/>
          </w:tcPr>
          <w:p w:rsidR="007B336B" w:rsidRPr="00480DEB" w:rsidRDefault="007B336B" w:rsidP="007B336B">
            <w:pPr>
              <w:pStyle w:val="SCCLsocParty"/>
              <w:jc w:val="both"/>
              <w:rPr>
                <w:b/>
                <w:sz w:val="20"/>
                <w:szCs w:val="20"/>
              </w:rPr>
            </w:pPr>
            <w:proofErr w:type="spellStart"/>
            <w:r w:rsidRPr="00480DEB">
              <w:rPr>
                <w:b/>
                <w:sz w:val="20"/>
                <w:szCs w:val="20"/>
              </w:rPr>
              <w:t>Keehong</w:t>
            </w:r>
            <w:proofErr w:type="spellEnd"/>
            <w:r w:rsidRPr="00480DEB">
              <w:rPr>
                <w:b/>
                <w:sz w:val="20"/>
                <w:szCs w:val="20"/>
              </w:rPr>
              <w:t xml:space="preserve"> Song, </w:t>
            </w:r>
            <w:proofErr w:type="spellStart"/>
            <w:r w:rsidRPr="00480DEB">
              <w:rPr>
                <w:b/>
                <w:sz w:val="20"/>
                <w:szCs w:val="20"/>
              </w:rPr>
              <w:t>Seungdoe</w:t>
            </w:r>
            <w:proofErr w:type="spellEnd"/>
            <w:r w:rsidRPr="00480DEB">
              <w:rPr>
                <w:b/>
                <w:sz w:val="20"/>
                <w:szCs w:val="20"/>
              </w:rPr>
              <w:t xml:space="preserve"> Song v. B.C. Human Rights Tribunal</w:t>
            </w:r>
          </w:p>
          <w:p w:rsidR="007B336B" w:rsidRPr="00480DEB" w:rsidRDefault="007B336B" w:rsidP="007B336B">
            <w:pPr>
              <w:jc w:val="both"/>
              <w:rPr>
                <w:sz w:val="20"/>
              </w:rPr>
            </w:pPr>
            <w:r w:rsidRPr="00480DEB">
              <w:rPr>
                <w:sz w:val="20"/>
              </w:rPr>
              <w:t>(B.C.) (Civil) (By Leave)</w:t>
            </w:r>
          </w:p>
        </w:tc>
      </w:tr>
      <w:tr w:rsidR="007B336B" w:rsidRPr="00480DEB" w:rsidTr="00E95A6A">
        <w:tc>
          <w:tcPr>
            <w:tcW w:w="5000" w:type="pct"/>
            <w:gridSpan w:val="4"/>
          </w:tcPr>
          <w:p w:rsidR="007B336B" w:rsidRPr="00480DEB" w:rsidRDefault="007B336B" w:rsidP="007B336B">
            <w:pPr>
              <w:jc w:val="both"/>
              <w:rPr>
                <w:sz w:val="20"/>
              </w:rPr>
            </w:pPr>
            <w:r w:rsidRPr="00480DEB">
              <w:rPr>
                <w:sz w:val="20"/>
              </w:rPr>
              <w:t xml:space="preserve">Civil Procedure – Appeals – </w:t>
            </w:r>
            <w:r w:rsidRPr="00480DEB">
              <w:rPr>
                <w:iCs/>
                <w:sz w:val="20"/>
              </w:rPr>
              <w:t xml:space="preserve">Appeal from an order of a chambers judge that struck out portions of a notice of civil claim the applicants filed against a golf club </w:t>
            </w:r>
            <w:r w:rsidRPr="00480DEB">
              <w:rPr>
                <w:sz w:val="20"/>
              </w:rPr>
              <w:t>– Can a non-party, without becoming an intervener or a party to the action, file a motion in a civil action – What kind of standing is “standing on a limited basis” – How can the previous owner be empowered to exercise the legal right to represent the new owner when the lawsuit was against the business – Can a non-party bring a motion to strike a civil action on the ground of a collateral attack when a stay of proceedings was offered – Does the court have the power to order special costs to a non-party – Can the Court of Appeal grant the non-party intervener status when the non-party never applied or asked for it in the lower courts – Can the court proceed judicially when the subject-matter of jurisdiction was challenged – Can the same attorney act as both counsel and witness – Does the Tribunal have jurisdiction over a civil wrong – Whether there was a due process violation.</w:t>
            </w:r>
          </w:p>
        </w:tc>
      </w:tr>
      <w:tr w:rsidR="007B336B" w:rsidRPr="00480DEB" w:rsidTr="00E95A6A">
        <w:tc>
          <w:tcPr>
            <w:tcW w:w="5000" w:type="pct"/>
            <w:gridSpan w:val="4"/>
          </w:tcPr>
          <w:p w:rsidR="007B336B" w:rsidRPr="00480DEB" w:rsidRDefault="007B336B" w:rsidP="007B336B">
            <w:pPr>
              <w:jc w:val="both"/>
              <w:rPr>
                <w:sz w:val="20"/>
              </w:rPr>
            </w:pPr>
          </w:p>
        </w:tc>
      </w:tr>
      <w:tr w:rsidR="007B336B" w:rsidRPr="00480DEB" w:rsidTr="00E95A6A">
        <w:tc>
          <w:tcPr>
            <w:tcW w:w="5000" w:type="pct"/>
            <w:gridSpan w:val="4"/>
          </w:tcPr>
          <w:p w:rsidR="007B336B" w:rsidRPr="00480DEB" w:rsidRDefault="007B336B" w:rsidP="007B336B">
            <w:pPr>
              <w:jc w:val="both"/>
              <w:rPr>
                <w:iCs/>
                <w:sz w:val="20"/>
              </w:rPr>
            </w:pPr>
            <w:r w:rsidRPr="00480DEB">
              <w:rPr>
                <w:iCs/>
                <w:sz w:val="20"/>
              </w:rPr>
              <w:t>The applicants had filed a human rights complaint against a golf course on the basis that they were denied access to the golf club due to their race or ethnic origin. The Human Rights Tribunal dismissed the complaint. The applicants started the underlying action where they sought damages and other relief against the golf club. They did not name the Tribunal as a party. However, their pleading claimed that the Tribunal engaged in misconduct. The Tribunal applied to strike those portions of the applicants’ claim and the chambers judge allowed the application. Donald J.A. allowed the application in part. The Court of Appeal dismissed the appeal.</w:t>
            </w:r>
          </w:p>
          <w:p w:rsidR="007B336B" w:rsidRPr="00480DEB" w:rsidRDefault="007B336B" w:rsidP="007B336B">
            <w:pPr>
              <w:jc w:val="both"/>
              <w:rPr>
                <w:sz w:val="20"/>
              </w:rPr>
            </w:pPr>
          </w:p>
        </w:tc>
      </w:tr>
      <w:tr w:rsidR="007B336B" w:rsidRPr="00480DEB" w:rsidTr="00E95A6A">
        <w:tc>
          <w:tcPr>
            <w:tcW w:w="2427" w:type="pct"/>
            <w:gridSpan w:val="2"/>
          </w:tcPr>
          <w:p w:rsidR="007B336B" w:rsidRPr="00480DEB" w:rsidRDefault="007B336B" w:rsidP="007B336B">
            <w:pPr>
              <w:jc w:val="both"/>
              <w:rPr>
                <w:sz w:val="20"/>
              </w:rPr>
            </w:pPr>
            <w:r w:rsidRPr="00480DEB">
              <w:rPr>
                <w:sz w:val="20"/>
              </w:rPr>
              <w:lastRenderedPageBreak/>
              <w:t>August 18, 2015</w:t>
            </w:r>
          </w:p>
          <w:p w:rsidR="007B336B" w:rsidRPr="00480DEB" w:rsidRDefault="007B336B" w:rsidP="007B336B">
            <w:pPr>
              <w:jc w:val="both"/>
              <w:rPr>
                <w:sz w:val="20"/>
              </w:rPr>
            </w:pPr>
            <w:r w:rsidRPr="00480DEB">
              <w:rPr>
                <w:sz w:val="20"/>
              </w:rPr>
              <w:t>Supreme Court of British Columbia</w:t>
            </w:r>
          </w:p>
          <w:p w:rsidR="007B336B" w:rsidRPr="00480DEB" w:rsidRDefault="007B336B" w:rsidP="007B336B">
            <w:pPr>
              <w:jc w:val="both"/>
              <w:rPr>
                <w:sz w:val="20"/>
              </w:rPr>
            </w:pPr>
            <w:r w:rsidRPr="00480DEB">
              <w:rPr>
                <w:sz w:val="20"/>
              </w:rPr>
              <w:t>(Myers J.)</w:t>
            </w:r>
          </w:p>
          <w:p w:rsidR="007B336B" w:rsidRPr="00480DEB" w:rsidRDefault="007B336B" w:rsidP="007B336B">
            <w:pPr>
              <w:jc w:val="both"/>
              <w:rPr>
                <w:sz w:val="20"/>
              </w:rPr>
            </w:pPr>
            <w:r w:rsidRPr="00480DEB">
              <w:rPr>
                <w:sz w:val="20"/>
              </w:rPr>
              <w:t>2015 BCSC 1884</w:t>
            </w:r>
          </w:p>
          <w:p w:rsidR="007B336B" w:rsidRPr="00480DEB" w:rsidRDefault="007B336B" w:rsidP="007B336B">
            <w:pPr>
              <w:jc w:val="both"/>
              <w:rPr>
                <w:sz w:val="20"/>
              </w:rPr>
            </w:pPr>
            <w:hyperlink r:id="rId30" w:history="1">
              <w:r w:rsidRPr="00480DEB">
                <w:rPr>
                  <w:rStyle w:val="Hyperlink"/>
                  <w:sz w:val="20"/>
                </w:rPr>
                <w:t>http://canlii.ca/t/glmgt</w:t>
              </w:r>
            </w:hyperlink>
          </w:p>
          <w:p w:rsidR="007B336B" w:rsidRPr="00480DEB" w:rsidRDefault="007B336B" w:rsidP="007B336B">
            <w:pPr>
              <w:jc w:val="both"/>
              <w:rPr>
                <w:sz w:val="20"/>
              </w:rPr>
            </w:pPr>
          </w:p>
        </w:tc>
        <w:tc>
          <w:tcPr>
            <w:tcW w:w="243" w:type="pct"/>
          </w:tcPr>
          <w:p w:rsidR="007B336B" w:rsidRPr="00480DEB" w:rsidRDefault="007B336B" w:rsidP="007B336B">
            <w:pPr>
              <w:jc w:val="both"/>
              <w:rPr>
                <w:sz w:val="20"/>
              </w:rPr>
            </w:pPr>
          </w:p>
        </w:tc>
        <w:tc>
          <w:tcPr>
            <w:tcW w:w="2330" w:type="pct"/>
          </w:tcPr>
          <w:p w:rsidR="007B336B" w:rsidRPr="00480DEB" w:rsidRDefault="007B336B" w:rsidP="007B336B">
            <w:pPr>
              <w:jc w:val="both"/>
              <w:rPr>
                <w:sz w:val="20"/>
              </w:rPr>
            </w:pPr>
            <w:r w:rsidRPr="00480DEB">
              <w:rPr>
                <w:sz w:val="20"/>
              </w:rPr>
              <w:t>Application allowed with costs</w:t>
            </w:r>
          </w:p>
          <w:p w:rsidR="007B336B" w:rsidRPr="00480DEB" w:rsidRDefault="007B336B" w:rsidP="007B336B">
            <w:pPr>
              <w:jc w:val="both"/>
              <w:rPr>
                <w:sz w:val="20"/>
              </w:rPr>
            </w:pPr>
          </w:p>
          <w:p w:rsidR="007B336B" w:rsidRPr="00480DEB" w:rsidRDefault="007B336B" w:rsidP="007B336B">
            <w:pPr>
              <w:jc w:val="both"/>
              <w:rPr>
                <w:sz w:val="20"/>
              </w:rPr>
            </w:pPr>
          </w:p>
        </w:tc>
      </w:tr>
      <w:tr w:rsidR="007B336B" w:rsidRPr="00480DEB" w:rsidTr="00E95A6A">
        <w:tc>
          <w:tcPr>
            <w:tcW w:w="2427" w:type="pct"/>
            <w:gridSpan w:val="2"/>
          </w:tcPr>
          <w:p w:rsidR="007B336B" w:rsidRPr="00480DEB" w:rsidRDefault="007B336B" w:rsidP="007B336B">
            <w:pPr>
              <w:jc w:val="both"/>
              <w:rPr>
                <w:sz w:val="20"/>
              </w:rPr>
            </w:pPr>
            <w:r w:rsidRPr="00480DEB">
              <w:rPr>
                <w:sz w:val="20"/>
              </w:rPr>
              <w:t>February 25, 2016</w:t>
            </w:r>
          </w:p>
          <w:p w:rsidR="007B336B" w:rsidRPr="00480DEB" w:rsidRDefault="007B336B" w:rsidP="007B336B">
            <w:pPr>
              <w:jc w:val="both"/>
              <w:rPr>
                <w:sz w:val="20"/>
              </w:rPr>
            </w:pPr>
            <w:r w:rsidRPr="00480DEB">
              <w:rPr>
                <w:sz w:val="20"/>
              </w:rPr>
              <w:t xml:space="preserve">Court of Appeal for British Columbia </w:t>
            </w:r>
          </w:p>
          <w:p w:rsidR="007B336B" w:rsidRPr="00480DEB" w:rsidRDefault="007B336B" w:rsidP="007B336B">
            <w:pPr>
              <w:jc w:val="both"/>
              <w:rPr>
                <w:sz w:val="20"/>
                <w:lang w:val="fr-CA"/>
              </w:rPr>
            </w:pPr>
            <w:r w:rsidRPr="00480DEB">
              <w:rPr>
                <w:sz w:val="20"/>
                <w:lang w:val="fr-CA"/>
              </w:rPr>
              <w:t>(Vancouver)</w:t>
            </w:r>
          </w:p>
          <w:p w:rsidR="007B336B" w:rsidRPr="00480DEB" w:rsidRDefault="007B336B" w:rsidP="007B336B">
            <w:pPr>
              <w:jc w:val="both"/>
              <w:rPr>
                <w:sz w:val="20"/>
                <w:lang w:val="fr-CA"/>
              </w:rPr>
            </w:pPr>
            <w:r w:rsidRPr="00480DEB">
              <w:rPr>
                <w:sz w:val="20"/>
                <w:lang w:val="fr-CA"/>
              </w:rPr>
              <w:t>(Donald J.)</w:t>
            </w:r>
          </w:p>
          <w:p w:rsidR="007B336B" w:rsidRPr="00480DEB" w:rsidRDefault="007B336B" w:rsidP="007B336B">
            <w:pPr>
              <w:jc w:val="both"/>
              <w:rPr>
                <w:sz w:val="20"/>
                <w:lang w:val="fr-CA"/>
              </w:rPr>
            </w:pPr>
            <w:r w:rsidRPr="00480DEB">
              <w:rPr>
                <w:sz w:val="20"/>
                <w:lang w:val="fr-CA"/>
              </w:rPr>
              <w:t>2016 BCCA 95</w:t>
            </w:r>
          </w:p>
          <w:p w:rsidR="007B336B" w:rsidRPr="00480DEB" w:rsidRDefault="007B336B" w:rsidP="007B336B">
            <w:pPr>
              <w:jc w:val="both"/>
              <w:rPr>
                <w:sz w:val="20"/>
                <w:lang w:val="fr-CA"/>
              </w:rPr>
            </w:pPr>
            <w:hyperlink r:id="rId31" w:history="1">
              <w:r w:rsidRPr="00480DEB">
                <w:rPr>
                  <w:rStyle w:val="Hyperlink"/>
                  <w:sz w:val="20"/>
                  <w:lang w:val="fr-CA"/>
                </w:rPr>
                <w:t>http://canlii.ca/t/gngg3</w:t>
              </w:r>
            </w:hyperlink>
          </w:p>
          <w:p w:rsidR="007B336B" w:rsidRPr="00480DEB" w:rsidRDefault="007B336B" w:rsidP="007B336B">
            <w:pPr>
              <w:jc w:val="both"/>
              <w:rPr>
                <w:sz w:val="20"/>
                <w:lang w:val="fr-CA"/>
              </w:rPr>
            </w:pPr>
          </w:p>
        </w:tc>
        <w:tc>
          <w:tcPr>
            <w:tcW w:w="243" w:type="pct"/>
          </w:tcPr>
          <w:p w:rsidR="007B336B" w:rsidRPr="00480DEB" w:rsidRDefault="007B336B" w:rsidP="007B336B">
            <w:pPr>
              <w:jc w:val="both"/>
              <w:rPr>
                <w:sz w:val="20"/>
                <w:lang w:val="fr-CA"/>
              </w:rPr>
            </w:pPr>
          </w:p>
        </w:tc>
        <w:tc>
          <w:tcPr>
            <w:tcW w:w="2330" w:type="pct"/>
          </w:tcPr>
          <w:p w:rsidR="007B336B" w:rsidRPr="00480DEB" w:rsidRDefault="007B336B" w:rsidP="007B336B">
            <w:pPr>
              <w:jc w:val="both"/>
              <w:rPr>
                <w:sz w:val="20"/>
              </w:rPr>
            </w:pPr>
            <w:r w:rsidRPr="00480DEB">
              <w:rPr>
                <w:sz w:val="20"/>
              </w:rPr>
              <w:t>Except for the amendment to the style of proceedings, the motion is dismissed with special costs awarded</w:t>
            </w:r>
          </w:p>
          <w:p w:rsidR="007B336B" w:rsidRPr="00480DEB" w:rsidRDefault="007B336B" w:rsidP="007B336B">
            <w:pPr>
              <w:jc w:val="both"/>
              <w:rPr>
                <w:sz w:val="20"/>
              </w:rPr>
            </w:pPr>
          </w:p>
        </w:tc>
      </w:tr>
      <w:tr w:rsidR="007B336B" w:rsidRPr="00480DEB" w:rsidTr="00E95A6A">
        <w:tc>
          <w:tcPr>
            <w:tcW w:w="2427" w:type="pct"/>
            <w:gridSpan w:val="2"/>
          </w:tcPr>
          <w:p w:rsidR="007B336B" w:rsidRPr="00480DEB" w:rsidRDefault="007B336B" w:rsidP="007B336B">
            <w:pPr>
              <w:jc w:val="both"/>
              <w:rPr>
                <w:sz w:val="20"/>
              </w:rPr>
            </w:pPr>
            <w:r w:rsidRPr="00480DEB">
              <w:rPr>
                <w:sz w:val="20"/>
              </w:rPr>
              <w:t>March 3, 2016</w:t>
            </w:r>
          </w:p>
          <w:p w:rsidR="007B336B" w:rsidRPr="00480DEB" w:rsidRDefault="007B336B" w:rsidP="007B336B">
            <w:pPr>
              <w:jc w:val="both"/>
              <w:rPr>
                <w:sz w:val="20"/>
              </w:rPr>
            </w:pPr>
            <w:r w:rsidRPr="00480DEB">
              <w:rPr>
                <w:sz w:val="20"/>
              </w:rPr>
              <w:t xml:space="preserve">Court of Appeal for British Columbia </w:t>
            </w:r>
          </w:p>
          <w:p w:rsidR="007B336B" w:rsidRPr="00480DEB" w:rsidRDefault="007B336B" w:rsidP="007B336B">
            <w:pPr>
              <w:jc w:val="both"/>
              <w:rPr>
                <w:sz w:val="20"/>
              </w:rPr>
            </w:pPr>
            <w:r w:rsidRPr="00480DEB">
              <w:rPr>
                <w:sz w:val="20"/>
              </w:rPr>
              <w:t>(Vancouver)</w:t>
            </w:r>
          </w:p>
          <w:p w:rsidR="007B336B" w:rsidRPr="00480DEB" w:rsidRDefault="007B336B" w:rsidP="007B336B">
            <w:pPr>
              <w:jc w:val="both"/>
              <w:rPr>
                <w:sz w:val="20"/>
              </w:rPr>
            </w:pPr>
            <w:r w:rsidRPr="00480DEB">
              <w:rPr>
                <w:sz w:val="20"/>
              </w:rPr>
              <w:t>(</w:t>
            </w:r>
            <w:proofErr w:type="spellStart"/>
            <w:r w:rsidRPr="00480DEB">
              <w:rPr>
                <w:sz w:val="20"/>
              </w:rPr>
              <w:t>MacKenzie</w:t>
            </w:r>
            <w:proofErr w:type="spellEnd"/>
            <w:r w:rsidRPr="00480DEB">
              <w:rPr>
                <w:sz w:val="20"/>
              </w:rPr>
              <w:t xml:space="preserve">, </w:t>
            </w:r>
            <w:proofErr w:type="spellStart"/>
            <w:r w:rsidRPr="00480DEB">
              <w:rPr>
                <w:sz w:val="20"/>
              </w:rPr>
              <w:t>Willcock</w:t>
            </w:r>
            <w:proofErr w:type="spellEnd"/>
            <w:r w:rsidRPr="00480DEB">
              <w:rPr>
                <w:sz w:val="20"/>
              </w:rPr>
              <w:t xml:space="preserve"> Peter, </w:t>
            </w:r>
            <w:proofErr w:type="spellStart"/>
            <w:r w:rsidRPr="00480DEB">
              <w:rPr>
                <w:sz w:val="20"/>
              </w:rPr>
              <w:t>Fenlon</w:t>
            </w:r>
            <w:proofErr w:type="spellEnd"/>
            <w:r w:rsidRPr="00480DEB">
              <w:rPr>
                <w:sz w:val="20"/>
              </w:rPr>
              <w:t xml:space="preserve"> JJ.A.)</w:t>
            </w:r>
          </w:p>
          <w:p w:rsidR="007B336B" w:rsidRPr="00480DEB" w:rsidRDefault="007B336B" w:rsidP="007B336B">
            <w:pPr>
              <w:jc w:val="both"/>
              <w:rPr>
                <w:sz w:val="20"/>
              </w:rPr>
            </w:pPr>
            <w:r w:rsidRPr="00480DEB">
              <w:rPr>
                <w:sz w:val="20"/>
              </w:rPr>
              <w:t>2016 BCCA 110; CA 43083</w:t>
            </w:r>
          </w:p>
          <w:p w:rsidR="007B336B" w:rsidRPr="00480DEB" w:rsidRDefault="007B336B" w:rsidP="007B336B">
            <w:pPr>
              <w:jc w:val="both"/>
              <w:rPr>
                <w:sz w:val="20"/>
              </w:rPr>
            </w:pPr>
            <w:hyperlink r:id="rId32" w:history="1">
              <w:r w:rsidRPr="00480DEB">
                <w:rPr>
                  <w:rStyle w:val="Hyperlink"/>
                  <w:sz w:val="20"/>
                </w:rPr>
                <w:t>http://canlii.ca/t/gp3z6</w:t>
              </w:r>
            </w:hyperlink>
          </w:p>
          <w:p w:rsidR="007B336B" w:rsidRPr="00480DEB" w:rsidRDefault="007B336B" w:rsidP="007B336B">
            <w:pPr>
              <w:jc w:val="both"/>
              <w:rPr>
                <w:sz w:val="20"/>
              </w:rPr>
            </w:pPr>
          </w:p>
        </w:tc>
        <w:tc>
          <w:tcPr>
            <w:tcW w:w="243" w:type="pct"/>
          </w:tcPr>
          <w:p w:rsidR="007B336B" w:rsidRPr="00480DEB" w:rsidRDefault="007B336B" w:rsidP="007B336B">
            <w:pPr>
              <w:jc w:val="both"/>
              <w:rPr>
                <w:sz w:val="20"/>
              </w:rPr>
            </w:pPr>
          </w:p>
        </w:tc>
        <w:tc>
          <w:tcPr>
            <w:tcW w:w="2330" w:type="pct"/>
          </w:tcPr>
          <w:p w:rsidR="007B336B" w:rsidRPr="00480DEB" w:rsidRDefault="007B336B" w:rsidP="007B336B">
            <w:pPr>
              <w:jc w:val="both"/>
              <w:rPr>
                <w:sz w:val="20"/>
              </w:rPr>
            </w:pPr>
            <w:r w:rsidRPr="00480DEB">
              <w:rPr>
                <w:sz w:val="20"/>
              </w:rPr>
              <w:t>Appeal dismissed with costs</w:t>
            </w:r>
          </w:p>
          <w:p w:rsidR="007B336B" w:rsidRPr="00480DEB" w:rsidRDefault="007B336B" w:rsidP="007B336B">
            <w:pPr>
              <w:jc w:val="both"/>
              <w:rPr>
                <w:sz w:val="20"/>
              </w:rPr>
            </w:pPr>
          </w:p>
        </w:tc>
      </w:tr>
      <w:tr w:rsidR="007B336B" w:rsidRPr="00480DEB" w:rsidTr="00E95A6A">
        <w:tc>
          <w:tcPr>
            <w:tcW w:w="2427" w:type="pct"/>
            <w:gridSpan w:val="2"/>
          </w:tcPr>
          <w:p w:rsidR="007B336B" w:rsidRPr="00480DEB" w:rsidRDefault="007B336B" w:rsidP="007B336B">
            <w:pPr>
              <w:jc w:val="both"/>
              <w:rPr>
                <w:sz w:val="20"/>
              </w:rPr>
            </w:pPr>
            <w:r w:rsidRPr="00480DEB">
              <w:rPr>
                <w:sz w:val="20"/>
              </w:rPr>
              <w:t>May 3, 2016</w:t>
            </w:r>
          </w:p>
          <w:p w:rsidR="007B336B" w:rsidRPr="00480DEB" w:rsidRDefault="007B336B" w:rsidP="007B336B">
            <w:pPr>
              <w:jc w:val="both"/>
              <w:rPr>
                <w:sz w:val="20"/>
              </w:rPr>
            </w:pPr>
            <w:r w:rsidRPr="00480DEB">
              <w:rPr>
                <w:sz w:val="20"/>
              </w:rPr>
              <w:t>Supreme Court of Canada</w:t>
            </w:r>
          </w:p>
          <w:p w:rsidR="007B336B" w:rsidRPr="00480DEB" w:rsidRDefault="007B336B" w:rsidP="007B336B">
            <w:pPr>
              <w:jc w:val="both"/>
              <w:rPr>
                <w:sz w:val="20"/>
              </w:rPr>
            </w:pPr>
          </w:p>
        </w:tc>
        <w:tc>
          <w:tcPr>
            <w:tcW w:w="243" w:type="pct"/>
          </w:tcPr>
          <w:p w:rsidR="007B336B" w:rsidRPr="00480DEB" w:rsidRDefault="007B336B" w:rsidP="007B336B">
            <w:pPr>
              <w:jc w:val="both"/>
              <w:rPr>
                <w:sz w:val="20"/>
              </w:rPr>
            </w:pPr>
          </w:p>
        </w:tc>
        <w:tc>
          <w:tcPr>
            <w:tcW w:w="2330" w:type="pct"/>
          </w:tcPr>
          <w:p w:rsidR="007B336B" w:rsidRPr="00480DEB" w:rsidRDefault="007B336B" w:rsidP="007B336B">
            <w:pPr>
              <w:jc w:val="both"/>
              <w:rPr>
                <w:sz w:val="20"/>
              </w:rPr>
            </w:pPr>
            <w:r w:rsidRPr="00480DEB">
              <w:rPr>
                <w:sz w:val="20"/>
              </w:rPr>
              <w:t>Application for leave to appeal filed</w:t>
            </w:r>
          </w:p>
        </w:tc>
      </w:tr>
      <w:tr w:rsidR="007B336B" w:rsidRPr="00480DEB" w:rsidTr="00E95A6A">
        <w:tc>
          <w:tcPr>
            <w:tcW w:w="2427" w:type="pct"/>
            <w:gridSpan w:val="2"/>
          </w:tcPr>
          <w:p w:rsidR="007B336B" w:rsidRPr="00480DEB" w:rsidRDefault="007B336B" w:rsidP="007B336B">
            <w:pPr>
              <w:jc w:val="both"/>
              <w:rPr>
                <w:sz w:val="20"/>
              </w:rPr>
            </w:pPr>
            <w:r w:rsidRPr="00480DEB">
              <w:rPr>
                <w:sz w:val="20"/>
              </w:rPr>
              <w:t>May 16, 2016</w:t>
            </w:r>
          </w:p>
          <w:p w:rsidR="007B336B" w:rsidRPr="00480DEB" w:rsidRDefault="007B336B" w:rsidP="007B336B">
            <w:pPr>
              <w:jc w:val="both"/>
              <w:rPr>
                <w:sz w:val="20"/>
              </w:rPr>
            </w:pPr>
            <w:r w:rsidRPr="00480DEB">
              <w:rPr>
                <w:sz w:val="20"/>
              </w:rPr>
              <w:t>Supreme Court of Canada</w:t>
            </w:r>
          </w:p>
        </w:tc>
        <w:tc>
          <w:tcPr>
            <w:tcW w:w="243" w:type="pct"/>
          </w:tcPr>
          <w:p w:rsidR="007B336B" w:rsidRPr="00480DEB" w:rsidRDefault="007B336B" w:rsidP="007B336B">
            <w:pPr>
              <w:jc w:val="both"/>
              <w:rPr>
                <w:sz w:val="20"/>
              </w:rPr>
            </w:pPr>
          </w:p>
        </w:tc>
        <w:tc>
          <w:tcPr>
            <w:tcW w:w="2330" w:type="pct"/>
          </w:tcPr>
          <w:p w:rsidR="007B336B" w:rsidRPr="00480DEB" w:rsidRDefault="007B336B" w:rsidP="007B336B">
            <w:pPr>
              <w:jc w:val="both"/>
              <w:rPr>
                <w:sz w:val="20"/>
              </w:rPr>
            </w:pPr>
            <w:r w:rsidRPr="00480DEB">
              <w:rPr>
                <w:sz w:val="20"/>
              </w:rPr>
              <w:t>Motion for an extension of time to serve and file the application for leave to appeal filed</w:t>
            </w:r>
          </w:p>
        </w:tc>
      </w:tr>
    </w:tbl>
    <w:p w:rsidR="007B336B" w:rsidRPr="00480DEB" w:rsidRDefault="007B336B" w:rsidP="007B336B">
      <w:pPr>
        <w:jc w:val="both"/>
        <w:rPr>
          <w:sz w:val="20"/>
        </w:rPr>
      </w:pPr>
    </w:p>
    <w:p w:rsidR="007B336B" w:rsidRPr="00480DEB" w:rsidRDefault="007B336B" w:rsidP="007B33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336B" w:rsidRPr="00480DEB" w:rsidTr="00E95A6A">
        <w:tc>
          <w:tcPr>
            <w:tcW w:w="543" w:type="pct"/>
          </w:tcPr>
          <w:p w:rsidR="007B336B" w:rsidRPr="00480DEB" w:rsidRDefault="007B336B" w:rsidP="007B336B">
            <w:pPr>
              <w:jc w:val="both"/>
              <w:rPr>
                <w:sz w:val="20"/>
                <w:lang w:val="fr-CA"/>
              </w:rPr>
            </w:pPr>
            <w:r w:rsidRPr="00480DEB">
              <w:rPr>
                <w:rStyle w:val="SCCFileNumberChar"/>
                <w:sz w:val="20"/>
                <w:szCs w:val="20"/>
                <w:lang w:val="fr-CA"/>
              </w:rPr>
              <w:t>37006</w:t>
            </w:r>
          </w:p>
        </w:tc>
        <w:tc>
          <w:tcPr>
            <w:tcW w:w="4457" w:type="pct"/>
            <w:gridSpan w:val="3"/>
          </w:tcPr>
          <w:p w:rsidR="007B336B" w:rsidRPr="00480DEB" w:rsidRDefault="007B336B" w:rsidP="007B336B">
            <w:pPr>
              <w:pStyle w:val="SCCLsocParty"/>
              <w:jc w:val="both"/>
              <w:rPr>
                <w:b/>
                <w:sz w:val="20"/>
                <w:szCs w:val="20"/>
                <w:lang w:val="en-US"/>
              </w:rPr>
            </w:pPr>
            <w:proofErr w:type="spellStart"/>
            <w:r w:rsidRPr="00480DEB">
              <w:rPr>
                <w:b/>
                <w:sz w:val="20"/>
                <w:szCs w:val="20"/>
                <w:lang w:val="en-US"/>
              </w:rPr>
              <w:t>Keehong</w:t>
            </w:r>
            <w:proofErr w:type="spellEnd"/>
            <w:r w:rsidRPr="00480DEB">
              <w:rPr>
                <w:b/>
                <w:sz w:val="20"/>
                <w:szCs w:val="20"/>
                <w:lang w:val="en-US"/>
              </w:rPr>
              <w:t xml:space="preserve"> Song, </w:t>
            </w:r>
            <w:proofErr w:type="spellStart"/>
            <w:r w:rsidRPr="00480DEB">
              <w:rPr>
                <w:b/>
                <w:sz w:val="20"/>
                <w:szCs w:val="20"/>
                <w:lang w:val="en-US"/>
              </w:rPr>
              <w:t>Seungdoe</w:t>
            </w:r>
            <w:proofErr w:type="spellEnd"/>
            <w:r w:rsidRPr="00480DEB">
              <w:rPr>
                <w:b/>
                <w:sz w:val="20"/>
                <w:szCs w:val="20"/>
                <w:lang w:val="en-US"/>
              </w:rPr>
              <w:t xml:space="preserve"> Song c. B.C. Human Rights Tribunal</w:t>
            </w:r>
          </w:p>
          <w:p w:rsidR="007B336B" w:rsidRPr="00480DEB" w:rsidRDefault="007B336B" w:rsidP="007B336B">
            <w:pPr>
              <w:jc w:val="both"/>
              <w:rPr>
                <w:sz w:val="20"/>
                <w:lang w:val="fr-CA"/>
              </w:rPr>
            </w:pPr>
            <w:r w:rsidRPr="00480DEB">
              <w:rPr>
                <w:sz w:val="20"/>
                <w:lang w:val="fr-CA"/>
              </w:rPr>
              <w:t>(C.-B.) (Civile) (Sur autorisation)</w:t>
            </w:r>
          </w:p>
        </w:tc>
      </w:tr>
      <w:tr w:rsidR="007B336B" w:rsidRPr="00480DEB" w:rsidTr="00E95A6A">
        <w:tc>
          <w:tcPr>
            <w:tcW w:w="5000" w:type="pct"/>
            <w:gridSpan w:val="4"/>
          </w:tcPr>
          <w:p w:rsidR="007B336B" w:rsidRPr="00480DEB" w:rsidRDefault="007B336B" w:rsidP="007B336B">
            <w:pPr>
              <w:jc w:val="both"/>
              <w:rPr>
                <w:sz w:val="20"/>
                <w:lang w:val="fr-CA"/>
              </w:rPr>
            </w:pPr>
            <w:r w:rsidRPr="00480DEB">
              <w:rPr>
                <w:sz w:val="20"/>
                <w:lang w:val="fr-CA"/>
              </w:rPr>
              <w:t>Procédure civile – Appels –</w:t>
            </w:r>
            <w:r w:rsidRPr="00480DEB">
              <w:rPr>
                <w:iCs/>
                <w:sz w:val="20"/>
                <w:lang w:val="fr-CA"/>
              </w:rPr>
              <w:t xml:space="preserve"> Appel d’une ordonnance rendue par un juge en cabinet qui a radié certaines parties d’un avis d’action civile que les demandeurs avaient déposé contre un club de golf </w:t>
            </w:r>
            <w:r w:rsidRPr="00480DEB">
              <w:rPr>
                <w:sz w:val="20"/>
                <w:lang w:val="fr-CA"/>
              </w:rPr>
              <w:t>– Un tiers peut-il, sans devenir intervenant ou partie à l’action, déposer une requête dans une action civile? – Que signifie [</w:t>
            </w:r>
            <w:r w:rsidRPr="00480DEB">
              <w:rPr>
                <w:smallCaps/>
                <w:sz w:val="20"/>
                <w:lang w:val="fr-CA"/>
              </w:rPr>
              <w:t>traduction</w:t>
            </w:r>
            <w:r w:rsidRPr="00480DEB">
              <w:rPr>
                <w:sz w:val="20"/>
                <w:lang w:val="fr-CA"/>
              </w:rPr>
              <w:t xml:space="preserve">] « la qualité limitée pour agir »? – Comment l’ancien propriétaire peut-il se voir conférer le pouvoir d’exercer le droit de représenter le nouveau propriétaire alors que la poursuite était dirigée contre l’entreprise? – Un tiers peut-il présenter une requête en radiation d’une action civile au motif qu’il s’agirait d’une contestation indirecte alors qu’une suspension de l’instance avait été offerte? – La cour a-t-elle le pouvoir d’accorder des dépens spéciaux à un tiers? – La Cour d’appel peut-elle conférer au tiers le statut d’intervenant alors que le tiers n’a jamais présenté de demande en ce sens devant les juridictions inférieures? – La cour peut-elle exercer ses fonctions de manière judiciaire alors que la compétence matérielle a été contestée? – Le même procureur peut-il agir à la fois comme procureur et témoin? – Le tribunal administratif </w:t>
            </w:r>
            <w:proofErr w:type="spellStart"/>
            <w:r w:rsidRPr="00480DEB">
              <w:rPr>
                <w:sz w:val="20"/>
                <w:lang w:val="fr-CA"/>
              </w:rPr>
              <w:t>a-t-il</w:t>
            </w:r>
            <w:proofErr w:type="spellEnd"/>
            <w:r w:rsidRPr="00480DEB">
              <w:rPr>
                <w:sz w:val="20"/>
                <w:lang w:val="fr-CA"/>
              </w:rPr>
              <w:t xml:space="preserve"> compétence à l’égard d’une transgression civile? – Y a-t-il eu atteinte à l’application régulière de la loi?</w:t>
            </w:r>
          </w:p>
        </w:tc>
      </w:tr>
      <w:tr w:rsidR="007B336B" w:rsidRPr="00480DEB" w:rsidTr="00E95A6A">
        <w:tc>
          <w:tcPr>
            <w:tcW w:w="5000" w:type="pct"/>
            <w:gridSpan w:val="4"/>
          </w:tcPr>
          <w:p w:rsidR="007B336B" w:rsidRPr="00480DEB" w:rsidRDefault="007B336B" w:rsidP="007B336B">
            <w:pPr>
              <w:jc w:val="both"/>
              <w:rPr>
                <w:sz w:val="20"/>
                <w:lang w:val="fr-CA"/>
              </w:rPr>
            </w:pPr>
          </w:p>
        </w:tc>
      </w:tr>
      <w:tr w:rsidR="007B336B" w:rsidRPr="00480DEB" w:rsidTr="00E95A6A">
        <w:tc>
          <w:tcPr>
            <w:tcW w:w="5000" w:type="pct"/>
            <w:gridSpan w:val="4"/>
          </w:tcPr>
          <w:p w:rsidR="007B336B" w:rsidRPr="00480DEB" w:rsidRDefault="007B336B" w:rsidP="007B336B">
            <w:pPr>
              <w:jc w:val="both"/>
              <w:rPr>
                <w:iCs/>
                <w:sz w:val="20"/>
                <w:lang w:val="fr-CA"/>
              </w:rPr>
            </w:pPr>
            <w:r w:rsidRPr="00480DEB">
              <w:rPr>
                <w:iCs/>
                <w:sz w:val="20"/>
                <w:lang w:val="fr-CA"/>
              </w:rPr>
              <w:t>Les demandeurs avaient déposé une plainte relative aux droits de la personne contre un club de golf, alléguant que le club de golf leur avait refusé l’accès en raison de leur race ou de leur origine ethnique. Le tribunal des droits de la personne a rejeté la plainte. Les demandeurs ont intenté l’action sous-jacente dans laquelle ils ont sollicité des dommages-intérêts et d’autres réparations contre le club de golf. Ils n’ont pas désigné le tribunal administratif comme partie. Toutefois, dans leur acte de procédure ils ont allégué que le tribunal administratif avait agi fautivement. Le tribunal administratif a par requête demandé la radiation de ces parties de l’action des demandeurs et le juge en cabinet a accueilli la requête. Le juge Donald a accueilli la requête en partie. La Cour d’appel a rejeté l’appel.</w:t>
            </w:r>
          </w:p>
          <w:p w:rsidR="007B336B" w:rsidRPr="00480DEB" w:rsidRDefault="007B336B" w:rsidP="007B336B">
            <w:pPr>
              <w:jc w:val="both"/>
              <w:rPr>
                <w:sz w:val="20"/>
                <w:lang w:val="fr-CA"/>
              </w:rPr>
            </w:pPr>
          </w:p>
        </w:tc>
      </w:tr>
      <w:tr w:rsidR="007B336B" w:rsidRPr="00480DEB" w:rsidTr="00E95A6A">
        <w:tc>
          <w:tcPr>
            <w:tcW w:w="2427" w:type="pct"/>
            <w:gridSpan w:val="2"/>
          </w:tcPr>
          <w:p w:rsidR="007B336B" w:rsidRPr="00480DEB" w:rsidRDefault="007B336B" w:rsidP="007B336B">
            <w:pPr>
              <w:jc w:val="both"/>
              <w:rPr>
                <w:sz w:val="20"/>
                <w:lang w:val="fr-CA"/>
              </w:rPr>
            </w:pPr>
            <w:r w:rsidRPr="00480DEB">
              <w:rPr>
                <w:sz w:val="20"/>
                <w:lang w:val="fr-CA"/>
              </w:rPr>
              <w:lastRenderedPageBreak/>
              <w:t>18 août 2015</w:t>
            </w:r>
          </w:p>
          <w:p w:rsidR="007B336B" w:rsidRPr="00480DEB" w:rsidRDefault="007B336B" w:rsidP="007B336B">
            <w:pPr>
              <w:jc w:val="both"/>
              <w:rPr>
                <w:sz w:val="20"/>
                <w:lang w:val="fr-CA"/>
              </w:rPr>
            </w:pPr>
            <w:r w:rsidRPr="00480DEB">
              <w:rPr>
                <w:sz w:val="20"/>
                <w:lang w:val="fr-CA"/>
              </w:rPr>
              <w:t xml:space="preserve">Cour suprême de la Colombie-Britannique </w:t>
            </w:r>
          </w:p>
          <w:p w:rsidR="007B336B" w:rsidRPr="00480DEB" w:rsidRDefault="007B336B" w:rsidP="007B336B">
            <w:pPr>
              <w:jc w:val="both"/>
              <w:rPr>
                <w:sz w:val="20"/>
                <w:lang w:val="fr-CA"/>
              </w:rPr>
            </w:pPr>
            <w:r w:rsidRPr="00480DEB">
              <w:rPr>
                <w:sz w:val="20"/>
                <w:lang w:val="fr-CA"/>
              </w:rPr>
              <w:t>(Juge Myers)</w:t>
            </w:r>
          </w:p>
          <w:p w:rsidR="007B336B" w:rsidRPr="00480DEB" w:rsidRDefault="007B336B" w:rsidP="007B336B">
            <w:pPr>
              <w:jc w:val="both"/>
              <w:rPr>
                <w:sz w:val="20"/>
                <w:lang w:val="fr-CA"/>
              </w:rPr>
            </w:pPr>
            <w:r w:rsidRPr="00480DEB">
              <w:rPr>
                <w:sz w:val="20"/>
                <w:lang w:val="fr-CA"/>
              </w:rPr>
              <w:t>2015 BCSC 1884</w:t>
            </w:r>
          </w:p>
          <w:p w:rsidR="007B336B" w:rsidRPr="00480DEB" w:rsidRDefault="007B336B" w:rsidP="007B336B">
            <w:pPr>
              <w:jc w:val="both"/>
              <w:rPr>
                <w:sz w:val="20"/>
                <w:lang w:val="fr-CA"/>
              </w:rPr>
            </w:pPr>
            <w:hyperlink r:id="rId33" w:history="1">
              <w:r w:rsidRPr="00480DEB">
                <w:rPr>
                  <w:rStyle w:val="Hyperlink"/>
                  <w:sz w:val="20"/>
                  <w:lang w:val="fr-CA"/>
                </w:rPr>
                <w:t>http://canlii.ca/t/glmgt</w:t>
              </w:r>
            </w:hyperlink>
          </w:p>
          <w:p w:rsidR="007B336B" w:rsidRPr="00480DEB" w:rsidRDefault="007B336B" w:rsidP="007B336B">
            <w:pPr>
              <w:jc w:val="both"/>
              <w:rPr>
                <w:sz w:val="20"/>
                <w:lang w:val="fr-CA"/>
              </w:rPr>
            </w:pPr>
          </w:p>
        </w:tc>
        <w:tc>
          <w:tcPr>
            <w:tcW w:w="243" w:type="pct"/>
          </w:tcPr>
          <w:p w:rsidR="007B336B" w:rsidRPr="00480DEB" w:rsidRDefault="007B336B" w:rsidP="007B336B">
            <w:pPr>
              <w:jc w:val="both"/>
              <w:rPr>
                <w:sz w:val="20"/>
                <w:lang w:val="fr-CA"/>
              </w:rPr>
            </w:pPr>
          </w:p>
        </w:tc>
        <w:tc>
          <w:tcPr>
            <w:tcW w:w="2330" w:type="pct"/>
          </w:tcPr>
          <w:p w:rsidR="007B336B" w:rsidRPr="00480DEB" w:rsidRDefault="007B336B" w:rsidP="007B336B">
            <w:pPr>
              <w:jc w:val="both"/>
              <w:rPr>
                <w:sz w:val="20"/>
                <w:lang w:val="fr-CA"/>
              </w:rPr>
            </w:pPr>
            <w:r w:rsidRPr="00480DEB">
              <w:rPr>
                <w:sz w:val="20"/>
                <w:lang w:val="fr-CA"/>
              </w:rPr>
              <w:t>Jugement accueillant la requête avec dépens</w:t>
            </w:r>
          </w:p>
          <w:p w:rsidR="007B336B" w:rsidRPr="00480DEB" w:rsidRDefault="007B336B" w:rsidP="007B336B">
            <w:pPr>
              <w:jc w:val="both"/>
              <w:rPr>
                <w:sz w:val="20"/>
                <w:lang w:val="fr-CA"/>
              </w:rPr>
            </w:pPr>
          </w:p>
        </w:tc>
      </w:tr>
      <w:tr w:rsidR="007B336B" w:rsidRPr="00480DEB" w:rsidTr="00E95A6A">
        <w:tc>
          <w:tcPr>
            <w:tcW w:w="2427" w:type="pct"/>
            <w:gridSpan w:val="2"/>
          </w:tcPr>
          <w:p w:rsidR="007B336B" w:rsidRPr="00480DEB" w:rsidRDefault="007B336B" w:rsidP="007B336B">
            <w:pPr>
              <w:jc w:val="both"/>
              <w:rPr>
                <w:sz w:val="20"/>
                <w:lang w:val="fr-CA"/>
              </w:rPr>
            </w:pPr>
            <w:r w:rsidRPr="00480DEB">
              <w:rPr>
                <w:sz w:val="20"/>
                <w:lang w:val="fr-CA"/>
              </w:rPr>
              <w:t>25 février 2016</w:t>
            </w:r>
          </w:p>
          <w:p w:rsidR="007B336B" w:rsidRPr="00480DEB" w:rsidRDefault="007B336B" w:rsidP="007B336B">
            <w:pPr>
              <w:jc w:val="both"/>
              <w:rPr>
                <w:sz w:val="20"/>
                <w:lang w:val="fr-CA"/>
              </w:rPr>
            </w:pPr>
            <w:r w:rsidRPr="00480DEB">
              <w:rPr>
                <w:sz w:val="20"/>
                <w:lang w:val="fr-CA"/>
              </w:rPr>
              <w:t xml:space="preserve">Cour d’appel de la Colombie-Britannique </w:t>
            </w:r>
          </w:p>
          <w:p w:rsidR="007B336B" w:rsidRPr="00480DEB" w:rsidRDefault="007B336B" w:rsidP="007B336B">
            <w:pPr>
              <w:jc w:val="both"/>
              <w:rPr>
                <w:sz w:val="20"/>
                <w:lang w:val="fr-CA"/>
              </w:rPr>
            </w:pPr>
            <w:r w:rsidRPr="00480DEB">
              <w:rPr>
                <w:sz w:val="20"/>
                <w:lang w:val="fr-CA"/>
              </w:rPr>
              <w:t>(Vancouver)</w:t>
            </w:r>
          </w:p>
          <w:p w:rsidR="007B336B" w:rsidRPr="00480DEB" w:rsidRDefault="007B336B" w:rsidP="007B336B">
            <w:pPr>
              <w:jc w:val="both"/>
              <w:rPr>
                <w:sz w:val="20"/>
                <w:lang w:val="fr-CA"/>
              </w:rPr>
            </w:pPr>
            <w:r w:rsidRPr="00480DEB">
              <w:rPr>
                <w:sz w:val="20"/>
                <w:lang w:val="fr-CA"/>
              </w:rPr>
              <w:t>(Juge Donald)</w:t>
            </w:r>
          </w:p>
          <w:p w:rsidR="007B336B" w:rsidRPr="00480DEB" w:rsidRDefault="007B336B" w:rsidP="007B336B">
            <w:pPr>
              <w:jc w:val="both"/>
              <w:rPr>
                <w:sz w:val="20"/>
                <w:lang w:val="fr-CA"/>
              </w:rPr>
            </w:pPr>
            <w:r w:rsidRPr="00480DEB">
              <w:rPr>
                <w:sz w:val="20"/>
                <w:lang w:val="fr-CA"/>
              </w:rPr>
              <w:t>2016 BCCA 95</w:t>
            </w:r>
          </w:p>
          <w:p w:rsidR="007B336B" w:rsidRPr="00480DEB" w:rsidRDefault="007B336B" w:rsidP="007B336B">
            <w:pPr>
              <w:jc w:val="both"/>
              <w:rPr>
                <w:sz w:val="20"/>
                <w:lang w:val="fr-CA"/>
              </w:rPr>
            </w:pPr>
            <w:hyperlink r:id="rId34" w:history="1">
              <w:r w:rsidRPr="00480DEB">
                <w:rPr>
                  <w:rStyle w:val="Hyperlink"/>
                  <w:sz w:val="20"/>
                  <w:lang w:val="fr-CA"/>
                </w:rPr>
                <w:t>http://canlii.ca/t/gngg3</w:t>
              </w:r>
            </w:hyperlink>
          </w:p>
          <w:p w:rsidR="007B336B" w:rsidRPr="00480DEB" w:rsidRDefault="007B336B" w:rsidP="007B336B">
            <w:pPr>
              <w:jc w:val="both"/>
              <w:rPr>
                <w:sz w:val="20"/>
                <w:lang w:val="fr-CA"/>
              </w:rPr>
            </w:pPr>
          </w:p>
        </w:tc>
        <w:tc>
          <w:tcPr>
            <w:tcW w:w="243" w:type="pct"/>
          </w:tcPr>
          <w:p w:rsidR="007B336B" w:rsidRPr="00480DEB" w:rsidRDefault="007B336B" w:rsidP="007B336B">
            <w:pPr>
              <w:jc w:val="both"/>
              <w:rPr>
                <w:sz w:val="20"/>
                <w:lang w:val="fr-CA"/>
              </w:rPr>
            </w:pPr>
          </w:p>
        </w:tc>
        <w:tc>
          <w:tcPr>
            <w:tcW w:w="2330" w:type="pct"/>
          </w:tcPr>
          <w:p w:rsidR="007B336B" w:rsidRPr="00480DEB" w:rsidRDefault="007B336B" w:rsidP="007B336B">
            <w:pPr>
              <w:jc w:val="both"/>
              <w:rPr>
                <w:sz w:val="20"/>
                <w:lang w:val="fr-CA"/>
              </w:rPr>
            </w:pPr>
            <w:r w:rsidRPr="00480DEB">
              <w:rPr>
                <w:sz w:val="20"/>
                <w:lang w:val="fr-CA"/>
              </w:rPr>
              <w:t>Rejet de la requête avec dépens spéciaux, à l’exception de la modification de l’intitulé de la cause</w:t>
            </w:r>
          </w:p>
          <w:p w:rsidR="007B336B" w:rsidRPr="00480DEB" w:rsidRDefault="007B336B" w:rsidP="007B336B">
            <w:pPr>
              <w:jc w:val="both"/>
              <w:rPr>
                <w:sz w:val="20"/>
                <w:lang w:val="fr-CA"/>
              </w:rPr>
            </w:pPr>
          </w:p>
        </w:tc>
      </w:tr>
      <w:tr w:rsidR="007B336B" w:rsidRPr="00480DEB" w:rsidTr="00E95A6A">
        <w:tc>
          <w:tcPr>
            <w:tcW w:w="2427" w:type="pct"/>
            <w:gridSpan w:val="2"/>
          </w:tcPr>
          <w:p w:rsidR="007B336B" w:rsidRPr="00480DEB" w:rsidRDefault="007B336B" w:rsidP="007B336B">
            <w:pPr>
              <w:jc w:val="both"/>
              <w:rPr>
                <w:sz w:val="20"/>
                <w:lang w:val="fr-CA"/>
              </w:rPr>
            </w:pPr>
            <w:r w:rsidRPr="00480DEB">
              <w:rPr>
                <w:sz w:val="20"/>
                <w:lang w:val="fr-CA"/>
              </w:rPr>
              <w:t>3 mars 2016</w:t>
            </w:r>
          </w:p>
          <w:p w:rsidR="007B336B" w:rsidRPr="00480DEB" w:rsidRDefault="007B336B" w:rsidP="007B336B">
            <w:pPr>
              <w:jc w:val="both"/>
              <w:rPr>
                <w:sz w:val="20"/>
                <w:lang w:val="fr-CA"/>
              </w:rPr>
            </w:pPr>
            <w:r w:rsidRPr="00480DEB">
              <w:rPr>
                <w:sz w:val="20"/>
                <w:lang w:val="fr-CA"/>
              </w:rPr>
              <w:t xml:space="preserve">Cour d’appel de la Colombie-Britannique </w:t>
            </w:r>
          </w:p>
          <w:p w:rsidR="007B336B" w:rsidRPr="00480DEB" w:rsidRDefault="007B336B" w:rsidP="007B336B">
            <w:pPr>
              <w:jc w:val="both"/>
              <w:rPr>
                <w:sz w:val="20"/>
                <w:lang w:val="fr-CA"/>
              </w:rPr>
            </w:pPr>
            <w:r w:rsidRPr="00480DEB">
              <w:rPr>
                <w:sz w:val="20"/>
                <w:lang w:val="fr-CA"/>
              </w:rPr>
              <w:t>(Vancouver)</w:t>
            </w:r>
          </w:p>
          <w:p w:rsidR="007B336B" w:rsidRPr="00480DEB" w:rsidRDefault="007B336B" w:rsidP="007B336B">
            <w:pPr>
              <w:jc w:val="both"/>
              <w:rPr>
                <w:sz w:val="20"/>
                <w:lang w:val="fr-CA"/>
              </w:rPr>
            </w:pPr>
            <w:r w:rsidRPr="00480DEB">
              <w:rPr>
                <w:sz w:val="20"/>
                <w:lang w:val="fr-CA"/>
              </w:rPr>
              <w:t>(Juges MacKenzie, Willcock Peter et Fenlon)</w:t>
            </w:r>
          </w:p>
          <w:p w:rsidR="007B336B" w:rsidRPr="00480DEB" w:rsidRDefault="007B336B" w:rsidP="007B336B">
            <w:pPr>
              <w:jc w:val="both"/>
              <w:rPr>
                <w:sz w:val="20"/>
              </w:rPr>
            </w:pPr>
            <w:r w:rsidRPr="00480DEB">
              <w:rPr>
                <w:sz w:val="20"/>
              </w:rPr>
              <w:t>2016 BCCA 110; CA 43083</w:t>
            </w:r>
          </w:p>
          <w:p w:rsidR="007B336B" w:rsidRPr="00480DEB" w:rsidRDefault="007B336B" w:rsidP="007B336B">
            <w:pPr>
              <w:jc w:val="both"/>
              <w:rPr>
                <w:sz w:val="20"/>
              </w:rPr>
            </w:pPr>
            <w:hyperlink r:id="rId35" w:history="1">
              <w:r w:rsidRPr="00480DEB">
                <w:rPr>
                  <w:rStyle w:val="Hyperlink"/>
                  <w:sz w:val="20"/>
                </w:rPr>
                <w:t>http://canlii.ca/t/gp3z6</w:t>
              </w:r>
            </w:hyperlink>
          </w:p>
          <w:p w:rsidR="007B336B" w:rsidRPr="00480DEB" w:rsidRDefault="007B336B" w:rsidP="007B336B">
            <w:pPr>
              <w:jc w:val="both"/>
              <w:rPr>
                <w:sz w:val="20"/>
              </w:rPr>
            </w:pPr>
          </w:p>
        </w:tc>
        <w:tc>
          <w:tcPr>
            <w:tcW w:w="243" w:type="pct"/>
          </w:tcPr>
          <w:p w:rsidR="007B336B" w:rsidRPr="00480DEB" w:rsidRDefault="007B336B" w:rsidP="007B336B">
            <w:pPr>
              <w:jc w:val="both"/>
              <w:rPr>
                <w:sz w:val="20"/>
              </w:rPr>
            </w:pPr>
          </w:p>
        </w:tc>
        <w:tc>
          <w:tcPr>
            <w:tcW w:w="2330" w:type="pct"/>
          </w:tcPr>
          <w:p w:rsidR="007B336B" w:rsidRPr="00480DEB" w:rsidRDefault="007B336B" w:rsidP="007B336B">
            <w:pPr>
              <w:jc w:val="both"/>
              <w:rPr>
                <w:sz w:val="20"/>
                <w:lang w:val="fr-CA"/>
              </w:rPr>
            </w:pPr>
            <w:r w:rsidRPr="00480DEB">
              <w:rPr>
                <w:sz w:val="20"/>
                <w:lang w:val="fr-CA"/>
              </w:rPr>
              <w:t>Rejet de l’appel avec dépens</w:t>
            </w:r>
          </w:p>
          <w:p w:rsidR="007B336B" w:rsidRPr="00480DEB" w:rsidRDefault="007B336B" w:rsidP="007B336B">
            <w:pPr>
              <w:jc w:val="both"/>
              <w:rPr>
                <w:sz w:val="20"/>
                <w:lang w:val="fr-CA"/>
              </w:rPr>
            </w:pPr>
          </w:p>
        </w:tc>
      </w:tr>
      <w:tr w:rsidR="007B336B" w:rsidRPr="00480DEB" w:rsidTr="00E95A6A">
        <w:tc>
          <w:tcPr>
            <w:tcW w:w="2427" w:type="pct"/>
            <w:gridSpan w:val="2"/>
          </w:tcPr>
          <w:p w:rsidR="007B336B" w:rsidRPr="00480DEB" w:rsidRDefault="007B336B" w:rsidP="007B336B">
            <w:pPr>
              <w:jc w:val="both"/>
              <w:rPr>
                <w:sz w:val="20"/>
                <w:lang w:val="fr-CA"/>
              </w:rPr>
            </w:pPr>
            <w:r w:rsidRPr="00480DEB">
              <w:rPr>
                <w:sz w:val="20"/>
                <w:lang w:val="fr-CA"/>
              </w:rPr>
              <w:t>3 mai 2016</w:t>
            </w:r>
          </w:p>
          <w:p w:rsidR="007B336B" w:rsidRPr="00480DEB" w:rsidRDefault="007B336B" w:rsidP="007B336B">
            <w:pPr>
              <w:jc w:val="both"/>
              <w:rPr>
                <w:sz w:val="20"/>
                <w:lang w:val="fr-CA"/>
              </w:rPr>
            </w:pPr>
            <w:r w:rsidRPr="00480DEB">
              <w:rPr>
                <w:sz w:val="20"/>
                <w:lang w:val="fr-CA"/>
              </w:rPr>
              <w:t>Cour suprême du Canada</w:t>
            </w:r>
          </w:p>
          <w:p w:rsidR="007B336B" w:rsidRPr="00480DEB" w:rsidRDefault="007B336B" w:rsidP="007B336B">
            <w:pPr>
              <w:jc w:val="both"/>
              <w:rPr>
                <w:sz w:val="20"/>
                <w:lang w:val="fr-CA"/>
              </w:rPr>
            </w:pPr>
          </w:p>
        </w:tc>
        <w:tc>
          <w:tcPr>
            <w:tcW w:w="243" w:type="pct"/>
          </w:tcPr>
          <w:p w:rsidR="007B336B" w:rsidRPr="00480DEB" w:rsidRDefault="007B336B" w:rsidP="007B336B">
            <w:pPr>
              <w:jc w:val="both"/>
              <w:rPr>
                <w:sz w:val="20"/>
                <w:lang w:val="fr-CA"/>
              </w:rPr>
            </w:pPr>
          </w:p>
        </w:tc>
        <w:tc>
          <w:tcPr>
            <w:tcW w:w="2330" w:type="pct"/>
          </w:tcPr>
          <w:p w:rsidR="007B336B" w:rsidRPr="00480DEB" w:rsidRDefault="007B336B" w:rsidP="007B336B">
            <w:pPr>
              <w:jc w:val="both"/>
              <w:rPr>
                <w:sz w:val="20"/>
                <w:lang w:val="fr-CA"/>
              </w:rPr>
            </w:pPr>
            <w:r w:rsidRPr="00480DEB">
              <w:rPr>
                <w:sz w:val="20"/>
                <w:lang w:val="fr-CA"/>
              </w:rPr>
              <w:t>Dépôt de la demande d’autorisation d’appel</w:t>
            </w:r>
          </w:p>
        </w:tc>
      </w:tr>
      <w:tr w:rsidR="007B336B" w:rsidRPr="00480DEB" w:rsidTr="00E95A6A">
        <w:tc>
          <w:tcPr>
            <w:tcW w:w="2427" w:type="pct"/>
            <w:gridSpan w:val="2"/>
          </w:tcPr>
          <w:p w:rsidR="007B336B" w:rsidRPr="00480DEB" w:rsidRDefault="007B336B" w:rsidP="007B336B">
            <w:pPr>
              <w:jc w:val="both"/>
              <w:rPr>
                <w:sz w:val="20"/>
                <w:lang w:val="fr-CA"/>
              </w:rPr>
            </w:pPr>
            <w:r w:rsidRPr="00480DEB">
              <w:rPr>
                <w:sz w:val="20"/>
                <w:lang w:val="fr-CA"/>
              </w:rPr>
              <w:t>16 mai 2016</w:t>
            </w:r>
          </w:p>
          <w:p w:rsidR="007B336B" w:rsidRPr="00480DEB" w:rsidRDefault="007B336B" w:rsidP="007B336B">
            <w:pPr>
              <w:jc w:val="both"/>
              <w:rPr>
                <w:sz w:val="20"/>
                <w:lang w:val="fr-CA"/>
              </w:rPr>
            </w:pPr>
            <w:r w:rsidRPr="00480DEB">
              <w:rPr>
                <w:sz w:val="20"/>
                <w:lang w:val="fr-CA"/>
              </w:rPr>
              <w:t>Cour suprême du Canada</w:t>
            </w:r>
          </w:p>
        </w:tc>
        <w:tc>
          <w:tcPr>
            <w:tcW w:w="243" w:type="pct"/>
          </w:tcPr>
          <w:p w:rsidR="007B336B" w:rsidRPr="00480DEB" w:rsidRDefault="007B336B" w:rsidP="007B336B">
            <w:pPr>
              <w:jc w:val="both"/>
              <w:rPr>
                <w:sz w:val="20"/>
                <w:lang w:val="fr-CA"/>
              </w:rPr>
            </w:pPr>
          </w:p>
        </w:tc>
        <w:tc>
          <w:tcPr>
            <w:tcW w:w="2330" w:type="pct"/>
          </w:tcPr>
          <w:p w:rsidR="007B336B" w:rsidRPr="00480DEB" w:rsidRDefault="007B336B" w:rsidP="007B336B">
            <w:pPr>
              <w:jc w:val="both"/>
              <w:rPr>
                <w:sz w:val="20"/>
                <w:lang w:val="fr-CA"/>
              </w:rPr>
            </w:pPr>
            <w:r w:rsidRPr="00480DEB">
              <w:rPr>
                <w:sz w:val="20"/>
                <w:lang w:val="fr-CA"/>
              </w:rPr>
              <w:t>Dépôt de la requête en prorogation du délai de signification de dépôt de la demande d’autorisation d’appel</w:t>
            </w:r>
          </w:p>
        </w:tc>
      </w:tr>
    </w:tbl>
    <w:p w:rsidR="007B336B" w:rsidRPr="00480DEB" w:rsidRDefault="007B336B" w:rsidP="009B3DE4">
      <w:pPr>
        <w:jc w:val="both"/>
        <w:rPr>
          <w:sz w:val="20"/>
          <w:lang w:val="fr-CA"/>
        </w:rPr>
      </w:pPr>
    </w:p>
    <w:p w:rsidR="0064395E" w:rsidRPr="00480DEB" w:rsidRDefault="0064395E" w:rsidP="009B3DE4">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9B3DE4" w:rsidRPr="00480DEB" w:rsidTr="007762CF">
        <w:tc>
          <w:tcPr>
            <w:tcW w:w="543" w:type="pct"/>
          </w:tcPr>
          <w:p w:rsidR="009B3DE4" w:rsidRPr="00480DEB" w:rsidRDefault="009B3DE4" w:rsidP="009B3DE4">
            <w:pPr>
              <w:jc w:val="both"/>
              <w:rPr>
                <w:sz w:val="20"/>
              </w:rPr>
            </w:pPr>
            <w:r w:rsidRPr="00480DEB">
              <w:rPr>
                <w:rStyle w:val="SCCFileNumberChar"/>
                <w:sz w:val="20"/>
                <w:szCs w:val="20"/>
              </w:rPr>
              <w:t>36918</w:t>
            </w:r>
          </w:p>
        </w:tc>
        <w:tc>
          <w:tcPr>
            <w:tcW w:w="4457" w:type="pct"/>
            <w:gridSpan w:val="3"/>
          </w:tcPr>
          <w:p w:rsidR="009B3DE4" w:rsidRPr="00480DEB" w:rsidRDefault="009B3DE4" w:rsidP="009B3DE4">
            <w:pPr>
              <w:pStyle w:val="SCCLsocParty"/>
              <w:jc w:val="both"/>
              <w:rPr>
                <w:b/>
                <w:sz w:val="20"/>
                <w:szCs w:val="20"/>
              </w:rPr>
            </w:pPr>
            <w:proofErr w:type="spellStart"/>
            <w:r w:rsidRPr="00480DEB">
              <w:rPr>
                <w:b/>
                <w:sz w:val="20"/>
                <w:szCs w:val="20"/>
              </w:rPr>
              <w:t>Teva</w:t>
            </w:r>
            <w:proofErr w:type="spellEnd"/>
            <w:r w:rsidRPr="00480DEB">
              <w:rPr>
                <w:b/>
                <w:sz w:val="20"/>
                <w:szCs w:val="20"/>
              </w:rPr>
              <w:t xml:space="preserve"> Canada Limited v. TD Canada Trust, Bank of Nova Scotia</w:t>
            </w:r>
          </w:p>
          <w:p w:rsidR="009B3DE4" w:rsidRPr="00480DEB" w:rsidRDefault="009B3DE4" w:rsidP="009B3DE4">
            <w:pPr>
              <w:jc w:val="both"/>
              <w:rPr>
                <w:sz w:val="20"/>
              </w:rPr>
            </w:pPr>
            <w:r w:rsidRPr="00480DEB">
              <w:rPr>
                <w:sz w:val="20"/>
              </w:rPr>
              <w:t>(Ont.) (Civil) (By Leave)</w:t>
            </w:r>
          </w:p>
        </w:tc>
      </w:tr>
      <w:tr w:rsidR="009B3DE4" w:rsidRPr="00480DEB" w:rsidTr="007762CF">
        <w:tc>
          <w:tcPr>
            <w:tcW w:w="5000" w:type="pct"/>
            <w:gridSpan w:val="4"/>
          </w:tcPr>
          <w:p w:rsidR="009B3DE4" w:rsidRPr="00480DEB" w:rsidRDefault="009B3DE4" w:rsidP="009B3DE4">
            <w:pPr>
              <w:jc w:val="both"/>
              <w:rPr>
                <w:sz w:val="20"/>
              </w:rPr>
            </w:pPr>
            <w:r w:rsidRPr="00480DEB">
              <w:rPr>
                <w:sz w:val="20"/>
              </w:rPr>
              <w:t xml:space="preserve">Commercial law – Bills of exchange – Legislation – Interpretation – Has the Ontario Court of Appeal revised the rules governing the assignment of risk of cheque fraud, as it exists between Canadian banks and drawer companies, by introducing a defence of drawer’s negligence into the strict liability tort of conversion – To what extent are Canadian financial institutions responsible for upholding the certainty and finality of bill of exchange transactions – To what extent is a company’s internal cheque approval process determinative of such assignment – What is the proper scope and interpretation of the “fictitious payee” rule – Are the decisions of this Court in </w:t>
            </w:r>
            <w:proofErr w:type="spellStart"/>
            <w:r w:rsidRPr="00480DEB">
              <w:rPr>
                <w:i/>
                <w:sz w:val="20"/>
              </w:rPr>
              <w:t>Boma</w:t>
            </w:r>
            <w:proofErr w:type="spellEnd"/>
            <w:r w:rsidRPr="00480DEB">
              <w:rPr>
                <w:i/>
                <w:sz w:val="20"/>
              </w:rPr>
              <w:t xml:space="preserve"> Manufacturing Ltd. v. Canadian Imperial Bank of Commerce</w:t>
            </w:r>
            <w:r w:rsidRPr="00480DEB">
              <w:rPr>
                <w:sz w:val="20"/>
              </w:rPr>
              <w:t xml:space="preserve">, [1996] 3 S.C.R. 727 and </w:t>
            </w:r>
            <w:r w:rsidRPr="00480DEB">
              <w:rPr>
                <w:i/>
                <w:sz w:val="20"/>
              </w:rPr>
              <w:t xml:space="preserve">Royal Bank of Canada v. Concrete Column Clamps </w:t>
            </w:r>
            <w:r w:rsidRPr="00480DEB">
              <w:rPr>
                <w:sz w:val="20"/>
              </w:rPr>
              <w:t xml:space="preserve">(1961) Ltd., [1977] 2 S.C.R. 456 still good law – If so, has the Ontario Court of Appeal followed these decisions, in accordance with the principle of </w:t>
            </w:r>
            <w:r w:rsidRPr="00480DEB">
              <w:rPr>
                <w:i/>
                <w:sz w:val="20"/>
              </w:rPr>
              <w:t>stare decisis</w:t>
            </w:r>
            <w:r w:rsidRPr="00480DEB">
              <w:rPr>
                <w:sz w:val="20"/>
              </w:rPr>
              <w:t>.</w:t>
            </w:r>
          </w:p>
        </w:tc>
      </w:tr>
      <w:tr w:rsidR="009B3DE4" w:rsidRPr="00480DEB" w:rsidTr="007762CF">
        <w:tc>
          <w:tcPr>
            <w:tcW w:w="5000" w:type="pct"/>
            <w:gridSpan w:val="4"/>
          </w:tcPr>
          <w:p w:rsidR="009B3DE4" w:rsidRPr="00480DEB" w:rsidRDefault="009B3DE4" w:rsidP="009B3DE4">
            <w:pPr>
              <w:jc w:val="both"/>
              <w:rPr>
                <w:sz w:val="20"/>
              </w:rPr>
            </w:pPr>
          </w:p>
        </w:tc>
      </w:tr>
      <w:tr w:rsidR="009B3DE4" w:rsidRPr="00480DEB" w:rsidTr="007762CF">
        <w:tc>
          <w:tcPr>
            <w:tcW w:w="5000" w:type="pct"/>
            <w:gridSpan w:val="4"/>
          </w:tcPr>
          <w:p w:rsidR="009B3DE4" w:rsidRPr="00480DEB" w:rsidRDefault="009B3DE4" w:rsidP="009B3DE4">
            <w:pPr>
              <w:jc w:val="both"/>
              <w:rPr>
                <w:sz w:val="20"/>
              </w:rPr>
            </w:pPr>
            <w:r w:rsidRPr="00480DEB">
              <w:rPr>
                <w:sz w:val="20"/>
              </w:rPr>
              <w:t>The applicant (“</w:t>
            </w:r>
            <w:proofErr w:type="spellStart"/>
            <w:r w:rsidRPr="00480DEB">
              <w:rPr>
                <w:sz w:val="20"/>
              </w:rPr>
              <w:t>Teva</w:t>
            </w:r>
            <w:proofErr w:type="spellEnd"/>
            <w:r w:rsidRPr="00480DEB">
              <w:rPr>
                <w:sz w:val="20"/>
              </w:rPr>
              <w:t xml:space="preserve">”) is a large manufacturer of generic pharmaceuticals. </w:t>
            </w:r>
            <w:proofErr w:type="spellStart"/>
            <w:r w:rsidRPr="00480DEB">
              <w:rPr>
                <w:sz w:val="20"/>
              </w:rPr>
              <w:t>Teva</w:t>
            </w:r>
            <w:proofErr w:type="spellEnd"/>
            <w:r w:rsidRPr="00480DEB">
              <w:rPr>
                <w:sz w:val="20"/>
              </w:rPr>
              <w:t xml:space="preserve"> and the respondent banks fell victim to a fraudulent scheme orchestrated by a </w:t>
            </w:r>
            <w:proofErr w:type="spellStart"/>
            <w:r w:rsidRPr="00480DEB">
              <w:rPr>
                <w:sz w:val="20"/>
              </w:rPr>
              <w:t>Teva</w:t>
            </w:r>
            <w:proofErr w:type="spellEnd"/>
            <w:r w:rsidRPr="00480DEB">
              <w:rPr>
                <w:sz w:val="20"/>
              </w:rPr>
              <w:t xml:space="preserve"> employee, M. M was responsible for administering </w:t>
            </w:r>
            <w:proofErr w:type="spellStart"/>
            <w:r w:rsidRPr="00480DEB">
              <w:rPr>
                <w:sz w:val="20"/>
              </w:rPr>
              <w:t>Teva’s</w:t>
            </w:r>
            <w:proofErr w:type="spellEnd"/>
            <w:r w:rsidRPr="00480DEB">
              <w:rPr>
                <w:sz w:val="20"/>
              </w:rPr>
              <w:t xml:space="preserve"> rebate </w:t>
            </w:r>
            <w:proofErr w:type="spellStart"/>
            <w:r w:rsidRPr="00480DEB">
              <w:rPr>
                <w:sz w:val="20"/>
              </w:rPr>
              <w:t>programme</w:t>
            </w:r>
            <w:proofErr w:type="spellEnd"/>
            <w:r w:rsidRPr="00480DEB">
              <w:rPr>
                <w:sz w:val="20"/>
              </w:rPr>
              <w:t xml:space="preserve"> but had no authority to requisition or authorize cheques. From 2002 to 2006, M took advantage of the fact that </w:t>
            </w:r>
            <w:proofErr w:type="spellStart"/>
            <w:r w:rsidRPr="00480DEB">
              <w:rPr>
                <w:sz w:val="20"/>
              </w:rPr>
              <w:t>Teva’s</w:t>
            </w:r>
            <w:proofErr w:type="spellEnd"/>
            <w:r w:rsidRPr="00480DEB">
              <w:rPr>
                <w:sz w:val="20"/>
              </w:rPr>
              <w:t xml:space="preserve"> internal payment approval policies were not followed. He requisitioned cheques payable to six entities to whom </w:t>
            </w:r>
            <w:proofErr w:type="spellStart"/>
            <w:r w:rsidRPr="00480DEB">
              <w:rPr>
                <w:sz w:val="20"/>
              </w:rPr>
              <w:t>Teva</w:t>
            </w:r>
            <w:proofErr w:type="spellEnd"/>
            <w:r w:rsidRPr="00480DEB">
              <w:rPr>
                <w:sz w:val="20"/>
              </w:rPr>
              <w:t xml:space="preserve"> owed no monies: two entities whose names he had invented, and four who were current or former customers of </w:t>
            </w:r>
            <w:proofErr w:type="spellStart"/>
            <w:r w:rsidRPr="00480DEB">
              <w:rPr>
                <w:sz w:val="20"/>
              </w:rPr>
              <w:t>Teva</w:t>
            </w:r>
            <w:proofErr w:type="spellEnd"/>
            <w:r w:rsidRPr="00480DEB">
              <w:rPr>
                <w:sz w:val="20"/>
              </w:rPr>
              <w:t xml:space="preserve">. M requisitioned 63 fraudulent cheques totalling $5,483,249.40, which he and five accomplices deposited into small business accounts they had opened at the respondent banks. </w:t>
            </w:r>
            <w:proofErr w:type="spellStart"/>
            <w:r w:rsidRPr="00480DEB">
              <w:rPr>
                <w:sz w:val="20"/>
              </w:rPr>
              <w:t>Teva</w:t>
            </w:r>
            <w:proofErr w:type="spellEnd"/>
            <w:r w:rsidRPr="00480DEB">
              <w:rPr>
                <w:sz w:val="20"/>
              </w:rPr>
              <w:t xml:space="preserve"> sued the banks for damages for conversion, and the banks raised defences under ss. 20(5) and 165(3) of the </w:t>
            </w:r>
            <w:r w:rsidRPr="00480DEB">
              <w:rPr>
                <w:i/>
                <w:sz w:val="20"/>
              </w:rPr>
              <w:t>Bills of Exchange Act</w:t>
            </w:r>
            <w:r w:rsidRPr="00480DEB">
              <w:rPr>
                <w:sz w:val="20"/>
              </w:rPr>
              <w:t xml:space="preserve">, R.S.C. 1985, c. B.4 and under the Ontario </w:t>
            </w:r>
            <w:r w:rsidRPr="00480DEB">
              <w:rPr>
                <w:i/>
                <w:sz w:val="20"/>
              </w:rPr>
              <w:t>Limitations Act</w:t>
            </w:r>
            <w:r w:rsidRPr="00480DEB">
              <w:rPr>
                <w:sz w:val="20"/>
              </w:rPr>
              <w:t xml:space="preserve">.  Each party brought motions for summary judgment. The motion judge granted summary judgment in </w:t>
            </w:r>
            <w:proofErr w:type="spellStart"/>
            <w:r w:rsidRPr="00480DEB">
              <w:rPr>
                <w:sz w:val="20"/>
              </w:rPr>
              <w:t>favour</w:t>
            </w:r>
            <w:proofErr w:type="spellEnd"/>
            <w:r w:rsidRPr="00480DEB">
              <w:rPr>
                <w:sz w:val="20"/>
              </w:rPr>
              <w:t xml:space="preserve"> of </w:t>
            </w:r>
            <w:proofErr w:type="spellStart"/>
            <w:r w:rsidRPr="00480DEB">
              <w:rPr>
                <w:sz w:val="20"/>
              </w:rPr>
              <w:t>Teva</w:t>
            </w:r>
            <w:proofErr w:type="spellEnd"/>
            <w:r w:rsidRPr="00480DEB">
              <w:rPr>
                <w:sz w:val="20"/>
              </w:rPr>
              <w:t>, but this was reversed on appeal.</w:t>
            </w:r>
          </w:p>
          <w:p w:rsidR="009B3DE4" w:rsidRPr="00480DEB" w:rsidRDefault="009B3DE4" w:rsidP="009B3DE4">
            <w:pPr>
              <w:jc w:val="both"/>
              <w:rPr>
                <w:sz w:val="20"/>
              </w:rPr>
            </w:pPr>
          </w:p>
        </w:tc>
      </w:tr>
      <w:tr w:rsidR="009B3DE4" w:rsidRPr="00480DEB" w:rsidTr="00490FA0">
        <w:tc>
          <w:tcPr>
            <w:tcW w:w="2427" w:type="pct"/>
            <w:gridSpan w:val="2"/>
          </w:tcPr>
          <w:p w:rsidR="009B3DE4" w:rsidRPr="00480DEB" w:rsidRDefault="009B3DE4" w:rsidP="009B3DE4">
            <w:pPr>
              <w:jc w:val="both"/>
              <w:rPr>
                <w:sz w:val="20"/>
              </w:rPr>
            </w:pPr>
            <w:r w:rsidRPr="00480DEB">
              <w:rPr>
                <w:sz w:val="20"/>
              </w:rPr>
              <w:lastRenderedPageBreak/>
              <w:t>February 19, 2014</w:t>
            </w:r>
          </w:p>
          <w:p w:rsidR="009B3DE4" w:rsidRPr="00480DEB" w:rsidRDefault="009B3DE4" w:rsidP="009B3DE4">
            <w:pPr>
              <w:jc w:val="both"/>
              <w:rPr>
                <w:sz w:val="20"/>
              </w:rPr>
            </w:pPr>
            <w:r w:rsidRPr="00480DEB">
              <w:rPr>
                <w:sz w:val="20"/>
              </w:rPr>
              <w:t>Ontario Superior Court of Justice</w:t>
            </w:r>
          </w:p>
          <w:p w:rsidR="009B3DE4" w:rsidRPr="00480DEB" w:rsidRDefault="009B3DE4" w:rsidP="009B3DE4">
            <w:pPr>
              <w:jc w:val="both"/>
              <w:rPr>
                <w:sz w:val="20"/>
              </w:rPr>
            </w:pPr>
            <w:r w:rsidRPr="00480DEB">
              <w:rPr>
                <w:sz w:val="20"/>
              </w:rPr>
              <w:t>(Whitaker J.)</w:t>
            </w:r>
          </w:p>
          <w:p w:rsidR="009B3DE4" w:rsidRPr="00480DEB" w:rsidRDefault="009B3DE4" w:rsidP="009B3DE4">
            <w:pPr>
              <w:jc w:val="both"/>
              <w:rPr>
                <w:sz w:val="20"/>
              </w:rPr>
            </w:pPr>
            <w:hyperlink r:id="rId36" w:history="1">
              <w:r w:rsidRPr="00480DEB">
                <w:rPr>
                  <w:rStyle w:val="Hyperlink"/>
                  <w:sz w:val="20"/>
                </w:rPr>
                <w:t>2014 ONSC 828</w:t>
              </w:r>
            </w:hyperlink>
          </w:p>
          <w:p w:rsidR="009B3DE4" w:rsidRPr="00480DEB" w:rsidRDefault="009B3DE4" w:rsidP="009B3DE4">
            <w:pPr>
              <w:jc w:val="both"/>
              <w:rPr>
                <w:sz w:val="20"/>
              </w:rPr>
            </w:pPr>
          </w:p>
        </w:tc>
        <w:tc>
          <w:tcPr>
            <w:tcW w:w="195" w:type="pct"/>
          </w:tcPr>
          <w:p w:rsidR="009B3DE4" w:rsidRPr="00480DEB" w:rsidRDefault="009B3DE4" w:rsidP="009B3DE4">
            <w:pPr>
              <w:jc w:val="both"/>
              <w:rPr>
                <w:sz w:val="20"/>
              </w:rPr>
            </w:pPr>
          </w:p>
        </w:tc>
        <w:tc>
          <w:tcPr>
            <w:tcW w:w="2378" w:type="pct"/>
          </w:tcPr>
          <w:p w:rsidR="009B3DE4" w:rsidRPr="00480DEB" w:rsidRDefault="009B3DE4" w:rsidP="009B3DE4">
            <w:pPr>
              <w:jc w:val="both"/>
              <w:rPr>
                <w:sz w:val="20"/>
              </w:rPr>
            </w:pPr>
            <w:r w:rsidRPr="00480DEB">
              <w:rPr>
                <w:sz w:val="20"/>
              </w:rPr>
              <w:t>Applicant’s motion for summary judgment for payment of all cheques collected by respondents, granted; Respondents’ crossclaims in negligence dismissed</w:t>
            </w:r>
          </w:p>
          <w:p w:rsidR="009B3DE4" w:rsidRPr="00480DEB" w:rsidRDefault="009B3DE4" w:rsidP="009B3DE4">
            <w:pPr>
              <w:jc w:val="both"/>
              <w:rPr>
                <w:sz w:val="20"/>
              </w:rPr>
            </w:pPr>
          </w:p>
        </w:tc>
      </w:tr>
      <w:tr w:rsidR="009B3DE4" w:rsidRPr="00480DEB" w:rsidTr="00490FA0">
        <w:tc>
          <w:tcPr>
            <w:tcW w:w="2427" w:type="pct"/>
            <w:gridSpan w:val="2"/>
          </w:tcPr>
          <w:p w:rsidR="009B3DE4" w:rsidRPr="00480DEB" w:rsidRDefault="009B3DE4" w:rsidP="009B3DE4">
            <w:pPr>
              <w:jc w:val="both"/>
              <w:rPr>
                <w:sz w:val="20"/>
              </w:rPr>
            </w:pPr>
            <w:r w:rsidRPr="00480DEB">
              <w:rPr>
                <w:sz w:val="20"/>
              </w:rPr>
              <w:t>February 2, 2016</w:t>
            </w:r>
          </w:p>
          <w:p w:rsidR="009B3DE4" w:rsidRPr="00480DEB" w:rsidRDefault="009B3DE4" w:rsidP="009B3DE4">
            <w:pPr>
              <w:jc w:val="both"/>
              <w:rPr>
                <w:sz w:val="20"/>
              </w:rPr>
            </w:pPr>
            <w:r w:rsidRPr="00480DEB">
              <w:rPr>
                <w:sz w:val="20"/>
              </w:rPr>
              <w:t>Court of Appeal for Ontario</w:t>
            </w:r>
          </w:p>
          <w:p w:rsidR="009B3DE4" w:rsidRPr="00480DEB" w:rsidRDefault="009B3DE4" w:rsidP="009B3DE4">
            <w:pPr>
              <w:jc w:val="both"/>
              <w:rPr>
                <w:sz w:val="20"/>
              </w:rPr>
            </w:pPr>
            <w:r w:rsidRPr="00480DEB">
              <w:rPr>
                <w:sz w:val="20"/>
              </w:rPr>
              <w:t>(</w:t>
            </w:r>
            <w:proofErr w:type="spellStart"/>
            <w:r w:rsidRPr="00480DEB">
              <w:rPr>
                <w:sz w:val="20"/>
              </w:rPr>
              <w:t>Weiler</w:t>
            </w:r>
            <w:proofErr w:type="spellEnd"/>
            <w:r w:rsidRPr="00480DEB">
              <w:rPr>
                <w:sz w:val="20"/>
              </w:rPr>
              <w:t xml:space="preserve">, </w:t>
            </w:r>
            <w:proofErr w:type="spellStart"/>
            <w:proofErr w:type="gramStart"/>
            <w:r w:rsidRPr="00480DEB">
              <w:rPr>
                <w:sz w:val="20"/>
              </w:rPr>
              <w:t>Laskin</w:t>
            </w:r>
            <w:proofErr w:type="spellEnd"/>
            <w:r w:rsidRPr="00480DEB">
              <w:rPr>
                <w:sz w:val="20"/>
              </w:rPr>
              <w:t xml:space="preserve">  and</w:t>
            </w:r>
            <w:proofErr w:type="gramEnd"/>
            <w:r w:rsidRPr="00480DEB">
              <w:rPr>
                <w:sz w:val="20"/>
              </w:rPr>
              <w:t xml:space="preserve"> Cronk JJ.A.)</w:t>
            </w:r>
          </w:p>
          <w:p w:rsidR="009B3DE4" w:rsidRPr="00480DEB" w:rsidRDefault="009B3DE4" w:rsidP="009B3DE4">
            <w:pPr>
              <w:jc w:val="both"/>
              <w:rPr>
                <w:rStyle w:val="Hyperlink"/>
                <w:sz w:val="20"/>
              </w:rPr>
            </w:pPr>
            <w:hyperlink r:id="rId37" w:history="1">
              <w:r w:rsidRPr="00480DEB">
                <w:rPr>
                  <w:rStyle w:val="Hyperlink"/>
                  <w:sz w:val="20"/>
                </w:rPr>
                <w:t>2016 ONCA 94</w:t>
              </w:r>
            </w:hyperlink>
          </w:p>
          <w:p w:rsidR="009B3DE4" w:rsidRPr="00480DEB" w:rsidRDefault="009B3DE4" w:rsidP="009B3DE4">
            <w:pPr>
              <w:jc w:val="both"/>
              <w:rPr>
                <w:sz w:val="20"/>
              </w:rPr>
            </w:pPr>
          </w:p>
        </w:tc>
        <w:tc>
          <w:tcPr>
            <w:tcW w:w="195" w:type="pct"/>
          </w:tcPr>
          <w:p w:rsidR="009B3DE4" w:rsidRPr="00480DEB" w:rsidRDefault="009B3DE4" w:rsidP="009B3DE4">
            <w:pPr>
              <w:jc w:val="both"/>
              <w:rPr>
                <w:sz w:val="20"/>
              </w:rPr>
            </w:pPr>
          </w:p>
        </w:tc>
        <w:tc>
          <w:tcPr>
            <w:tcW w:w="2378" w:type="pct"/>
          </w:tcPr>
          <w:p w:rsidR="009B3DE4" w:rsidRPr="00480DEB" w:rsidRDefault="009B3DE4" w:rsidP="009B3DE4">
            <w:pPr>
              <w:jc w:val="both"/>
              <w:rPr>
                <w:sz w:val="20"/>
              </w:rPr>
            </w:pPr>
            <w:r w:rsidRPr="00480DEB">
              <w:rPr>
                <w:sz w:val="20"/>
              </w:rPr>
              <w:t>Appeal allowed, lower court judgment set aside and applicant’s action dismissed</w:t>
            </w:r>
          </w:p>
          <w:p w:rsidR="009B3DE4" w:rsidRPr="00480DEB" w:rsidRDefault="009B3DE4" w:rsidP="009B3DE4">
            <w:pPr>
              <w:jc w:val="both"/>
              <w:rPr>
                <w:sz w:val="20"/>
              </w:rPr>
            </w:pPr>
          </w:p>
        </w:tc>
      </w:tr>
      <w:tr w:rsidR="009B3DE4" w:rsidRPr="00480DEB" w:rsidTr="00490FA0">
        <w:tc>
          <w:tcPr>
            <w:tcW w:w="2427" w:type="pct"/>
            <w:gridSpan w:val="2"/>
          </w:tcPr>
          <w:p w:rsidR="009B3DE4" w:rsidRPr="00480DEB" w:rsidRDefault="009B3DE4" w:rsidP="009B3DE4">
            <w:pPr>
              <w:jc w:val="both"/>
              <w:rPr>
                <w:sz w:val="20"/>
              </w:rPr>
            </w:pPr>
            <w:r w:rsidRPr="00480DEB">
              <w:rPr>
                <w:sz w:val="20"/>
              </w:rPr>
              <w:t>April 1, 2016</w:t>
            </w:r>
          </w:p>
          <w:p w:rsidR="009B3DE4" w:rsidRPr="00480DEB" w:rsidRDefault="009B3DE4" w:rsidP="009B3DE4">
            <w:pPr>
              <w:jc w:val="both"/>
              <w:rPr>
                <w:sz w:val="20"/>
              </w:rPr>
            </w:pPr>
            <w:r w:rsidRPr="00480DEB">
              <w:rPr>
                <w:sz w:val="20"/>
              </w:rPr>
              <w:t>Supreme Court of Canada</w:t>
            </w:r>
          </w:p>
        </w:tc>
        <w:tc>
          <w:tcPr>
            <w:tcW w:w="195" w:type="pct"/>
          </w:tcPr>
          <w:p w:rsidR="009B3DE4" w:rsidRPr="00480DEB" w:rsidRDefault="009B3DE4" w:rsidP="009B3DE4">
            <w:pPr>
              <w:jc w:val="both"/>
              <w:rPr>
                <w:sz w:val="20"/>
              </w:rPr>
            </w:pPr>
          </w:p>
        </w:tc>
        <w:tc>
          <w:tcPr>
            <w:tcW w:w="2378" w:type="pct"/>
          </w:tcPr>
          <w:p w:rsidR="009B3DE4" w:rsidRPr="00480DEB" w:rsidRDefault="009B3DE4" w:rsidP="009B3DE4">
            <w:pPr>
              <w:jc w:val="both"/>
              <w:rPr>
                <w:sz w:val="20"/>
              </w:rPr>
            </w:pPr>
            <w:r w:rsidRPr="00480DEB">
              <w:rPr>
                <w:sz w:val="20"/>
              </w:rPr>
              <w:t>Application for leave to appeal filed</w:t>
            </w:r>
          </w:p>
          <w:p w:rsidR="009B3DE4" w:rsidRPr="00480DEB" w:rsidRDefault="009B3DE4" w:rsidP="009B3DE4">
            <w:pPr>
              <w:jc w:val="both"/>
              <w:rPr>
                <w:sz w:val="20"/>
              </w:rPr>
            </w:pPr>
          </w:p>
        </w:tc>
      </w:tr>
    </w:tbl>
    <w:p w:rsidR="009B3DE4" w:rsidRPr="00480DEB" w:rsidRDefault="009B3DE4" w:rsidP="009B3DE4">
      <w:pPr>
        <w:jc w:val="both"/>
        <w:rPr>
          <w:sz w:val="20"/>
        </w:rPr>
      </w:pPr>
    </w:p>
    <w:p w:rsidR="009B3DE4" w:rsidRPr="00480DEB" w:rsidRDefault="009B3DE4" w:rsidP="009B3DE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9B3DE4" w:rsidRPr="00480DEB" w:rsidTr="007762CF">
        <w:tc>
          <w:tcPr>
            <w:tcW w:w="543" w:type="pct"/>
          </w:tcPr>
          <w:p w:rsidR="009B3DE4" w:rsidRPr="00480DEB" w:rsidRDefault="009B3DE4" w:rsidP="009B3DE4">
            <w:pPr>
              <w:jc w:val="both"/>
              <w:rPr>
                <w:sz w:val="20"/>
                <w:lang w:val="fr-CA"/>
              </w:rPr>
            </w:pPr>
            <w:r w:rsidRPr="00480DEB">
              <w:rPr>
                <w:rStyle w:val="SCCFileNumberChar"/>
                <w:sz w:val="20"/>
                <w:szCs w:val="20"/>
                <w:lang w:val="fr-CA"/>
              </w:rPr>
              <w:t>36918</w:t>
            </w:r>
          </w:p>
        </w:tc>
        <w:tc>
          <w:tcPr>
            <w:tcW w:w="4457" w:type="pct"/>
            <w:gridSpan w:val="3"/>
          </w:tcPr>
          <w:p w:rsidR="009B3DE4" w:rsidRPr="00480DEB" w:rsidRDefault="009B3DE4" w:rsidP="009B3DE4">
            <w:pPr>
              <w:pStyle w:val="SCCLsocParty"/>
              <w:jc w:val="both"/>
              <w:rPr>
                <w:b/>
                <w:sz w:val="20"/>
                <w:szCs w:val="20"/>
              </w:rPr>
            </w:pPr>
            <w:r w:rsidRPr="00480DEB">
              <w:rPr>
                <w:b/>
                <w:sz w:val="20"/>
                <w:szCs w:val="20"/>
              </w:rPr>
              <w:t>Teva Canada Limitée c. TD Canada Trust, La Banque de Nouvelle-Écosse</w:t>
            </w:r>
          </w:p>
          <w:p w:rsidR="009B3DE4" w:rsidRPr="00480DEB" w:rsidRDefault="009B3DE4" w:rsidP="009B3DE4">
            <w:pPr>
              <w:jc w:val="both"/>
              <w:rPr>
                <w:sz w:val="20"/>
                <w:lang w:val="fr-CA"/>
              </w:rPr>
            </w:pPr>
            <w:r w:rsidRPr="00480DEB">
              <w:rPr>
                <w:sz w:val="20"/>
                <w:lang w:val="fr-CA"/>
              </w:rPr>
              <w:t>(Ont.) (Civile) (Sur autorisation)</w:t>
            </w:r>
          </w:p>
        </w:tc>
      </w:tr>
      <w:tr w:rsidR="009B3DE4" w:rsidRPr="00480DEB" w:rsidTr="007762CF">
        <w:tc>
          <w:tcPr>
            <w:tcW w:w="5000" w:type="pct"/>
            <w:gridSpan w:val="4"/>
          </w:tcPr>
          <w:p w:rsidR="009B3DE4" w:rsidRPr="00480DEB" w:rsidRDefault="009B3DE4" w:rsidP="009B3DE4">
            <w:pPr>
              <w:jc w:val="both"/>
              <w:rPr>
                <w:sz w:val="20"/>
                <w:lang w:val="fr-CA"/>
              </w:rPr>
            </w:pPr>
            <w:r w:rsidRPr="00480DEB">
              <w:rPr>
                <w:sz w:val="20"/>
                <w:lang w:val="fr-CA"/>
              </w:rPr>
              <w:t xml:space="preserve">Droit commercial – Lettres de change – Législation – Interprétation – La Cour d’appel de l’Ontario a-t-elle modifié les règles régissant la répartition du risque de fraude par chèque entre les banques canadiennes et les compagnies tireuses en introduisant le moyen de défense de la négligence du tireur dans délit de détournement, de responsabilité stricte? – Dans quelle mesure incombe-t-il aux institutions financières canadiennes d’assurer la certitude et l’irrévocabilité des opérations effectuées au moyen de lettres de change? – Dans quelle mesure le processus interne d’approbation des chèques d’une compagnie est-il déterminant en ce qui concerne la répartition du risque? – Quelles sont la véritable portée et la bonne interprétation de la règle dite du « preneur fictif »? – Les arrêts </w:t>
            </w:r>
            <w:r w:rsidRPr="00480DEB">
              <w:rPr>
                <w:i/>
                <w:sz w:val="20"/>
                <w:lang w:val="fr-CA"/>
              </w:rPr>
              <w:t>Boma Manufacturing Ltd. c. Banque Canadienne Impériale de Commerce</w:t>
            </w:r>
            <w:r w:rsidRPr="00480DEB">
              <w:rPr>
                <w:sz w:val="20"/>
                <w:lang w:val="fr-CA"/>
              </w:rPr>
              <w:t xml:space="preserve">, [1996] 3 R.C.S. 727 et </w:t>
            </w:r>
            <w:r w:rsidRPr="00480DEB">
              <w:rPr>
                <w:i/>
                <w:sz w:val="20"/>
                <w:lang w:val="fr-CA"/>
              </w:rPr>
              <w:t xml:space="preserve">Banque Royale du Canada c. Concrete Column Clamps </w:t>
            </w:r>
            <w:r w:rsidRPr="00480DEB">
              <w:rPr>
                <w:sz w:val="20"/>
                <w:lang w:val="fr-CA"/>
              </w:rPr>
              <w:t>(1961) Ltd., [1977] 2 S.C.R. 456 correspondent-ils encore à l’état du droit? – Dans l’affirmative, la Cour d’appel de l’Ontario a-t-elle suivi ces arrêts conformément au principe de l’autorité du précédent?</w:t>
            </w:r>
          </w:p>
        </w:tc>
      </w:tr>
      <w:tr w:rsidR="009B3DE4" w:rsidRPr="00480DEB" w:rsidTr="007762CF">
        <w:tc>
          <w:tcPr>
            <w:tcW w:w="5000" w:type="pct"/>
            <w:gridSpan w:val="4"/>
          </w:tcPr>
          <w:p w:rsidR="009B3DE4" w:rsidRPr="00480DEB" w:rsidRDefault="009B3DE4" w:rsidP="009B3DE4">
            <w:pPr>
              <w:jc w:val="both"/>
              <w:rPr>
                <w:sz w:val="20"/>
                <w:lang w:val="fr-CA"/>
              </w:rPr>
            </w:pPr>
          </w:p>
        </w:tc>
      </w:tr>
      <w:tr w:rsidR="009B3DE4" w:rsidRPr="00480DEB" w:rsidTr="007762CF">
        <w:tc>
          <w:tcPr>
            <w:tcW w:w="5000" w:type="pct"/>
            <w:gridSpan w:val="4"/>
          </w:tcPr>
          <w:p w:rsidR="009B3DE4" w:rsidRPr="00480DEB" w:rsidRDefault="009B3DE4" w:rsidP="009B3DE4">
            <w:pPr>
              <w:jc w:val="both"/>
              <w:rPr>
                <w:sz w:val="20"/>
                <w:lang w:val="fr-CA"/>
              </w:rPr>
            </w:pPr>
            <w:r w:rsidRPr="00480DEB">
              <w:rPr>
                <w:sz w:val="20"/>
                <w:lang w:val="fr-CA"/>
              </w:rPr>
              <w:t>La demanderesse (« </w:t>
            </w:r>
            <w:proofErr w:type="spellStart"/>
            <w:r w:rsidRPr="00480DEB">
              <w:rPr>
                <w:sz w:val="20"/>
                <w:lang w:val="fr-CA"/>
              </w:rPr>
              <w:t>Teva</w:t>
            </w:r>
            <w:proofErr w:type="spellEnd"/>
            <w:r w:rsidRPr="00480DEB">
              <w:rPr>
                <w:sz w:val="20"/>
                <w:lang w:val="fr-CA"/>
              </w:rPr>
              <w:t xml:space="preserve"> ») est une importante fabricante de produits pharmaceutiques génériques. Teva et les banques intimées ont été victimes d’un stratagème frauduleux orchestré par « M », un employé de Teva. « M » était chargé d’administrer le programme de ristournes de </w:t>
            </w:r>
            <w:proofErr w:type="spellStart"/>
            <w:r w:rsidRPr="00480DEB">
              <w:rPr>
                <w:sz w:val="20"/>
                <w:lang w:val="fr-CA"/>
              </w:rPr>
              <w:t>Teva</w:t>
            </w:r>
            <w:proofErr w:type="spellEnd"/>
            <w:r w:rsidRPr="00480DEB">
              <w:rPr>
                <w:sz w:val="20"/>
                <w:lang w:val="fr-CA"/>
              </w:rPr>
              <w:t xml:space="preserve">, mais n’avait aucun pouvoir de demander ou d’autoriser des chèques. De 2002 to 2006, « M » a profité du fait que les politiques internes d’approbation de paiement de </w:t>
            </w:r>
            <w:proofErr w:type="spellStart"/>
            <w:r w:rsidRPr="00480DEB">
              <w:rPr>
                <w:sz w:val="20"/>
                <w:lang w:val="fr-CA"/>
              </w:rPr>
              <w:t>Teva</w:t>
            </w:r>
            <w:proofErr w:type="spellEnd"/>
            <w:r w:rsidRPr="00480DEB">
              <w:rPr>
                <w:sz w:val="20"/>
                <w:lang w:val="fr-CA"/>
              </w:rPr>
              <w:t xml:space="preserve"> n’étaient pas respectées. Il a demandé des chèques payables à six entités à qui Teva ne devait pas d’argent : deux entités fictives et quatre qui étaient des clients ou d’anciens clients de </w:t>
            </w:r>
            <w:proofErr w:type="spellStart"/>
            <w:r w:rsidRPr="00480DEB">
              <w:rPr>
                <w:sz w:val="20"/>
                <w:lang w:val="fr-CA"/>
              </w:rPr>
              <w:t>Teva</w:t>
            </w:r>
            <w:proofErr w:type="spellEnd"/>
            <w:r w:rsidRPr="00480DEB">
              <w:rPr>
                <w:sz w:val="20"/>
                <w:lang w:val="fr-CA"/>
              </w:rPr>
              <w:t xml:space="preserve">. « M » a demandé 63 chèques frauduleux totalisant 5 483 249,40 $ que lui et cinq complices ont déposés dans des comptes de petite entreprise qu’ils avaient ouverts dans les banques intimées. Teva a poursuivi les banques en dommages-intérêts pour détournement et les banques ont soulevé des moyens de défense fondés sur les par. 20(5) et 165(3) de la </w:t>
            </w:r>
            <w:r w:rsidRPr="00480DEB">
              <w:rPr>
                <w:i/>
                <w:sz w:val="20"/>
                <w:lang w:val="fr-CA"/>
              </w:rPr>
              <w:t>Loi sur les lettres de change</w:t>
            </w:r>
            <w:r w:rsidRPr="00480DEB">
              <w:rPr>
                <w:sz w:val="20"/>
                <w:lang w:val="fr-CA"/>
              </w:rPr>
              <w:t xml:space="preserve">, L.R.C. 1985, ch. B.4 et sur la </w:t>
            </w:r>
            <w:r w:rsidRPr="00480DEB">
              <w:rPr>
                <w:i/>
                <w:sz w:val="20"/>
                <w:lang w:val="fr-CA"/>
              </w:rPr>
              <w:t>Loi sur la prescription des actions</w:t>
            </w:r>
            <w:r w:rsidRPr="00480DEB">
              <w:rPr>
                <w:sz w:val="20"/>
                <w:lang w:val="fr-CA"/>
              </w:rPr>
              <w:t xml:space="preserve"> (Ontario). Chacune des parties a présenté des motions en vue d’obtenir un jugement sommaire. Le juge saisi des motions a prononcé un jugement sommaire en faveur de Teva, mais ce jugement a été infirmé en appel.</w:t>
            </w:r>
          </w:p>
          <w:p w:rsidR="009B3DE4" w:rsidRPr="00480DEB" w:rsidRDefault="009B3DE4" w:rsidP="009B3DE4">
            <w:pPr>
              <w:jc w:val="both"/>
              <w:rPr>
                <w:sz w:val="20"/>
                <w:lang w:val="fr-CA"/>
              </w:rPr>
            </w:pPr>
          </w:p>
        </w:tc>
      </w:tr>
      <w:tr w:rsidR="009B3DE4" w:rsidRPr="00480DEB" w:rsidTr="00490FA0">
        <w:tc>
          <w:tcPr>
            <w:tcW w:w="2427" w:type="pct"/>
            <w:gridSpan w:val="2"/>
          </w:tcPr>
          <w:p w:rsidR="009B3DE4" w:rsidRPr="00480DEB" w:rsidRDefault="009B3DE4" w:rsidP="009B3DE4">
            <w:pPr>
              <w:jc w:val="both"/>
              <w:rPr>
                <w:sz w:val="20"/>
                <w:lang w:val="fr-CA"/>
              </w:rPr>
            </w:pPr>
            <w:r w:rsidRPr="00480DEB">
              <w:rPr>
                <w:sz w:val="20"/>
                <w:lang w:val="fr-CA"/>
              </w:rPr>
              <w:t>19 février 2014</w:t>
            </w:r>
          </w:p>
          <w:p w:rsidR="009B3DE4" w:rsidRPr="00480DEB" w:rsidRDefault="009B3DE4" w:rsidP="009B3DE4">
            <w:pPr>
              <w:jc w:val="both"/>
              <w:rPr>
                <w:sz w:val="20"/>
                <w:lang w:val="fr-CA"/>
              </w:rPr>
            </w:pPr>
            <w:r w:rsidRPr="00480DEB">
              <w:rPr>
                <w:sz w:val="20"/>
                <w:lang w:val="fr-CA"/>
              </w:rPr>
              <w:t xml:space="preserve">Cour supérieure de justice de l’Ontario </w:t>
            </w:r>
          </w:p>
          <w:p w:rsidR="009B3DE4" w:rsidRPr="00480DEB" w:rsidRDefault="009B3DE4" w:rsidP="009B3DE4">
            <w:pPr>
              <w:jc w:val="both"/>
              <w:rPr>
                <w:sz w:val="20"/>
                <w:lang w:val="fr-CA"/>
              </w:rPr>
            </w:pPr>
            <w:r w:rsidRPr="00480DEB">
              <w:rPr>
                <w:sz w:val="20"/>
                <w:lang w:val="fr-CA"/>
              </w:rPr>
              <w:t>(Juge Whitaker)</w:t>
            </w:r>
          </w:p>
          <w:p w:rsidR="009B3DE4" w:rsidRPr="00480DEB" w:rsidRDefault="009B3DE4" w:rsidP="009B3DE4">
            <w:pPr>
              <w:jc w:val="both"/>
              <w:rPr>
                <w:sz w:val="20"/>
                <w:lang w:val="fr-CA"/>
              </w:rPr>
            </w:pPr>
            <w:hyperlink r:id="rId38" w:history="1">
              <w:r w:rsidRPr="00480DEB">
                <w:rPr>
                  <w:rStyle w:val="Hyperlink"/>
                  <w:sz w:val="20"/>
                </w:rPr>
                <w:t>2014 ONSC 828</w:t>
              </w:r>
            </w:hyperlink>
          </w:p>
          <w:p w:rsidR="009B3DE4" w:rsidRPr="00480DEB" w:rsidRDefault="009B3DE4" w:rsidP="009B3DE4">
            <w:pPr>
              <w:jc w:val="both"/>
              <w:rPr>
                <w:sz w:val="20"/>
                <w:lang w:val="fr-CA"/>
              </w:rPr>
            </w:pPr>
          </w:p>
        </w:tc>
        <w:tc>
          <w:tcPr>
            <w:tcW w:w="195" w:type="pct"/>
          </w:tcPr>
          <w:p w:rsidR="009B3DE4" w:rsidRPr="00480DEB" w:rsidRDefault="009B3DE4" w:rsidP="009B3DE4">
            <w:pPr>
              <w:jc w:val="both"/>
              <w:rPr>
                <w:sz w:val="20"/>
                <w:lang w:val="fr-CA"/>
              </w:rPr>
            </w:pPr>
          </w:p>
        </w:tc>
        <w:tc>
          <w:tcPr>
            <w:tcW w:w="2378" w:type="pct"/>
          </w:tcPr>
          <w:p w:rsidR="009B3DE4" w:rsidRPr="00480DEB" w:rsidRDefault="009B3DE4" w:rsidP="009B3DE4">
            <w:pPr>
              <w:jc w:val="both"/>
              <w:rPr>
                <w:sz w:val="20"/>
                <w:lang w:val="fr-CA"/>
              </w:rPr>
            </w:pPr>
            <w:r w:rsidRPr="00480DEB">
              <w:rPr>
                <w:sz w:val="20"/>
                <w:lang w:val="fr-CA"/>
              </w:rPr>
              <w:t>Jugement accueillant la motion de la demanderesse en vue d’obtenir un jugement sommaire pour le paiement de tous les chèques encaissés par les intimées; rejet des demandes reconventionnelles en négligence des intimées</w:t>
            </w:r>
          </w:p>
          <w:p w:rsidR="009B3DE4" w:rsidRPr="00480DEB" w:rsidRDefault="009B3DE4" w:rsidP="009B3DE4">
            <w:pPr>
              <w:jc w:val="both"/>
              <w:rPr>
                <w:sz w:val="20"/>
                <w:lang w:val="fr-CA"/>
              </w:rPr>
            </w:pPr>
          </w:p>
        </w:tc>
      </w:tr>
      <w:tr w:rsidR="009B3DE4" w:rsidRPr="00480DEB" w:rsidTr="00490FA0">
        <w:tc>
          <w:tcPr>
            <w:tcW w:w="2427" w:type="pct"/>
            <w:gridSpan w:val="2"/>
          </w:tcPr>
          <w:p w:rsidR="009B3DE4" w:rsidRPr="00480DEB" w:rsidRDefault="009B3DE4" w:rsidP="009B3DE4">
            <w:pPr>
              <w:jc w:val="both"/>
              <w:rPr>
                <w:sz w:val="20"/>
                <w:lang w:val="fr-CA"/>
              </w:rPr>
            </w:pPr>
            <w:r w:rsidRPr="00480DEB">
              <w:rPr>
                <w:sz w:val="20"/>
                <w:lang w:val="fr-CA"/>
              </w:rPr>
              <w:t>2 février 2016</w:t>
            </w:r>
          </w:p>
          <w:p w:rsidR="009B3DE4" w:rsidRPr="00480DEB" w:rsidRDefault="009B3DE4" w:rsidP="009B3DE4">
            <w:pPr>
              <w:jc w:val="both"/>
              <w:rPr>
                <w:sz w:val="20"/>
                <w:lang w:val="fr-CA"/>
              </w:rPr>
            </w:pPr>
            <w:r w:rsidRPr="00480DEB">
              <w:rPr>
                <w:sz w:val="20"/>
                <w:lang w:val="fr-CA"/>
              </w:rPr>
              <w:t xml:space="preserve">Cour d’appel de l’Ontario </w:t>
            </w:r>
          </w:p>
          <w:p w:rsidR="009B3DE4" w:rsidRPr="00480DEB" w:rsidRDefault="009B3DE4" w:rsidP="009B3DE4">
            <w:pPr>
              <w:jc w:val="both"/>
              <w:rPr>
                <w:sz w:val="20"/>
                <w:lang w:val="fr-CA"/>
              </w:rPr>
            </w:pPr>
            <w:r w:rsidRPr="00480DEB">
              <w:rPr>
                <w:sz w:val="20"/>
                <w:lang w:val="fr-CA"/>
              </w:rPr>
              <w:t>(Juges Weiler, Laskin  et Cronk)</w:t>
            </w:r>
          </w:p>
          <w:p w:rsidR="009B3DE4" w:rsidRPr="00480DEB" w:rsidRDefault="009B3DE4" w:rsidP="009B3DE4">
            <w:pPr>
              <w:jc w:val="both"/>
              <w:rPr>
                <w:rStyle w:val="Hyperlink"/>
                <w:sz w:val="20"/>
              </w:rPr>
            </w:pPr>
            <w:hyperlink r:id="rId39" w:history="1">
              <w:r w:rsidRPr="00480DEB">
                <w:rPr>
                  <w:rStyle w:val="Hyperlink"/>
                  <w:sz w:val="20"/>
                </w:rPr>
                <w:t>2016 ONCA 94</w:t>
              </w:r>
            </w:hyperlink>
          </w:p>
          <w:p w:rsidR="009B3DE4" w:rsidRPr="00480DEB" w:rsidRDefault="009B3DE4" w:rsidP="009B3DE4">
            <w:pPr>
              <w:jc w:val="both"/>
              <w:rPr>
                <w:sz w:val="20"/>
                <w:lang w:val="fr-CA"/>
              </w:rPr>
            </w:pPr>
          </w:p>
        </w:tc>
        <w:tc>
          <w:tcPr>
            <w:tcW w:w="195" w:type="pct"/>
          </w:tcPr>
          <w:p w:rsidR="009B3DE4" w:rsidRPr="00480DEB" w:rsidRDefault="009B3DE4" w:rsidP="009B3DE4">
            <w:pPr>
              <w:jc w:val="both"/>
              <w:rPr>
                <w:sz w:val="20"/>
                <w:lang w:val="fr-CA"/>
              </w:rPr>
            </w:pPr>
          </w:p>
        </w:tc>
        <w:tc>
          <w:tcPr>
            <w:tcW w:w="2378" w:type="pct"/>
          </w:tcPr>
          <w:p w:rsidR="009B3DE4" w:rsidRPr="00480DEB" w:rsidRDefault="009B3DE4" w:rsidP="009B3DE4">
            <w:pPr>
              <w:jc w:val="both"/>
              <w:rPr>
                <w:sz w:val="20"/>
                <w:lang w:val="fr-CA"/>
              </w:rPr>
            </w:pPr>
            <w:r w:rsidRPr="00480DEB">
              <w:rPr>
                <w:sz w:val="20"/>
                <w:lang w:val="fr-CA"/>
              </w:rPr>
              <w:t>Arrêt accueillant l’appel, annulant les jugements de la juridiction inférieure et rejetant l’action de la demanderesse</w:t>
            </w:r>
          </w:p>
          <w:p w:rsidR="009B3DE4" w:rsidRPr="00480DEB" w:rsidRDefault="009B3DE4" w:rsidP="009B3DE4">
            <w:pPr>
              <w:jc w:val="both"/>
              <w:rPr>
                <w:sz w:val="20"/>
                <w:lang w:val="fr-CA"/>
              </w:rPr>
            </w:pPr>
          </w:p>
        </w:tc>
      </w:tr>
      <w:tr w:rsidR="009B3DE4" w:rsidRPr="00480DEB" w:rsidTr="00490FA0">
        <w:tc>
          <w:tcPr>
            <w:tcW w:w="2427" w:type="pct"/>
            <w:gridSpan w:val="2"/>
          </w:tcPr>
          <w:p w:rsidR="009B3DE4" w:rsidRPr="00480DEB" w:rsidRDefault="009B3DE4" w:rsidP="009B3DE4">
            <w:pPr>
              <w:jc w:val="both"/>
              <w:rPr>
                <w:sz w:val="20"/>
                <w:lang w:val="fr-CA"/>
              </w:rPr>
            </w:pPr>
            <w:r w:rsidRPr="00480DEB">
              <w:rPr>
                <w:sz w:val="20"/>
                <w:lang w:val="fr-CA"/>
              </w:rPr>
              <w:lastRenderedPageBreak/>
              <w:t>1</w:t>
            </w:r>
            <w:r w:rsidRPr="00480DEB">
              <w:rPr>
                <w:sz w:val="20"/>
                <w:vertAlign w:val="superscript"/>
                <w:lang w:val="fr-CA"/>
              </w:rPr>
              <w:t>er</w:t>
            </w:r>
            <w:r w:rsidRPr="00480DEB">
              <w:rPr>
                <w:sz w:val="20"/>
                <w:lang w:val="fr-CA"/>
              </w:rPr>
              <w:t xml:space="preserve"> avril 2016</w:t>
            </w:r>
          </w:p>
          <w:p w:rsidR="009B3DE4" w:rsidRPr="00480DEB" w:rsidRDefault="009B3DE4" w:rsidP="009B3DE4">
            <w:pPr>
              <w:jc w:val="both"/>
              <w:rPr>
                <w:sz w:val="20"/>
                <w:lang w:val="fr-CA"/>
              </w:rPr>
            </w:pPr>
            <w:r w:rsidRPr="00480DEB">
              <w:rPr>
                <w:sz w:val="20"/>
                <w:lang w:val="fr-CA"/>
              </w:rPr>
              <w:t>Cour suprême du Canada</w:t>
            </w:r>
          </w:p>
        </w:tc>
        <w:tc>
          <w:tcPr>
            <w:tcW w:w="195" w:type="pct"/>
          </w:tcPr>
          <w:p w:rsidR="009B3DE4" w:rsidRPr="00480DEB" w:rsidRDefault="009B3DE4" w:rsidP="009B3DE4">
            <w:pPr>
              <w:jc w:val="both"/>
              <w:rPr>
                <w:sz w:val="20"/>
                <w:lang w:val="fr-CA"/>
              </w:rPr>
            </w:pPr>
          </w:p>
        </w:tc>
        <w:tc>
          <w:tcPr>
            <w:tcW w:w="2378" w:type="pct"/>
          </w:tcPr>
          <w:p w:rsidR="009B3DE4" w:rsidRPr="00480DEB" w:rsidRDefault="009B3DE4" w:rsidP="009B3DE4">
            <w:pPr>
              <w:jc w:val="both"/>
              <w:rPr>
                <w:sz w:val="20"/>
                <w:lang w:val="fr-CA"/>
              </w:rPr>
            </w:pPr>
            <w:r w:rsidRPr="00480DEB">
              <w:rPr>
                <w:sz w:val="20"/>
                <w:lang w:val="fr-CA"/>
              </w:rPr>
              <w:t>Dépôt de la demande d’autorisation d’appel</w:t>
            </w:r>
          </w:p>
        </w:tc>
      </w:tr>
    </w:tbl>
    <w:p w:rsidR="009B3DE4" w:rsidRPr="00480DEB" w:rsidRDefault="009B3DE4" w:rsidP="009B3DE4">
      <w:pPr>
        <w:jc w:val="both"/>
        <w:rPr>
          <w:sz w:val="20"/>
          <w:lang w:val="fr-CA"/>
        </w:rPr>
      </w:pPr>
    </w:p>
    <w:p w:rsidR="0064395E" w:rsidRPr="00480DEB" w:rsidRDefault="0064395E" w:rsidP="00C7740E">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40E" w:rsidRPr="00480DEB" w:rsidTr="00E95A6A">
        <w:tc>
          <w:tcPr>
            <w:tcW w:w="543" w:type="pct"/>
          </w:tcPr>
          <w:p w:rsidR="00C7740E" w:rsidRPr="00480DEB" w:rsidRDefault="00C7740E" w:rsidP="00C7740E">
            <w:pPr>
              <w:jc w:val="both"/>
              <w:rPr>
                <w:sz w:val="20"/>
              </w:rPr>
            </w:pPr>
            <w:r w:rsidRPr="00480DEB">
              <w:rPr>
                <w:rStyle w:val="SCCFileNumberChar"/>
                <w:sz w:val="20"/>
                <w:szCs w:val="20"/>
              </w:rPr>
              <w:t>36868</w:t>
            </w:r>
          </w:p>
        </w:tc>
        <w:tc>
          <w:tcPr>
            <w:tcW w:w="4457" w:type="pct"/>
            <w:gridSpan w:val="3"/>
          </w:tcPr>
          <w:p w:rsidR="00C7740E" w:rsidRPr="00480DEB" w:rsidRDefault="00C7740E" w:rsidP="00C7740E">
            <w:pPr>
              <w:pStyle w:val="SCCLsocParty"/>
              <w:jc w:val="both"/>
              <w:rPr>
                <w:b/>
                <w:sz w:val="20"/>
                <w:szCs w:val="20"/>
              </w:rPr>
            </w:pPr>
            <w:r w:rsidRPr="00480DEB">
              <w:rPr>
                <w:b/>
                <w:sz w:val="20"/>
                <w:szCs w:val="20"/>
              </w:rPr>
              <w:t xml:space="preserve">Sarah Cheung v. Canadian Transportation Agency, </w:t>
            </w:r>
            <w:proofErr w:type="spellStart"/>
            <w:r w:rsidRPr="00480DEB">
              <w:rPr>
                <w:b/>
                <w:sz w:val="20"/>
                <w:szCs w:val="20"/>
              </w:rPr>
              <w:t>Westjet</w:t>
            </w:r>
            <w:proofErr w:type="spellEnd"/>
            <w:r w:rsidRPr="00480DEB">
              <w:rPr>
                <w:b/>
                <w:sz w:val="20"/>
                <w:szCs w:val="20"/>
              </w:rPr>
              <w:t xml:space="preserve"> Airlines</w:t>
            </w:r>
          </w:p>
          <w:p w:rsidR="00C7740E" w:rsidRPr="00480DEB" w:rsidRDefault="00C7740E" w:rsidP="00C7740E">
            <w:pPr>
              <w:jc w:val="both"/>
              <w:rPr>
                <w:sz w:val="20"/>
              </w:rPr>
            </w:pPr>
            <w:r w:rsidRPr="00480DEB">
              <w:rPr>
                <w:sz w:val="20"/>
              </w:rPr>
              <w:t>(FC) (Civil) (By Leave)</w:t>
            </w:r>
          </w:p>
        </w:tc>
      </w:tr>
      <w:tr w:rsidR="00C7740E" w:rsidRPr="00480DEB" w:rsidTr="00E95A6A">
        <w:tc>
          <w:tcPr>
            <w:tcW w:w="5000" w:type="pct"/>
            <w:gridSpan w:val="4"/>
          </w:tcPr>
          <w:p w:rsidR="00C7740E" w:rsidRPr="00480DEB" w:rsidRDefault="00C7740E" w:rsidP="00C7740E">
            <w:pPr>
              <w:jc w:val="both"/>
              <w:rPr>
                <w:sz w:val="20"/>
              </w:rPr>
            </w:pPr>
            <w:r w:rsidRPr="00480DEB">
              <w:rPr>
                <w:sz w:val="20"/>
              </w:rPr>
              <w:t xml:space="preserve">Human rights – Duty to accommodate – Person with disability requesting accommodations by airline to assist her in international air travel – Whether Court of Appeal erred by denying leave to appeal from decision of Canadian Transportation Agency that WestJet had discriminated against applicant on a </w:t>
            </w:r>
            <w:r w:rsidRPr="00480DEB">
              <w:rPr>
                <w:i/>
                <w:sz w:val="20"/>
              </w:rPr>
              <w:t>prima facie</w:t>
            </w:r>
            <w:r w:rsidRPr="00480DEB">
              <w:rPr>
                <w:sz w:val="20"/>
              </w:rPr>
              <w:t xml:space="preserve"> basis, but denied her a remedy without considering whether WestJet could establish undue hardship – Whether Agency breached its duty of procedural fairness by preventing applicant from making full submissions on undue hardship.</w:t>
            </w:r>
          </w:p>
        </w:tc>
      </w:tr>
      <w:tr w:rsidR="00C7740E" w:rsidRPr="00480DEB" w:rsidTr="00E95A6A">
        <w:tc>
          <w:tcPr>
            <w:tcW w:w="5000" w:type="pct"/>
            <w:gridSpan w:val="4"/>
          </w:tcPr>
          <w:p w:rsidR="00C7740E" w:rsidRPr="00480DEB" w:rsidRDefault="00C7740E" w:rsidP="00C7740E">
            <w:pPr>
              <w:jc w:val="both"/>
              <w:rPr>
                <w:sz w:val="20"/>
              </w:rPr>
            </w:pPr>
          </w:p>
        </w:tc>
      </w:tr>
      <w:tr w:rsidR="00C7740E" w:rsidRPr="00480DEB" w:rsidTr="00E95A6A">
        <w:tc>
          <w:tcPr>
            <w:tcW w:w="5000" w:type="pct"/>
            <w:gridSpan w:val="4"/>
          </w:tcPr>
          <w:p w:rsidR="00C7740E" w:rsidRPr="00480DEB" w:rsidRDefault="00C7740E" w:rsidP="00C7740E">
            <w:pPr>
              <w:jc w:val="both"/>
              <w:rPr>
                <w:sz w:val="20"/>
              </w:rPr>
            </w:pPr>
            <w:r w:rsidRPr="00480DEB">
              <w:rPr>
                <w:sz w:val="20"/>
              </w:rPr>
              <w:t xml:space="preserve">The applicant has spinal muscular atrophy and experienced certain difficulties in travelling between Vancouver, British Columbia and Honolulu, Hawaii in May, 2012. She uses a wheelchair with a removable custom orthotic positioning device (“OPD”) to support her body without which she could not sit upright without extreme discomfort. During flights, she also requires an attendant to assist her with her medication and personal care. The respondent, </w:t>
            </w:r>
            <w:proofErr w:type="spellStart"/>
            <w:r w:rsidRPr="00480DEB">
              <w:rPr>
                <w:sz w:val="20"/>
              </w:rPr>
              <w:t>Westjet</w:t>
            </w:r>
            <w:proofErr w:type="spellEnd"/>
            <w:r w:rsidRPr="00480DEB">
              <w:rPr>
                <w:sz w:val="20"/>
              </w:rPr>
              <w:t xml:space="preserve"> Airlines, refused to allow her to use her OPD during the international flight and to provide one extra seat, free of charge, for one attendant. She applied the Canadian Transportation Agency pursuant to s. 172(1) of the </w:t>
            </w:r>
            <w:r w:rsidRPr="00480DEB">
              <w:rPr>
                <w:i/>
                <w:sz w:val="20"/>
              </w:rPr>
              <w:t>Canada Transportation Act</w:t>
            </w:r>
            <w:r w:rsidRPr="00480DEB">
              <w:rPr>
                <w:sz w:val="20"/>
              </w:rPr>
              <w:t>, S.C. 1996, c. 10, as amended, to determine whether there was an undue obstacle to the mobility of a person with a disability. If not permitted the use of her OPD, Ms. Cheung sought three seats free of charge – two seats for two attendants and one additional seat to allow her to lie down.</w:t>
            </w:r>
          </w:p>
          <w:p w:rsidR="00C7740E" w:rsidRPr="00480DEB" w:rsidRDefault="00C7740E" w:rsidP="00C7740E">
            <w:pPr>
              <w:jc w:val="both"/>
              <w:rPr>
                <w:sz w:val="20"/>
              </w:rPr>
            </w:pPr>
          </w:p>
        </w:tc>
      </w:tr>
      <w:tr w:rsidR="00C7740E" w:rsidRPr="00480DEB" w:rsidTr="00E95A6A">
        <w:tc>
          <w:tcPr>
            <w:tcW w:w="2427" w:type="pct"/>
            <w:gridSpan w:val="2"/>
          </w:tcPr>
          <w:p w:rsidR="00C7740E" w:rsidRPr="00480DEB" w:rsidRDefault="00C7740E" w:rsidP="00C7740E">
            <w:pPr>
              <w:jc w:val="both"/>
              <w:rPr>
                <w:sz w:val="20"/>
              </w:rPr>
            </w:pPr>
            <w:r w:rsidRPr="00480DEB">
              <w:rPr>
                <w:sz w:val="20"/>
              </w:rPr>
              <w:t>October 13, 2015</w:t>
            </w:r>
          </w:p>
          <w:p w:rsidR="00C7740E" w:rsidRPr="00480DEB" w:rsidRDefault="00C7740E" w:rsidP="00C7740E">
            <w:pPr>
              <w:jc w:val="both"/>
              <w:rPr>
                <w:sz w:val="20"/>
              </w:rPr>
            </w:pPr>
            <w:r w:rsidRPr="00480DEB">
              <w:rPr>
                <w:sz w:val="20"/>
              </w:rPr>
              <w:t>Canadian Transportation Agency</w:t>
            </w:r>
          </w:p>
          <w:p w:rsidR="00C7740E" w:rsidRPr="00480DEB" w:rsidRDefault="00C7740E" w:rsidP="00C7740E">
            <w:pPr>
              <w:jc w:val="both"/>
              <w:rPr>
                <w:sz w:val="20"/>
              </w:rPr>
            </w:pPr>
            <w:r w:rsidRPr="00480DEB">
              <w:rPr>
                <w:sz w:val="20"/>
              </w:rPr>
              <w:t>(Barone and Fitzgerald, Members)</w:t>
            </w:r>
          </w:p>
          <w:p w:rsidR="00C7740E" w:rsidRPr="00480DEB" w:rsidRDefault="00C7740E" w:rsidP="00C7740E">
            <w:pPr>
              <w:jc w:val="both"/>
              <w:rPr>
                <w:sz w:val="20"/>
              </w:rPr>
            </w:pPr>
          </w:p>
        </w:tc>
        <w:tc>
          <w:tcPr>
            <w:tcW w:w="243" w:type="pct"/>
          </w:tcPr>
          <w:p w:rsidR="00C7740E" w:rsidRPr="00480DEB" w:rsidRDefault="00C7740E" w:rsidP="00C7740E">
            <w:pPr>
              <w:jc w:val="both"/>
              <w:rPr>
                <w:sz w:val="20"/>
              </w:rPr>
            </w:pPr>
          </w:p>
        </w:tc>
        <w:tc>
          <w:tcPr>
            <w:tcW w:w="2330" w:type="pct"/>
          </w:tcPr>
          <w:p w:rsidR="00C7740E" w:rsidRPr="00480DEB" w:rsidRDefault="00C7740E" w:rsidP="00C7740E">
            <w:pPr>
              <w:jc w:val="both"/>
              <w:rPr>
                <w:sz w:val="20"/>
              </w:rPr>
            </w:pPr>
            <w:r w:rsidRPr="00480DEB">
              <w:rPr>
                <w:sz w:val="20"/>
              </w:rPr>
              <w:t>Decision that refusal to permit applicant to use OPD during flight constituted undue obstacle to her mobility. No corrective measures required. One-person, one-fare principle not expanded to international routes</w:t>
            </w:r>
          </w:p>
          <w:p w:rsidR="00C7740E" w:rsidRPr="00480DEB" w:rsidRDefault="00C7740E" w:rsidP="00C7740E">
            <w:pPr>
              <w:jc w:val="both"/>
              <w:rPr>
                <w:sz w:val="20"/>
              </w:rPr>
            </w:pPr>
          </w:p>
        </w:tc>
      </w:tr>
      <w:tr w:rsidR="00C7740E" w:rsidRPr="00480DEB" w:rsidTr="00E95A6A">
        <w:tc>
          <w:tcPr>
            <w:tcW w:w="2427" w:type="pct"/>
            <w:gridSpan w:val="2"/>
          </w:tcPr>
          <w:p w:rsidR="00C7740E" w:rsidRPr="00480DEB" w:rsidRDefault="00C7740E" w:rsidP="00C7740E">
            <w:pPr>
              <w:jc w:val="both"/>
              <w:rPr>
                <w:sz w:val="20"/>
              </w:rPr>
            </w:pPr>
            <w:r w:rsidRPr="00480DEB">
              <w:rPr>
                <w:sz w:val="20"/>
              </w:rPr>
              <w:t>December 21, 2015</w:t>
            </w:r>
          </w:p>
          <w:p w:rsidR="00C7740E" w:rsidRPr="00480DEB" w:rsidRDefault="00C7740E" w:rsidP="00C7740E">
            <w:pPr>
              <w:jc w:val="both"/>
              <w:rPr>
                <w:sz w:val="20"/>
              </w:rPr>
            </w:pPr>
            <w:r w:rsidRPr="00480DEB">
              <w:rPr>
                <w:sz w:val="20"/>
              </w:rPr>
              <w:t>Federal Court of Appeal</w:t>
            </w:r>
          </w:p>
          <w:p w:rsidR="00C7740E" w:rsidRPr="00480DEB" w:rsidRDefault="00C7740E" w:rsidP="00C7740E">
            <w:pPr>
              <w:jc w:val="both"/>
              <w:rPr>
                <w:sz w:val="20"/>
              </w:rPr>
            </w:pPr>
            <w:r w:rsidRPr="00480DEB">
              <w:rPr>
                <w:sz w:val="20"/>
              </w:rPr>
              <w:t>(</w:t>
            </w:r>
            <w:proofErr w:type="spellStart"/>
            <w:r w:rsidRPr="00480DEB">
              <w:rPr>
                <w:sz w:val="20"/>
              </w:rPr>
              <w:t>Nadon</w:t>
            </w:r>
            <w:proofErr w:type="spellEnd"/>
            <w:r w:rsidRPr="00480DEB">
              <w:rPr>
                <w:sz w:val="20"/>
              </w:rPr>
              <w:t xml:space="preserve">, </w:t>
            </w:r>
            <w:proofErr w:type="spellStart"/>
            <w:r w:rsidRPr="00480DEB">
              <w:rPr>
                <w:sz w:val="20"/>
              </w:rPr>
              <w:t>Trudel</w:t>
            </w:r>
            <w:proofErr w:type="spellEnd"/>
            <w:r w:rsidRPr="00480DEB">
              <w:rPr>
                <w:sz w:val="20"/>
              </w:rPr>
              <w:t xml:space="preserve"> and </w:t>
            </w:r>
            <w:proofErr w:type="spellStart"/>
            <w:r w:rsidRPr="00480DEB">
              <w:rPr>
                <w:sz w:val="20"/>
              </w:rPr>
              <w:t>Stratas</w:t>
            </w:r>
            <w:proofErr w:type="spellEnd"/>
            <w:r w:rsidRPr="00480DEB">
              <w:rPr>
                <w:sz w:val="20"/>
              </w:rPr>
              <w:t xml:space="preserve"> JJ.A.)</w:t>
            </w:r>
          </w:p>
          <w:p w:rsidR="00C7740E" w:rsidRPr="00480DEB" w:rsidRDefault="00C7740E" w:rsidP="00C7740E">
            <w:pPr>
              <w:jc w:val="both"/>
              <w:rPr>
                <w:sz w:val="20"/>
              </w:rPr>
            </w:pPr>
            <w:r w:rsidRPr="00480DEB">
              <w:rPr>
                <w:sz w:val="20"/>
              </w:rPr>
              <w:t xml:space="preserve">Unreported </w:t>
            </w:r>
          </w:p>
          <w:p w:rsidR="00C7740E" w:rsidRPr="00480DEB" w:rsidRDefault="00C7740E" w:rsidP="00C7740E">
            <w:pPr>
              <w:jc w:val="both"/>
              <w:rPr>
                <w:sz w:val="20"/>
              </w:rPr>
            </w:pPr>
          </w:p>
        </w:tc>
        <w:tc>
          <w:tcPr>
            <w:tcW w:w="243" w:type="pct"/>
          </w:tcPr>
          <w:p w:rsidR="00C7740E" w:rsidRPr="00480DEB" w:rsidRDefault="00C7740E" w:rsidP="00C7740E">
            <w:pPr>
              <w:jc w:val="both"/>
              <w:rPr>
                <w:sz w:val="20"/>
              </w:rPr>
            </w:pPr>
          </w:p>
        </w:tc>
        <w:tc>
          <w:tcPr>
            <w:tcW w:w="2330" w:type="pct"/>
          </w:tcPr>
          <w:p w:rsidR="00C7740E" w:rsidRPr="00480DEB" w:rsidRDefault="00C7740E" w:rsidP="00C7740E">
            <w:pPr>
              <w:jc w:val="both"/>
              <w:rPr>
                <w:sz w:val="20"/>
              </w:rPr>
            </w:pPr>
            <w:r w:rsidRPr="00480DEB">
              <w:rPr>
                <w:sz w:val="20"/>
              </w:rPr>
              <w:t>Applicant’s application for leave to appeal dismissed</w:t>
            </w:r>
          </w:p>
          <w:p w:rsidR="00C7740E" w:rsidRPr="00480DEB" w:rsidRDefault="00C7740E" w:rsidP="00C7740E">
            <w:pPr>
              <w:jc w:val="both"/>
              <w:rPr>
                <w:sz w:val="20"/>
              </w:rPr>
            </w:pPr>
          </w:p>
          <w:p w:rsidR="00C7740E" w:rsidRPr="00480DEB" w:rsidRDefault="00C7740E" w:rsidP="00C7740E">
            <w:pPr>
              <w:jc w:val="both"/>
              <w:rPr>
                <w:sz w:val="20"/>
              </w:rPr>
            </w:pPr>
          </w:p>
        </w:tc>
      </w:tr>
      <w:tr w:rsidR="00C7740E" w:rsidRPr="00480DEB" w:rsidTr="00654091">
        <w:trPr>
          <w:trHeight w:val="954"/>
        </w:trPr>
        <w:tc>
          <w:tcPr>
            <w:tcW w:w="2427" w:type="pct"/>
            <w:gridSpan w:val="2"/>
          </w:tcPr>
          <w:p w:rsidR="00C7740E" w:rsidRPr="00480DEB" w:rsidRDefault="00C7740E" w:rsidP="00C7740E">
            <w:pPr>
              <w:jc w:val="both"/>
              <w:rPr>
                <w:sz w:val="20"/>
              </w:rPr>
            </w:pPr>
            <w:r w:rsidRPr="00480DEB">
              <w:rPr>
                <w:sz w:val="20"/>
              </w:rPr>
              <w:t>February 22, 2016</w:t>
            </w:r>
          </w:p>
          <w:p w:rsidR="00C7740E" w:rsidRPr="00480DEB" w:rsidRDefault="00C7740E" w:rsidP="00C7740E">
            <w:pPr>
              <w:jc w:val="both"/>
              <w:rPr>
                <w:sz w:val="20"/>
              </w:rPr>
            </w:pPr>
            <w:r w:rsidRPr="00480DEB">
              <w:rPr>
                <w:sz w:val="20"/>
              </w:rPr>
              <w:t>Supreme Court of Canada</w:t>
            </w:r>
          </w:p>
        </w:tc>
        <w:tc>
          <w:tcPr>
            <w:tcW w:w="243" w:type="pct"/>
          </w:tcPr>
          <w:p w:rsidR="00C7740E" w:rsidRPr="00480DEB" w:rsidRDefault="00C7740E" w:rsidP="00C7740E">
            <w:pPr>
              <w:jc w:val="both"/>
              <w:rPr>
                <w:sz w:val="20"/>
              </w:rPr>
            </w:pPr>
          </w:p>
        </w:tc>
        <w:tc>
          <w:tcPr>
            <w:tcW w:w="2330" w:type="pct"/>
          </w:tcPr>
          <w:p w:rsidR="00C7740E" w:rsidRPr="00480DEB" w:rsidRDefault="00C7740E" w:rsidP="00C7740E">
            <w:pPr>
              <w:jc w:val="both"/>
              <w:rPr>
                <w:sz w:val="20"/>
              </w:rPr>
            </w:pPr>
            <w:r w:rsidRPr="00480DEB">
              <w:rPr>
                <w:sz w:val="20"/>
              </w:rPr>
              <w:t>Application for leave to appeal filed</w:t>
            </w:r>
          </w:p>
        </w:tc>
      </w:tr>
      <w:tr w:rsidR="00C7740E" w:rsidRPr="00480DEB" w:rsidTr="00E95A6A">
        <w:tc>
          <w:tcPr>
            <w:tcW w:w="2427" w:type="pct"/>
            <w:gridSpan w:val="2"/>
          </w:tcPr>
          <w:p w:rsidR="00C7740E" w:rsidRPr="00480DEB" w:rsidRDefault="00C7740E" w:rsidP="00C7740E">
            <w:pPr>
              <w:jc w:val="both"/>
              <w:rPr>
                <w:sz w:val="20"/>
              </w:rPr>
            </w:pPr>
            <w:r w:rsidRPr="00480DEB">
              <w:rPr>
                <w:sz w:val="20"/>
              </w:rPr>
              <w:t>February 26, 2016</w:t>
            </w:r>
          </w:p>
          <w:p w:rsidR="00C7740E" w:rsidRPr="00480DEB" w:rsidRDefault="00C7740E" w:rsidP="00C7740E">
            <w:pPr>
              <w:jc w:val="both"/>
              <w:rPr>
                <w:sz w:val="20"/>
              </w:rPr>
            </w:pPr>
            <w:r w:rsidRPr="00480DEB">
              <w:rPr>
                <w:sz w:val="20"/>
              </w:rPr>
              <w:t>Supreme Court of Canada</w:t>
            </w:r>
          </w:p>
        </w:tc>
        <w:tc>
          <w:tcPr>
            <w:tcW w:w="243" w:type="pct"/>
          </w:tcPr>
          <w:p w:rsidR="00C7740E" w:rsidRPr="00480DEB" w:rsidRDefault="00C7740E" w:rsidP="00C7740E">
            <w:pPr>
              <w:jc w:val="both"/>
              <w:rPr>
                <w:sz w:val="20"/>
              </w:rPr>
            </w:pPr>
          </w:p>
        </w:tc>
        <w:tc>
          <w:tcPr>
            <w:tcW w:w="2330" w:type="pct"/>
          </w:tcPr>
          <w:p w:rsidR="00C7740E" w:rsidRPr="00480DEB" w:rsidRDefault="00C7740E" w:rsidP="00C7740E">
            <w:pPr>
              <w:jc w:val="both"/>
              <w:rPr>
                <w:sz w:val="20"/>
              </w:rPr>
            </w:pPr>
            <w:r w:rsidRPr="00480DEB">
              <w:rPr>
                <w:sz w:val="20"/>
              </w:rPr>
              <w:t>Motion for extension of time in which to serve and file application for leave to appeal filed</w:t>
            </w:r>
          </w:p>
        </w:tc>
      </w:tr>
    </w:tbl>
    <w:p w:rsidR="00C7740E" w:rsidRPr="00480DEB" w:rsidRDefault="00C7740E" w:rsidP="00C7740E">
      <w:pPr>
        <w:jc w:val="both"/>
        <w:rPr>
          <w:sz w:val="20"/>
        </w:rPr>
      </w:pPr>
    </w:p>
    <w:p w:rsidR="00C7740E" w:rsidRPr="00480DEB" w:rsidRDefault="00C7740E" w:rsidP="00C7740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7740E" w:rsidRPr="00480DEB" w:rsidTr="00E95A6A">
        <w:tc>
          <w:tcPr>
            <w:tcW w:w="543" w:type="pct"/>
          </w:tcPr>
          <w:p w:rsidR="00C7740E" w:rsidRPr="00480DEB" w:rsidRDefault="00C7740E" w:rsidP="00C7740E">
            <w:pPr>
              <w:jc w:val="both"/>
              <w:rPr>
                <w:sz w:val="20"/>
                <w:lang w:val="fr-CA"/>
              </w:rPr>
            </w:pPr>
            <w:r w:rsidRPr="00480DEB">
              <w:rPr>
                <w:rStyle w:val="SCCFileNumberChar"/>
                <w:sz w:val="20"/>
                <w:szCs w:val="20"/>
                <w:lang w:val="fr-CA"/>
              </w:rPr>
              <w:t>36868</w:t>
            </w:r>
          </w:p>
        </w:tc>
        <w:tc>
          <w:tcPr>
            <w:tcW w:w="4457" w:type="pct"/>
            <w:gridSpan w:val="3"/>
          </w:tcPr>
          <w:p w:rsidR="00C7740E" w:rsidRPr="00480DEB" w:rsidRDefault="00C7740E" w:rsidP="00C7740E">
            <w:pPr>
              <w:pStyle w:val="SCCLsocParty"/>
              <w:jc w:val="both"/>
              <w:rPr>
                <w:b/>
                <w:sz w:val="20"/>
                <w:szCs w:val="20"/>
              </w:rPr>
            </w:pPr>
            <w:r w:rsidRPr="00480DEB">
              <w:rPr>
                <w:b/>
                <w:sz w:val="20"/>
                <w:szCs w:val="20"/>
              </w:rPr>
              <w:t>Sarah Cheung c. Office des transports du Canada, Westjet Airlines</w:t>
            </w:r>
          </w:p>
          <w:p w:rsidR="00C7740E" w:rsidRPr="00480DEB" w:rsidRDefault="00C7740E" w:rsidP="00C7740E">
            <w:pPr>
              <w:jc w:val="both"/>
              <w:rPr>
                <w:sz w:val="20"/>
                <w:lang w:val="fr-CA"/>
              </w:rPr>
            </w:pPr>
            <w:r w:rsidRPr="00480DEB">
              <w:rPr>
                <w:sz w:val="20"/>
                <w:lang w:val="fr-CA"/>
              </w:rPr>
              <w:t>(CF) (Civile) (Sur autorisation)</w:t>
            </w:r>
          </w:p>
        </w:tc>
      </w:tr>
      <w:tr w:rsidR="00C7740E" w:rsidRPr="00480DEB" w:rsidTr="00E95A6A">
        <w:tc>
          <w:tcPr>
            <w:tcW w:w="5000" w:type="pct"/>
            <w:gridSpan w:val="4"/>
          </w:tcPr>
          <w:p w:rsidR="00C7740E" w:rsidRPr="00480DEB" w:rsidRDefault="00C7740E" w:rsidP="00C7740E">
            <w:pPr>
              <w:jc w:val="both"/>
              <w:rPr>
                <w:sz w:val="20"/>
                <w:lang w:val="fr-CA"/>
              </w:rPr>
            </w:pPr>
            <w:r w:rsidRPr="00480DEB">
              <w:rPr>
                <w:sz w:val="20"/>
                <w:lang w:val="fr-CA"/>
              </w:rPr>
              <w:t xml:space="preserve">Droits de la personne – Obligation d’accommodement – Une personne ayant une déficience demande à un transporteur aérien des accommodements pour l’aider à bord de vols internationaux – La Cour d’appel a-t-elle eu tort de refuser l’autorisation d’en appeler de la décision de l’Office national des transports selon laquelle WestJet avait à première vue fait preuve de discrimination à l’égard de la demanderesse, mais qui lui a refusé une réparation sans examiner la question de savoir si WestJet pouvait établir une contrainte excessive? – L’Office </w:t>
            </w:r>
            <w:proofErr w:type="spellStart"/>
            <w:r w:rsidRPr="00480DEB">
              <w:rPr>
                <w:sz w:val="20"/>
                <w:lang w:val="fr-CA"/>
              </w:rPr>
              <w:t>a-t-il</w:t>
            </w:r>
            <w:proofErr w:type="spellEnd"/>
            <w:r w:rsidRPr="00480DEB">
              <w:rPr>
                <w:sz w:val="20"/>
                <w:lang w:val="fr-CA"/>
              </w:rPr>
              <w:t xml:space="preserve"> manqué à son obligation d’équité procédurale en ayant empêché la demanderesse de présenter des observations complètes sur la contrainte excessive?</w:t>
            </w:r>
          </w:p>
        </w:tc>
      </w:tr>
      <w:tr w:rsidR="00C7740E" w:rsidRPr="00480DEB" w:rsidTr="00E95A6A">
        <w:tc>
          <w:tcPr>
            <w:tcW w:w="5000" w:type="pct"/>
            <w:gridSpan w:val="4"/>
          </w:tcPr>
          <w:p w:rsidR="00C7740E" w:rsidRPr="00480DEB" w:rsidRDefault="00C7740E" w:rsidP="00C7740E">
            <w:pPr>
              <w:jc w:val="both"/>
              <w:rPr>
                <w:sz w:val="20"/>
                <w:lang w:val="fr-CA"/>
              </w:rPr>
            </w:pPr>
          </w:p>
        </w:tc>
      </w:tr>
      <w:tr w:rsidR="00C7740E" w:rsidRPr="00480DEB" w:rsidTr="00E95A6A">
        <w:tc>
          <w:tcPr>
            <w:tcW w:w="5000" w:type="pct"/>
            <w:gridSpan w:val="4"/>
          </w:tcPr>
          <w:p w:rsidR="00C7740E" w:rsidRPr="00480DEB" w:rsidRDefault="00C7740E" w:rsidP="00C7740E">
            <w:pPr>
              <w:jc w:val="both"/>
              <w:rPr>
                <w:sz w:val="20"/>
                <w:lang w:val="fr-CA"/>
              </w:rPr>
            </w:pPr>
            <w:r w:rsidRPr="00480DEB">
              <w:rPr>
                <w:sz w:val="20"/>
                <w:lang w:val="fr-CA"/>
              </w:rPr>
              <w:lastRenderedPageBreak/>
              <w:t xml:space="preserve">La demanderesse a une amyotrophie musculaire spinale et a rencontré des difficultés au cours d’un voyage entre Vancouver (Colombie-Britannique) et Honolulu (Hawaï) en mai 2012. Elle utilise un fauteuil roulant ainsi qu’une orthèse de positionnement faite sur mesure et amovible pour supporter le poids de son corps; sans cette orthèse, elle ne peut s’asseoir bien droit sans éprouver un inconfort extrême. Pendant les vols, elle a également besoin d’un accompagnateur pour l’aider avec ses médicaments et ses soins personnels. L’intimée, </w:t>
            </w:r>
            <w:proofErr w:type="spellStart"/>
            <w:r w:rsidRPr="00480DEB">
              <w:rPr>
                <w:sz w:val="20"/>
                <w:lang w:val="fr-CA"/>
              </w:rPr>
              <w:t>Westjet</w:t>
            </w:r>
            <w:proofErr w:type="spellEnd"/>
            <w:r w:rsidRPr="00480DEB">
              <w:rPr>
                <w:sz w:val="20"/>
                <w:lang w:val="fr-CA"/>
              </w:rPr>
              <w:t xml:space="preserve"> Airlines, a refusé de lui permettre d’utiliser son orthèse de positionnement pendant le vol international et de fournir un siège supplémentaire, sans frais, pour un accompagnateur. Elle a présenté une demande à l’Office des transports du Canada, en application du par. 172(1) de la </w:t>
            </w:r>
            <w:r w:rsidRPr="00480DEB">
              <w:rPr>
                <w:i/>
                <w:sz w:val="20"/>
                <w:lang w:val="fr-CA"/>
              </w:rPr>
              <w:t>Loi sur les transports au Canada</w:t>
            </w:r>
            <w:r w:rsidRPr="00480DEB">
              <w:rPr>
                <w:sz w:val="20"/>
                <w:lang w:val="fr-CA"/>
              </w:rPr>
              <w:t>, L.C. 1996, ch. 10, modifiée, pour déterminer s’il y a eu obstacle abusif aux possibilités de déplacement d’une personne ayant une déficience. Si elle ne peut utiliser son orthèse de positionnement, M</w:t>
            </w:r>
            <w:r w:rsidRPr="00480DEB">
              <w:rPr>
                <w:sz w:val="20"/>
                <w:vertAlign w:val="superscript"/>
                <w:lang w:val="fr-CA"/>
              </w:rPr>
              <w:t>me</w:t>
            </w:r>
            <w:r w:rsidRPr="00480DEB">
              <w:rPr>
                <w:sz w:val="20"/>
                <w:lang w:val="fr-CA"/>
              </w:rPr>
              <w:t> Cheung demande qu’on lui fournisse, sans frais, trois sièges –deux sièges pour deux accompagnateurs et un autre pour lui permettre de s’allonger.</w:t>
            </w:r>
          </w:p>
          <w:p w:rsidR="00C7740E" w:rsidRPr="00480DEB" w:rsidRDefault="00C7740E" w:rsidP="00C7740E">
            <w:pPr>
              <w:jc w:val="both"/>
              <w:rPr>
                <w:sz w:val="20"/>
                <w:lang w:val="fr-CA"/>
              </w:rPr>
            </w:pPr>
          </w:p>
        </w:tc>
      </w:tr>
      <w:tr w:rsidR="00C7740E" w:rsidRPr="00480DEB" w:rsidTr="00E95A6A">
        <w:tc>
          <w:tcPr>
            <w:tcW w:w="2427" w:type="pct"/>
            <w:gridSpan w:val="2"/>
          </w:tcPr>
          <w:p w:rsidR="00C7740E" w:rsidRPr="00480DEB" w:rsidRDefault="00C7740E" w:rsidP="00C7740E">
            <w:pPr>
              <w:jc w:val="both"/>
              <w:rPr>
                <w:sz w:val="20"/>
                <w:lang w:val="fr-CA"/>
              </w:rPr>
            </w:pPr>
            <w:r w:rsidRPr="00480DEB">
              <w:rPr>
                <w:sz w:val="20"/>
                <w:lang w:val="fr-CA"/>
              </w:rPr>
              <w:t>13 octobre 2015</w:t>
            </w:r>
          </w:p>
          <w:p w:rsidR="00C7740E" w:rsidRPr="00480DEB" w:rsidRDefault="00C7740E" w:rsidP="00C7740E">
            <w:pPr>
              <w:jc w:val="both"/>
              <w:rPr>
                <w:sz w:val="20"/>
                <w:lang w:val="fr-CA"/>
              </w:rPr>
            </w:pPr>
            <w:r w:rsidRPr="00480DEB">
              <w:rPr>
                <w:sz w:val="20"/>
                <w:lang w:val="fr-CA"/>
              </w:rPr>
              <w:t>Office des transports du Canada</w:t>
            </w:r>
          </w:p>
          <w:p w:rsidR="00C7740E" w:rsidRPr="00480DEB" w:rsidRDefault="00C7740E" w:rsidP="00C7740E">
            <w:pPr>
              <w:jc w:val="both"/>
              <w:rPr>
                <w:sz w:val="20"/>
                <w:lang w:val="fr-CA"/>
              </w:rPr>
            </w:pPr>
            <w:r w:rsidRPr="00480DEB">
              <w:rPr>
                <w:sz w:val="20"/>
                <w:lang w:val="fr-CA"/>
              </w:rPr>
              <w:t>(MM. Barone et Fitzgerald, membres)</w:t>
            </w:r>
          </w:p>
        </w:tc>
        <w:tc>
          <w:tcPr>
            <w:tcW w:w="243" w:type="pct"/>
          </w:tcPr>
          <w:p w:rsidR="00C7740E" w:rsidRPr="00480DEB" w:rsidRDefault="00C7740E" w:rsidP="00C7740E">
            <w:pPr>
              <w:jc w:val="both"/>
              <w:rPr>
                <w:sz w:val="20"/>
                <w:lang w:val="fr-CA"/>
              </w:rPr>
            </w:pPr>
          </w:p>
        </w:tc>
        <w:tc>
          <w:tcPr>
            <w:tcW w:w="2330" w:type="pct"/>
          </w:tcPr>
          <w:p w:rsidR="00C7740E" w:rsidRPr="00480DEB" w:rsidRDefault="00C7740E" w:rsidP="00C7740E">
            <w:pPr>
              <w:jc w:val="both"/>
              <w:rPr>
                <w:sz w:val="20"/>
                <w:lang w:val="fr-CA"/>
              </w:rPr>
            </w:pPr>
            <w:r w:rsidRPr="00480DEB">
              <w:rPr>
                <w:sz w:val="20"/>
                <w:lang w:val="fr-CA"/>
              </w:rPr>
              <w:t>Décision portant que le refus de permettre à la demanderesse d’utiliser son orthèse de positionnement pendant le vol constitue un obstacle abusif à ses possibilités de déplacement. Aucune mesure corrective n’est exigée. Le principe « une personne, un tarif » n’est pas étendu aux vols internationaux</w:t>
            </w:r>
          </w:p>
          <w:p w:rsidR="00C7740E" w:rsidRPr="00480DEB" w:rsidRDefault="00C7740E" w:rsidP="00C7740E">
            <w:pPr>
              <w:jc w:val="both"/>
              <w:rPr>
                <w:sz w:val="20"/>
                <w:lang w:val="fr-CA"/>
              </w:rPr>
            </w:pPr>
          </w:p>
        </w:tc>
      </w:tr>
      <w:tr w:rsidR="00C7740E" w:rsidRPr="00480DEB" w:rsidTr="00E95A6A">
        <w:tc>
          <w:tcPr>
            <w:tcW w:w="2427" w:type="pct"/>
            <w:gridSpan w:val="2"/>
          </w:tcPr>
          <w:p w:rsidR="00C7740E" w:rsidRPr="00480DEB" w:rsidRDefault="00C7740E" w:rsidP="00C7740E">
            <w:pPr>
              <w:jc w:val="both"/>
              <w:rPr>
                <w:sz w:val="20"/>
                <w:lang w:val="fr-CA"/>
              </w:rPr>
            </w:pPr>
            <w:r w:rsidRPr="00480DEB">
              <w:rPr>
                <w:sz w:val="20"/>
                <w:lang w:val="fr-CA"/>
              </w:rPr>
              <w:t>21 décembre 2015</w:t>
            </w:r>
          </w:p>
          <w:p w:rsidR="00C7740E" w:rsidRPr="00480DEB" w:rsidRDefault="00C7740E" w:rsidP="00C7740E">
            <w:pPr>
              <w:jc w:val="both"/>
              <w:rPr>
                <w:sz w:val="20"/>
                <w:lang w:val="fr-CA"/>
              </w:rPr>
            </w:pPr>
            <w:r w:rsidRPr="00480DEB">
              <w:rPr>
                <w:sz w:val="20"/>
                <w:lang w:val="fr-CA"/>
              </w:rPr>
              <w:t>Cour d’appel fédérale</w:t>
            </w:r>
          </w:p>
          <w:p w:rsidR="00C7740E" w:rsidRPr="00480DEB" w:rsidRDefault="00C7740E" w:rsidP="00C7740E">
            <w:pPr>
              <w:jc w:val="both"/>
              <w:rPr>
                <w:sz w:val="20"/>
                <w:lang w:val="fr-CA"/>
              </w:rPr>
            </w:pPr>
            <w:r w:rsidRPr="00480DEB">
              <w:rPr>
                <w:sz w:val="20"/>
                <w:lang w:val="fr-CA"/>
              </w:rPr>
              <w:t>(Juges Nadon, Trudel et Stratas)</w:t>
            </w:r>
          </w:p>
          <w:p w:rsidR="00C7740E" w:rsidRPr="00480DEB" w:rsidRDefault="00C7740E" w:rsidP="00C7740E">
            <w:pPr>
              <w:jc w:val="both"/>
              <w:rPr>
                <w:sz w:val="20"/>
                <w:lang w:val="fr-CA"/>
              </w:rPr>
            </w:pPr>
            <w:r w:rsidRPr="00480DEB">
              <w:rPr>
                <w:sz w:val="20"/>
                <w:lang w:val="fr-CA"/>
              </w:rPr>
              <w:t xml:space="preserve">Non publié </w:t>
            </w:r>
          </w:p>
          <w:p w:rsidR="00C7740E" w:rsidRPr="00480DEB" w:rsidRDefault="00C7740E" w:rsidP="00C7740E">
            <w:pPr>
              <w:jc w:val="both"/>
              <w:rPr>
                <w:sz w:val="20"/>
                <w:lang w:val="fr-CA"/>
              </w:rPr>
            </w:pPr>
          </w:p>
        </w:tc>
        <w:tc>
          <w:tcPr>
            <w:tcW w:w="243" w:type="pct"/>
          </w:tcPr>
          <w:p w:rsidR="00C7740E" w:rsidRPr="00480DEB" w:rsidRDefault="00C7740E" w:rsidP="00C7740E">
            <w:pPr>
              <w:jc w:val="both"/>
              <w:rPr>
                <w:sz w:val="20"/>
                <w:lang w:val="fr-CA"/>
              </w:rPr>
            </w:pPr>
          </w:p>
        </w:tc>
        <w:tc>
          <w:tcPr>
            <w:tcW w:w="2330" w:type="pct"/>
          </w:tcPr>
          <w:p w:rsidR="00C7740E" w:rsidRPr="00480DEB" w:rsidRDefault="00C7740E" w:rsidP="00C7740E">
            <w:pPr>
              <w:jc w:val="both"/>
              <w:rPr>
                <w:sz w:val="20"/>
                <w:lang w:val="fr-CA"/>
              </w:rPr>
            </w:pPr>
            <w:r w:rsidRPr="00480DEB">
              <w:rPr>
                <w:sz w:val="20"/>
                <w:lang w:val="fr-CA"/>
              </w:rPr>
              <w:t>Rejet de la demande d’autorisation d’appel de la demanderesse</w:t>
            </w:r>
          </w:p>
          <w:p w:rsidR="00C7740E" w:rsidRPr="00480DEB" w:rsidRDefault="00C7740E" w:rsidP="00C7740E">
            <w:pPr>
              <w:jc w:val="both"/>
              <w:rPr>
                <w:sz w:val="20"/>
                <w:lang w:val="fr-CA"/>
              </w:rPr>
            </w:pPr>
          </w:p>
          <w:p w:rsidR="00C7740E" w:rsidRPr="00480DEB" w:rsidRDefault="00C7740E" w:rsidP="00C7740E">
            <w:pPr>
              <w:jc w:val="both"/>
              <w:rPr>
                <w:sz w:val="20"/>
                <w:lang w:val="fr-CA"/>
              </w:rPr>
            </w:pPr>
          </w:p>
        </w:tc>
      </w:tr>
      <w:tr w:rsidR="00C7740E" w:rsidRPr="00480DEB" w:rsidTr="00654091">
        <w:trPr>
          <w:trHeight w:val="954"/>
        </w:trPr>
        <w:tc>
          <w:tcPr>
            <w:tcW w:w="2427" w:type="pct"/>
            <w:gridSpan w:val="2"/>
          </w:tcPr>
          <w:p w:rsidR="00C7740E" w:rsidRPr="00480DEB" w:rsidRDefault="00C7740E" w:rsidP="00C7740E">
            <w:pPr>
              <w:jc w:val="both"/>
              <w:rPr>
                <w:sz w:val="20"/>
                <w:lang w:val="fr-CA"/>
              </w:rPr>
            </w:pPr>
            <w:r w:rsidRPr="00480DEB">
              <w:rPr>
                <w:sz w:val="20"/>
                <w:lang w:val="fr-CA"/>
              </w:rPr>
              <w:t>22 février 2016</w:t>
            </w:r>
          </w:p>
          <w:p w:rsidR="00C7740E" w:rsidRPr="00480DEB" w:rsidRDefault="00C7740E" w:rsidP="00C7740E">
            <w:pPr>
              <w:jc w:val="both"/>
              <w:rPr>
                <w:sz w:val="20"/>
                <w:lang w:val="fr-CA"/>
              </w:rPr>
            </w:pPr>
            <w:r w:rsidRPr="00480DEB">
              <w:rPr>
                <w:sz w:val="20"/>
                <w:lang w:val="fr-CA"/>
              </w:rPr>
              <w:t>Cour suprême du Canada</w:t>
            </w:r>
          </w:p>
        </w:tc>
        <w:tc>
          <w:tcPr>
            <w:tcW w:w="243" w:type="pct"/>
          </w:tcPr>
          <w:p w:rsidR="00C7740E" w:rsidRPr="00480DEB" w:rsidRDefault="00C7740E" w:rsidP="00C7740E">
            <w:pPr>
              <w:jc w:val="both"/>
              <w:rPr>
                <w:sz w:val="20"/>
                <w:lang w:val="fr-CA"/>
              </w:rPr>
            </w:pPr>
          </w:p>
        </w:tc>
        <w:tc>
          <w:tcPr>
            <w:tcW w:w="2330" w:type="pct"/>
          </w:tcPr>
          <w:p w:rsidR="00C7740E" w:rsidRPr="00480DEB" w:rsidRDefault="00C7740E" w:rsidP="00C7740E">
            <w:pPr>
              <w:jc w:val="both"/>
              <w:rPr>
                <w:sz w:val="20"/>
                <w:lang w:val="fr-CA"/>
              </w:rPr>
            </w:pPr>
            <w:r w:rsidRPr="00480DEB">
              <w:rPr>
                <w:sz w:val="20"/>
                <w:lang w:val="fr-CA"/>
              </w:rPr>
              <w:t>Dépôt de la demande d’autorisation d’appel</w:t>
            </w:r>
          </w:p>
        </w:tc>
      </w:tr>
      <w:tr w:rsidR="00C7740E" w:rsidRPr="00480DEB" w:rsidTr="00E95A6A">
        <w:tc>
          <w:tcPr>
            <w:tcW w:w="2427" w:type="pct"/>
            <w:gridSpan w:val="2"/>
          </w:tcPr>
          <w:p w:rsidR="00C7740E" w:rsidRPr="00480DEB" w:rsidRDefault="00C7740E" w:rsidP="00C7740E">
            <w:pPr>
              <w:jc w:val="both"/>
              <w:rPr>
                <w:sz w:val="20"/>
                <w:lang w:val="fr-CA"/>
              </w:rPr>
            </w:pPr>
            <w:r w:rsidRPr="00480DEB">
              <w:rPr>
                <w:sz w:val="20"/>
                <w:lang w:val="fr-CA"/>
              </w:rPr>
              <w:t>26 février 2016</w:t>
            </w:r>
          </w:p>
          <w:p w:rsidR="00C7740E" w:rsidRPr="00480DEB" w:rsidRDefault="00C7740E" w:rsidP="00C7740E">
            <w:pPr>
              <w:jc w:val="both"/>
              <w:rPr>
                <w:sz w:val="20"/>
                <w:lang w:val="fr-CA"/>
              </w:rPr>
            </w:pPr>
            <w:r w:rsidRPr="00480DEB">
              <w:rPr>
                <w:sz w:val="20"/>
                <w:lang w:val="fr-CA"/>
              </w:rPr>
              <w:t>Cour suprême du Canada</w:t>
            </w:r>
          </w:p>
        </w:tc>
        <w:tc>
          <w:tcPr>
            <w:tcW w:w="243" w:type="pct"/>
          </w:tcPr>
          <w:p w:rsidR="00C7740E" w:rsidRPr="00480DEB" w:rsidRDefault="00C7740E" w:rsidP="00C7740E">
            <w:pPr>
              <w:jc w:val="both"/>
              <w:rPr>
                <w:sz w:val="20"/>
                <w:lang w:val="fr-CA"/>
              </w:rPr>
            </w:pPr>
          </w:p>
        </w:tc>
        <w:tc>
          <w:tcPr>
            <w:tcW w:w="2330" w:type="pct"/>
          </w:tcPr>
          <w:p w:rsidR="00C7740E" w:rsidRPr="00480DEB" w:rsidRDefault="00C7740E" w:rsidP="00C7740E">
            <w:pPr>
              <w:jc w:val="both"/>
              <w:rPr>
                <w:sz w:val="20"/>
                <w:lang w:val="fr-CA"/>
              </w:rPr>
            </w:pPr>
            <w:r w:rsidRPr="00480DEB">
              <w:rPr>
                <w:sz w:val="20"/>
                <w:lang w:val="fr-CA"/>
              </w:rPr>
              <w:t>Dépôt de la requête en prorogation du délai de signification et de dépôt de la demande d’autorisation d’appel</w:t>
            </w:r>
          </w:p>
        </w:tc>
      </w:tr>
    </w:tbl>
    <w:p w:rsidR="0064395E" w:rsidRPr="00480DEB" w:rsidRDefault="0064395E" w:rsidP="008106E3">
      <w:pPr>
        <w:widowControl w:val="0"/>
        <w:autoSpaceDE w:val="0"/>
        <w:autoSpaceDN w:val="0"/>
        <w:adjustRightInd w:val="0"/>
        <w:ind w:left="360" w:hanging="360"/>
        <w:rPr>
          <w:rFonts w:eastAsiaTheme="minorEastAsia"/>
          <w:sz w:val="20"/>
          <w:lang w:val="en-CA" w:eastAsia="en-CA"/>
        </w:rPr>
      </w:pPr>
    </w:p>
    <w:p w:rsidR="0064395E" w:rsidRPr="00480DEB" w:rsidRDefault="0064395E" w:rsidP="008106E3">
      <w:pPr>
        <w:widowControl w:val="0"/>
        <w:autoSpaceDE w:val="0"/>
        <w:autoSpaceDN w:val="0"/>
        <w:adjustRightInd w:val="0"/>
        <w:ind w:left="360" w:hanging="360"/>
        <w:rPr>
          <w:rFonts w:eastAsiaTheme="minorEastAsia"/>
          <w:sz w:val="20"/>
          <w:lang w:val="en-CA" w:eastAsia="en-CA"/>
        </w:rPr>
      </w:pPr>
    </w:p>
    <w:p w:rsidR="006F2855" w:rsidRPr="00480DEB" w:rsidRDefault="006F2855" w:rsidP="009A5F3F">
      <w:pPr>
        <w:widowControl w:val="0"/>
        <w:autoSpaceDE w:val="0"/>
        <w:autoSpaceDN w:val="0"/>
        <w:adjustRightInd w:val="0"/>
        <w:ind w:left="360" w:hanging="360"/>
        <w:rPr>
          <w:rFonts w:eastAsiaTheme="minorEastAsia"/>
          <w:sz w:val="20"/>
          <w:lang w:val="fr-CA" w:eastAsia="en-CA"/>
        </w:rPr>
      </w:pPr>
    </w:p>
    <w:p w:rsidR="00D3344A" w:rsidRPr="00480DEB" w:rsidRDefault="00D3344A" w:rsidP="00D3344A">
      <w:pPr>
        <w:widowControl w:val="0"/>
        <w:outlineLvl w:val="0"/>
      </w:pPr>
      <w:r w:rsidRPr="00480DEB">
        <w:t xml:space="preserve">Supreme Court of Canada / Cour suprême du </w:t>
      </w:r>
      <w:proofErr w:type="gramStart"/>
      <w:r w:rsidRPr="00480DEB">
        <w:t>Canad</w:t>
      </w:r>
      <w:r w:rsidR="00EE289F" w:rsidRPr="00480DEB">
        <w:t>a</w:t>
      </w:r>
      <w:r w:rsidRPr="00480DEB">
        <w:t xml:space="preserve"> :</w:t>
      </w:r>
      <w:proofErr w:type="gramEnd"/>
      <w:r w:rsidRPr="00480DEB">
        <w:t xml:space="preserve"> </w:t>
      </w:r>
    </w:p>
    <w:p w:rsidR="00D3344A" w:rsidRPr="00480DEB" w:rsidRDefault="00480DEB" w:rsidP="00D3344A">
      <w:pPr>
        <w:widowControl w:val="0"/>
        <w:outlineLvl w:val="0"/>
        <w:rPr>
          <w:u w:val="single"/>
        </w:rPr>
      </w:pPr>
      <w:hyperlink r:id="rId40" w:history="1">
        <w:r w:rsidR="00D3344A" w:rsidRPr="00480DEB">
          <w:rPr>
            <w:rStyle w:val="Hyperlink"/>
          </w:rPr>
          <w:t>comments-commentaires@scc-csc.ca</w:t>
        </w:r>
      </w:hyperlink>
    </w:p>
    <w:p w:rsidR="00D3344A" w:rsidRPr="00480DEB" w:rsidRDefault="0065588C" w:rsidP="00D3344A">
      <w:pPr>
        <w:widowControl w:val="0"/>
        <w:outlineLvl w:val="0"/>
      </w:pPr>
      <w:r w:rsidRPr="00480DEB">
        <w:t>613-</w:t>
      </w:r>
      <w:r w:rsidR="00D3344A" w:rsidRPr="00480DEB">
        <w:t>995-4330</w:t>
      </w:r>
    </w:p>
    <w:p w:rsidR="00497B5E" w:rsidRPr="00480DEB" w:rsidRDefault="00497B5E" w:rsidP="00497B5E">
      <w:pPr>
        <w:widowControl w:val="0"/>
        <w:rPr>
          <w:sz w:val="20"/>
        </w:rPr>
      </w:pPr>
    </w:p>
    <w:p w:rsidR="00F6251B" w:rsidRPr="00D93A74" w:rsidRDefault="003F43E6" w:rsidP="00F6251B">
      <w:pPr>
        <w:pStyle w:val="Footer"/>
        <w:jc w:val="center"/>
      </w:pPr>
      <w:r w:rsidRPr="00480DEB">
        <w:t>- 30 -</w:t>
      </w:r>
    </w:p>
    <w:p w:rsidR="00F6251B" w:rsidRPr="00D93A74" w:rsidRDefault="00F6251B" w:rsidP="00F6251B">
      <w:pPr>
        <w:pStyle w:val="Footer"/>
        <w:jc w:val="center"/>
      </w:pPr>
    </w:p>
    <w:p w:rsidR="00F6251B" w:rsidRPr="00D93A74" w:rsidRDefault="00F6251B" w:rsidP="00F6251B">
      <w:pPr>
        <w:pStyle w:val="Footer"/>
        <w:jc w:val="center"/>
      </w:pPr>
    </w:p>
    <w:sectPr w:rsidR="00F6251B" w:rsidRPr="00D93A74" w:rsidSect="0052482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39F00CE"/>
    <w:multiLevelType w:val="hybridMultilevel"/>
    <w:tmpl w:val="0D70BF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F460C4"/>
    <w:multiLevelType w:val="hybridMultilevel"/>
    <w:tmpl w:val="B180FA5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CB6CE5"/>
    <w:multiLevelType w:val="hybridMultilevel"/>
    <w:tmpl w:val="AA202E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6B834807"/>
    <w:multiLevelType w:val="hybridMultilevel"/>
    <w:tmpl w:val="9AFA1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5"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8"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0"/>
  </w:num>
  <w:num w:numId="13">
    <w:abstractNumId w:val="38"/>
  </w:num>
  <w:num w:numId="14">
    <w:abstractNumId w:val="3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3"/>
  </w:num>
  <w:num w:numId="19">
    <w:abstractNumId w:val="33"/>
  </w:num>
  <w:num w:numId="20">
    <w:abstractNumId w:val="27"/>
  </w:num>
  <w:num w:numId="21">
    <w:abstractNumId w:val="37"/>
  </w:num>
  <w:num w:numId="22">
    <w:abstractNumId w:val="0"/>
  </w:num>
  <w:num w:numId="23">
    <w:abstractNumId w:val="46"/>
  </w:num>
  <w:num w:numId="24">
    <w:abstractNumId w:val="19"/>
  </w:num>
  <w:num w:numId="25">
    <w:abstractNumId w:val="1"/>
  </w:num>
  <w:num w:numId="26">
    <w:abstractNumId w:val="23"/>
  </w:num>
  <w:num w:numId="27">
    <w:abstractNumId w:val="48"/>
  </w:num>
  <w:num w:numId="28">
    <w:abstractNumId w:val="32"/>
  </w:num>
  <w:num w:numId="29">
    <w:abstractNumId w:val="44"/>
  </w:num>
  <w:num w:numId="30">
    <w:abstractNumId w:val="35"/>
  </w:num>
  <w:num w:numId="31">
    <w:abstractNumId w:val="24"/>
  </w:num>
  <w:num w:numId="32">
    <w:abstractNumId w:val="8"/>
  </w:num>
  <w:num w:numId="33">
    <w:abstractNumId w:val="2"/>
  </w:num>
  <w:num w:numId="34">
    <w:abstractNumId w:val="45"/>
  </w:num>
  <w:num w:numId="35">
    <w:abstractNumId w:val="42"/>
  </w:num>
  <w:num w:numId="36">
    <w:abstractNumId w:val="10"/>
  </w:num>
  <w:num w:numId="37">
    <w:abstractNumId w:val="5"/>
  </w:num>
  <w:num w:numId="38">
    <w:abstractNumId w:val="13"/>
  </w:num>
  <w:num w:numId="39">
    <w:abstractNumId w:val="31"/>
  </w:num>
  <w:num w:numId="40">
    <w:abstractNumId w:val="28"/>
  </w:num>
  <w:num w:numId="41">
    <w:abstractNumId w:val="21"/>
  </w:num>
  <w:num w:numId="42">
    <w:abstractNumId w:val="18"/>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41"/>
  </w:num>
  <w:num w:numId="46">
    <w:abstractNumId w:val="43"/>
  </w:num>
  <w:num w:numId="47">
    <w:abstractNumId w:val="26"/>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188"/>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0DEB"/>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16F6"/>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8F"/>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1F4B"/>
    <w:rsid w:val="00642EB3"/>
    <w:rsid w:val="0064395E"/>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601"/>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36B"/>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35C8"/>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2315"/>
    <w:rsid w:val="00813018"/>
    <w:rsid w:val="00814DCA"/>
    <w:rsid w:val="0081539C"/>
    <w:rsid w:val="00815D1B"/>
    <w:rsid w:val="00816C1F"/>
    <w:rsid w:val="00820876"/>
    <w:rsid w:val="0082143F"/>
    <w:rsid w:val="0082159A"/>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3DE4"/>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670"/>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5BD1"/>
    <w:rsid w:val="00C76BBB"/>
    <w:rsid w:val="00C7740E"/>
    <w:rsid w:val="00C779D4"/>
    <w:rsid w:val="00C77C0E"/>
    <w:rsid w:val="00C80125"/>
    <w:rsid w:val="00C809C6"/>
    <w:rsid w:val="00C81430"/>
    <w:rsid w:val="00C86829"/>
    <w:rsid w:val="00C86A4F"/>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3A74"/>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075AB"/>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E075AB"/>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Heading2Char">
    <w:name w:val="Heading 2 Char"/>
    <w:basedOn w:val="DefaultParagraphFont"/>
    <w:link w:val="Heading2"/>
    <w:uiPriority w:val="9"/>
    <w:semiHidden/>
    <w:rsid w:val="00E075AB"/>
    <w:rPr>
      <w:rFonts w:asciiTheme="majorHAnsi" w:eastAsiaTheme="majorEastAsia" w:hAnsiTheme="majorHAnsi" w:cstheme="majorBidi"/>
      <w:b/>
      <w:bCs/>
      <w:color w:val="4F81BD" w:themeColor="accent1"/>
      <w:sz w:val="26"/>
      <w:szCs w:val="26"/>
      <w:lang w:val="en-CA"/>
    </w:rPr>
  </w:style>
  <w:style w:type="character" w:customStyle="1" w:styleId="documentstaticurl">
    <w:name w:val="documentstaticurl"/>
    <w:basedOn w:val="DefaultParagraphFont"/>
    <w:rsid w:val="00E0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726" TargetMode="External"/><Relationship Id="rId13" Type="http://schemas.openxmlformats.org/officeDocument/2006/relationships/hyperlink" Target="http://www.scc-csc.ca/case-dossier/info/sum-som-eng.aspx?cas=36868" TargetMode="External"/><Relationship Id="rId18" Type="http://schemas.openxmlformats.org/officeDocument/2006/relationships/hyperlink" Target="http://www.canlii.org/en/mb/mbqb/doc/2014/2014mbqb116/2014mbqb116.html?autocompleteStr=2014%20mbqb%20116&amp;autocompletePos=1" TargetMode="External"/><Relationship Id="rId26" Type="http://schemas.openxmlformats.org/officeDocument/2006/relationships/hyperlink" Target="https://www.canlii.org/en/ab/abca/doc/2010/2010abca107/2010abca107.html?resultIndex=1" TargetMode="External"/><Relationship Id="rId39" Type="http://schemas.openxmlformats.org/officeDocument/2006/relationships/hyperlink" Target="http://www.canlii.org/en/on/onca/doc/2016/2016onca94/2016onca94.html?resultIndex=1" TargetMode="External"/><Relationship Id="rId3" Type="http://schemas.openxmlformats.org/officeDocument/2006/relationships/styles" Target="styles.xml"/><Relationship Id="rId21" Type="http://schemas.openxmlformats.org/officeDocument/2006/relationships/hyperlink" Target="http://canlii.ca/t/gf7rx" TargetMode="External"/><Relationship Id="rId34" Type="http://schemas.openxmlformats.org/officeDocument/2006/relationships/hyperlink" Target="http://canlii.ca/t/gngg3"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6918" TargetMode="External"/><Relationship Id="rId17" Type="http://schemas.openxmlformats.org/officeDocument/2006/relationships/hyperlink" Target="http://www.canlii.org/en/mb/mbqb/doc/2013/2013mbqb118/2013mbqb118.html?autocompleteStr=VANDERMEULEN&amp;autocompletePos=1" TargetMode="External"/><Relationship Id="rId25" Type="http://schemas.openxmlformats.org/officeDocument/2006/relationships/hyperlink" Target="http://canlii.ca/t/gnmwp" TargetMode="External"/><Relationship Id="rId33" Type="http://schemas.openxmlformats.org/officeDocument/2006/relationships/hyperlink" Target="http://canlii.ca/t/glmgt" TargetMode="External"/><Relationship Id="rId38" Type="http://schemas.openxmlformats.org/officeDocument/2006/relationships/hyperlink" Target="http://www.canlii.org/en/on/onsc/doc/2014/2014onsc828/2014onsc828.html?resultIndex=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anlii.org/en/mb/mbca/doc/2015/2015mbca84/2015mbca84.html?autocompleteStr=2015%20mbca%2084&amp;autocompletePos=1" TargetMode="External"/><Relationship Id="rId20" Type="http://schemas.openxmlformats.org/officeDocument/2006/relationships/hyperlink" Target="http://canlii.ca/t/g2tw9" TargetMode="External"/><Relationship Id="rId29" Type="http://schemas.openxmlformats.org/officeDocument/2006/relationships/hyperlink" Target="https://www.canlii.org/en/ab/abca/doc/2010/2010abca298/2010abca298.html?autocompleteStr=2010%20ABCA%20298&amp;autocompletePos=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006" TargetMode="External"/><Relationship Id="rId24" Type="http://schemas.openxmlformats.org/officeDocument/2006/relationships/hyperlink" Target="http://canlii.ca/t/gf7rx" TargetMode="External"/><Relationship Id="rId32" Type="http://schemas.openxmlformats.org/officeDocument/2006/relationships/hyperlink" Target="http://canlii.ca/t/gp3z6" TargetMode="External"/><Relationship Id="rId37" Type="http://schemas.openxmlformats.org/officeDocument/2006/relationships/hyperlink" Target="http://www.canlii.org/en/on/onca/doc/2016/2016onca94/2016onca94.html?resultIndex=1"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nlii.org/en/mb/mbqb/doc/2014/2014mbqb116/2014mbqb116.html?autocompleteStr=2014%20mbqb%20116&amp;autocompletePos=1" TargetMode="External"/><Relationship Id="rId23" Type="http://schemas.openxmlformats.org/officeDocument/2006/relationships/hyperlink" Target="http://canlii.ca/t/g2tw9" TargetMode="External"/><Relationship Id="rId28" Type="http://schemas.openxmlformats.org/officeDocument/2006/relationships/hyperlink" Target="https://www.canlii.org/en/ab/abca/doc/2010/2010abca107/2010abca107.html?resultIndex=1" TargetMode="External"/><Relationship Id="rId36" Type="http://schemas.openxmlformats.org/officeDocument/2006/relationships/hyperlink" Target="http://www.canlii.org/en/on/onsc/doc/2014/2014onsc828/2014onsc828.html?resultIndex=1" TargetMode="External"/><Relationship Id="rId10" Type="http://schemas.openxmlformats.org/officeDocument/2006/relationships/hyperlink" Target="http://www.scc-csc.ca/case-dossier/info/sum-som-eng.aspx?cas=36978" TargetMode="External"/><Relationship Id="rId19" Type="http://schemas.openxmlformats.org/officeDocument/2006/relationships/hyperlink" Target="http://www.canlii.org/en/mb/mbca/doc/2015/2015mbca84/2015mbca84.html?autocompleteStr=2015%20mbca%2084&amp;autocompletePos=1" TargetMode="External"/><Relationship Id="rId31" Type="http://schemas.openxmlformats.org/officeDocument/2006/relationships/hyperlink" Target="http://canlii.ca/t/gngg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c-csc.ca/case-dossier/info/sum-som-eng.aspx?cas=36994" TargetMode="External"/><Relationship Id="rId14" Type="http://schemas.openxmlformats.org/officeDocument/2006/relationships/hyperlink" Target="http://www.canlii.org/en/mb/mbqb/doc/2013/2013mbqb118/2013mbqb118.html?autocompleteStr=VANDERMEULEN&amp;autocompletePos=1" TargetMode="External"/><Relationship Id="rId22" Type="http://schemas.openxmlformats.org/officeDocument/2006/relationships/hyperlink" Target="http://canlii.ca/t/gnmwp" TargetMode="External"/><Relationship Id="rId27" Type="http://schemas.openxmlformats.org/officeDocument/2006/relationships/hyperlink" Target="https://www.canlii.org/en/ab/abca/doc/2010/2010abca298/2010abca298.html?autocompleteStr=2010%20ABCA%20298&amp;autocompletePos=1" TargetMode="External"/><Relationship Id="rId30" Type="http://schemas.openxmlformats.org/officeDocument/2006/relationships/hyperlink" Target="http://canlii.ca/t/glmgt" TargetMode="External"/><Relationship Id="rId35" Type="http://schemas.openxmlformats.org/officeDocument/2006/relationships/hyperlink" Target="http://canlii.ca/t/gp3z6"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1B874-8AE7-4569-A971-2FA82D0F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33990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2016-08-12T14:38:00Z</dcterms:created>
  <dcterms:modified xsi:type="dcterms:W3CDTF">2016-08-12T15:10:00Z</dcterms:modified>
</cp:coreProperties>
</file>